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etkatablice"/>
        <w:tblW w:w="9923" w:type="dxa"/>
        <w:tblInd w:w="-289" w:type="dxa"/>
        <w:tblLayout w:type="fixed"/>
        <w:tblLook w:val="04A0" w:firstRow="1" w:lastRow="0" w:firstColumn="1" w:lastColumn="0" w:noHBand="0" w:noVBand="1"/>
      </w:tblPr>
      <w:tblGrid>
        <w:gridCol w:w="851"/>
        <w:gridCol w:w="2698"/>
        <w:gridCol w:w="988"/>
        <w:gridCol w:w="5386"/>
      </w:tblGrid>
      <w:tr w:rsidR="000213BB" w:rsidRPr="0097347E" w14:paraId="0467BA02" w14:textId="77777777" w:rsidTr="00E471BC">
        <w:tc>
          <w:tcPr>
            <w:tcW w:w="9923" w:type="dxa"/>
            <w:gridSpan w:val="4"/>
            <w:tcBorders>
              <w:top w:val="nil"/>
              <w:left w:val="nil"/>
              <w:bottom w:val="nil"/>
              <w:right w:val="nil"/>
            </w:tcBorders>
            <w:shd w:val="clear" w:color="auto" w:fill="auto"/>
          </w:tcPr>
          <w:p w14:paraId="132F0256" w14:textId="2F535A21" w:rsidR="000213BB" w:rsidRPr="00E471BC" w:rsidRDefault="000213BB" w:rsidP="00E471BC">
            <w:pPr>
              <w:pStyle w:val="Naslov"/>
            </w:pPr>
            <w:r w:rsidRPr="00E471BC">
              <w:t>PRILOG 5.</w:t>
            </w:r>
          </w:p>
          <w:p w14:paraId="0D796015" w14:textId="77777777" w:rsidR="000213BB" w:rsidRPr="00E471BC" w:rsidRDefault="000213BB" w:rsidP="00E471BC">
            <w:pPr>
              <w:pStyle w:val="Naslov"/>
            </w:pPr>
            <w:r w:rsidRPr="00E471BC">
              <w:t>OBRAZAC NAKNADNE PROCJENE UČINAKA PROPISA</w:t>
            </w:r>
          </w:p>
        </w:tc>
      </w:tr>
      <w:tr w:rsidR="000213BB" w:rsidRPr="0097347E" w14:paraId="71A5B38F" w14:textId="77777777" w:rsidTr="00C948DE">
        <w:tc>
          <w:tcPr>
            <w:tcW w:w="851" w:type="dxa"/>
            <w:tcBorders>
              <w:top w:val="nil"/>
              <w:left w:val="nil"/>
              <w:bottom w:val="single" w:sz="4" w:space="0" w:color="auto"/>
              <w:right w:val="nil"/>
            </w:tcBorders>
          </w:tcPr>
          <w:p w14:paraId="1A5790EE" w14:textId="77777777" w:rsidR="000213BB" w:rsidRPr="00E471BC" w:rsidRDefault="000213BB" w:rsidP="00E471BC">
            <w:pPr>
              <w:pStyle w:val="Naslov1"/>
            </w:pPr>
            <w:r w:rsidRPr="00E471BC">
              <w:t>1.</w:t>
            </w:r>
          </w:p>
        </w:tc>
        <w:tc>
          <w:tcPr>
            <w:tcW w:w="9072" w:type="dxa"/>
            <w:gridSpan w:val="3"/>
            <w:tcBorders>
              <w:top w:val="nil"/>
              <w:left w:val="nil"/>
              <w:bottom w:val="single" w:sz="4" w:space="0" w:color="auto"/>
              <w:right w:val="nil"/>
            </w:tcBorders>
          </w:tcPr>
          <w:p w14:paraId="2C5FC8C3" w14:textId="77777777" w:rsidR="000213BB" w:rsidRPr="00E471BC" w:rsidRDefault="000213BB" w:rsidP="00E471BC">
            <w:pPr>
              <w:pStyle w:val="Naslov1"/>
            </w:pPr>
            <w:r w:rsidRPr="00E471BC">
              <w:t>OPĆE INFORMACIJE</w:t>
            </w:r>
          </w:p>
        </w:tc>
      </w:tr>
      <w:tr w:rsidR="000213BB" w:rsidRPr="0097347E" w14:paraId="0C171676" w14:textId="77777777" w:rsidTr="00E471BC">
        <w:tc>
          <w:tcPr>
            <w:tcW w:w="851" w:type="dxa"/>
            <w:tcBorders>
              <w:top w:val="single" w:sz="4" w:space="0" w:color="auto"/>
            </w:tcBorders>
          </w:tcPr>
          <w:p w14:paraId="7CE6632A" w14:textId="77777777" w:rsidR="000213BB" w:rsidRPr="0097347E" w:rsidRDefault="000213BB" w:rsidP="007C137B">
            <w:r w:rsidRPr="0097347E">
              <w:t>1.1.</w:t>
            </w:r>
          </w:p>
        </w:tc>
        <w:tc>
          <w:tcPr>
            <w:tcW w:w="2698" w:type="dxa"/>
            <w:tcBorders>
              <w:top w:val="single" w:sz="4" w:space="0" w:color="auto"/>
            </w:tcBorders>
          </w:tcPr>
          <w:p w14:paraId="2D7749F4" w14:textId="77777777" w:rsidR="000213BB" w:rsidRPr="0097347E" w:rsidRDefault="000213BB" w:rsidP="007C137B">
            <w:r w:rsidRPr="0097347E">
              <w:t>Naziv zakona:</w:t>
            </w:r>
          </w:p>
        </w:tc>
        <w:tc>
          <w:tcPr>
            <w:tcW w:w="6374" w:type="dxa"/>
            <w:gridSpan w:val="2"/>
            <w:tcBorders>
              <w:top w:val="single" w:sz="4" w:space="0" w:color="auto"/>
            </w:tcBorders>
            <w:shd w:val="clear" w:color="auto" w:fill="auto"/>
          </w:tcPr>
          <w:p w14:paraId="545CEDAE" w14:textId="7043969C" w:rsidR="000213BB" w:rsidRPr="00C95418" w:rsidRDefault="00D76DAB" w:rsidP="007C137B">
            <w:r w:rsidRPr="00C95418">
              <w:t>Zakon o izmjenama i dopunama Zakona o porezu na dohodak</w:t>
            </w:r>
          </w:p>
        </w:tc>
      </w:tr>
      <w:tr w:rsidR="000213BB" w:rsidRPr="0097347E" w14:paraId="6E47B832" w14:textId="77777777" w:rsidTr="003106CB">
        <w:tc>
          <w:tcPr>
            <w:tcW w:w="851" w:type="dxa"/>
          </w:tcPr>
          <w:p w14:paraId="6CC57612" w14:textId="77777777" w:rsidR="000213BB" w:rsidRPr="0097347E" w:rsidRDefault="000213BB" w:rsidP="007C137B">
            <w:r w:rsidRPr="0097347E">
              <w:t>1.2.</w:t>
            </w:r>
          </w:p>
        </w:tc>
        <w:tc>
          <w:tcPr>
            <w:tcW w:w="2698" w:type="dxa"/>
          </w:tcPr>
          <w:p w14:paraId="6E4F7C22" w14:textId="77777777" w:rsidR="000213BB" w:rsidRPr="0097347E" w:rsidRDefault="000213BB" w:rsidP="007C137B">
            <w:r w:rsidRPr="0097347E">
              <w:t>Broj "Narodnih novina"</w:t>
            </w:r>
          </w:p>
        </w:tc>
        <w:tc>
          <w:tcPr>
            <w:tcW w:w="6374" w:type="dxa"/>
            <w:gridSpan w:val="2"/>
            <w:shd w:val="clear" w:color="auto" w:fill="auto"/>
          </w:tcPr>
          <w:p w14:paraId="7A5A1E42" w14:textId="45A561EF" w:rsidR="000213BB" w:rsidRPr="00C95418" w:rsidRDefault="003106CB" w:rsidP="007C137B">
            <w:r w:rsidRPr="00C95418">
              <w:t>138/20</w:t>
            </w:r>
          </w:p>
        </w:tc>
      </w:tr>
      <w:tr w:rsidR="000213BB" w:rsidRPr="0097347E" w14:paraId="26D598D3" w14:textId="77777777" w:rsidTr="003106CB">
        <w:tc>
          <w:tcPr>
            <w:tcW w:w="851" w:type="dxa"/>
          </w:tcPr>
          <w:p w14:paraId="5072377F" w14:textId="77777777" w:rsidR="000213BB" w:rsidRPr="0097347E" w:rsidRDefault="000213BB" w:rsidP="007C137B">
            <w:r w:rsidRPr="0097347E">
              <w:t>1.3.</w:t>
            </w:r>
          </w:p>
        </w:tc>
        <w:tc>
          <w:tcPr>
            <w:tcW w:w="2698" w:type="dxa"/>
          </w:tcPr>
          <w:p w14:paraId="48C7DB2D" w14:textId="77777777" w:rsidR="000213BB" w:rsidRPr="0097347E" w:rsidRDefault="000213BB" w:rsidP="007C137B">
            <w:r w:rsidRPr="0097347E">
              <w:t>Program rada Vlade Republike Hrvatske, akt planiranja ili reformska mjera:</w:t>
            </w:r>
          </w:p>
        </w:tc>
        <w:tc>
          <w:tcPr>
            <w:tcW w:w="988" w:type="dxa"/>
            <w:shd w:val="clear" w:color="auto" w:fill="auto"/>
          </w:tcPr>
          <w:p w14:paraId="36303799" w14:textId="77777777" w:rsidR="000213BB" w:rsidRPr="00C95418" w:rsidRDefault="000213BB" w:rsidP="007C137B">
            <w:r w:rsidRPr="00C95418">
              <w:rPr>
                <w:b/>
                <w:bCs/>
              </w:rPr>
              <w:t>Da</w:t>
            </w:r>
            <w:r w:rsidRPr="00C95418">
              <w:t>/Ne:</w:t>
            </w:r>
          </w:p>
          <w:p w14:paraId="72D1B1C9" w14:textId="77777777" w:rsidR="000213BB" w:rsidRPr="00C95418" w:rsidRDefault="000213BB" w:rsidP="007C137B"/>
        </w:tc>
        <w:tc>
          <w:tcPr>
            <w:tcW w:w="5386" w:type="dxa"/>
            <w:shd w:val="clear" w:color="auto" w:fill="auto"/>
          </w:tcPr>
          <w:p w14:paraId="25504981" w14:textId="77777777" w:rsidR="003106CB" w:rsidRPr="00C95418" w:rsidRDefault="003106CB" w:rsidP="003106CB">
            <w:r w:rsidRPr="00C95418">
              <w:t xml:space="preserve">Naziv akta: </w:t>
            </w:r>
          </w:p>
          <w:p w14:paraId="1420AB2A" w14:textId="11B2E25F" w:rsidR="003106CB" w:rsidRPr="00C95418" w:rsidRDefault="00344002" w:rsidP="003106CB">
            <w:r w:rsidRPr="00C95418">
              <w:t>Program Vlade Republike Hrvatske za mandat 2020. – 2024.</w:t>
            </w:r>
          </w:p>
          <w:p w14:paraId="2E0DF475" w14:textId="77777777" w:rsidR="005215A4" w:rsidRPr="00C95418" w:rsidRDefault="003106CB" w:rsidP="003106CB">
            <w:r w:rsidRPr="00C95418">
              <w:t>Opis mjere:</w:t>
            </w:r>
          </w:p>
          <w:p w14:paraId="6F4A9374" w14:textId="07C8666C" w:rsidR="007B0B24" w:rsidRPr="00C95418" w:rsidRDefault="007B0B24" w:rsidP="003106CB">
            <w:r w:rsidRPr="00C95418">
              <w:t>1.1. Očuvanje radnih mjesta i socijalna sigurnost</w:t>
            </w:r>
          </w:p>
          <w:p w14:paraId="6700DAC5" w14:textId="32BC4690" w:rsidR="005215A4" w:rsidRPr="00C95418" w:rsidRDefault="003106CB" w:rsidP="003106CB">
            <w:r w:rsidRPr="00C95418">
              <w:t>2.</w:t>
            </w:r>
            <w:r w:rsidR="007B0B24" w:rsidRPr="00C95418">
              <w:t>1. Gospodarski oporavak i poslovno okruženje</w:t>
            </w:r>
          </w:p>
        </w:tc>
      </w:tr>
      <w:tr w:rsidR="000213BB" w:rsidRPr="0097347E" w14:paraId="00E6CA83" w14:textId="77777777" w:rsidTr="00C948DE">
        <w:tc>
          <w:tcPr>
            <w:tcW w:w="851" w:type="dxa"/>
            <w:tcBorders>
              <w:bottom w:val="single" w:sz="4" w:space="0" w:color="auto"/>
            </w:tcBorders>
          </w:tcPr>
          <w:p w14:paraId="6B54A7A6" w14:textId="77777777" w:rsidR="000213BB" w:rsidRPr="0097347E" w:rsidRDefault="000213BB" w:rsidP="007C137B">
            <w:r w:rsidRPr="0097347E">
              <w:t>1.4.</w:t>
            </w:r>
          </w:p>
        </w:tc>
        <w:tc>
          <w:tcPr>
            <w:tcW w:w="2698" w:type="dxa"/>
            <w:tcBorders>
              <w:bottom w:val="single" w:sz="4" w:space="0" w:color="auto"/>
            </w:tcBorders>
          </w:tcPr>
          <w:p w14:paraId="29B072B5" w14:textId="77777777" w:rsidR="000213BB" w:rsidRPr="0097347E" w:rsidRDefault="000213BB" w:rsidP="007C137B">
            <w:r w:rsidRPr="0097347E">
              <w:t>Plan usklađivanja zakonodavstva Republike Hrvatske s pravnom stečevinom Europske unije</w:t>
            </w:r>
          </w:p>
        </w:tc>
        <w:tc>
          <w:tcPr>
            <w:tcW w:w="988" w:type="dxa"/>
            <w:tcBorders>
              <w:bottom w:val="single" w:sz="4" w:space="0" w:color="auto"/>
            </w:tcBorders>
            <w:shd w:val="clear" w:color="auto" w:fill="auto"/>
          </w:tcPr>
          <w:p w14:paraId="712D56B4" w14:textId="77777777" w:rsidR="000213BB" w:rsidRPr="0097347E" w:rsidRDefault="000213BB" w:rsidP="007C137B">
            <w:r w:rsidRPr="003106CB">
              <w:rPr>
                <w:b/>
                <w:bCs/>
              </w:rPr>
              <w:t>Da</w:t>
            </w:r>
            <w:r w:rsidRPr="0097347E">
              <w:t>/Ne:</w:t>
            </w:r>
          </w:p>
          <w:p w14:paraId="73642622" w14:textId="77777777" w:rsidR="000213BB" w:rsidRPr="0097347E" w:rsidRDefault="000213BB" w:rsidP="007C137B"/>
        </w:tc>
        <w:tc>
          <w:tcPr>
            <w:tcW w:w="5386" w:type="dxa"/>
            <w:tcBorders>
              <w:bottom w:val="single" w:sz="4" w:space="0" w:color="auto"/>
            </w:tcBorders>
            <w:shd w:val="clear" w:color="auto" w:fill="auto"/>
          </w:tcPr>
          <w:p w14:paraId="1E68B750" w14:textId="77777777" w:rsidR="000213BB" w:rsidRDefault="000213BB" w:rsidP="007C137B">
            <w:r w:rsidRPr="0097347E">
              <w:t>Naziv pravne stečevine EU:</w:t>
            </w:r>
          </w:p>
          <w:p w14:paraId="591875F0" w14:textId="77777777" w:rsidR="003106CB" w:rsidRDefault="003106CB" w:rsidP="007C137B"/>
          <w:p w14:paraId="6417D22C" w14:textId="08A3E560" w:rsidR="003106CB" w:rsidRPr="0097347E" w:rsidRDefault="003106CB" w:rsidP="007C137B">
            <w:r>
              <w:t>NE</w:t>
            </w:r>
          </w:p>
        </w:tc>
      </w:tr>
      <w:tr w:rsidR="000213BB" w:rsidRPr="00E471BC" w14:paraId="56C231F7" w14:textId="77777777" w:rsidTr="00C95418">
        <w:trPr>
          <w:trHeight w:val="314"/>
        </w:trPr>
        <w:tc>
          <w:tcPr>
            <w:tcW w:w="851" w:type="dxa"/>
            <w:tcBorders>
              <w:top w:val="single" w:sz="4" w:space="0" w:color="auto"/>
              <w:left w:val="nil"/>
              <w:bottom w:val="single" w:sz="4" w:space="0" w:color="auto"/>
              <w:right w:val="nil"/>
            </w:tcBorders>
          </w:tcPr>
          <w:p w14:paraId="30F3C5FA" w14:textId="77777777" w:rsidR="000213BB" w:rsidRPr="00E471BC" w:rsidRDefault="000213BB" w:rsidP="00E471BC">
            <w:pPr>
              <w:pStyle w:val="Naslov1"/>
            </w:pPr>
            <w:r w:rsidRPr="00E471BC">
              <w:t>2.</w:t>
            </w:r>
          </w:p>
        </w:tc>
        <w:tc>
          <w:tcPr>
            <w:tcW w:w="9072" w:type="dxa"/>
            <w:gridSpan w:val="3"/>
            <w:tcBorders>
              <w:top w:val="single" w:sz="4" w:space="0" w:color="auto"/>
              <w:left w:val="nil"/>
              <w:bottom w:val="single" w:sz="4" w:space="0" w:color="auto"/>
              <w:right w:val="nil"/>
            </w:tcBorders>
            <w:shd w:val="clear" w:color="auto" w:fill="auto"/>
          </w:tcPr>
          <w:p w14:paraId="12FEDF1E" w14:textId="77777777" w:rsidR="000213BB" w:rsidRPr="00E471BC" w:rsidRDefault="000213BB" w:rsidP="00E471BC">
            <w:pPr>
              <w:pStyle w:val="Naslov1"/>
            </w:pPr>
            <w:r w:rsidRPr="00E471BC">
              <w:t>ANALIZA POSTIGNUTIH REZULTATA PRIMJENE ZAKONA</w:t>
            </w:r>
          </w:p>
        </w:tc>
      </w:tr>
      <w:tr w:rsidR="000213BB" w:rsidRPr="0097347E" w14:paraId="7DE86FCD" w14:textId="77777777" w:rsidTr="00C95418">
        <w:tc>
          <w:tcPr>
            <w:tcW w:w="851" w:type="dxa"/>
            <w:tcBorders>
              <w:top w:val="single" w:sz="4" w:space="0" w:color="auto"/>
              <w:bottom w:val="single" w:sz="4" w:space="0" w:color="auto"/>
            </w:tcBorders>
          </w:tcPr>
          <w:p w14:paraId="7303AB6E" w14:textId="77777777" w:rsidR="000213BB" w:rsidRPr="0097347E" w:rsidRDefault="000213BB" w:rsidP="007C137B">
            <w:r w:rsidRPr="0097347E">
              <w:t>2.1.</w:t>
            </w:r>
          </w:p>
        </w:tc>
        <w:tc>
          <w:tcPr>
            <w:tcW w:w="9072" w:type="dxa"/>
            <w:gridSpan w:val="3"/>
            <w:tcBorders>
              <w:top w:val="single" w:sz="4" w:space="0" w:color="auto"/>
              <w:bottom w:val="single" w:sz="4" w:space="0" w:color="auto"/>
            </w:tcBorders>
            <w:shd w:val="clear" w:color="auto" w:fill="auto"/>
          </w:tcPr>
          <w:p w14:paraId="41BAAD8E" w14:textId="36D55B97" w:rsidR="00C127CD" w:rsidRPr="00733612" w:rsidRDefault="00D85A2D" w:rsidP="000A510D">
            <w:pPr>
              <w:jc w:val="both"/>
              <w:rPr>
                <w:iCs/>
              </w:rPr>
            </w:pPr>
            <w:r w:rsidRPr="00733612">
              <w:rPr>
                <w:iCs/>
              </w:rPr>
              <w:t>Provođenje porezne reforme sukladno Programu Vlade Republike Hrvatske</w:t>
            </w:r>
            <w:r w:rsidR="00891F8C" w:rsidRPr="00733612">
              <w:rPr>
                <w:iCs/>
              </w:rPr>
              <w:t xml:space="preserve"> </w:t>
            </w:r>
            <w:r w:rsidRPr="00733612">
              <w:rPr>
                <w:iCs/>
              </w:rPr>
              <w:t xml:space="preserve">za mandat 2016. – 2020. obuhvatilo je sve segmente poreznog sustava, a posebno se usmjerilo na pojednostavljenje sustava, širenje porezne baze te porezno rasterećenje građana i poduzetnika. </w:t>
            </w:r>
            <w:r w:rsidR="00A14B6A" w:rsidRPr="00733612">
              <w:rPr>
                <w:iCs/>
              </w:rPr>
              <w:t>U navedenom razdoblju provedena su četiri kruga poreznog i administrativnog rasterećenja. Budući da su Programom Vlade Republike Hrvatske za mandat 2020. – 2024., između ostalog, utvrđeni ciljevi koji se odnose na nastavak poreznog rasterećenja, radi daljnjeg povećanja raspoloživog dohotka i standarda građana</w:t>
            </w:r>
            <w:r w:rsidR="006D4D07" w:rsidRPr="00733612">
              <w:rPr>
                <w:iCs/>
              </w:rPr>
              <w:t>,</w:t>
            </w:r>
            <w:r w:rsidR="007F77CA" w:rsidRPr="00733612">
              <w:rPr>
                <w:iCs/>
              </w:rPr>
              <w:t xml:space="preserve"> </w:t>
            </w:r>
            <w:r w:rsidR="006D4D07" w:rsidRPr="00733612">
              <w:rPr>
                <w:iCs/>
              </w:rPr>
              <w:t>1. siječnj</w:t>
            </w:r>
            <w:r w:rsidR="007F77CA" w:rsidRPr="00733612">
              <w:rPr>
                <w:iCs/>
              </w:rPr>
              <w:t>a</w:t>
            </w:r>
            <w:r w:rsidR="006D4D07" w:rsidRPr="00733612">
              <w:rPr>
                <w:iCs/>
              </w:rPr>
              <w:t xml:space="preserve"> 2021. započeo je i peti krug poreznog rasterećenja u okviru kojeg su izmjene </w:t>
            </w:r>
            <w:r w:rsidR="007E46B2" w:rsidRPr="00733612">
              <w:rPr>
                <w:iCs/>
              </w:rPr>
              <w:t>u sustavu poreza na dohodak</w:t>
            </w:r>
            <w:r w:rsidR="006D4D07" w:rsidRPr="00733612">
              <w:rPr>
                <w:iCs/>
              </w:rPr>
              <w:t xml:space="preserve"> propisane Zakonom o izmjenama i dopunama Zakona o porezu na dohodak (</w:t>
            </w:r>
            <w:r w:rsidR="00C127CD" w:rsidRPr="00733612">
              <w:rPr>
                <w:iCs/>
              </w:rPr>
              <w:t>Narodne novine, broj 138/20</w:t>
            </w:r>
            <w:r w:rsidR="006C2A49" w:rsidRPr="00733612">
              <w:rPr>
                <w:iCs/>
              </w:rPr>
              <w:t>; dalje u tekstu: Zakon o izmjenama i dopunama</w:t>
            </w:r>
            <w:r w:rsidR="00C127CD" w:rsidRPr="00733612">
              <w:rPr>
                <w:iCs/>
              </w:rPr>
              <w:t>)</w:t>
            </w:r>
            <w:r w:rsidR="005215A4" w:rsidRPr="00733612">
              <w:rPr>
                <w:iCs/>
              </w:rPr>
              <w:t>, a koje su</w:t>
            </w:r>
            <w:r w:rsidR="00C127CD" w:rsidRPr="00733612">
              <w:rPr>
                <w:iCs/>
              </w:rPr>
              <w:t xml:space="preserve"> </w:t>
            </w:r>
            <w:r w:rsidR="007E46B2" w:rsidRPr="00733612">
              <w:rPr>
                <w:iCs/>
              </w:rPr>
              <w:t xml:space="preserve">usmjerene </w:t>
            </w:r>
            <w:r w:rsidR="00AE1934" w:rsidRPr="00733612">
              <w:rPr>
                <w:iCs/>
              </w:rPr>
              <w:t xml:space="preserve">postizanju zadanih </w:t>
            </w:r>
            <w:r w:rsidR="007E46B2" w:rsidRPr="00733612">
              <w:rPr>
                <w:iCs/>
              </w:rPr>
              <w:t xml:space="preserve">ciljeva </w:t>
            </w:r>
            <w:r w:rsidR="00891F8C" w:rsidRPr="00733612">
              <w:rPr>
                <w:iCs/>
              </w:rPr>
              <w:t>P</w:t>
            </w:r>
            <w:r w:rsidR="007E46B2" w:rsidRPr="00733612">
              <w:rPr>
                <w:iCs/>
              </w:rPr>
              <w:t>rograma Vlade R</w:t>
            </w:r>
            <w:r w:rsidR="00891F8C" w:rsidRPr="00733612">
              <w:rPr>
                <w:iCs/>
              </w:rPr>
              <w:t>epublike Hrvatske</w:t>
            </w:r>
            <w:r w:rsidR="007E46B2" w:rsidRPr="00733612">
              <w:rPr>
                <w:iCs/>
              </w:rPr>
              <w:t>.</w:t>
            </w:r>
            <w:r w:rsidR="006C2A49" w:rsidRPr="00733612">
              <w:rPr>
                <w:iCs/>
              </w:rPr>
              <w:t xml:space="preserve"> Stoga</w:t>
            </w:r>
            <w:r w:rsidR="005215A4" w:rsidRPr="00733612">
              <w:rPr>
                <w:iCs/>
              </w:rPr>
              <w:t>,</w:t>
            </w:r>
            <w:r w:rsidR="006C2A49" w:rsidRPr="00733612">
              <w:rPr>
                <w:iCs/>
              </w:rPr>
              <w:t xml:space="preserve"> u okviru navedenog Zakona o izmjenama i dopunama izvršene </w:t>
            </w:r>
            <w:r w:rsidR="005215A4" w:rsidRPr="00733612">
              <w:rPr>
                <w:iCs/>
              </w:rPr>
              <w:t xml:space="preserve">su </w:t>
            </w:r>
            <w:r w:rsidR="006C2A49" w:rsidRPr="00733612">
              <w:rPr>
                <w:iCs/>
              </w:rPr>
              <w:t>sljedeće izmjene i dopune:</w:t>
            </w:r>
          </w:p>
          <w:p w14:paraId="32F232AA" w14:textId="108E7AFB" w:rsidR="006C2A49" w:rsidRPr="00733612" w:rsidRDefault="006C2A49" w:rsidP="000A510D">
            <w:pPr>
              <w:jc w:val="both"/>
              <w:rPr>
                <w:iCs/>
              </w:rPr>
            </w:pPr>
          </w:p>
          <w:p w14:paraId="76634CD4" w14:textId="59C4B90C" w:rsidR="00606150" w:rsidRPr="00733612" w:rsidRDefault="006C2A49" w:rsidP="00606150">
            <w:pPr>
              <w:pStyle w:val="Odlomakpopisa"/>
              <w:numPr>
                <w:ilvl w:val="0"/>
                <w:numId w:val="1"/>
              </w:numPr>
              <w:jc w:val="both"/>
              <w:rPr>
                <w:iCs/>
              </w:rPr>
            </w:pPr>
            <w:r w:rsidRPr="00733612">
              <w:rPr>
                <w:iCs/>
              </w:rPr>
              <w:t>smanjene</w:t>
            </w:r>
            <w:r w:rsidR="007028A6" w:rsidRPr="00733612">
              <w:rPr>
                <w:iCs/>
              </w:rPr>
              <w:t xml:space="preserve"> su</w:t>
            </w:r>
            <w:r w:rsidR="000A510D" w:rsidRPr="00733612">
              <w:rPr>
                <w:iCs/>
              </w:rPr>
              <w:t xml:space="preserve"> porezn</w:t>
            </w:r>
            <w:r w:rsidR="007028A6" w:rsidRPr="00733612">
              <w:rPr>
                <w:iCs/>
              </w:rPr>
              <w:t>e</w:t>
            </w:r>
            <w:r w:rsidR="000A510D" w:rsidRPr="00733612">
              <w:rPr>
                <w:iCs/>
              </w:rPr>
              <w:t xml:space="preserve"> stop</w:t>
            </w:r>
            <w:r w:rsidR="007028A6" w:rsidRPr="00733612">
              <w:rPr>
                <w:iCs/>
              </w:rPr>
              <w:t>e</w:t>
            </w:r>
            <w:r w:rsidR="000A510D" w:rsidRPr="00733612">
              <w:rPr>
                <w:iCs/>
              </w:rPr>
              <w:t xml:space="preserve"> s 24% na 20%, s 36% na 30% te s 12% na 10% koje se primjenjuju pri oporezivanju godišnjih i konačnih dohodaka te paušalnog oporezivanja djelatnosti</w:t>
            </w:r>
            <w:r w:rsidR="00340A43" w:rsidRPr="00733612">
              <w:rPr>
                <w:iCs/>
              </w:rPr>
              <w:t>;</w:t>
            </w:r>
          </w:p>
          <w:p w14:paraId="010B956E" w14:textId="6AFBE889" w:rsidR="004126C7" w:rsidRPr="00733612" w:rsidRDefault="006C2A49" w:rsidP="004126C7">
            <w:pPr>
              <w:pStyle w:val="Odlomakpopisa"/>
              <w:numPr>
                <w:ilvl w:val="0"/>
                <w:numId w:val="1"/>
              </w:numPr>
              <w:jc w:val="both"/>
              <w:rPr>
                <w:iCs/>
              </w:rPr>
            </w:pPr>
            <w:bookmarkStart w:id="0" w:name="_Hlk126411504"/>
            <w:r w:rsidRPr="00733612">
              <w:rPr>
                <w:iCs/>
              </w:rPr>
              <w:t xml:space="preserve">ujednačen je godišnji obračun za sve porezne obveznike ukidanjem oporezivanja nižom </w:t>
            </w:r>
            <w:r w:rsidR="00762CD5" w:rsidRPr="00733612">
              <w:rPr>
                <w:iCs/>
              </w:rPr>
              <w:t>poreznom stopom poreznih obveznika koji su ostvarili dodatne primitke po osnovi drugog dohotka do visine peterostrukog iznosa osnovice osobnog odbitka</w:t>
            </w:r>
            <w:r w:rsidR="00340A43" w:rsidRPr="00733612">
              <w:rPr>
                <w:iCs/>
              </w:rPr>
              <w:t>;</w:t>
            </w:r>
          </w:p>
          <w:bookmarkEnd w:id="0"/>
          <w:p w14:paraId="28C75F03" w14:textId="68CC0ECF" w:rsidR="00762CD5" w:rsidRPr="00733612" w:rsidRDefault="00762CD5" w:rsidP="000A510D">
            <w:pPr>
              <w:pStyle w:val="Odlomakpopisa"/>
              <w:numPr>
                <w:ilvl w:val="0"/>
                <w:numId w:val="1"/>
              </w:numPr>
              <w:jc w:val="both"/>
              <w:rPr>
                <w:iCs/>
              </w:rPr>
            </w:pPr>
            <w:r w:rsidRPr="00733612">
              <w:rPr>
                <w:iCs/>
              </w:rPr>
              <w:t>zbog uvođenja nacionalne naknade posebnim propisom za starije osobe, definiran je porezni tretman te naknade odnosno propisano je da se na tako ostvarenu naknadu ne plaća porez na dohodak te da se ista ne uzima u obzir pri utvrđivanju prava na osobni odbitak za uzdržavane članove;</w:t>
            </w:r>
          </w:p>
          <w:p w14:paraId="4A87AD1E" w14:textId="30F26806" w:rsidR="00762CD5" w:rsidRPr="00733612" w:rsidRDefault="0031464D" w:rsidP="000A510D">
            <w:pPr>
              <w:pStyle w:val="Odlomakpopisa"/>
              <w:numPr>
                <w:ilvl w:val="0"/>
                <w:numId w:val="1"/>
              </w:numPr>
              <w:jc w:val="both"/>
              <w:rPr>
                <w:iCs/>
              </w:rPr>
            </w:pPr>
            <w:r w:rsidRPr="00733612">
              <w:rPr>
                <w:iCs/>
              </w:rPr>
              <w:t xml:space="preserve">propisano je da se primicima od nesamostalnog rada ne smatra trošak cijepljenja protiv zaraznih bolesti što ga poslodavac i isplatitelj primitka odnosno plaće na svoj </w:t>
            </w:r>
            <w:r w:rsidRPr="00733612">
              <w:rPr>
                <w:iCs/>
              </w:rPr>
              <w:lastRenderedPageBreak/>
              <w:t>teret omogućuje radnicima i fizičkim osobama koje ostvaruju primitke od nesamostalnog rada u interesu obavljanja djelatnosti poslodavca i isplatitelja primitka odnosno plaće neovisno o načinu podmirenja troška cijepljenja;</w:t>
            </w:r>
          </w:p>
          <w:p w14:paraId="5E8D6AA5" w14:textId="64E0D6A7" w:rsidR="0031464D" w:rsidRPr="00733612" w:rsidRDefault="0031464D" w:rsidP="000A510D">
            <w:pPr>
              <w:pStyle w:val="Odlomakpopisa"/>
              <w:numPr>
                <w:ilvl w:val="0"/>
                <w:numId w:val="1"/>
              </w:numPr>
              <w:jc w:val="both"/>
              <w:rPr>
                <w:iCs/>
              </w:rPr>
            </w:pPr>
            <w:r w:rsidRPr="00733612">
              <w:rPr>
                <w:iCs/>
              </w:rPr>
              <w:t>izvršeno je usklađenje odredbi vezanih za oporezivanje primitaka studenata za rad preko učeničkih i studentskih udruga s posebnim propisom koji uređuje</w:t>
            </w:r>
            <w:r w:rsidR="00226A6C" w:rsidRPr="00733612">
              <w:rPr>
                <w:iCs/>
              </w:rPr>
              <w:t xml:space="preserve"> obavljanje studentskih poslova;</w:t>
            </w:r>
          </w:p>
          <w:p w14:paraId="2097C339" w14:textId="16D312B0" w:rsidR="00226A6C" w:rsidRPr="00733612" w:rsidRDefault="0013270F" w:rsidP="000A510D">
            <w:pPr>
              <w:pStyle w:val="Odlomakpopisa"/>
              <w:numPr>
                <w:ilvl w:val="0"/>
                <w:numId w:val="1"/>
              </w:numPr>
              <w:jc w:val="both"/>
              <w:rPr>
                <w:iCs/>
              </w:rPr>
            </w:pPr>
            <w:bookmarkStart w:id="1" w:name="_Hlk126411631"/>
            <w:r w:rsidRPr="00733612">
              <w:rPr>
                <w:iCs/>
              </w:rPr>
              <w:t xml:space="preserve">propisana je obveza javnim bilježnicima na dostavu </w:t>
            </w:r>
            <w:r w:rsidR="001D11CB" w:rsidRPr="00733612">
              <w:rPr>
                <w:iCs/>
              </w:rPr>
              <w:t>ovjerenih isprava o ostvarivanju najamnine i zakupnine pokretnina i nekretnina</w:t>
            </w:r>
            <w:r w:rsidR="00641C9C" w:rsidRPr="00733612">
              <w:rPr>
                <w:iCs/>
              </w:rPr>
              <w:t>;</w:t>
            </w:r>
          </w:p>
          <w:bookmarkEnd w:id="1"/>
          <w:p w14:paraId="0D990444" w14:textId="71DEFCB2" w:rsidR="00641C9C" w:rsidRPr="00733612" w:rsidRDefault="00641C9C" w:rsidP="000A510D">
            <w:pPr>
              <w:pStyle w:val="Odlomakpopisa"/>
              <w:numPr>
                <w:ilvl w:val="0"/>
                <w:numId w:val="1"/>
              </w:numPr>
              <w:jc w:val="both"/>
              <w:rPr>
                <w:iCs/>
              </w:rPr>
            </w:pPr>
            <w:r w:rsidRPr="00733612">
              <w:rPr>
                <w:iCs/>
              </w:rPr>
              <w:t xml:space="preserve">proširena je mogućnost isplate primitaka </w:t>
            </w:r>
            <w:r w:rsidR="00113CB3" w:rsidRPr="00733612">
              <w:rPr>
                <w:iCs/>
              </w:rPr>
              <w:t>u naravi po osnovi dodjele ili opcijske kupnje vlastitih dionica, a koje se koriste kao način nagrađivanja i zadržavanja radnika;</w:t>
            </w:r>
          </w:p>
          <w:p w14:paraId="12912623" w14:textId="6D7B9A88" w:rsidR="00113CB3" w:rsidRPr="00733612" w:rsidRDefault="00113CB3" w:rsidP="000A510D">
            <w:pPr>
              <w:pStyle w:val="Odlomakpopisa"/>
              <w:numPr>
                <w:ilvl w:val="0"/>
                <w:numId w:val="1"/>
              </w:numPr>
              <w:jc w:val="both"/>
              <w:rPr>
                <w:iCs/>
              </w:rPr>
            </w:pPr>
            <w:r w:rsidRPr="00733612">
              <w:rPr>
                <w:iCs/>
              </w:rPr>
              <w:t xml:space="preserve">propisano </w:t>
            </w:r>
            <w:r w:rsidR="002C059C" w:rsidRPr="00733612">
              <w:rPr>
                <w:iCs/>
              </w:rPr>
              <w:t xml:space="preserve">je </w:t>
            </w:r>
            <w:r w:rsidRPr="00733612">
              <w:rPr>
                <w:iCs/>
              </w:rPr>
              <w:t xml:space="preserve">da se porez na dohodak </w:t>
            </w:r>
            <w:r w:rsidR="00BB3B96" w:rsidRPr="00733612">
              <w:rPr>
                <w:iCs/>
              </w:rPr>
              <w:t>ne plaća na primitke fizičkih osoba ostvarene po osnovi obavljanja nesamostalnog rada ili djelatnosti za poslodavca koji nije registriran u Republici Hrvatskoj temeljem stečenog statusa digitalnog nomada sukladno posebnom propisu.</w:t>
            </w:r>
          </w:p>
          <w:p w14:paraId="2CC4553B" w14:textId="5FA1A210" w:rsidR="0031464D" w:rsidRPr="00733612" w:rsidRDefault="0031464D" w:rsidP="0031464D">
            <w:pPr>
              <w:jc w:val="both"/>
              <w:rPr>
                <w:iCs/>
              </w:rPr>
            </w:pPr>
          </w:p>
          <w:p w14:paraId="66A110BE" w14:textId="2D53DA3A" w:rsidR="006333B5" w:rsidRPr="00733612" w:rsidRDefault="006333B5" w:rsidP="004126C7">
            <w:pPr>
              <w:jc w:val="both"/>
              <w:rPr>
                <w:iCs/>
              </w:rPr>
            </w:pPr>
            <w:r w:rsidRPr="00733612">
              <w:rPr>
                <w:iCs/>
              </w:rPr>
              <w:t xml:space="preserve">Primjena </w:t>
            </w:r>
            <w:r w:rsidR="00D525D8" w:rsidRPr="00733612">
              <w:rPr>
                <w:iCs/>
              </w:rPr>
              <w:t>navedenih</w:t>
            </w:r>
            <w:r w:rsidRPr="00733612">
              <w:rPr>
                <w:iCs/>
              </w:rPr>
              <w:t xml:space="preserve"> izmjena u sustavu poreza na dohodak</w:t>
            </w:r>
            <w:r w:rsidR="00F37DFA" w:rsidRPr="00733612">
              <w:rPr>
                <w:iCs/>
              </w:rPr>
              <w:t xml:space="preserve"> doprinijela je </w:t>
            </w:r>
            <w:r w:rsidR="00B739BC" w:rsidRPr="00733612">
              <w:rPr>
                <w:iCs/>
              </w:rPr>
              <w:t>poreznom i administrativnom</w:t>
            </w:r>
            <w:r w:rsidR="00F37DFA" w:rsidRPr="00733612">
              <w:rPr>
                <w:iCs/>
              </w:rPr>
              <w:t xml:space="preserve"> rasterećenju obveznika poreza na dohodak</w:t>
            </w:r>
            <w:r w:rsidR="00F86313" w:rsidRPr="00733612">
              <w:rPr>
                <w:iCs/>
              </w:rPr>
              <w:t xml:space="preserve"> u </w:t>
            </w:r>
            <w:r w:rsidR="00B739BC" w:rsidRPr="00733612">
              <w:rPr>
                <w:iCs/>
              </w:rPr>
              <w:t>vidu</w:t>
            </w:r>
            <w:r w:rsidR="00F86313" w:rsidRPr="00733612">
              <w:rPr>
                <w:iCs/>
              </w:rPr>
              <w:t xml:space="preserve"> dodatnog</w:t>
            </w:r>
            <w:r w:rsidR="00F37DFA" w:rsidRPr="00733612">
              <w:rPr>
                <w:iCs/>
              </w:rPr>
              <w:t xml:space="preserve"> porezno</w:t>
            </w:r>
            <w:r w:rsidR="00F86313" w:rsidRPr="00733612">
              <w:rPr>
                <w:iCs/>
              </w:rPr>
              <w:t>g</w:t>
            </w:r>
            <w:r w:rsidR="00F37DFA" w:rsidRPr="00733612">
              <w:rPr>
                <w:iCs/>
              </w:rPr>
              <w:t xml:space="preserve"> rasterećenj</w:t>
            </w:r>
            <w:r w:rsidR="00F86313" w:rsidRPr="00733612">
              <w:rPr>
                <w:iCs/>
              </w:rPr>
              <w:t>a</w:t>
            </w:r>
            <w:r w:rsidR="00F37DFA" w:rsidRPr="00733612">
              <w:rPr>
                <w:iCs/>
              </w:rPr>
              <w:t xml:space="preserve"> rada i poduzetništva</w:t>
            </w:r>
            <w:r w:rsidR="00F86313" w:rsidRPr="00733612">
              <w:rPr>
                <w:iCs/>
              </w:rPr>
              <w:t xml:space="preserve"> te povećanja raspoloživog dohotka.</w:t>
            </w:r>
            <w:r w:rsidR="00B739BC" w:rsidRPr="00733612">
              <w:rPr>
                <w:iCs/>
              </w:rPr>
              <w:t xml:space="preserve"> </w:t>
            </w:r>
          </w:p>
          <w:p w14:paraId="0D3CD4F0" w14:textId="77777777" w:rsidR="006333B5" w:rsidRPr="00733612" w:rsidRDefault="006333B5" w:rsidP="004126C7">
            <w:pPr>
              <w:jc w:val="both"/>
              <w:rPr>
                <w:iCs/>
              </w:rPr>
            </w:pPr>
          </w:p>
          <w:p w14:paraId="503C5F46" w14:textId="4C0C4195" w:rsidR="004126C7" w:rsidRPr="00733612" w:rsidRDefault="004126C7" w:rsidP="004126C7">
            <w:pPr>
              <w:jc w:val="both"/>
              <w:rPr>
                <w:iCs/>
              </w:rPr>
            </w:pPr>
            <w:r w:rsidRPr="00733612">
              <w:rPr>
                <w:iCs/>
              </w:rPr>
              <w:t>U nastavku se daje komparativni prikaz mjesečnog obračuna plaće prije i nakon 1. siječnja 2021. godine na primjerima poreznih obveznika s prebivalištem u Gradu Zagrebu koji ostvaruju plaću u bruto iznosima od 10.000,00 kuna i 20.000,00 kuna.</w:t>
            </w:r>
            <w:r w:rsidRPr="00733612">
              <w:t xml:space="preserve"> </w:t>
            </w:r>
            <w:r w:rsidRPr="00733612">
              <w:rPr>
                <w:iCs/>
              </w:rPr>
              <w:t>(Porezni obveznici ne ostvaruju pravo na uvećani osobni odbitak niti dodatne olakšice.)</w:t>
            </w:r>
          </w:p>
          <w:p w14:paraId="371FD147" w14:textId="77777777" w:rsidR="004126C7" w:rsidRPr="00733612" w:rsidRDefault="004126C7" w:rsidP="004126C7">
            <w:pPr>
              <w:jc w:val="both"/>
              <w:rPr>
                <w:iCs/>
              </w:rPr>
            </w:pPr>
          </w:p>
          <w:tbl>
            <w:tblPr>
              <w:tblpPr w:leftFromText="180" w:rightFromText="180" w:vertAnchor="text" w:horzAnchor="margin" w:tblpXSpec="center" w:tblpY="243"/>
              <w:tblOverlap w:val="never"/>
              <w:tblW w:w="891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253"/>
              <w:gridCol w:w="1134"/>
              <w:gridCol w:w="993"/>
              <w:gridCol w:w="2126"/>
              <w:gridCol w:w="1276"/>
              <w:gridCol w:w="1134"/>
            </w:tblGrid>
            <w:tr w:rsidR="00733612" w:rsidRPr="00733612" w14:paraId="340F514B" w14:textId="77777777" w:rsidTr="00443DA3">
              <w:trPr>
                <w:trHeight w:val="99"/>
                <w:jc w:val="center"/>
              </w:trPr>
              <w:tc>
                <w:tcPr>
                  <w:tcW w:w="2253" w:type="dxa"/>
                  <w:tcBorders>
                    <w:bottom w:val="single" w:sz="4" w:space="0" w:color="auto"/>
                  </w:tcBorders>
                  <w:shd w:val="clear" w:color="auto" w:fill="auto"/>
                  <w:noWrap/>
                  <w:vAlign w:val="center"/>
                </w:tcPr>
                <w:p w14:paraId="5AAC6A42" w14:textId="77777777" w:rsidR="004126C7" w:rsidRPr="00733612" w:rsidRDefault="004126C7" w:rsidP="00443DA3">
                  <w:pPr>
                    <w:jc w:val="center"/>
                    <w:rPr>
                      <w:b/>
                      <w:bCs/>
                      <w:sz w:val="16"/>
                      <w:szCs w:val="16"/>
                    </w:rPr>
                  </w:pPr>
                  <w:bookmarkStart w:id="2" w:name="_Hlk126417444"/>
                  <w:r w:rsidRPr="00733612">
                    <w:rPr>
                      <w:b/>
                      <w:bCs/>
                      <w:sz w:val="16"/>
                      <w:szCs w:val="16"/>
                    </w:rPr>
                    <w:t>Opis</w:t>
                  </w:r>
                </w:p>
              </w:tc>
              <w:tc>
                <w:tcPr>
                  <w:tcW w:w="2127" w:type="dxa"/>
                  <w:gridSpan w:val="2"/>
                  <w:tcBorders>
                    <w:top w:val="single" w:sz="4" w:space="0" w:color="auto"/>
                    <w:bottom w:val="single" w:sz="4" w:space="0" w:color="auto"/>
                  </w:tcBorders>
                  <w:shd w:val="clear" w:color="auto" w:fill="D9D9D9" w:themeFill="background1" w:themeFillShade="D9"/>
                  <w:vAlign w:val="center"/>
                </w:tcPr>
                <w:p w14:paraId="23753B2C" w14:textId="77777777" w:rsidR="004126C7" w:rsidRPr="00733612" w:rsidRDefault="004126C7" w:rsidP="00443DA3">
                  <w:pPr>
                    <w:jc w:val="center"/>
                    <w:rPr>
                      <w:b/>
                      <w:bCs/>
                      <w:sz w:val="16"/>
                      <w:szCs w:val="16"/>
                    </w:rPr>
                  </w:pPr>
                  <w:r w:rsidRPr="00733612">
                    <w:rPr>
                      <w:b/>
                      <w:bCs/>
                      <w:sz w:val="16"/>
                      <w:szCs w:val="16"/>
                    </w:rPr>
                    <w:t>Mjesečni obračun do 31.12.2020.</w:t>
                  </w:r>
                </w:p>
                <w:p w14:paraId="636BCE9D" w14:textId="77777777" w:rsidR="004126C7" w:rsidRPr="00733612" w:rsidRDefault="004126C7" w:rsidP="00443DA3">
                  <w:pPr>
                    <w:jc w:val="center"/>
                    <w:rPr>
                      <w:b/>
                      <w:bCs/>
                      <w:sz w:val="16"/>
                      <w:szCs w:val="16"/>
                    </w:rPr>
                  </w:pPr>
                  <w:r w:rsidRPr="00733612">
                    <w:rPr>
                      <w:b/>
                      <w:bCs/>
                      <w:sz w:val="16"/>
                      <w:szCs w:val="16"/>
                    </w:rPr>
                    <w:t>(iznosi u kunama)</w:t>
                  </w:r>
                </w:p>
              </w:tc>
              <w:tc>
                <w:tcPr>
                  <w:tcW w:w="2126" w:type="dxa"/>
                  <w:tcBorders>
                    <w:top w:val="single" w:sz="4" w:space="0" w:color="auto"/>
                    <w:bottom w:val="single" w:sz="4" w:space="0" w:color="auto"/>
                  </w:tcBorders>
                  <w:shd w:val="clear" w:color="auto" w:fill="auto"/>
                  <w:vAlign w:val="center"/>
                </w:tcPr>
                <w:p w14:paraId="39E24FC0" w14:textId="77777777" w:rsidR="004126C7" w:rsidRPr="00733612" w:rsidRDefault="004126C7" w:rsidP="00443DA3">
                  <w:pPr>
                    <w:jc w:val="center"/>
                    <w:rPr>
                      <w:b/>
                      <w:bCs/>
                      <w:sz w:val="16"/>
                      <w:szCs w:val="16"/>
                    </w:rPr>
                  </w:pPr>
                  <w:r w:rsidRPr="00733612">
                    <w:rPr>
                      <w:b/>
                      <w:bCs/>
                      <w:sz w:val="16"/>
                      <w:szCs w:val="16"/>
                    </w:rPr>
                    <w:t>Opis</w:t>
                  </w:r>
                </w:p>
              </w:tc>
              <w:tc>
                <w:tcPr>
                  <w:tcW w:w="2410" w:type="dxa"/>
                  <w:gridSpan w:val="2"/>
                  <w:tcBorders>
                    <w:top w:val="single" w:sz="4" w:space="0" w:color="auto"/>
                    <w:bottom w:val="single" w:sz="4" w:space="0" w:color="auto"/>
                  </w:tcBorders>
                  <w:shd w:val="clear" w:color="auto" w:fill="D9D9D9" w:themeFill="background1" w:themeFillShade="D9"/>
                  <w:vAlign w:val="center"/>
                </w:tcPr>
                <w:p w14:paraId="3A1A561D" w14:textId="77777777" w:rsidR="004126C7" w:rsidRPr="00733612" w:rsidRDefault="004126C7" w:rsidP="00443DA3">
                  <w:pPr>
                    <w:jc w:val="center"/>
                    <w:rPr>
                      <w:b/>
                      <w:bCs/>
                      <w:sz w:val="16"/>
                      <w:szCs w:val="16"/>
                    </w:rPr>
                  </w:pPr>
                  <w:r w:rsidRPr="00733612">
                    <w:rPr>
                      <w:b/>
                      <w:bCs/>
                      <w:sz w:val="16"/>
                      <w:szCs w:val="16"/>
                    </w:rPr>
                    <w:t>Mjesečni obračun od 1.1.2021.</w:t>
                  </w:r>
                </w:p>
                <w:p w14:paraId="1F665674" w14:textId="77777777" w:rsidR="004126C7" w:rsidRPr="00733612" w:rsidRDefault="004126C7" w:rsidP="00443DA3">
                  <w:pPr>
                    <w:jc w:val="center"/>
                    <w:rPr>
                      <w:b/>
                      <w:bCs/>
                      <w:sz w:val="16"/>
                      <w:szCs w:val="16"/>
                    </w:rPr>
                  </w:pPr>
                  <w:r w:rsidRPr="00733612">
                    <w:rPr>
                      <w:b/>
                      <w:bCs/>
                      <w:sz w:val="16"/>
                      <w:szCs w:val="16"/>
                    </w:rPr>
                    <w:t>(iznosi u kunama)</w:t>
                  </w:r>
                </w:p>
              </w:tc>
            </w:tr>
            <w:tr w:rsidR="00733612" w:rsidRPr="00733612" w14:paraId="6019DAE6" w14:textId="77777777" w:rsidTr="00785DA8">
              <w:trPr>
                <w:trHeight w:val="99"/>
                <w:jc w:val="center"/>
              </w:trPr>
              <w:tc>
                <w:tcPr>
                  <w:tcW w:w="2253" w:type="dxa"/>
                  <w:tcBorders>
                    <w:bottom w:val="single" w:sz="4" w:space="0" w:color="auto"/>
                  </w:tcBorders>
                  <w:shd w:val="clear" w:color="auto" w:fill="auto"/>
                  <w:noWrap/>
                  <w:vAlign w:val="center"/>
                </w:tcPr>
                <w:p w14:paraId="4AAE8A14" w14:textId="77777777" w:rsidR="004126C7" w:rsidRPr="00733612" w:rsidRDefault="004126C7" w:rsidP="004126C7">
                  <w:pPr>
                    <w:jc w:val="center"/>
                    <w:rPr>
                      <w:b/>
                      <w:bCs/>
                      <w:sz w:val="16"/>
                      <w:szCs w:val="16"/>
                    </w:rPr>
                  </w:pPr>
                  <w:r w:rsidRPr="00733612">
                    <w:rPr>
                      <w:b/>
                      <w:bCs/>
                      <w:sz w:val="16"/>
                      <w:szCs w:val="16"/>
                    </w:rPr>
                    <w:t>1.</w:t>
                  </w:r>
                </w:p>
              </w:tc>
              <w:tc>
                <w:tcPr>
                  <w:tcW w:w="1134" w:type="dxa"/>
                  <w:tcBorders>
                    <w:top w:val="single" w:sz="4" w:space="0" w:color="auto"/>
                    <w:bottom w:val="single" w:sz="4" w:space="0" w:color="auto"/>
                  </w:tcBorders>
                  <w:shd w:val="clear" w:color="auto" w:fill="D9D9D9" w:themeFill="background1" w:themeFillShade="D9"/>
                </w:tcPr>
                <w:p w14:paraId="24F40752" w14:textId="77777777" w:rsidR="004126C7" w:rsidRPr="00733612" w:rsidRDefault="004126C7" w:rsidP="004126C7">
                  <w:pPr>
                    <w:jc w:val="center"/>
                    <w:rPr>
                      <w:b/>
                      <w:bCs/>
                      <w:sz w:val="16"/>
                      <w:szCs w:val="16"/>
                    </w:rPr>
                  </w:pPr>
                  <w:r w:rsidRPr="00733612">
                    <w:rPr>
                      <w:b/>
                      <w:bCs/>
                      <w:sz w:val="16"/>
                      <w:szCs w:val="16"/>
                    </w:rPr>
                    <w:t>2.</w:t>
                  </w:r>
                </w:p>
              </w:tc>
              <w:tc>
                <w:tcPr>
                  <w:tcW w:w="993" w:type="dxa"/>
                  <w:tcBorders>
                    <w:top w:val="single" w:sz="4" w:space="0" w:color="auto"/>
                    <w:bottom w:val="single" w:sz="4" w:space="0" w:color="auto"/>
                  </w:tcBorders>
                  <w:shd w:val="clear" w:color="auto" w:fill="D9D9D9" w:themeFill="background1" w:themeFillShade="D9"/>
                </w:tcPr>
                <w:p w14:paraId="40C99767" w14:textId="77777777" w:rsidR="004126C7" w:rsidRPr="00733612" w:rsidRDefault="004126C7" w:rsidP="004126C7">
                  <w:pPr>
                    <w:jc w:val="center"/>
                    <w:rPr>
                      <w:b/>
                      <w:bCs/>
                      <w:sz w:val="16"/>
                      <w:szCs w:val="16"/>
                    </w:rPr>
                  </w:pPr>
                  <w:r w:rsidRPr="00733612">
                    <w:rPr>
                      <w:b/>
                      <w:bCs/>
                      <w:sz w:val="16"/>
                      <w:szCs w:val="16"/>
                    </w:rPr>
                    <w:t>3.</w:t>
                  </w:r>
                </w:p>
              </w:tc>
              <w:tc>
                <w:tcPr>
                  <w:tcW w:w="2126" w:type="dxa"/>
                  <w:tcBorders>
                    <w:top w:val="single" w:sz="4" w:space="0" w:color="auto"/>
                    <w:bottom w:val="single" w:sz="4" w:space="0" w:color="auto"/>
                  </w:tcBorders>
                  <w:shd w:val="clear" w:color="auto" w:fill="auto"/>
                </w:tcPr>
                <w:p w14:paraId="10C21041" w14:textId="77777777" w:rsidR="004126C7" w:rsidRPr="00733612" w:rsidRDefault="004126C7" w:rsidP="004126C7">
                  <w:pPr>
                    <w:jc w:val="center"/>
                    <w:rPr>
                      <w:b/>
                      <w:bCs/>
                      <w:sz w:val="16"/>
                      <w:szCs w:val="16"/>
                    </w:rPr>
                  </w:pPr>
                  <w:r w:rsidRPr="00733612">
                    <w:rPr>
                      <w:b/>
                      <w:bCs/>
                      <w:sz w:val="16"/>
                      <w:szCs w:val="16"/>
                    </w:rPr>
                    <w:t>4.</w:t>
                  </w:r>
                </w:p>
              </w:tc>
              <w:tc>
                <w:tcPr>
                  <w:tcW w:w="1276" w:type="dxa"/>
                  <w:tcBorders>
                    <w:top w:val="single" w:sz="4" w:space="0" w:color="auto"/>
                    <w:bottom w:val="single" w:sz="4" w:space="0" w:color="auto"/>
                  </w:tcBorders>
                  <w:shd w:val="clear" w:color="auto" w:fill="D9D9D9" w:themeFill="background1" w:themeFillShade="D9"/>
                </w:tcPr>
                <w:p w14:paraId="7FF64C2D" w14:textId="77777777" w:rsidR="004126C7" w:rsidRPr="00733612" w:rsidRDefault="004126C7" w:rsidP="004126C7">
                  <w:pPr>
                    <w:jc w:val="center"/>
                    <w:rPr>
                      <w:b/>
                      <w:bCs/>
                      <w:sz w:val="16"/>
                      <w:szCs w:val="16"/>
                    </w:rPr>
                  </w:pPr>
                  <w:r w:rsidRPr="00733612">
                    <w:rPr>
                      <w:b/>
                      <w:bCs/>
                      <w:sz w:val="16"/>
                      <w:szCs w:val="16"/>
                    </w:rPr>
                    <w:t>5.</w:t>
                  </w:r>
                </w:p>
              </w:tc>
              <w:tc>
                <w:tcPr>
                  <w:tcW w:w="1134" w:type="dxa"/>
                  <w:tcBorders>
                    <w:top w:val="single" w:sz="4" w:space="0" w:color="auto"/>
                    <w:bottom w:val="single" w:sz="4" w:space="0" w:color="auto"/>
                  </w:tcBorders>
                  <w:shd w:val="clear" w:color="auto" w:fill="D9D9D9" w:themeFill="background1" w:themeFillShade="D9"/>
                </w:tcPr>
                <w:p w14:paraId="26D54DE4" w14:textId="77777777" w:rsidR="004126C7" w:rsidRPr="00733612" w:rsidRDefault="004126C7" w:rsidP="004126C7">
                  <w:pPr>
                    <w:jc w:val="center"/>
                    <w:rPr>
                      <w:b/>
                      <w:bCs/>
                      <w:sz w:val="16"/>
                      <w:szCs w:val="16"/>
                    </w:rPr>
                  </w:pPr>
                  <w:r w:rsidRPr="00733612">
                    <w:rPr>
                      <w:b/>
                      <w:bCs/>
                      <w:sz w:val="16"/>
                      <w:szCs w:val="16"/>
                    </w:rPr>
                    <w:t>6.</w:t>
                  </w:r>
                </w:p>
              </w:tc>
            </w:tr>
            <w:tr w:rsidR="00733612" w:rsidRPr="00733612" w14:paraId="6D70551C" w14:textId="77777777" w:rsidTr="00785DA8">
              <w:trPr>
                <w:trHeight w:val="255"/>
                <w:jc w:val="center"/>
              </w:trPr>
              <w:tc>
                <w:tcPr>
                  <w:tcW w:w="2253" w:type="dxa"/>
                  <w:shd w:val="clear" w:color="auto" w:fill="FFFFFF" w:themeFill="background1"/>
                  <w:noWrap/>
                  <w:vAlign w:val="center"/>
                </w:tcPr>
                <w:p w14:paraId="5AEF96CC" w14:textId="77777777" w:rsidR="004126C7" w:rsidRPr="00733612" w:rsidRDefault="004126C7" w:rsidP="004126C7">
                  <w:pPr>
                    <w:rPr>
                      <w:rFonts w:cs="Arial"/>
                      <w:sz w:val="18"/>
                      <w:szCs w:val="18"/>
                    </w:rPr>
                  </w:pPr>
                  <w:r w:rsidRPr="00733612">
                    <w:rPr>
                      <w:rFonts w:cs="Arial"/>
                      <w:sz w:val="18"/>
                      <w:szCs w:val="18"/>
                    </w:rPr>
                    <w:t xml:space="preserve">1. Plaća </w:t>
                  </w:r>
                </w:p>
              </w:tc>
              <w:tc>
                <w:tcPr>
                  <w:tcW w:w="1134" w:type="dxa"/>
                  <w:tcBorders>
                    <w:top w:val="single" w:sz="4" w:space="0" w:color="auto"/>
                    <w:bottom w:val="single" w:sz="4" w:space="0" w:color="auto"/>
                  </w:tcBorders>
                  <w:shd w:val="clear" w:color="auto" w:fill="D9D9D9" w:themeFill="background1" w:themeFillShade="D9"/>
                  <w:vAlign w:val="center"/>
                </w:tcPr>
                <w:p w14:paraId="347909DE" w14:textId="77777777" w:rsidR="004126C7" w:rsidRPr="00733612" w:rsidRDefault="004126C7" w:rsidP="00443DA3">
                  <w:pPr>
                    <w:jc w:val="right"/>
                    <w:rPr>
                      <w:b/>
                      <w:sz w:val="16"/>
                      <w:szCs w:val="16"/>
                    </w:rPr>
                  </w:pPr>
                  <w:r w:rsidRPr="00733612">
                    <w:rPr>
                      <w:b/>
                      <w:sz w:val="16"/>
                      <w:szCs w:val="16"/>
                    </w:rPr>
                    <w:t>10.000,00</w:t>
                  </w:r>
                </w:p>
              </w:tc>
              <w:tc>
                <w:tcPr>
                  <w:tcW w:w="993" w:type="dxa"/>
                  <w:tcBorders>
                    <w:top w:val="single" w:sz="4" w:space="0" w:color="auto"/>
                    <w:bottom w:val="single" w:sz="4" w:space="0" w:color="auto"/>
                  </w:tcBorders>
                  <w:shd w:val="clear" w:color="auto" w:fill="D9D9D9" w:themeFill="background1" w:themeFillShade="D9"/>
                  <w:vAlign w:val="center"/>
                </w:tcPr>
                <w:p w14:paraId="227C69DC" w14:textId="77777777" w:rsidR="004126C7" w:rsidRPr="00733612" w:rsidRDefault="004126C7" w:rsidP="00443DA3">
                  <w:pPr>
                    <w:jc w:val="right"/>
                    <w:rPr>
                      <w:b/>
                      <w:sz w:val="16"/>
                      <w:szCs w:val="16"/>
                    </w:rPr>
                  </w:pPr>
                  <w:r w:rsidRPr="00733612">
                    <w:rPr>
                      <w:b/>
                      <w:sz w:val="16"/>
                      <w:szCs w:val="16"/>
                    </w:rPr>
                    <w:t>20.000,00</w:t>
                  </w:r>
                </w:p>
              </w:tc>
              <w:tc>
                <w:tcPr>
                  <w:tcW w:w="2126" w:type="dxa"/>
                  <w:shd w:val="clear" w:color="auto" w:fill="FFFFFF" w:themeFill="background1"/>
                  <w:vAlign w:val="center"/>
                </w:tcPr>
                <w:p w14:paraId="19F5D918" w14:textId="77777777" w:rsidR="004126C7" w:rsidRPr="00733612" w:rsidRDefault="004126C7" w:rsidP="004126C7">
                  <w:pPr>
                    <w:rPr>
                      <w:b/>
                      <w:sz w:val="16"/>
                      <w:szCs w:val="16"/>
                    </w:rPr>
                  </w:pPr>
                  <w:r w:rsidRPr="00733612">
                    <w:rPr>
                      <w:rFonts w:cs="Arial"/>
                      <w:sz w:val="18"/>
                      <w:szCs w:val="18"/>
                    </w:rPr>
                    <w:t xml:space="preserve">1. Plaća </w:t>
                  </w:r>
                </w:p>
              </w:tc>
              <w:tc>
                <w:tcPr>
                  <w:tcW w:w="1276" w:type="dxa"/>
                  <w:tcBorders>
                    <w:top w:val="single" w:sz="4" w:space="0" w:color="auto"/>
                    <w:bottom w:val="single" w:sz="4" w:space="0" w:color="auto"/>
                  </w:tcBorders>
                  <w:shd w:val="clear" w:color="auto" w:fill="D9D9D9" w:themeFill="background1" w:themeFillShade="D9"/>
                  <w:vAlign w:val="center"/>
                </w:tcPr>
                <w:p w14:paraId="07961BBA" w14:textId="77777777" w:rsidR="004126C7" w:rsidRPr="00733612" w:rsidRDefault="004126C7" w:rsidP="00443DA3">
                  <w:pPr>
                    <w:jc w:val="right"/>
                    <w:rPr>
                      <w:b/>
                      <w:sz w:val="16"/>
                      <w:szCs w:val="16"/>
                    </w:rPr>
                  </w:pPr>
                  <w:r w:rsidRPr="00733612">
                    <w:rPr>
                      <w:b/>
                      <w:sz w:val="16"/>
                      <w:szCs w:val="16"/>
                    </w:rPr>
                    <w:t>10.000,00</w:t>
                  </w:r>
                </w:p>
              </w:tc>
              <w:tc>
                <w:tcPr>
                  <w:tcW w:w="1134" w:type="dxa"/>
                  <w:tcBorders>
                    <w:top w:val="single" w:sz="4" w:space="0" w:color="auto"/>
                    <w:bottom w:val="single" w:sz="4" w:space="0" w:color="auto"/>
                  </w:tcBorders>
                  <w:shd w:val="clear" w:color="auto" w:fill="D9D9D9" w:themeFill="background1" w:themeFillShade="D9"/>
                  <w:vAlign w:val="center"/>
                </w:tcPr>
                <w:p w14:paraId="24B27647" w14:textId="77777777" w:rsidR="004126C7" w:rsidRPr="00733612" w:rsidRDefault="004126C7" w:rsidP="00443DA3">
                  <w:pPr>
                    <w:jc w:val="right"/>
                    <w:rPr>
                      <w:b/>
                      <w:sz w:val="16"/>
                      <w:szCs w:val="16"/>
                    </w:rPr>
                  </w:pPr>
                  <w:r w:rsidRPr="00733612">
                    <w:rPr>
                      <w:b/>
                      <w:sz w:val="16"/>
                      <w:szCs w:val="16"/>
                    </w:rPr>
                    <w:t>20.000,00</w:t>
                  </w:r>
                </w:p>
              </w:tc>
            </w:tr>
            <w:tr w:rsidR="00733612" w:rsidRPr="00733612" w14:paraId="09812E4C" w14:textId="77777777" w:rsidTr="00785DA8">
              <w:trPr>
                <w:trHeight w:val="255"/>
                <w:jc w:val="center"/>
              </w:trPr>
              <w:tc>
                <w:tcPr>
                  <w:tcW w:w="2253" w:type="dxa"/>
                  <w:shd w:val="clear" w:color="auto" w:fill="FFFFFF" w:themeFill="background1"/>
                  <w:noWrap/>
                  <w:vAlign w:val="center"/>
                </w:tcPr>
                <w:p w14:paraId="097E12C7" w14:textId="77777777" w:rsidR="004126C7" w:rsidRPr="00733612" w:rsidRDefault="004126C7" w:rsidP="004126C7">
                  <w:pPr>
                    <w:rPr>
                      <w:b/>
                      <w:bCs/>
                      <w:sz w:val="16"/>
                      <w:szCs w:val="16"/>
                    </w:rPr>
                  </w:pPr>
                  <w:r w:rsidRPr="00733612">
                    <w:rPr>
                      <w:rFonts w:cs="Arial"/>
                      <w:sz w:val="18"/>
                      <w:szCs w:val="18"/>
                    </w:rPr>
                    <w:t xml:space="preserve">2. Doprinosi </w:t>
                  </w:r>
                </w:p>
              </w:tc>
              <w:tc>
                <w:tcPr>
                  <w:tcW w:w="1134" w:type="dxa"/>
                  <w:tcBorders>
                    <w:top w:val="single" w:sz="4" w:space="0" w:color="auto"/>
                    <w:bottom w:val="single" w:sz="4" w:space="0" w:color="auto"/>
                  </w:tcBorders>
                  <w:shd w:val="clear" w:color="auto" w:fill="D9D9D9" w:themeFill="background1" w:themeFillShade="D9"/>
                  <w:vAlign w:val="center"/>
                </w:tcPr>
                <w:p w14:paraId="44A31CA8" w14:textId="77777777" w:rsidR="004126C7" w:rsidRPr="00733612" w:rsidRDefault="004126C7" w:rsidP="00443DA3">
                  <w:pPr>
                    <w:jc w:val="right"/>
                    <w:rPr>
                      <w:b/>
                      <w:sz w:val="16"/>
                      <w:szCs w:val="16"/>
                    </w:rPr>
                  </w:pPr>
                  <w:r w:rsidRPr="00733612">
                    <w:rPr>
                      <w:b/>
                      <w:sz w:val="16"/>
                      <w:szCs w:val="16"/>
                    </w:rPr>
                    <w:t>2.000,00</w:t>
                  </w:r>
                </w:p>
              </w:tc>
              <w:tc>
                <w:tcPr>
                  <w:tcW w:w="993" w:type="dxa"/>
                  <w:tcBorders>
                    <w:top w:val="single" w:sz="4" w:space="0" w:color="auto"/>
                    <w:bottom w:val="single" w:sz="4" w:space="0" w:color="auto"/>
                  </w:tcBorders>
                  <w:shd w:val="clear" w:color="auto" w:fill="D9D9D9" w:themeFill="background1" w:themeFillShade="D9"/>
                  <w:vAlign w:val="center"/>
                </w:tcPr>
                <w:p w14:paraId="408F33FF" w14:textId="77777777" w:rsidR="004126C7" w:rsidRPr="00733612" w:rsidRDefault="004126C7" w:rsidP="00443DA3">
                  <w:pPr>
                    <w:jc w:val="right"/>
                    <w:rPr>
                      <w:b/>
                      <w:sz w:val="16"/>
                      <w:szCs w:val="16"/>
                    </w:rPr>
                  </w:pPr>
                  <w:r w:rsidRPr="00733612">
                    <w:rPr>
                      <w:b/>
                      <w:sz w:val="16"/>
                      <w:szCs w:val="16"/>
                    </w:rPr>
                    <w:t>4.000,00</w:t>
                  </w:r>
                </w:p>
              </w:tc>
              <w:tc>
                <w:tcPr>
                  <w:tcW w:w="2126" w:type="dxa"/>
                  <w:shd w:val="clear" w:color="auto" w:fill="FFFFFF" w:themeFill="background1"/>
                  <w:vAlign w:val="center"/>
                </w:tcPr>
                <w:p w14:paraId="50CA84BE" w14:textId="77777777" w:rsidR="004126C7" w:rsidRPr="00733612" w:rsidRDefault="004126C7" w:rsidP="004126C7">
                  <w:pPr>
                    <w:rPr>
                      <w:b/>
                      <w:sz w:val="16"/>
                      <w:szCs w:val="16"/>
                    </w:rPr>
                  </w:pPr>
                  <w:r w:rsidRPr="00733612">
                    <w:rPr>
                      <w:rFonts w:cs="Arial"/>
                      <w:sz w:val="18"/>
                      <w:szCs w:val="18"/>
                    </w:rPr>
                    <w:t xml:space="preserve">2. Doprinosi </w:t>
                  </w:r>
                </w:p>
              </w:tc>
              <w:tc>
                <w:tcPr>
                  <w:tcW w:w="1276" w:type="dxa"/>
                  <w:tcBorders>
                    <w:top w:val="single" w:sz="4" w:space="0" w:color="auto"/>
                    <w:bottom w:val="single" w:sz="4" w:space="0" w:color="auto"/>
                  </w:tcBorders>
                  <w:shd w:val="clear" w:color="auto" w:fill="D9D9D9" w:themeFill="background1" w:themeFillShade="D9"/>
                  <w:vAlign w:val="center"/>
                </w:tcPr>
                <w:p w14:paraId="04535554" w14:textId="77777777" w:rsidR="004126C7" w:rsidRPr="00733612" w:rsidRDefault="004126C7" w:rsidP="00443DA3">
                  <w:pPr>
                    <w:jc w:val="right"/>
                    <w:rPr>
                      <w:b/>
                      <w:sz w:val="16"/>
                      <w:szCs w:val="16"/>
                    </w:rPr>
                  </w:pPr>
                  <w:r w:rsidRPr="00733612">
                    <w:rPr>
                      <w:b/>
                      <w:sz w:val="16"/>
                      <w:szCs w:val="16"/>
                    </w:rPr>
                    <w:t>2.000,00</w:t>
                  </w:r>
                </w:p>
              </w:tc>
              <w:tc>
                <w:tcPr>
                  <w:tcW w:w="1134" w:type="dxa"/>
                  <w:tcBorders>
                    <w:top w:val="single" w:sz="4" w:space="0" w:color="auto"/>
                    <w:bottom w:val="single" w:sz="4" w:space="0" w:color="auto"/>
                  </w:tcBorders>
                  <w:shd w:val="clear" w:color="auto" w:fill="D9D9D9" w:themeFill="background1" w:themeFillShade="D9"/>
                  <w:vAlign w:val="center"/>
                </w:tcPr>
                <w:p w14:paraId="0BFD2500" w14:textId="77777777" w:rsidR="004126C7" w:rsidRPr="00733612" w:rsidRDefault="004126C7" w:rsidP="00443DA3">
                  <w:pPr>
                    <w:jc w:val="right"/>
                    <w:rPr>
                      <w:b/>
                      <w:sz w:val="16"/>
                      <w:szCs w:val="16"/>
                    </w:rPr>
                  </w:pPr>
                  <w:r w:rsidRPr="00733612">
                    <w:rPr>
                      <w:b/>
                      <w:sz w:val="16"/>
                      <w:szCs w:val="16"/>
                    </w:rPr>
                    <w:t>4.000,00</w:t>
                  </w:r>
                </w:p>
              </w:tc>
            </w:tr>
            <w:tr w:rsidR="00733612" w:rsidRPr="00733612" w14:paraId="2BD22E36" w14:textId="77777777" w:rsidTr="00785DA8">
              <w:trPr>
                <w:trHeight w:val="255"/>
                <w:jc w:val="center"/>
              </w:trPr>
              <w:tc>
                <w:tcPr>
                  <w:tcW w:w="2253" w:type="dxa"/>
                  <w:tcBorders>
                    <w:bottom w:val="single" w:sz="4" w:space="0" w:color="auto"/>
                  </w:tcBorders>
                  <w:shd w:val="clear" w:color="auto" w:fill="FFFFFF" w:themeFill="background1"/>
                  <w:noWrap/>
                  <w:vAlign w:val="center"/>
                </w:tcPr>
                <w:p w14:paraId="3BD9BD0D" w14:textId="77777777" w:rsidR="004126C7" w:rsidRPr="00733612" w:rsidRDefault="004126C7" w:rsidP="004126C7">
                  <w:pPr>
                    <w:rPr>
                      <w:b/>
                      <w:sz w:val="16"/>
                      <w:szCs w:val="16"/>
                    </w:rPr>
                  </w:pPr>
                  <w:r w:rsidRPr="00733612">
                    <w:rPr>
                      <w:rFonts w:cs="Arial"/>
                      <w:sz w:val="18"/>
                      <w:szCs w:val="18"/>
                    </w:rPr>
                    <w:t xml:space="preserve">3. Dohodak </w:t>
                  </w:r>
                </w:p>
              </w:tc>
              <w:tc>
                <w:tcPr>
                  <w:tcW w:w="1134" w:type="dxa"/>
                  <w:tcBorders>
                    <w:top w:val="single" w:sz="4" w:space="0" w:color="auto"/>
                    <w:bottom w:val="single" w:sz="4" w:space="0" w:color="auto"/>
                  </w:tcBorders>
                  <w:shd w:val="clear" w:color="auto" w:fill="D9D9D9" w:themeFill="background1" w:themeFillShade="D9"/>
                  <w:vAlign w:val="center"/>
                </w:tcPr>
                <w:p w14:paraId="2B367257" w14:textId="77777777" w:rsidR="004126C7" w:rsidRPr="00733612" w:rsidRDefault="004126C7" w:rsidP="00443DA3">
                  <w:pPr>
                    <w:jc w:val="right"/>
                    <w:rPr>
                      <w:b/>
                      <w:sz w:val="16"/>
                      <w:szCs w:val="16"/>
                    </w:rPr>
                  </w:pPr>
                  <w:r w:rsidRPr="00733612">
                    <w:rPr>
                      <w:b/>
                      <w:sz w:val="16"/>
                      <w:szCs w:val="16"/>
                    </w:rPr>
                    <w:t>8.000,00</w:t>
                  </w:r>
                </w:p>
              </w:tc>
              <w:tc>
                <w:tcPr>
                  <w:tcW w:w="993" w:type="dxa"/>
                  <w:tcBorders>
                    <w:top w:val="single" w:sz="4" w:space="0" w:color="auto"/>
                    <w:bottom w:val="single" w:sz="4" w:space="0" w:color="auto"/>
                  </w:tcBorders>
                  <w:shd w:val="clear" w:color="auto" w:fill="D9D9D9" w:themeFill="background1" w:themeFillShade="D9"/>
                  <w:vAlign w:val="center"/>
                </w:tcPr>
                <w:p w14:paraId="62CD4C8B" w14:textId="77777777" w:rsidR="004126C7" w:rsidRPr="00733612" w:rsidRDefault="004126C7" w:rsidP="00443DA3">
                  <w:pPr>
                    <w:jc w:val="right"/>
                    <w:rPr>
                      <w:b/>
                      <w:sz w:val="16"/>
                      <w:szCs w:val="16"/>
                    </w:rPr>
                  </w:pPr>
                  <w:r w:rsidRPr="00733612">
                    <w:rPr>
                      <w:b/>
                      <w:sz w:val="16"/>
                      <w:szCs w:val="16"/>
                    </w:rPr>
                    <w:t>16.000,00</w:t>
                  </w:r>
                </w:p>
              </w:tc>
              <w:tc>
                <w:tcPr>
                  <w:tcW w:w="2126" w:type="dxa"/>
                  <w:tcBorders>
                    <w:bottom w:val="single" w:sz="4" w:space="0" w:color="auto"/>
                  </w:tcBorders>
                  <w:shd w:val="clear" w:color="auto" w:fill="FFFFFF" w:themeFill="background1"/>
                  <w:vAlign w:val="center"/>
                </w:tcPr>
                <w:p w14:paraId="78FE61A2" w14:textId="77777777" w:rsidR="004126C7" w:rsidRPr="00733612" w:rsidRDefault="004126C7" w:rsidP="004126C7">
                  <w:pPr>
                    <w:rPr>
                      <w:b/>
                      <w:sz w:val="16"/>
                      <w:szCs w:val="16"/>
                    </w:rPr>
                  </w:pPr>
                  <w:r w:rsidRPr="00733612">
                    <w:rPr>
                      <w:rFonts w:cs="Arial"/>
                      <w:sz w:val="18"/>
                      <w:szCs w:val="18"/>
                    </w:rPr>
                    <w:t xml:space="preserve">3. Dohodak </w:t>
                  </w:r>
                </w:p>
              </w:tc>
              <w:tc>
                <w:tcPr>
                  <w:tcW w:w="1276" w:type="dxa"/>
                  <w:tcBorders>
                    <w:top w:val="single" w:sz="4" w:space="0" w:color="auto"/>
                    <w:bottom w:val="single" w:sz="4" w:space="0" w:color="auto"/>
                  </w:tcBorders>
                  <w:shd w:val="clear" w:color="auto" w:fill="D9D9D9" w:themeFill="background1" w:themeFillShade="D9"/>
                  <w:vAlign w:val="center"/>
                </w:tcPr>
                <w:p w14:paraId="51F48EB1" w14:textId="77777777" w:rsidR="004126C7" w:rsidRPr="00733612" w:rsidRDefault="004126C7" w:rsidP="00443DA3">
                  <w:pPr>
                    <w:jc w:val="right"/>
                    <w:rPr>
                      <w:b/>
                      <w:sz w:val="16"/>
                      <w:szCs w:val="16"/>
                    </w:rPr>
                  </w:pPr>
                  <w:r w:rsidRPr="00733612">
                    <w:rPr>
                      <w:b/>
                      <w:sz w:val="16"/>
                      <w:szCs w:val="16"/>
                    </w:rPr>
                    <w:t>8.000,00</w:t>
                  </w:r>
                </w:p>
              </w:tc>
              <w:tc>
                <w:tcPr>
                  <w:tcW w:w="1134" w:type="dxa"/>
                  <w:tcBorders>
                    <w:top w:val="single" w:sz="4" w:space="0" w:color="auto"/>
                    <w:bottom w:val="single" w:sz="4" w:space="0" w:color="auto"/>
                  </w:tcBorders>
                  <w:shd w:val="clear" w:color="auto" w:fill="D9D9D9" w:themeFill="background1" w:themeFillShade="D9"/>
                  <w:vAlign w:val="center"/>
                </w:tcPr>
                <w:p w14:paraId="2E130C78" w14:textId="77777777" w:rsidR="004126C7" w:rsidRPr="00733612" w:rsidRDefault="004126C7" w:rsidP="00443DA3">
                  <w:pPr>
                    <w:jc w:val="right"/>
                    <w:rPr>
                      <w:b/>
                      <w:sz w:val="16"/>
                      <w:szCs w:val="16"/>
                    </w:rPr>
                  </w:pPr>
                  <w:r w:rsidRPr="00733612">
                    <w:rPr>
                      <w:b/>
                      <w:sz w:val="16"/>
                      <w:szCs w:val="16"/>
                    </w:rPr>
                    <w:t>16.000,00</w:t>
                  </w:r>
                </w:p>
              </w:tc>
            </w:tr>
            <w:tr w:rsidR="00733612" w:rsidRPr="00733612" w14:paraId="3599C106" w14:textId="77777777" w:rsidTr="00785DA8">
              <w:trPr>
                <w:trHeight w:val="255"/>
                <w:jc w:val="center"/>
              </w:trPr>
              <w:tc>
                <w:tcPr>
                  <w:tcW w:w="2253" w:type="dxa"/>
                  <w:shd w:val="clear" w:color="auto" w:fill="FFFFFF" w:themeFill="background1"/>
                  <w:noWrap/>
                  <w:vAlign w:val="center"/>
                </w:tcPr>
                <w:p w14:paraId="3943A68F" w14:textId="77777777" w:rsidR="004126C7" w:rsidRPr="00733612" w:rsidRDefault="004126C7" w:rsidP="004126C7">
                  <w:pPr>
                    <w:rPr>
                      <w:b/>
                      <w:sz w:val="16"/>
                      <w:szCs w:val="16"/>
                    </w:rPr>
                  </w:pPr>
                  <w:r w:rsidRPr="00733612">
                    <w:rPr>
                      <w:rFonts w:cs="Arial"/>
                      <w:sz w:val="18"/>
                      <w:szCs w:val="18"/>
                    </w:rPr>
                    <w:t>4. Osobni odbitak</w:t>
                  </w:r>
                </w:p>
              </w:tc>
              <w:tc>
                <w:tcPr>
                  <w:tcW w:w="1134" w:type="dxa"/>
                  <w:tcBorders>
                    <w:top w:val="single" w:sz="4" w:space="0" w:color="auto"/>
                    <w:bottom w:val="single" w:sz="4" w:space="0" w:color="auto"/>
                  </w:tcBorders>
                  <w:shd w:val="clear" w:color="auto" w:fill="D9D9D9" w:themeFill="background1" w:themeFillShade="D9"/>
                  <w:vAlign w:val="center"/>
                </w:tcPr>
                <w:p w14:paraId="735986BA" w14:textId="77777777" w:rsidR="004126C7" w:rsidRPr="00733612" w:rsidRDefault="004126C7" w:rsidP="00443DA3">
                  <w:pPr>
                    <w:jc w:val="right"/>
                    <w:rPr>
                      <w:b/>
                      <w:sz w:val="16"/>
                      <w:szCs w:val="16"/>
                    </w:rPr>
                  </w:pPr>
                  <w:r w:rsidRPr="00733612">
                    <w:rPr>
                      <w:b/>
                      <w:sz w:val="16"/>
                      <w:szCs w:val="16"/>
                    </w:rPr>
                    <w:t>4.000,00</w:t>
                  </w:r>
                </w:p>
              </w:tc>
              <w:tc>
                <w:tcPr>
                  <w:tcW w:w="993" w:type="dxa"/>
                  <w:tcBorders>
                    <w:top w:val="single" w:sz="4" w:space="0" w:color="auto"/>
                    <w:bottom w:val="single" w:sz="4" w:space="0" w:color="auto"/>
                  </w:tcBorders>
                  <w:shd w:val="clear" w:color="auto" w:fill="D9D9D9" w:themeFill="background1" w:themeFillShade="D9"/>
                  <w:vAlign w:val="center"/>
                </w:tcPr>
                <w:p w14:paraId="4C92720C" w14:textId="77777777" w:rsidR="004126C7" w:rsidRPr="00733612" w:rsidRDefault="004126C7" w:rsidP="00443DA3">
                  <w:pPr>
                    <w:jc w:val="right"/>
                    <w:rPr>
                      <w:b/>
                      <w:sz w:val="16"/>
                      <w:szCs w:val="16"/>
                    </w:rPr>
                  </w:pPr>
                  <w:r w:rsidRPr="00733612">
                    <w:rPr>
                      <w:b/>
                      <w:sz w:val="16"/>
                      <w:szCs w:val="16"/>
                    </w:rPr>
                    <w:t>4.000,00</w:t>
                  </w:r>
                </w:p>
              </w:tc>
              <w:tc>
                <w:tcPr>
                  <w:tcW w:w="2126" w:type="dxa"/>
                  <w:shd w:val="clear" w:color="auto" w:fill="FFFFFF" w:themeFill="background1"/>
                  <w:vAlign w:val="center"/>
                </w:tcPr>
                <w:p w14:paraId="292E2687" w14:textId="77777777" w:rsidR="004126C7" w:rsidRPr="00733612" w:rsidRDefault="004126C7" w:rsidP="004126C7">
                  <w:pPr>
                    <w:rPr>
                      <w:b/>
                      <w:sz w:val="16"/>
                      <w:szCs w:val="16"/>
                    </w:rPr>
                  </w:pPr>
                  <w:r w:rsidRPr="00733612">
                    <w:rPr>
                      <w:rFonts w:cs="Arial"/>
                      <w:sz w:val="18"/>
                      <w:szCs w:val="18"/>
                    </w:rPr>
                    <w:t>4. Osobni odbitak</w:t>
                  </w:r>
                </w:p>
              </w:tc>
              <w:tc>
                <w:tcPr>
                  <w:tcW w:w="1276" w:type="dxa"/>
                  <w:tcBorders>
                    <w:top w:val="single" w:sz="4" w:space="0" w:color="auto"/>
                    <w:bottom w:val="single" w:sz="4" w:space="0" w:color="auto"/>
                  </w:tcBorders>
                  <w:shd w:val="clear" w:color="auto" w:fill="D9D9D9" w:themeFill="background1" w:themeFillShade="D9"/>
                  <w:vAlign w:val="center"/>
                </w:tcPr>
                <w:p w14:paraId="6A88DFA8" w14:textId="77777777" w:rsidR="004126C7" w:rsidRPr="00733612" w:rsidRDefault="004126C7" w:rsidP="00443DA3">
                  <w:pPr>
                    <w:jc w:val="right"/>
                    <w:rPr>
                      <w:b/>
                      <w:sz w:val="16"/>
                      <w:szCs w:val="16"/>
                    </w:rPr>
                  </w:pPr>
                  <w:r w:rsidRPr="00733612">
                    <w:rPr>
                      <w:b/>
                      <w:sz w:val="16"/>
                      <w:szCs w:val="16"/>
                    </w:rPr>
                    <w:t>4.000,00</w:t>
                  </w:r>
                </w:p>
              </w:tc>
              <w:tc>
                <w:tcPr>
                  <w:tcW w:w="1134" w:type="dxa"/>
                  <w:tcBorders>
                    <w:top w:val="single" w:sz="4" w:space="0" w:color="auto"/>
                    <w:bottom w:val="single" w:sz="4" w:space="0" w:color="auto"/>
                  </w:tcBorders>
                  <w:shd w:val="clear" w:color="auto" w:fill="D9D9D9" w:themeFill="background1" w:themeFillShade="D9"/>
                  <w:vAlign w:val="center"/>
                </w:tcPr>
                <w:p w14:paraId="1FF92F56" w14:textId="77777777" w:rsidR="004126C7" w:rsidRPr="00733612" w:rsidRDefault="004126C7" w:rsidP="00443DA3">
                  <w:pPr>
                    <w:jc w:val="right"/>
                    <w:rPr>
                      <w:b/>
                      <w:sz w:val="16"/>
                      <w:szCs w:val="16"/>
                    </w:rPr>
                  </w:pPr>
                  <w:r w:rsidRPr="00733612">
                    <w:rPr>
                      <w:b/>
                      <w:sz w:val="16"/>
                      <w:szCs w:val="16"/>
                    </w:rPr>
                    <w:t>4.000,00</w:t>
                  </w:r>
                </w:p>
              </w:tc>
            </w:tr>
            <w:tr w:rsidR="00733612" w:rsidRPr="00733612" w14:paraId="0B82C85F" w14:textId="77777777" w:rsidTr="00785DA8">
              <w:trPr>
                <w:trHeight w:val="255"/>
                <w:jc w:val="center"/>
              </w:trPr>
              <w:tc>
                <w:tcPr>
                  <w:tcW w:w="2253" w:type="dxa"/>
                  <w:shd w:val="clear" w:color="auto" w:fill="FFFFFF" w:themeFill="background1"/>
                  <w:noWrap/>
                  <w:vAlign w:val="center"/>
                </w:tcPr>
                <w:p w14:paraId="668EC14B" w14:textId="77777777" w:rsidR="004126C7" w:rsidRPr="00733612" w:rsidRDefault="004126C7" w:rsidP="004126C7">
                  <w:pPr>
                    <w:rPr>
                      <w:b/>
                      <w:sz w:val="16"/>
                      <w:szCs w:val="16"/>
                    </w:rPr>
                  </w:pPr>
                  <w:r w:rsidRPr="00733612">
                    <w:rPr>
                      <w:rFonts w:cs="Arial"/>
                      <w:sz w:val="18"/>
                      <w:szCs w:val="18"/>
                    </w:rPr>
                    <w:t>5. Porezna osnovica</w:t>
                  </w:r>
                </w:p>
              </w:tc>
              <w:tc>
                <w:tcPr>
                  <w:tcW w:w="1134" w:type="dxa"/>
                  <w:tcBorders>
                    <w:top w:val="single" w:sz="4" w:space="0" w:color="auto"/>
                    <w:bottom w:val="single" w:sz="4" w:space="0" w:color="auto"/>
                  </w:tcBorders>
                  <w:shd w:val="clear" w:color="auto" w:fill="D9D9D9" w:themeFill="background1" w:themeFillShade="D9"/>
                  <w:vAlign w:val="center"/>
                </w:tcPr>
                <w:p w14:paraId="0D9A4A58" w14:textId="77777777" w:rsidR="004126C7" w:rsidRPr="00733612" w:rsidRDefault="004126C7" w:rsidP="00443DA3">
                  <w:pPr>
                    <w:jc w:val="right"/>
                    <w:rPr>
                      <w:b/>
                      <w:sz w:val="16"/>
                      <w:szCs w:val="16"/>
                    </w:rPr>
                  </w:pPr>
                  <w:r w:rsidRPr="00733612">
                    <w:rPr>
                      <w:b/>
                      <w:sz w:val="16"/>
                      <w:szCs w:val="16"/>
                    </w:rPr>
                    <w:t>4.000,00</w:t>
                  </w:r>
                </w:p>
              </w:tc>
              <w:tc>
                <w:tcPr>
                  <w:tcW w:w="993" w:type="dxa"/>
                  <w:tcBorders>
                    <w:top w:val="single" w:sz="4" w:space="0" w:color="auto"/>
                    <w:bottom w:val="single" w:sz="4" w:space="0" w:color="auto"/>
                  </w:tcBorders>
                  <w:shd w:val="clear" w:color="auto" w:fill="D9D9D9" w:themeFill="background1" w:themeFillShade="D9"/>
                  <w:vAlign w:val="center"/>
                </w:tcPr>
                <w:p w14:paraId="7322BB40" w14:textId="77777777" w:rsidR="004126C7" w:rsidRPr="00733612" w:rsidRDefault="004126C7" w:rsidP="00443DA3">
                  <w:pPr>
                    <w:jc w:val="right"/>
                    <w:rPr>
                      <w:b/>
                      <w:sz w:val="16"/>
                      <w:szCs w:val="16"/>
                    </w:rPr>
                  </w:pPr>
                  <w:r w:rsidRPr="00733612">
                    <w:rPr>
                      <w:b/>
                      <w:sz w:val="16"/>
                      <w:szCs w:val="16"/>
                    </w:rPr>
                    <w:t>12.000,00</w:t>
                  </w:r>
                </w:p>
              </w:tc>
              <w:tc>
                <w:tcPr>
                  <w:tcW w:w="2126" w:type="dxa"/>
                  <w:shd w:val="clear" w:color="auto" w:fill="FFFFFF" w:themeFill="background1"/>
                  <w:vAlign w:val="center"/>
                </w:tcPr>
                <w:p w14:paraId="167689AD" w14:textId="77777777" w:rsidR="004126C7" w:rsidRPr="00733612" w:rsidRDefault="004126C7" w:rsidP="004126C7">
                  <w:pPr>
                    <w:rPr>
                      <w:b/>
                      <w:sz w:val="16"/>
                      <w:szCs w:val="16"/>
                    </w:rPr>
                  </w:pPr>
                  <w:r w:rsidRPr="00733612">
                    <w:rPr>
                      <w:rFonts w:cs="Arial"/>
                      <w:sz w:val="18"/>
                      <w:szCs w:val="18"/>
                    </w:rPr>
                    <w:t>5. Porezna osnovica</w:t>
                  </w:r>
                </w:p>
              </w:tc>
              <w:tc>
                <w:tcPr>
                  <w:tcW w:w="1276" w:type="dxa"/>
                  <w:tcBorders>
                    <w:top w:val="single" w:sz="4" w:space="0" w:color="auto"/>
                    <w:bottom w:val="single" w:sz="4" w:space="0" w:color="auto"/>
                  </w:tcBorders>
                  <w:shd w:val="clear" w:color="auto" w:fill="D9D9D9" w:themeFill="background1" w:themeFillShade="D9"/>
                  <w:vAlign w:val="center"/>
                </w:tcPr>
                <w:p w14:paraId="5C8C7C66" w14:textId="77777777" w:rsidR="004126C7" w:rsidRPr="00733612" w:rsidRDefault="004126C7" w:rsidP="00443DA3">
                  <w:pPr>
                    <w:jc w:val="right"/>
                    <w:rPr>
                      <w:b/>
                      <w:sz w:val="16"/>
                      <w:szCs w:val="16"/>
                    </w:rPr>
                  </w:pPr>
                  <w:r w:rsidRPr="00733612">
                    <w:rPr>
                      <w:b/>
                      <w:sz w:val="16"/>
                      <w:szCs w:val="16"/>
                    </w:rPr>
                    <w:t>4.000,00</w:t>
                  </w:r>
                </w:p>
              </w:tc>
              <w:tc>
                <w:tcPr>
                  <w:tcW w:w="1134" w:type="dxa"/>
                  <w:tcBorders>
                    <w:top w:val="single" w:sz="4" w:space="0" w:color="auto"/>
                    <w:bottom w:val="single" w:sz="4" w:space="0" w:color="auto"/>
                  </w:tcBorders>
                  <w:shd w:val="clear" w:color="auto" w:fill="D9D9D9" w:themeFill="background1" w:themeFillShade="D9"/>
                  <w:vAlign w:val="center"/>
                </w:tcPr>
                <w:p w14:paraId="148D4AFF" w14:textId="77777777" w:rsidR="004126C7" w:rsidRPr="00733612" w:rsidRDefault="004126C7" w:rsidP="00443DA3">
                  <w:pPr>
                    <w:jc w:val="right"/>
                    <w:rPr>
                      <w:b/>
                      <w:sz w:val="16"/>
                      <w:szCs w:val="16"/>
                    </w:rPr>
                  </w:pPr>
                  <w:r w:rsidRPr="00733612">
                    <w:rPr>
                      <w:b/>
                      <w:sz w:val="16"/>
                      <w:szCs w:val="16"/>
                    </w:rPr>
                    <w:t>12.000,00</w:t>
                  </w:r>
                </w:p>
              </w:tc>
            </w:tr>
            <w:tr w:rsidR="00733612" w:rsidRPr="00733612" w14:paraId="331818A1" w14:textId="77777777" w:rsidTr="00785DA8">
              <w:trPr>
                <w:trHeight w:val="399"/>
                <w:jc w:val="center"/>
              </w:trPr>
              <w:tc>
                <w:tcPr>
                  <w:tcW w:w="2253" w:type="dxa"/>
                  <w:shd w:val="clear" w:color="auto" w:fill="FFFFFF" w:themeFill="background1"/>
                  <w:noWrap/>
                  <w:vAlign w:val="center"/>
                </w:tcPr>
                <w:p w14:paraId="334D8CAD" w14:textId="77777777" w:rsidR="004126C7" w:rsidRPr="00733612" w:rsidRDefault="004126C7" w:rsidP="004126C7">
                  <w:pPr>
                    <w:rPr>
                      <w:b/>
                      <w:sz w:val="16"/>
                      <w:szCs w:val="16"/>
                    </w:rPr>
                  </w:pPr>
                  <w:r w:rsidRPr="00733612">
                    <w:rPr>
                      <w:rFonts w:cs="Arial"/>
                      <w:sz w:val="18"/>
                      <w:szCs w:val="18"/>
                    </w:rPr>
                    <w:t>6. Porezna osnovica za primjenu stope 24%</w:t>
                  </w:r>
                </w:p>
              </w:tc>
              <w:tc>
                <w:tcPr>
                  <w:tcW w:w="1134" w:type="dxa"/>
                  <w:tcBorders>
                    <w:top w:val="single" w:sz="4" w:space="0" w:color="auto"/>
                    <w:bottom w:val="single" w:sz="4" w:space="0" w:color="auto"/>
                  </w:tcBorders>
                  <w:shd w:val="clear" w:color="auto" w:fill="D9D9D9" w:themeFill="background1" w:themeFillShade="D9"/>
                  <w:vAlign w:val="center"/>
                </w:tcPr>
                <w:p w14:paraId="411A8A1C" w14:textId="77777777" w:rsidR="004126C7" w:rsidRPr="00733612" w:rsidRDefault="004126C7" w:rsidP="00443DA3">
                  <w:pPr>
                    <w:jc w:val="right"/>
                    <w:rPr>
                      <w:b/>
                      <w:sz w:val="16"/>
                      <w:szCs w:val="16"/>
                    </w:rPr>
                  </w:pPr>
                  <w:r w:rsidRPr="00733612">
                    <w:rPr>
                      <w:b/>
                      <w:sz w:val="16"/>
                      <w:szCs w:val="16"/>
                    </w:rPr>
                    <w:t>4.000,00</w:t>
                  </w:r>
                </w:p>
              </w:tc>
              <w:tc>
                <w:tcPr>
                  <w:tcW w:w="993" w:type="dxa"/>
                  <w:tcBorders>
                    <w:top w:val="single" w:sz="4" w:space="0" w:color="auto"/>
                    <w:bottom w:val="single" w:sz="4" w:space="0" w:color="auto"/>
                  </w:tcBorders>
                  <w:shd w:val="clear" w:color="auto" w:fill="D9D9D9" w:themeFill="background1" w:themeFillShade="D9"/>
                  <w:vAlign w:val="center"/>
                </w:tcPr>
                <w:p w14:paraId="32313608" w14:textId="77777777" w:rsidR="004126C7" w:rsidRPr="00733612" w:rsidRDefault="004126C7" w:rsidP="00443DA3">
                  <w:pPr>
                    <w:jc w:val="right"/>
                    <w:rPr>
                      <w:b/>
                      <w:sz w:val="16"/>
                      <w:szCs w:val="16"/>
                    </w:rPr>
                  </w:pPr>
                  <w:r w:rsidRPr="00733612">
                    <w:rPr>
                      <w:b/>
                      <w:sz w:val="16"/>
                      <w:szCs w:val="16"/>
                    </w:rPr>
                    <w:t>12.000,00</w:t>
                  </w:r>
                </w:p>
              </w:tc>
              <w:tc>
                <w:tcPr>
                  <w:tcW w:w="2126" w:type="dxa"/>
                  <w:shd w:val="clear" w:color="auto" w:fill="FFFFFF" w:themeFill="background1"/>
                  <w:vAlign w:val="center"/>
                </w:tcPr>
                <w:p w14:paraId="24F28CED" w14:textId="77777777" w:rsidR="004126C7" w:rsidRPr="00733612" w:rsidRDefault="004126C7" w:rsidP="004126C7">
                  <w:pPr>
                    <w:rPr>
                      <w:b/>
                      <w:sz w:val="16"/>
                      <w:szCs w:val="16"/>
                    </w:rPr>
                  </w:pPr>
                  <w:r w:rsidRPr="00733612">
                    <w:rPr>
                      <w:rFonts w:cs="Arial"/>
                      <w:sz w:val="18"/>
                      <w:szCs w:val="18"/>
                    </w:rPr>
                    <w:t>6. Porezna osnovica za primjenu stope 20%</w:t>
                  </w:r>
                </w:p>
              </w:tc>
              <w:tc>
                <w:tcPr>
                  <w:tcW w:w="1276" w:type="dxa"/>
                  <w:tcBorders>
                    <w:top w:val="single" w:sz="4" w:space="0" w:color="auto"/>
                    <w:bottom w:val="single" w:sz="4" w:space="0" w:color="auto"/>
                  </w:tcBorders>
                  <w:shd w:val="clear" w:color="auto" w:fill="D9D9D9" w:themeFill="background1" w:themeFillShade="D9"/>
                  <w:vAlign w:val="center"/>
                </w:tcPr>
                <w:p w14:paraId="08152689" w14:textId="77777777" w:rsidR="004126C7" w:rsidRPr="00733612" w:rsidRDefault="004126C7" w:rsidP="00443DA3">
                  <w:pPr>
                    <w:jc w:val="right"/>
                    <w:rPr>
                      <w:b/>
                      <w:sz w:val="16"/>
                      <w:szCs w:val="16"/>
                    </w:rPr>
                  </w:pPr>
                  <w:r w:rsidRPr="00733612">
                    <w:rPr>
                      <w:b/>
                      <w:sz w:val="16"/>
                      <w:szCs w:val="16"/>
                    </w:rPr>
                    <w:t>4.000,00</w:t>
                  </w:r>
                </w:p>
              </w:tc>
              <w:tc>
                <w:tcPr>
                  <w:tcW w:w="1134" w:type="dxa"/>
                  <w:tcBorders>
                    <w:top w:val="single" w:sz="4" w:space="0" w:color="auto"/>
                    <w:bottom w:val="single" w:sz="4" w:space="0" w:color="auto"/>
                  </w:tcBorders>
                  <w:shd w:val="clear" w:color="auto" w:fill="D9D9D9" w:themeFill="background1" w:themeFillShade="D9"/>
                  <w:vAlign w:val="center"/>
                </w:tcPr>
                <w:p w14:paraId="2E73FF5B" w14:textId="77777777" w:rsidR="004126C7" w:rsidRPr="00733612" w:rsidRDefault="004126C7" w:rsidP="00443DA3">
                  <w:pPr>
                    <w:jc w:val="right"/>
                    <w:rPr>
                      <w:b/>
                      <w:sz w:val="16"/>
                      <w:szCs w:val="16"/>
                    </w:rPr>
                  </w:pPr>
                  <w:r w:rsidRPr="00733612">
                    <w:rPr>
                      <w:b/>
                      <w:sz w:val="16"/>
                      <w:szCs w:val="16"/>
                    </w:rPr>
                    <w:t>12.000,00</w:t>
                  </w:r>
                </w:p>
              </w:tc>
            </w:tr>
            <w:tr w:rsidR="00733612" w:rsidRPr="00733612" w14:paraId="568B7BE1" w14:textId="77777777" w:rsidTr="00785DA8">
              <w:trPr>
                <w:trHeight w:val="255"/>
                <w:jc w:val="center"/>
              </w:trPr>
              <w:tc>
                <w:tcPr>
                  <w:tcW w:w="2253" w:type="dxa"/>
                  <w:shd w:val="clear" w:color="auto" w:fill="FFFFFF" w:themeFill="background1"/>
                  <w:noWrap/>
                  <w:vAlign w:val="center"/>
                </w:tcPr>
                <w:p w14:paraId="3E75B8C6" w14:textId="77777777" w:rsidR="004126C7" w:rsidRPr="00733612" w:rsidRDefault="004126C7" w:rsidP="004126C7">
                  <w:pPr>
                    <w:rPr>
                      <w:b/>
                      <w:sz w:val="16"/>
                      <w:szCs w:val="16"/>
                    </w:rPr>
                  </w:pPr>
                  <w:r w:rsidRPr="00733612">
                    <w:rPr>
                      <w:rFonts w:cs="Arial"/>
                      <w:sz w:val="18"/>
                      <w:szCs w:val="18"/>
                    </w:rPr>
                    <w:t>7. Porezna osnovica za primjenu stope 36%</w:t>
                  </w:r>
                </w:p>
              </w:tc>
              <w:tc>
                <w:tcPr>
                  <w:tcW w:w="1134" w:type="dxa"/>
                  <w:tcBorders>
                    <w:top w:val="single" w:sz="4" w:space="0" w:color="auto"/>
                    <w:bottom w:val="single" w:sz="4" w:space="0" w:color="auto"/>
                  </w:tcBorders>
                  <w:shd w:val="clear" w:color="auto" w:fill="D9D9D9" w:themeFill="background1" w:themeFillShade="D9"/>
                  <w:vAlign w:val="center"/>
                </w:tcPr>
                <w:p w14:paraId="453E4711" w14:textId="77777777" w:rsidR="004126C7" w:rsidRPr="00733612" w:rsidRDefault="004126C7" w:rsidP="00443DA3">
                  <w:pPr>
                    <w:jc w:val="right"/>
                    <w:rPr>
                      <w:b/>
                      <w:sz w:val="16"/>
                      <w:szCs w:val="16"/>
                    </w:rPr>
                  </w:pPr>
                  <w:r w:rsidRPr="00733612">
                    <w:rPr>
                      <w:b/>
                      <w:sz w:val="16"/>
                      <w:szCs w:val="16"/>
                    </w:rPr>
                    <w:t>0,00</w:t>
                  </w:r>
                </w:p>
              </w:tc>
              <w:tc>
                <w:tcPr>
                  <w:tcW w:w="993" w:type="dxa"/>
                  <w:tcBorders>
                    <w:top w:val="single" w:sz="4" w:space="0" w:color="auto"/>
                    <w:bottom w:val="single" w:sz="4" w:space="0" w:color="auto"/>
                  </w:tcBorders>
                  <w:shd w:val="clear" w:color="auto" w:fill="D9D9D9" w:themeFill="background1" w:themeFillShade="D9"/>
                  <w:vAlign w:val="center"/>
                </w:tcPr>
                <w:p w14:paraId="0139276E" w14:textId="77777777" w:rsidR="004126C7" w:rsidRPr="00733612" w:rsidRDefault="004126C7" w:rsidP="00443DA3">
                  <w:pPr>
                    <w:jc w:val="right"/>
                    <w:rPr>
                      <w:b/>
                      <w:sz w:val="16"/>
                      <w:szCs w:val="16"/>
                    </w:rPr>
                  </w:pPr>
                  <w:r w:rsidRPr="00733612">
                    <w:rPr>
                      <w:b/>
                      <w:sz w:val="16"/>
                      <w:szCs w:val="16"/>
                    </w:rPr>
                    <w:t>0,00</w:t>
                  </w:r>
                </w:p>
              </w:tc>
              <w:tc>
                <w:tcPr>
                  <w:tcW w:w="2126" w:type="dxa"/>
                  <w:shd w:val="clear" w:color="auto" w:fill="FFFFFF" w:themeFill="background1"/>
                  <w:vAlign w:val="center"/>
                </w:tcPr>
                <w:p w14:paraId="08AA48AF" w14:textId="77777777" w:rsidR="004126C7" w:rsidRPr="00733612" w:rsidRDefault="004126C7" w:rsidP="004126C7">
                  <w:pPr>
                    <w:rPr>
                      <w:b/>
                      <w:sz w:val="16"/>
                      <w:szCs w:val="16"/>
                    </w:rPr>
                  </w:pPr>
                  <w:r w:rsidRPr="00733612">
                    <w:rPr>
                      <w:rFonts w:cs="Arial"/>
                      <w:sz w:val="18"/>
                      <w:szCs w:val="18"/>
                    </w:rPr>
                    <w:t>7. Porezna osnovica za primjenu stope 30%</w:t>
                  </w:r>
                </w:p>
              </w:tc>
              <w:tc>
                <w:tcPr>
                  <w:tcW w:w="1276" w:type="dxa"/>
                  <w:tcBorders>
                    <w:top w:val="single" w:sz="4" w:space="0" w:color="auto"/>
                    <w:bottom w:val="single" w:sz="4" w:space="0" w:color="auto"/>
                  </w:tcBorders>
                  <w:shd w:val="clear" w:color="auto" w:fill="D9D9D9" w:themeFill="background1" w:themeFillShade="D9"/>
                  <w:vAlign w:val="center"/>
                </w:tcPr>
                <w:p w14:paraId="07B30B04" w14:textId="77777777" w:rsidR="004126C7" w:rsidRPr="00733612" w:rsidRDefault="004126C7" w:rsidP="00443DA3">
                  <w:pPr>
                    <w:jc w:val="right"/>
                    <w:rPr>
                      <w:b/>
                      <w:sz w:val="16"/>
                      <w:szCs w:val="16"/>
                    </w:rPr>
                  </w:pPr>
                  <w:r w:rsidRPr="00733612">
                    <w:rPr>
                      <w:b/>
                      <w:sz w:val="16"/>
                      <w:szCs w:val="16"/>
                    </w:rPr>
                    <w:t>0,00</w:t>
                  </w:r>
                </w:p>
              </w:tc>
              <w:tc>
                <w:tcPr>
                  <w:tcW w:w="1134" w:type="dxa"/>
                  <w:tcBorders>
                    <w:top w:val="single" w:sz="4" w:space="0" w:color="auto"/>
                    <w:bottom w:val="single" w:sz="4" w:space="0" w:color="auto"/>
                  </w:tcBorders>
                  <w:shd w:val="clear" w:color="auto" w:fill="D9D9D9" w:themeFill="background1" w:themeFillShade="D9"/>
                  <w:vAlign w:val="center"/>
                </w:tcPr>
                <w:p w14:paraId="7ABA4239" w14:textId="77777777" w:rsidR="004126C7" w:rsidRPr="00733612" w:rsidRDefault="004126C7" w:rsidP="00443DA3">
                  <w:pPr>
                    <w:jc w:val="right"/>
                    <w:rPr>
                      <w:b/>
                      <w:sz w:val="16"/>
                      <w:szCs w:val="16"/>
                    </w:rPr>
                  </w:pPr>
                  <w:r w:rsidRPr="00733612">
                    <w:rPr>
                      <w:b/>
                      <w:sz w:val="16"/>
                      <w:szCs w:val="16"/>
                    </w:rPr>
                    <w:t>0,00</w:t>
                  </w:r>
                </w:p>
              </w:tc>
            </w:tr>
            <w:tr w:rsidR="00733612" w:rsidRPr="00733612" w14:paraId="6AA71663" w14:textId="77777777" w:rsidTr="00785DA8">
              <w:trPr>
                <w:trHeight w:val="255"/>
                <w:jc w:val="center"/>
              </w:trPr>
              <w:tc>
                <w:tcPr>
                  <w:tcW w:w="2253" w:type="dxa"/>
                  <w:shd w:val="clear" w:color="auto" w:fill="FFFFFF" w:themeFill="background1"/>
                  <w:noWrap/>
                  <w:vAlign w:val="center"/>
                </w:tcPr>
                <w:p w14:paraId="401C5003" w14:textId="77777777" w:rsidR="004126C7" w:rsidRPr="00733612" w:rsidRDefault="004126C7" w:rsidP="004126C7">
                  <w:pPr>
                    <w:rPr>
                      <w:b/>
                      <w:sz w:val="18"/>
                      <w:szCs w:val="18"/>
                    </w:rPr>
                  </w:pPr>
                  <w:r w:rsidRPr="00733612">
                    <w:rPr>
                      <w:rFonts w:cs="Arial"/>
                      <w:sz w:val="18"/>
                      <w:szCs w:val="18"/>
                    </w:rPr>
                    <w:t>8. Porez po stopi 24%</w:t>
                  </w:r>
                </w:p>
              </w:tc>
              <w:tc>
                <w:tcPr>
                  <w:tcW w:w="1134" w:type="dxa"/>
                  <w:tcBorders>
                    <w:top w:val="single" w:sz="4" w:space="0" w:color="auto"/>
                    <w:bottom w:val="single" w:sz="4" w:space="0" w:color="auto"/>
                  </w:tcBorders>
                  <w:shd w:val="clear" w:color="auto" w:fill="D9D9D9" w:themeFill="background1" w:themeFillShade="D9"/>
                  <w:vAlign w:val="center"/>
                </w:tcPr>
                <w:p w14:paraId="193664CD" w14:textId="77777777" w:rsidR="004126C7" w:rsidRPr="00733612" w:rsidRDefault="004126C7" w:rsidP="00443DA3">
                  <w:pPr>
                    <w:jc w:val="right"/>
                    <w:rPr>
                      <w:b/>
                      <w:sz w:val="16"/>
                      <w:szCs w:val="16"/>
                    </w:rPr>
                  </w:pPr>
                  <w:r w:rsidRPr="00733612">
                    <w:rPr>
                      <w:b/>
                      <w:sz w:val="16"/>
                      <w:szCs w:val="16"/>
                    </w:rPr>
                    <w:t>960,00</w:t>
                  </w:r>
                </w:p>
              </w:tc>
              <w:tc>
                <w:tcPr>
                  <w:tcW w:w="993" w:type="dxa"/>
                  <w:tcBorders>
                    <w:top w:val="single" w:sz="4" w:space="0" w:color="auto"/>
                    <w:bottom w:val="single" w:sz="4" w:space="0" w:color="auto"/>
                  </w:tcBorders>
                  <w:shd w:val="clear" w:color="auto" w:fill="D9D9D9" w:themeFill="background1" w:themeFillShade="D9"/>
                  <w:vAlign w:val="center"/>
                </w:tcPr>
                <w:p w14:paraId="56C5BA8D" w14:textId="77777777" w:rsidR="004126C7" w:rsidRPr="00733612" w:rsidRDefault="004126C7" w:rsidP="00443DA3">
                  <w:pPr>
                    <w:jc w:val="right"/>
                    <w:rPr>
                      <w:b/>
                      <w:sz w:val="16"/>
                      <w:szCs w:val="16"/>
                    </w:rPr>
                  </w:pPr>
                  <w:r w:rsidRPr="00733612">
                    <w:rPr>
                      <w:b/>
                      <w:sz w:val="16"/>
                      <w:szCs w:val="16"/>
                    </w:rPr>
                    <w:t>2.880,00</w:t>
                  </w:r>
                </w:p>
              </w:tc>
              <w:tc>
                <w:tcPr>
                  <w:tcW w:w="2126" w:type="dxa"/>
                  <w:shd w:val="clear" w:color="auto" w:fill="FFFFFF" w:themeFill="background1"/>
                  <w:vAlign w:val="center"/>
                </w:tcPr>
                <w:p w14:paraId="7A92A842" w14:textId="77777777" w:rsidR="004126C7" w:rsidRPr="00733612" w:rsidRDefault="004126C7" w:rsidP="004126C7">
                  <w:pPr>
                    <w:rPr>
                      <w:b/>
                      <w:sz w:val="16"/>
                      <w:szCs w:val="16"/>
                    </w:rPr>
                  </w:pPr>
                  <w:r w:rsidRPr="00733612">
                    <w:rPr>
                      <w:rFonts w:cs="Arial"/>
                      <w:sz w:val="18"/>
                      <w:szCs w:val="18"/>
                    </w:rPr>
                    <w:t>8. Porez po stopi 20%</w:t>
                  </w:r>
                </w:p>
              </w:tc>
              <w:tc>
                <w:tcPr>
                  <w:tcW w:w="1276" w:type="dxa"/>
                  <w:tcBorders>
                    <w:top w:val="single" w:sz="4" w:space="0" w:color="auto"/>
                    <w:bottom w:val="single" w:sz="4" w:space="0" w:color="auto"/>
                  </w:tcBorders>
                  <w:shd w:val="clear" w:color="auto" w:fill="D9D9D9" w:themeFill="background1" w:themeFillShade="D9"/>
                  <w:vAlign w:val="center"/>
                </w:tcPr>
                <w:p w14:paraId="674DE189" w14:textId="77777777" w:rsidR="004126C7" w:rsidRPr="00733612" w:rsidRDefault="004126C7" w:rsidP="00443DA3">
                  <w:pPr>
                    <w:jc w:val="right"/>
                    <w:rPr>
                      <w:b/>
                      <w:sz w:val="16"/>
                      <w:szCs w:val="16"/>
                    </w:rPr>
                  </w:pPr>
                  <w:r w:rsidRPr="00733612">
                    <w:rPr>
                      <w:b/>
                      <w:sz w:val="16"/>
                      <w:szCs w:val="16"/>
                    </w:rPr>
                    <w:t>800,00</w:t>
                  </w:r>
                </w:p>
              </w:tc>
              <w:tc>
                <w:tcPr>
                  <w:tcW w:w="1134" w:type="dxa"/>
                  <w:tcBorders>
                    <w:top w:val="single" w:sz="4" w:space="0" w:color="auto"/>
                    <w:bottom w:val="single" w:sz="4" w:space="0" w:color="auto"/>
                  </w:tcBorders>
                  <w:shd w:val="clear" w:color="auto" w:fill="D9D9D9" w:themeFill="background1" w:themeFillShade="D9"/>
                  <w:vAlign w:val="center"/>
                </w:tcPr>
                <w:p w14:paraId="31D244D3" w14:textId="77777777" w:rsidR="004126C7" w:rsidRPr="00733612" w:rsidRDefault="004126C7" w:rsidP="00443DA3">
                  <w:pPr>
                    <w:jc w:val="right"/>
                    <w:rPr>
                      <w:b/>
                      <w:sz w:val="16"/>
                      <w:szCs w:val="16"/>
                    </w:rPr>
                  </w:pPr>
                  <w:r w:rsidRPr="00733612">
                    <w:rPr>
                      <w:b/>
                      <w:sz w:val="16"/>
                      <w:szCs w:val="16"/>
                    </w:rPr>
                    <w:t>2.400,00</w:t>
                  </w:r>
                </w:p>
              </w:tc>
            </w:tr>
            <w:tr w:rsidR="00733612" w:rsidRPr="00733612" w14:paraId="1E54514D" w14:textId="77777777" w:rsidTr="00785DA8">
              <w:trPr>
                <w:trHeight w:val="255"/>
                <w:jc w:val="center"/>
              </w:trPr>
              <w:tc>
                <w:tcPr>
                  <w:tcW w:w="2253" w:type="dxa"/>
                  <w:shd w:val="clear" w:color="auto" w:fill="FFFFFF" w:themeFill="background1"/>
                  <w:noWrap/>
                  <w:vAlign w:val="center"/>
                </w:tcPr>
                <w:p w14:paraId="2712B599" w14:textId="77777777" w:rsidR="004126C7" w:rsidRPr="00733612" w:rsidRDefault="004126C7" w:rsidP="004126C7">
                  <w:pPr>
                    <w:rPr>
                      <w:b/>
                      <w:sz w:val="18"/>
                      <w:szCs w:val="18"/>
                    </w:rPr>
                  </w:pPr>
                  <w:r w:rsidRPr="00733612">
                    <w:rPr>
                      <w:rFonts w:cs="Arial"/>
                      <w:sz w:val="18"/>
                      <w:szCs w:val="18"/>
                    </w:rPr>
                    <w:t>9.</w:t>
                  </w:r>
                  <w:r w:rsidRPr="00733612">
                    <w:rPr>
                      <w:sz w:val="18"/>
                      <w:szCs w:val="18"/>
                    </w:rPr>
                    <w:t xml:space="preserve"> Porez po stopi 36%</w:t>
                  </w:r>
                </w:p>
              </w:tc>
              <w:tc>
                <w:tcPr>
                  <w:tcW w:w="1134" w:type="dxa"/>
                  <w:tcBorders>
                    <w:top w:val="single" w:sz="4" w:space="0" w:color="auto"/>
                    <w:bottom w:val="single" w:sz="4" w:space="0" w:color="auto"/>
                  </w:tcBorders>
                  <w:shd w:val="clear" w:color="auto" w:fill="D9D9D9" w:themeFill="background1" w:themeFillShade="D9"/>
                  <w:vAlign w:val="center"/>
                </w:tcPr>
                <w:p w14:paraId="13CD7C10" w14:textId="77777777" w:rsidR="004126C7" w:rsidRPr="00733612" w:rsidRDefault="004126C7" w:rsidP="00443DA3">
                  <w:pPr>
                    <w:jc w:val="right"/>
                    <w:rPr>
                      <w:b/>
                      <w:sz w:val="16"/>
                      <w:szCs w:val="16"/>
                    </w:rPr>
                  </w:pPr>
                  <w:r w:rsidRPr="00733612">
                    <w:rPr>
                      <w:b/>
                      <w:sz w:val="16"/>
                      <w:szCs w:val="16"/>
                    </w:rPr>
                    <w:t>0,00</w:t>
                  </w:r>
                </w:p>
              </w:tc>
              <w:tc>
                <w:tcPr>
                  <w:tcW w:w="993" w:type="dxa"/>
                  <w:tcBorders>
                    <w:top w:val="single" w:sz="4" w:space="0" w:color="auto"/>
                    <w:bottom w:val="single" w:sz="4" w:space="0" w:color="auto"/>
                  </w:tcBorders>
                  <w:shd w:val="clear" w:color="auto" w:fill="D9D9D9" w:themeFill="background1" w:themeFillShade="D9"/>
                  <w:vAlign w:val="center"/>
                </w:tcPr>
                <w:p w14:paraId="4D1D1E3F" w14:textId="77777777" w:rsidR="004126C7" w:rsidRPr="00733612" w:rsidRDefault="004126C7" w:rsidP="00443DA3">
                  <w:pPr>
                    <w:jc w:val="right"/>
                    <w:rPr>
                      <w:b/>
                      <w:sz w:val="16"/>
                      <w:szCs w:val="16"/>
                    </w:rPr>
                  </w:pPr>
                  <w:r w:rsidRPr="00733612">
                    <w:rPr>
                      <w:b/>
                      <w:sz w:val="16"/>
                      <w:szCs w:val="16"/>
                    </w:rPr>
                    <w:t>0,00</w:t>
                  </w:r>
                </w:p>
              </w:tc>
              <w:tc>
                <w:tcPr>
                  <w:tcW w:w="2126" w:type="dxa"/>
                  <w:shd w:val="clear" w:color="auto" w:fill="FFFFFF" w:themeFill="background1"/>
                  <w:vAlign w:val="center"/>
                </w:tcPr>
                <w:p w14:paraId="711E25B5" w14:textId="77777777" w:rsidR="004126C7" w:rsidRPr="00733612" w:rsidRDefault="004126C7" w:rsidP="004126C7">
                  <w:pPr>
                    <w:rPr>
                      <w:b/>
                      <w:sz w:val="16"/>
                      <w:szCs w:val="16"/>
                    </w:rPr>
                  </w:pPr>
                  <w:r w:rsidRPr="00733612">
                    <w:rPr>
                      <w:rFonts w:cs="Arial"/>
                      <w:sz w:val="18"/>
                      <w:szCs w:val="18"/>
                    </w:rPr>
                    <w:t>9.</w:t>
                  </w:r>
                  <w:r w:rsidRPr="00733612">
                    <w:rPr>
                      <w:sz w:val="18"/>
                      <w:szCs w:val="18"/>
                    </w:rPr>
                    <w:t xml:space="preserve"> Porez po stopi 30%</w:t>
                  </w:r>
                </w:p>
              </w:tc>
              <w:tc>
                <w:tcPr>
                  <w:tcW w:w="1276" w:type="dxa"/>
                  <w:tcBorders>
                    <w:top w:val="single" w:sz="4" w:space="0" w:color="auto"/>
                    <w:bottom w:val="single" w:sz="4" w:space="0" w:color="auto"/>
                  </w:tcBorders>
                  <w:shd w:val="clear" w:color="auto" w:fill="D9D9D9" w:themeFill="background1" w:themeFillShade="D9"/>
                  <w:vAlign w:val="center"/>
                </w:tcPr>
                <w:p w14:paraId="2C999441" w14:textId="77777777" w:rsidR="004126C7" w:rsidRPr="00733612" w:rsidRDefault="004126C7" w:rsidP="00443DA3">
                  <w:pPr>
                    <w:jc w:val="right"/>
                    <w:rPr>
                      <w:b/>
                      <w:sz w:val="16"/>
                      <w:szCs w:val="16"/>
                    </w:rPr>
                  </w:pPr>
                  <w:r w:rsidRPr="00733612">
                    <w:rPr>
                      <w:b/>
                      <w:sz w:val="16"/>
                      <w:szCs w:val="16"/>
                    </w:rPr>
                    <w:t>0,00</w:t>
                  </w:r>
                </w:p>
              </w:tc>
              <w:tc>
                <w:tcPr>
                  <w:tcW w:w="1134" w:type="dxa"/>
                  <w:tcBorders>
                    <w:top w:val="single" w:sz="4" w:space="0" w:color="auto"/>
                    <w:bottom w:val="single" w:sz="4" w:space="0" w:color="auto"/>
                  </w:tcBorders>
                  <w:shd w:val="clear" w:color="auto" w:fill="D9D9D9" w:themeFill="background1" w:themeFillShade="D9"/>
                  <w:vAlign w:val="center"/>
                </w:tcPr>
                <w:p w14:paraId="1AD95310" w14:textId="77777777" w:rsidR="004126C7" w:rsidRPr="00733612" w:rsidRDefault="004126C7" w:rsidP="00443DA3">
                  <w:pPr>
                    <w:jc w:val="right"/>
                    <w:rPr>
                      <w:b/>
                      <w:sz w:val="16"/>
                      <w:szCs w:val="16"/>
                    </w:rPr>
                  </w:pPr>
                  <w:r w:rsidRPr="00733612">
                    <w:rPr>
                      <w:b/>
                      <w:sz w:val="16"/>
                      <w:szCs w:val="16"/>
                    </w:rPr>
                    <w:t>0,00</w:t>
                  </w:r>
                </w:p>
              </w:tc>
            </w:tr>
            <w:tr w:rsidR="00733612" w:rsidRPr="00733612" w14:paraId="64969F05" w14:textId="77777777" w:rsidTr="00785DA8">
              <w:trPr>
                <w:trHeight w:val="60"/>
                <w:jc w:val="center"/>
              </w:trPr>
              <w:tc>
                <w:tcPr>
                  <w:tcW w:w="2253" w:type="dxa"/>
                  <w:noWrap/>
                  <w:vAlign w:val="center"/>
                </w:tcPr>
                <w:p w14:paraId="23BFAB33" w14:textId="77777777" w:rsidR="004126C7" w:rsidRPr="00733612" w:rsidRDefault="004126C7" w:rsidP="004126C7">
                  <w:pPr>
                    <w:rPr>
                      <w:b/>
                      <w:sz w:val="16"/>
                      <w:szCs w:val="16"/>
                    </w:rPr>
                  </w:pPr>
                  <w:r w:rsidRPr="00733612">
                    <w:rPr>
                      <w:rFonts w:cs="Arial"/>
                      <w:sz w:val="18"/>
                      <w:szCs w:val="18"/>
                    </w:rPr>
                    <w:t>10. Ukupno porez</w:t>
                  </w:r>
                </w:p>
              </w:tc>
              <w:tc>
                <w:tcPr>
                  <w:tcW w:w="1134" w:type="dxa"/>
                  <w:tcBorders>
                    <w:top w:val="single" w:sz="4" w:space="0" w:color="auto"/>
                    <w:bottom w:val="single" w:sz="4" w:space="0" w:color="auto"/>
                  </w:tcBorders>
                  <w:shd w:val="clear" w:color="auto" w:fill="D9D9D9" w:themeFill="background1" w:themeFillShade="D9"/>
                  <w:vAlign w:val="center"/>
                </w:tcPr>
                <w:p w14:paraId="0B178E29" w14:textId="77777777" w:rsidR="004126C7" w:rsidRPr="00733612" w:rsidRDefault="004126C7" w:rsidP="00443DA3">
                  <w:pPr>
                    <w:jc w:val="right"/>
                    <w:rPr>
                      <w:b/>
                      <w:sz w:val="16"/>
                      <w:szCs w:val="16"/>
                    </w:rPr>
                  </w:pPr>
                  <w:r w:rsidRPr="00733612">
                    <w:rPr>
                      <w:b/>
                      <w:sz w:val="16"/>
                      <w:szCs w:val="16"/>
                    </w:rPr>
                    <w:t>960,00</w:t>
                  </w:r>
                </w:p>
              </w:tc>
              <w:tc>
                <w:tcPr>
                  <w:tcW w:w="993" w:type="dxa"/>
                  <w:tcBorders>
                    <w:top w:val="single" w:sz="4" w:space="0" w:color="auto"/>
                    <w:bottom w:val="single" w:sz="4" w:space="0" w:color="auto"/>
                  </w:tcBorders>
                  <w:shd w:val="clear" w:color="auto" w:fill="D9D9D9" w:themeFill="background1" w:themeFillShade="D9"/>
                  <w:vAlign w:val="center"/>
                </w:tcPr>
                <w:p w14:paraId="21B56B13" w14:textId="77777777" w:rsidR="004126C7" w:rsidRPr="00733612" w:rsidRDefault="004126C7" w:rsidP="00443DA3">
                  <w:pPr>
                    <w:jc w:val="right"/>
                    <w:rPr>
                      <w:b/>
                      <w:sz w:val="16"/>
                      <w:szCs w:val="16"/>
                    </w:rPr>
                  </w:pPr>
                  <w:r w:rsidRPr="00733612">
                    <w:rPr>
                      <w:b/>
                      <w:sz w:val="16"/>
                      <w:szCs w:val="16"/>
                    </w:rPr>
                    <w:t>2.880,00</w:t>
                  </w:r>
                </w:p>
              </w:tc>
              <w:tc>
                <w:tcPr>
                  <w:tcW w:w="2126" w:type="dxa"/>
                  <w:vAlign w:val="center"/>
                </w:tcPr>
                <w:p w14:paraId="47D989E0" w14:textId="77777777" w:rsidR="004126C7" w:rsidRPr="00733612" w:rsidRDefault="004126C7" w:rsidP="004126C7">
                  <w:pPr>
                    <w:rPr>
                      <w:b/>
                      <w:sz w:val="16"/>
                      <w:szCs w:val="16"/>
                    </w:rPr>
                  </w:pPr>
                  <w:r w:rsidRPr="00733612">
                    <w:rPr>
                      <w:rFonts w:cs="Arial"/>
                      <w:sz w:val="18"/>
                      <w:szCs w:val="18"/>
                    </w:rPr>
                    <w:t>10. Ukupno porez</w:t>
                  </w:r>
                </w:p>
              </w:tc>
              <w:tc>
                <w:tcPr>
                  <w:tcW w:w="1276" w:type="dxa"/>
                  <w:tcBorders>
                    <w:top w:val="single" w:sz="4" w:space="0" w:color="auto"/>
                    <w:bottom w:val="single" w:sz="4" w:space="0" w:color="auto"/>
                  </w:tcBorders>
                  <w:shd w:val="clear" w:color="auto" w:fill="D9D9D9" w:themeFill="background1" w:themeFillShade="D9"/>
                  <w:vAlign w:val="center"/>
                </w:tcPr>
                <w:p w14:paraId="7F8B2545" w14:textId="77777777" w:rsidR="004126C7" w:rsidRPr="00733612" w:rsidRDefault="004126C7" w:rsidP="00443DA3">
                  <w:pPr>
                    <w:jc w:val="right"/>
                    <w:rPr>
                      <w:b/>
                      <w:sz w:val="16"/>
                      <w:szCs w:val="16"/>
                    </w:rPr>
                  </w:pPr>
                  <w:r w:rsidRPr="00733612">
                    <w:rPr>
                      <w:b/>
                      <w:sz w:val="16"/>
                      <w:szCs w:val="16"/>
                    </w:rPr>
                    <w:t>800,00</w:t>
                  </w:r>
                </w:p>
              </w:tc>
              <w:tc>
                <w:tcPr>
                  <w:tcW w:w="1134" w:type="dxa"/>
                  <w:tcBorders>
                    <w:top w:val="single" w:sz="4" w:space="0" w:color="auto"/>
                    <w:bottom w:val="single" w:sz="4" w:space="0" w:color="auto"/>
                  </w:tcBorders>
                  <w:shd w:val="clear" w:color="auto" w:fill="D9D9D9" w:themeFill="background1" w:themeFillShade="D9"/>
                  <w:vAlign w:val="center"/>
                </w:tcPr>
                <w:p w14:paraId="1821D289" w14:textId="77777777" w:rsidR="004126C7" w:rsidRPr="00733612" w:rsidRDefault="004126C7" w:rsidP="00443DA3">
                  <w:pPr>
                    <w:jc w:val="right"/>
                    <w:rPr>
                      <w:b/>
                      <w:sz w:val="16"/>
                      <w:szCs w:val="16"/>
                    </w:rPr>
                  </w:pPr>
                  <w:r w:rsidRPr="00733612">
                    <w:rPr>
                      <w:b/>
                      <w:sz w:val="16"/>
                      <w:szCs w:val="16"/>
                    </w:rPr>
                    <w:t>2.400,00</w:t>
                  </w:r>
                </w:p>
              </w:tc>
            </w:tr>
            <w:tr w:rsidR="00733612" w:rsidRPr="00733612" w14:paraId="1993D926" w14:textId="77777777" w:rsidTr="00785DA8">
              <w:trPr>
                <w:trHeight w:val="255"/>
                <w:jc w:val="center"/>
              </w:trPr>
              <w:tc>
                <w:tcPr>
                  <w:tcW w:w="2253" w:type="dxa"/>
                  <w:noWrap/>
                  <w:vAlign w:val="center"/>
                </w:tcPr>
                <w:p w14:paraId="015F6713" w14:textId="77777777" w:rsidR="004126C7" w:rsidRPr="00733612" w:rsidRDefault="004126C7" w:rsidP="004126C7">
                  <w:pPr>
                    <w:rPr>
                      <w:b/>
                      <w:sz w:val="16"/>
                      <w:szCs w:val="16"/>
                    </w:rPr>
                  </w:pPr>
                  <w:r w:rsidRPr="00733612">
                    <w:rPr>
                      <w:rFonts w:cs="Arial"/>
                      <w:sz w:val="18"/>
                      <w:szCs w:val="18"/>
                    </w:rPr>
                    <w:t xml:space="preserve">11. Prirez (18%) </w:t>
                  </w:r>
                </w:p>
              </w:tc>
              <w:tc>
                <w:tcPr>
                  <w:tcW w:w="1134" w:type="dxa"/>
                  <w:tcBorders>
                    <w:top w:val="single" w:sz="4" w:space="0" w:color="auto"/>
                    <w:bottom w:val="single" w:sz="4" w:space="0" w:color="auto"/>
                  </w:tcBorders>
                  <w:shd w:val="clear" w:color="auto" w:fill="D9D9D9" w:themeFill="background1" w:themeFillShade="D9"/>
                  <w:vAlign w:val="center"/>
                </w:tcPr>
                <w:p w14:paraId="4401F8BA" w14:textId="77777777" w:rsidR="004126C7" w:rsidRPr="00733612" w:rsidRDefault="004126C7" w:rsidP="00443DA3">
                  <w:pPr>
                    <w:jc w:val="right"/>
                    <w:rPr>
                      <w:b/>
                      <w:sz w:val="16"/>
                      <w:szCs w:val="16"/>
                    </w:rPr>
                  </w:pPr>
                  <w:r w:rsidRPr="00733612">
                    <w:rPr>
                      <w:b/>
                      <w:sz w:val="16"/>
                      <w:szCs w:val="16"/>
                    </w:rPr>
                    <w:t>172,80</w:t>
                  </w:r>
                </w:p>
              </w:tc>
              <w:tc>
                <w:tcPr>
                  <w:tcW w:w="993" w:type="dxa"/>
                  <w:tcBorders>
                    <w:top w:val="single" w:sz="4" w:space="0" w:color="auto"/>
                    <w:bottom w:val="single" w:sz="4" w:space="0" w:color="auto"/>
                  </w:tcBorders>
                  <w:shd w:val="clear" w:color="auto" w:fill="D9D9D9" w:themeFill="background1" w:themeFillShade="D9"/>
                  <w:vAlign w:val="center"/>
                </w:tcPr>
                <w:p w14:paraId="1AAFD396" w14:textId="77777777" w:rsidR="004126C7" w:rsidRPr="00733612" w:rsidRDefault="004126C7" w:rsidP="00443DA3">
                  <w:pPr>
                    <w:jc w:val="right"/>
                    <w:rPr>
                      <w:b/>
                      <w:sz w:val="16"/>
                      <w:szCs w:val="16"/>
                    </w:rPr>
                  </w:pPr>
                  <w:r w:rsidRPr="00733612">
                    <w:rPr>
                      <w:b/>
                      <w:sz w:val="16"/>
                      <w:szCs w:val="16"/>
                    </w:rPr>
                    <w:t>518,40</w:t>
                  </w:r>
                </w:p>
              </w:tc>
              <w:tc>
                <w:tcPr>
                  <w:tcW w:w="2126" w:type="dxa"/>
                  <w:vAlign w:val="center"/>
                </w:tcPr>
                <w:p w14:paraId="6654E287" w14:textId="77777777" w:rsidR="004126C7" w:rsidRPr="00733612" w:rsidRDefault="004126C7" w:rsidP="004126C7">
                  <w:pPr>
                    <w:rPr>
                      <w:b/>
                      <w:sz w:val="16"/>
                      <w:szCs w:val="16"/>
                    </w:rPr>
                  </w:pPr>
                  <w:r w:rsidRPr="00733612">
                    <w:rPr>
                      <w:rFonts w:cs="Arial"/>
                      <w:sz w:val="18"/>
                      <w:szCs w:val="18"/>
                    </w:rPr>
                    <w:t xml:space="preserve">11. Prirez (18%) </w:t>
                  </w:r>
                </w:p>
              </w:tc>
              <w:tc>
                <w:tcPr>
                  <w:tcW w:w="1276" w:type="dxa"/>
                  <w:tcBorders>
                    <w:top w:val="single" w:sz="4" w:space="0" w:color="auto"/>
                    <w:bottom w:val="single" w:sz="4" w:space="0" w:color="auto"/>
                  </w:tcBorders>
                  <w:shd w:val="clear" w:color="auto" w:fill="D9D9D9" w:themeFill="background1" w:themeFillShade="D9"/>
                  <w:vAlign w:val="center"/>
                </w:tcPr>
                <w:p w14:paraId="6183485B" w14:textId="77777777" w:rsidR="004126C7" w:rsidRPr="00733612" w:rsidRDefault="004126C7" w:rsidP="00443DA3">
                  <w:pPr>
                    <w:jc w:val="right"/>
                    <w:rPr>
                      <w:b/>
                      <w:sz w:val="16"/>
                      <w:szCs w:val="16"/>
                    </w:rPr>
                  </w:pPr>
                  <w:r w:rsidRPr="00733612">
                    <w:rPr>
                      <w:b/>
                      <w:sz w:val="16"/>
                      <w:szCs w:val="16"/>
                    </w:rPr>
                    <w:t>144,00</w:t>
                  </w:r>
                </w:p>
              </w:tc>
              <w:tc>
                <w:tcPr>
                  <w:tcW w:w="1134" w:type="dxa"/>
                  <w:tcBorders>
                    <w:top w:val="single" w:sz="4" w:space="0" w:color="auto"/>
                    <w:bottom w:val="single" w:sz="4" w:space="0" w:color="auto"/>
                  </w:tcBorders>
                  <w:shd w:val="clear" w:color="auto" w:fill="D9D9D9" w:themeFill="background1" w:themeFillShade="D9"/>
                  <w:vAlign w:val="center"/>
                </w:tcPr>
                <w:p w14:paraId="047BB9CE" w14:textId="77777777" w:rsidR="004126C7" w:rsidRPr="00733612" w:rsidRDefault="004126C7" w:rsidP="00443DA3">
                  <w:pPr>
                    <w:jc w:val="right"/>
                    <w:rPr>
                      <w:b/>
                      <w:sz w:val="16"/>
                      <w:szCs w:val="16"/>
                    </w:rPr>
                  </w:pPr>
                  <w:r w:rsidRPr="00733612">
                    <w:rPr>
                      <w:b/>
                      <w:sz w:val="16"/>
                      <w:szCs w:val="16"/>
                    </w:rPr>
                    <w:t>432,00</w:t>
                  </w:r>
                </w:p>
              </w:tc>
            </w:tr>
            <w:tr w:rsidR="00733612" w:rsidRPr="00733612" w14:paraId="4E23FAAB" w14:textId="77777777" w:rsidTr="00785DA8">
              <w:trPr>
                <w:trHeight w:val="255"/>
                <w:jc w:val="center"/>
              </w:trPr>
              <w:tc>
                <w:tcPr>
                  <w:tcW w:w="2253" w:type="dxa"/>
                  <w:noWrap/>
                  <w:vAlign w:val="center"/>
                </w:tcPr>
                <w:p w14:paraId="57FE3AF4" w14:textId="77777777" w:rsidR="004126C7" w:rsidRPr="00733612" w:rsidRDefault="004126C7" w:rsidP="004126C7">
                  <w:pPr>
                    <w:rPr>
                      <w:b/>
                      <w:sz w:val="16"/>
                      <w:szCs w:val="16"/>
                    </w:rPr>
                  </w:pPr>
                  <w:r w:rsidRPr="00733612">
                    <w:rPr>
                      <w:rFonts w:cs="Arial"/>
                      <w:sz w:val="18"/>
                      <w:szCs w:val="18"/>
                    </w:rPr>
                    <w:t>12. Porez i prirez ukupno</w:t>
                  </w:r>
                </w:p>
              </w:tc>
              <w:tc>
                <w:tcPr>
                  <w:tcW w:w="1134" w:type="dxa"/>
                  <w:tcBorders>
                    <w:top w:val="single" w:sz="4" w:space="0" w:color="auto"/>
                    <w:bottom w:val="single" w:sz="4" w:space="0" w:color="auto"/>
                  </w:tcBorders>
                  <w:shd w:val="clear" w:color="auto" w:fill="D9D9D9" w:themeFill="background1" w:themeFillShade="D9"/>
                  <w:vAlign w:val="center"/>
                </w:tcPr>
                <w:p w14:paraId="4F288CAA" w14:textId="77777777" w:rsidR="004126C7" w:rsidRPr="00733612" w:rsidRDefault="004126C7" w:rsidP="00443DA3">
                  <w:pPr>
                    <w:jc w:val="right"/>
                    <w:rPr>
                      <w:b/>
                      <w:sz w:val="16"/>
                      <w:szCs w:val="16"/>
                    </w:rPr>
                  </w:pPr>
                  <w:r w:rsidRPr="00733612">
                    <w:rPr>
                      <w:b/>
                      <w:sz w:val="16"/>
                      <w:szCs w:val="16"/>
                    </w:rPr>
                    <w:t>1.132,80</w:t>
                  </w:r>
                </w:p>
              </w:tc>
              <w:tc>
                <w:tcPr>
                  <w:tcW w:w="993" w:type="dxa"/>
                  <w:tcBorders>
                    <w:top w:val="single" w:sz="4" w:space="0" w:color="auto"/>
                    <w:bottom w:val="single" w:sz="4" w:space="0" w:color="auto"/>
                  </w:tcBorders>
                  <w:shd w:val="clear" w:color="auto" w:fill="D9D9D9" w:themeFill="background1" w:themeFillShade="D9"/>
                  <w:vAlign w:val="center"/>
                </w:tcPr>
                <w:p w14:paraId="61A9306B" w14:textId="77777777" w:rsidR="004126C7" w:rsidRPr="00733612" w:rsidRDefault="004126C7" w:rsidP="00443DA3">
                  <w:pPr>
                    <w:jc w:val="right"/>
                    <w:rPr>
                      <w:b/>
                      <w:sz w:val="16"/>
                      <w:szCs w:val="16"/>
                    </w:rPr>
                  </w:pPr>
                  <w:r w:rsidRPr="00733612">
                    <w:rPr>
                      <w:b/>
                      <w:sz w:val="16"/>
                      <w:szCs w:val="16"/>
                    </w:rPr>
                    <w:t>3.398,40</w:t>
                  </w:r>
                </w:p>
              </w:tc>
              <w:tc>
                <w:tcPr>
                  <w:tcW w:w="2126" w:type="dxa"/>
                  <w:vAlign w:val="center"/>
                </w:tcPr>
                <w:p w14:paraId="32B370D5" w14:textId="77777777" w:rsidR="004126C7" w:rsidRPr="00733612" w:rsidRDefault="004126C7" w:rsidP="004126C7">
                  <w:pPr>
                    <w:rPr>
                      <w:b/>
                      <w:sz w:val="16"/>
                      <w:szCs w:val="16"/>
                    </w:rPr>
                  </w:pPr>
                  <w:r w:rsidRPr="00733612">
                    <w:rPr>
                      <w:rFonts w:cs="Arial"/>
                      <w:sz w:val="18"/>
                      <w:szCs w:val="18"/>
                    </w:rPr>
                    <w:t>12. Porez i prirez ukupno</w:t>
                  </w:r>
                </w:p>
              </w:tc>
              <w:tc>
                <w:tcPr>
                  <w:tcW w:w="1276" w:type="dxa"/>
                  <w:tcBorders>
                    <w:top w:val="single" w:sz="4" w:space="0" w:color="auto"/>
                    <w:bottom w:val="single" w:sz="4" w:space="0" w:color="auto"/>
                  </w:tcBorders>
                  <w:shd w:val="clear" w:color="auto" w:fill="D9D9D9" w:themeFill="background1" w:themeFillShade="D9"/>
                  <w:vAlign w:val="center"/>
                </w:tcPr>
                <w:p w14:paraId="28FC6DCD" w14:textId="77777777" w:rsidR="004126C7" w:rsidRPr="00733612" w:rsidRDefault="004126C7" w:rsidP="00443DA3">
                  <w:pPr>
                    <w:jc w:val="right"/>
                    <w:rPr>
                      <w:b/>
                      <w:sz w:val="16"/>
                      <w:szCs w:val="16"/>
                    </w:rPr>
                  </w:pPr>
                  <w:r w:rsidRPr="00733612">
                    <w:rPr>
                      <w:b/>
                      <w:sz w:val="16"/>
                      <w:szCs w:val="16"/>
                    </w:rPr>
                    <w:t>944,00</w:t>
                  </w:r>
                </w:p>
              </w:tc>
              <w:tc>
                <w:tcPr>
                  <w:tcW w:w="1134" w:type="dxa"/>
                  <w:tcBorders>
                    <w:top w:val="single" w:sz="4" w:space="0" w:color="auto"/>
                    <w:bottom w:val="single" w:sz="4" w:space="0" w:color="auto"/>
                  </w:tcBorders>
                  <w:shd w:val="clear" w:color="auto" w:fill="D9D9D9" w:themeFill="background1" w:themeFillShade="D9"/>
                  <w:vAlign w:val="center"/>
                </w:tcPr>
                <w:p w14:paraId="770D23D1" w14:textId="77777777" w:rsidR="004126C7" w:rsidRPr="00733612" w:rsidRDefault="004126C7" w:rsidP="00443DA3">
                  <w:pPr>
                    <w:jc w:val="right"/>
                    <w:rPr>
                      <w:b/>
                      <w:sz w:val="16"/>
                      <w:szCs w:val="16"/>
                    </w:rPr>
                  </w:pPr>
                  <w:r w:rsidRPr="00733612">
                    <w:rPr>
                      <w:b/>
                      <w:sz w:val="16"/>
                      <w:szCs w:val="16"/>
                    </w:rPr>
                    <w:t>2.832,00</w:t>
                  </w:r>
                </w:p>
              </w:tc>
            </w:tr>
            <w:tr w:rsidR="00733612" w:rsidRPr="00733612" w14:paraId="1A8E3E44" w14:textId="77777777" w:rsidTr="00785DA8">
              <w:trPr>
                <w:trHeight w:val="255"/>
                <w:jc w:val="center"/>
              </w:trPr>
              <w:tc>
                <w:tcPr>
                  <w:tcW w:w="2253" w:type="dxa"/>
                  <w:noWrap/>
                  <w:vAlign w:val="center"/>
                </w:tcPr>
                <w:p w14:paraId="555441C5" w14:textId="77777777" w:rsidR="004126C7" w:rsidRPr="00733612" w:rsidRDefault="004126C7" w:rsidP="004126C7">
                  <w:pPr>
                    <w:rPr>
                      <w:b/>
                      <w:sz w:val="16"/>
                      <w:szCs w:val="16"/>
                    </w:rPr>
                  </w:pPr>
                  <w:r w:rsidRPr="00733612">
                    <w:rPr>
                      <w:rFonts w:cs="Arial"/>
                      <w:sz w:val="18"/>
                      <w:szCs w:val="18"/>
                    </w:rPr>
                    <w:t xml:space="preserve">13. Iznos plaće za isplatu </w:t>
                  </w:r>
                </w:p>
              </w:tc>
              <w:tc>
                <w:tcPr>
                  <w:tcW w:w="1134" w:type="dxa"/>
                  <w:tcBorders>
                    <w:top w:val="single" w:sz="4" w:space="0" w:color="auto"/>
                    <w:bottom w:val="single" w:sz="4" w:space="0" w:color="auto"/>
                  </w:tcBorders>
                  <w:shd w:val="clear" w:color="auto" w:fill="D9D9D9" w:themeFill="background1" w:themeFillShade="D9"/>
                  <w:vAlign w:val="center"/>
                </w:tcPr>
                <w:p w14:paraId="1C6BFFA1" w14:textId="77777777" w:rsidR="004126C7" w:rsidRPr="00733612" w:rsidRDefault="004126C7" w:rsidP="00443DA3">
                  <w:pPr>
                    <w:jc w:val="right"/>
                    <w:rPr>
                      <w:b/>
                      <w:sz w:val="16"/>
                      <w:szCs w:val="16"/>
                    </w:rPr>
                  </w:pPr>
                  <w:r w:rsidRPr="00733612">
                    <w:rPr>
                      <w:b/>
                      <w:sz w:val="16"/>
                      <w:szCs w:val="16"/>
                    </w:rPr>
                    <w:t>6.867,20</w:t>
                  </w:r>
                </w:p>
              </w:tc>
              <w:tc>
                <w:tcPr>
                  <w:tcW w:w="993" w:type="dxa"/>
                  <w:tcBorders>
                    <w:top w:val="single" w:sz="4" w:space="0" w:color="auto"/>
                    <w:bottom w:val="single" w:sz="4" w:space="0" w:color="auto"/>
                  </w:tcBorders>
                  <w:shd w:val="clear" w:color="auto" w:fill="D9D9D9" w:themeFill="background1" w:themeFillShade="D9"/>
                  <w:vAlign w:val="center"/>
                </w:tcPr>
                <w:p w14:paraId="763A8DE4" w14:textId="77777777" w:rsidR="004126C7" w:rsidRPr="00733612" w:rsidRDefault="004126C7" w:rsidP="00443DA3">
                  <w:pPr>
                    <w:jc w:val="right"/>
                    <w:rPr>
                      <w:b/>
                      <w:sz w:val="16"/>
                      <w:szCs w:val="16"/>
                    </w:rPr>
                  </w:pPr>
                  <w:r w:rsidRPr="00733612">
                    <w:rPr>
                      <w:b/>
                      <w:sz w:val="16"/>
                      <w:szCs w:val="16"/>
                    </w:rPr>
                    <w:t>12.601,60</w:t>
                  </w:r>
                </w:p>
              </w:tc>
              <w:tc>
                <w:tcPr>
                  <w:tcW w:w="2126" w:type="dxa"/>
                  <w:vAlign w:val="center"/>
                </w:tcPr>
                <w:p w14:paraId="3F624BD4" w14:textId="77777777" w:rsidR="004126C7" w:rsidRPr="00733612" w:rsidRDefault="004126C7" w:rsidP="004126C7">
                  <w:pPr>
                    <w:rPr>
                      <w:b/>
                      <w:sz w:val="16"/>
                      <w:szCs w:val="16"/>
                    </w:rPr>
                  </w:pPr>
                  <w:r w:rsidRPr="00733612">
                    <w:rPr>
                      <w:rFonts w:cs="Arial"/>
                      <w:sz w:val="18"/>
                      <w:szCs w:val="18"/>
                    </w:rPr>
                    <w:t xml:space="preserve">13. Iznos plaće za isplatu </w:t>
                  </w:r>
                </w:p>
              </w:tc>
              <w:tc>
                <w:tcPr>
                  <w:tcW w:w="1276" w:type="dxa"/>
                  <w:tcBorders>
                    <w:top w:val="single" w:sz="4" w:space="0" w:color="auto"/>
                    <w:bottom w:val="single" w:sz="4" w:space="0" w:color="auto"/>
                  </w:tcBorders>
                  <w:shd w:val="clear" w:color="auto" w:fill="D9D9D9" w:themeFill="background1" w:themeFillShade="D9"/>
                  <w:vAlign w:val="center"/>
                </w:tcPr>
                <w:p w14:paraId="3903E25A" w14:textId="77777777" w:rsidR="004126C7" w:rsidRPr="00733612" w:rsidRDefault="004126C7" w:rsidP="00443DA3">
                  <w:pPr>
                    <w:jc w:val="right"/>
                    <w:rPr>
                      <w:b/>
                      <w:sz w:val="16"/>
                      <w:szCs w:val="16"/>
                    </w:rPr>
                  </w:pPr>
                  <w:r w:rsidRPr="00733612">
                    <w:rPr>
                      <w:b/>
                      <w:sz w:val="16"/>
                      <w:szCs w:val="16"/>
                    </w:rPr>
                    <w:t>7.056,00</w:t>
                  </w:r>
                </w:p>
              </w:tc>
              <w:tc>
                <w:tcPr>
                  <w:tcW w:w="1134" w:type="dxa"/>
                  <w:tcBorders>
                    <w:top w:val="single" w:sz="4" w:space="0" w:color="auto"/>
                    <w:bottom w:val="single" w:sz="4" w:space="0" w:color="auto"/>
                  </w:tcBorders>
                  <w:shd w:val="clear" w:color="auto" w:fill="D9D9D9" w:themeFill="background1" w:themeFillShade="D9"/>
                  <w:vAlign w:val="center"/>
                </w:tcPr>
                <w:p w14:paraId="650F6478" w14:textId="77777777" w:rsidR="004126C7" w:rsidRPr="00733612" w:rsidRDefault="004126C7" w:rsidP="00443DA3">
                  <w:pPr>
                    <w:jc w:val="right"/>
                    <w:rPr>
                      <w:b/>
                      <w:sz w:val="16"/>
                      <w:szCs w:val="16"/>
                    </w:rPr>
                  </w:pPr>
                  <w:r w:rsidRPr="00733612">
                    <w:rPr>
                      <w:b/>
                      <w:sz w:val="16"/>
                      <w:szCs w:val="16"/>
                    </w:rPr>
                    <w:t>13.168,00</w:t>
                  </w:r>
                </w:p>
              </w:tc>
            </w:tr>
            <w:tr w:rsidR="00733612" w:rsidRPr="00733612" w14:paraId="6E814900" w14:textId="77777777" w:rsidTr="00785DA8">
              <w:trPr>
                <w:trHeight w:val="255"/>
                <w:jc w:val="center"/>
              </w:trPr>
              <w:tc>
                <w:tcPr>
                  <w:tcW w:w="2253" w:type="dxa"/>
                  <w:noWrap/>
                  <w:vAlign w:val="center"/>
                </w:tcPr>
                <w:p w14:paraId="5DF7750B" w14:textId="77777777" w:rsidR="004126C7" w:rsidRPr="00733612" w:rsidRDefault="004126C7" w:rsidP="004126C7">
                  <w:pPr>
                    <w:rPr>
                      <w:rFonts w:cs="Arial"/>
                      <w:sz w:val="18"/>
                      <w:szCs w:val="18"/>
                    </w:rPr>
                  </w:pPr>
                </w:p>
              </w:tc>
              <w:tc>
                <w:tcPr>
                  <w:tcW w:w="1134" w:type="dxa"/>
                  <w:tcBorders>
                    <w:top w:val="single" w:sz="4" w:space="0" w:color="auto"/>
                    <w:bottom w:val="single" w:sz="4" w:space="0" w:color="auto"/>
                  </w:tcBorders>
                  <w:shd w:val="clear" w:color="auto" w:fill="D9D9D9" w:themeFill="background1" w:themeFillShade="D9"/>
                  <w:vAlign w:val="center"/>
                </w:tcPr>
                <w:p w14:paraId="795205A1" w14:textId="77777777" w:rsidR="004126C7" w:rsidRPr="00733612" w:rsidRDefault="004126C7" w:rsidP="004126C7">
                  <w:pPr>
                    <w:jc w:val="center"/>
                    <w:rPr>
                      <w:b/>
                      <w:sz w:val="16"/>
                      <w:szCs w:val="16"/>
                    </w:rPr>
                  </w:pPr>
                </w:p>
              </w:tc>
              <w:tc>
                <w:tcPr>
                  <w:tcW w:w="993" w:type="dxa"/>
                  <w:tcBorders>
                    <w:top w:val="single" w:sz="4" w:space="0" w:color="auto"/>
                    <w:bottom w:val="single" w:sz="4" w:space="0" w:color="auto"/>
                  </w:tcBorders>
                  <w:shd w:val="clear" w:color="auto" w:fill="D9D9D9" w:themeFill="background1" w:themeFillShade="D9"/>
                  <w:vAlign w:val="center"/>
                </w:tcPr>
                <w:p w14:paraId="5AAEDB23" w14:textId="77777777" w:rsidR="004126C7" w:rsidRPr="00733612" w:rsidRDefault="004126C7" w:rsidP="004126C7">
                  <w:pPr>
                    <w:jc w:val="center"/>
                    <w:rPr>
                      <w:b/>
                      <w:sz w:val="16"/>
                      <w:szCs w:val="16"/>
                    </w:rPr>
                  </w:pPr>
                </w:p>
              </w:tc>
              <w:tc>
                <w:tcPr>
                  <w:tcW w:w="2126" w:type="dxa"/>
                  <w:tcBorders>
                    <w:top w:val="single" w:sz="4" w:space="0" w:color="auto"/>
                    <w:bottom w:val="single" w:sz="4" w:space="0" w:color="auto"/>
                  </w:tcBorders>
                  <w:shd w:val="clear" w:color="auto" w:fill="auto"/>
                </w:tcPr>
                <w:p w14:paraId="0119AC0E" w14:textId="77777777" w:rsidR="004126C7" w:rsidRPr="00733612" w:rsidRDefault="004126C7" w:rsidP="004126C7">
                  <w:pPr>
                    <w:rPr>
                      <w:b/>
                      <w:sz w:val="16"/>
                      <w:szCs w:val="16"/>
                    </w:rPr>
                  </w:pPr>
                  <w:r w:rsidRPr="00733612">
                    <w:rPr>
                      <w:b/>
                      <w:sz w:val="16"/>
                      <w:szCs w:val="16"/>
                    </w:rPr>
                    <w:t>RAZLIKA</w:t>
                  </w:r>
                </w:p>
              </w:tc>
              <w:tc>
                <w:tcPr>
                  <w:tcW w:w="1276" w:type="dxa"/>
                  <w:tcBorders>
                    <w:top w:val="single" w:sz="4" w:space="0" w:color="auto"/>
                    <w:bottom w:val="single" w:sz="4" w:space="0" w:color="auto"/>
                  </w:tcBorders>
                  <w:shd w:val="clear" w:color="auto" w:fill="D9D9D9" w:themeFill="background1" w:themeFillShade="D9"/>
                  <w:vAlign w:val="center"/>
                </w:tcPr>
                <w:p w14:paraId="50EA3C7F" w14:textId="77777777" w:rsidR="004126C7" w:rsidRPr="00733612" w:rsidRDefault="004126C7" w:rsidP="00443DA3">
                  <w:pPr>
                    <w:jc w:val="right"/>
                    <w:rPr>
                      <w:b/>
                      <w:sz w:val="16"/>
                      <w:szCs w:val="16"/>
                    </w:rPr>
                  </w:pPr>
                  <w:r w:rsidRPr="00733612">
                    <w:rPr>
                      <w:b/>
                      <w:sz w:val="16"/>
                      <w:szCs w:val="16"/>
                    </w:rPr>
                    <w:t>188,80</w:t>
                  </w:r>
                </w:p>
              </w:tc>
              <w:tc>
                <w:tcPr>
                  <w:tcW w:w="1134" w:type="dxa"/>
                  <w:tcBorders>
                    <w:top w:val="single" w:sz="4" w:space="0" w:color="auto"/>
                    <w:bottom w:val="single" w:sz="4" w:space="0" w:color="auto"/>
                  </w:tcBorders>
                  <w:shd w:val="clear" w:color="auto" w:fill="D9D9D9" w:themeFill="background1" w:themeFillShade="D9"/>
                  <w:vAlign w:val="center"/>
                </w:tcPr>
                <w:p w14:paraId="451FC2CF" w14:textId="77777777" w:rsidR="004126C7" w:rsidRPr="00733612" w:rsidRDefault="004126C7" w:rsidP="00443DA3">
                  <w:pPr>
                    <w:jc w:val="right"/>
                    <w:rPr>
                      <w:b/>
                      <w:sz w:val="16"/>
                      <w:szCs w:val="16"/>
                    </w:rPr>
                  </w:pPr>
                  <w:r w:rsidRPr="00733612">
                    <w:rPr>
                      <w:b/>
                      <w:sz w:val="16"/>
                      <w:szCs w:val="16"/>
                    </w:rPr>
                    <w:t>566,40</w:t>
                  </w:r>
                </w:p>
              </w:tc>
            </w:tr>
            <w:bookmarkEnd w:id="2"/>
          </w:tbl>
          <w:p w14:paraId="70DA81FA" w14:textId="77777777" w:rsidR="004126C7" w:rsidRPr="00733612" w:rsidRDefault="004126C7" w:rsidP="004126C7">
            <w:pPr>
              <w:jc w:val="both"/>
              <w:rPr>
                <w:iCs/>
              </w:rPr>
            </w:pPr>
          </w:p>
          <w:p w14:paraId="74F4E262" w14:textId="0BC874C0" w:rsidR="003C33D3" w:rsidRPr="00733612" w:rsidRDefault="004126C7" w:rsidP="004126C7">
            <w:pPr>
              <w:jc w:val="both"/>
              <w:rPr>
                <w:bCs/>
                <w:szCs w:val="24"/>
              </w:rPr>
            </w:pPr>
            <w:r w:rsidRPr="00733612">
              <w:rPr>
                <w:iCs/>
              </w:rPr>
              <w:t>Dakle, uzimajući u obzir propisano smanjenje poreznih stopa, poreznom obvezniku s mjesečnom bruto plaćom od 10.000,00 kuna na koju se od 1. siječnja 2021. godine pri oporezivanju primjenjuje stopa od 20% iznos neto</w:t>
            </w:r>
            <w:r w:rsidR="00E915F0" w:rsidRPr="00733612">
              <w:rPr>
                <w:iCs/>
              </w:rPr>
              <w:t xml:space="preserve"> </w:t>
            </w:r>
            <w:r w:rsidRPr="00733612">
              <w:rPr>
                <w:iCs/>
              </w:rPr>
              <w:t>plaće povećan je za 188,80 kuna u odnosu na porezno razdoblje prije izmjena i dopuna Zakona dok je poreznom obvezniku koji ostvaruje mjesečnu bruto plaću od 20.000,00 kuna također uz primjenu porezne stope od 20% iznos neto</w:t>
            </w:r>
            <w:r w:rsidR="00E915F0" w:rsidRPr="00733612">
              <w:rPr>
                <w:iCs/>
              </w:rPr>
              <w:t xml:space="preserve"> </w:t>
            </w:r>
            <w:r w:rsidRPr="00733612">
              <w:rPr>
                <w:iCs/>
              </w:rPr>
              <w:t xml:space="preserve">plaće povećan za 566,40 kuna. Slijedom navedenog, poreznom obvezniku koji </w:t>
            </w:r>
            <w:r w:rsidRPr="00733612">
              <w:rPr>
                <w:iCs/>
              </w:rPr>
              <w:lastRenderedPageBreak/>
              <w:t>ostvaruje mjesečnu bruto plaću od 10.000,00 kuna što u godišnjem iznosu iznosi 120.000,00 kuna godišnji iznos neto</w:t>
            </w:r>
            <w:r w:rsidR="003C33D3" w:rsidRPr="00733612">
              <w:rPr>
                <w:iCs/>
              </w:rPr>
              <w:t xml:space="preserve"> </w:t>
            </w:r>
            <w:r w:rsidRPr="00733612">
              <w:rPr>
                <w:iCs/>
              </w:rPr>
              <w:t>plaće povećan je za 2.265,60 kuna, a poreznom obvezniku koji ostvaruje mjesečnu bruto plaću od 20.000,00 kuna što u godišnjem iznosu iznosi 240.000,00 kuna godišnji iznos neto</w:t>
            </w:r>
            <w:r w:rsidR="003C33D3" w:rsidRPr="00733612">
              <w:rPr>
                <w:iCs/>
              </w:rPr>
              <w:t xml:space="preserve"> </w:t>
            </w:r>
            <w:r w:rsidRPr="00733612">
              <w:rPr>
                <w:iCs/>
              </w:rPr>
              <w:t xml:space="preserve">plaće povećan je za 6.796,80 kuna </w:t>
            </w:r>
            <w:r w:rsidRPr="00733612">
              <w:rPr>
                <w:bCs/>
                <w:szCs w:val="24"/>
              </w:rPr>
              <w:t>kao što je prikazano u komparativnom prikazu u nastavku:</w:t>
            </w:r>
          </w:p>
          <w:p w14:paraId="2433A9F7" w14:textId="77777777" w:rsidR="00733612" w:rsidRPr="00733612" w:rsidRDefault="00733612" w:rsidP="004126C7">
            <w:pPr>
              <w:jc w:val="both"/>
              <w:rPr>
                <w:bCs/>
                <w:szCs w:val="24"/>
              </w:rPr>
            </w:pPr>
          </w:p>
          <w:tbl>
            <w:tblPr>
              <w:tblpPr w:leftFromText="180" w:rightFromText="180" w:vertAnchor="text" w:horzAnchor="margin" w:tblpXSpec="center" w:tblpY="243"/>
              <w:tblOverlap w:val="never"/>
              <w:tblW w:w="891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253"/>
              <w:gridCol w:w="1134"/>
              <w:gridCol w:w="993"/>
              <w:gridCol w:w="2126"/>
              <w:gridCol w:w="1276"/>
              <w:gridCol w:w="1134"/>
            </w:tblGrid>
            <w:tr w:rsidR="00733612" w:rsidRPr="00733612" w14:paraId="49B6E12E" w14:textId="77777777" w:rsidTr="00443DA3">
              <w:trPr>
                <w:trHeight w:val="99"/>
                <w:jc w:val="center"/>
              </w:trPr>
              <w:tc>
                <w:tcPr>
                  <w:tcW w:w="2253" w:type="dxa"/>
                  <w:tcBorders>
                    <w:bottom w:val="single" w:sz="4" w:space="0" w:color="auto"/>
                  </w:tcBorders>
                  <w:shd w:val="clear" w:color="auto" w:fill="auto"/>
                  <w:noWrap/>
                  <w:vAlign w:val="center"/>
                </w:tcPr>
                <w:p w14:paraId="6E8FDCC4" w14:textId="77777777" w:rsidR="004126C7" w:rsidRPr="00733612" w:rsidRDefault="004126C7" w:rsidP="004126C7">
                  <w:pPr>
                    <w:jc w:val="center"/>
                    <w:rPr>
                      <w:b/>
                      <w:bCs/>
                      <w:sz w:val="16"/>
                      <w:szCs w:val="16"/>
                    </w:rPr>
                  </w:pPr>
                  <w:r w:rsidRPr="00733612">
                    <w:rPr>
                      <w:b/>
                      <w:bCs/>
                      <w:sz w:val="16"/>
                      <w:szCs w:val="16"/>
                    </w:rPr>
                    <w:t>Opis</w:t>
                  </w:r>
                </w:p>
              </w:tc>
              <w:tc>
                <w:tcPr>
                  <w:tcW w:w="2127" w:type="dxa"/>
                  <w:gridSpan w:val="2"/>
                  <w:tcBorders>
                    <w:top w:val="single" w:sz="4" w:space="0" w:color="auto"/>
                    <w:bottom w:val="single" w:sz="4" w:space="0" w:color="auto"/>
                  </w:tcBorders>
                  <w:shd w:val="clear" w:color="auto" w:fill="D9D9D9" w:themeFill="background1" w:themeFillShade="D9"/>
                  <w:vAlign w:val="center"/>
                </w:tcPr>
                <w:p w14:paraId="2015372D" w14:textId="77777777" w:rsidR="004126C7" w:rsidRPr="00733612" w:rsidRDefault="004126C7" w:rsidP="004126C7">
                  <w:pPr>
                    <w:jc w:val="center"/>
                    <w:rPr>
                      <w:b/>
                      <w:bCs/>
                      <w:sz w:val="16"/>
                      <w:szCs w:val="16"/>
                    </w:rPr>
                  </w:pPr>
                  <w:r w:rsidRPr="00733612">
                    <w:rPr>
                      <w:b/>
                      <w:bCs/>
                      <w:sz w:val="16"/>
                      <w:szCs w:val="16"/>
                    </w:rPr>
                    <w:t>Godišnji obračun do 31.12.2020.</w:t>
                  </w:r>
                </w:p>
                <w:p w14:paraId="68F28972" w14:textId="77777777" w:rsidR="004126C7" w:rsidRPr="00733612" w:rsidRDefault="004126C7" w:rsidP="004126C7">
                  <w:pPr>
                    <w:jc w:val="center"/>
                    <w:rPr>
                      <w:b/>
                      <w:bCs/>
                      <w:sz w:val="16"/>
                      <w:szCs w:val="16"/>
                    </w:rPr>
                  </w:pPr>
                  <w:r w:rsidRPr="00733612">
                    <w:rPr>
                      <w:b/>
                      <w:bCs/>
                      <w:sz w:val="16"/>
                      <w:szCs w:val="16"/>
                    </w:rPr>
                    <w:t>(iznosi u kunama)</w:t>
                  </w:r>
                </w:p>
              </w:tc>
              <w:tc>
                <w:tcPr>
                  <w:tcW w:w="2126" w:type="dxa"/>
                  <w:tcBorders>
                    <w:top w:val="single" w:sz="4" w:space="0" w:color="auto"/>
                    <w:bottom w:val="single" w:sz="4" w:space="0" w:color="auto"/>
                  </w:tcBorders>
                  <w:shd w:val="clear" w:color="auto" w:fill="auto"/>
                  <w:vAlign w:val="center"/>
                </w:tcPr>
                <w:p w14:paraId="3B8FBAEC" w14:textId="77777777" w:rsidR="004126C7" w:rsidRPr="00733612" w:rsidRDefault="004126C7" w:rsidP="004126C7">
                  <w:pPr>
                    <w:jc w:val="center"/>
                    <w:rPr>
                      <w:b/>
                      <w:bCs/>
                      <w:sz w:val="16"/>
                      <w:szCs w:val="16"/>
                    </w:rPr>
                  </w:pPr>
                  <w:r w:rsidRPr="00733612">
                    <w:rPr>
                      <w:b/>
                      <w:bCs/>
                      <w:sz w:val="16"/>
                      <w:szCs w:val="16"/>
                    </w:rPr>
                    <w:t>Opis</w:t>
                  </w:r>
                </w:p>
              </w:tc>
              <w:tc>
                <w:tcPr>
                  <w:tcW w:w="2410" w:type="dxa"/>
                  <w:gridSpan w:val="2"/>
                  <w:tcBorders>
                    <w:top w:val="single" w:sz="4" w:space="0" w:color="auto"/>
                    <w:bottom w:val="single" w:sz="4" w:space="0" w:color="auto"/>
                  </w:tcBorders>
                  <w:shd w:val="clear" w:color="auto" w:fill="D9D9D9" w:themeFill="background1" w:themeFillShade="D9"/>
                  <w:vAlign w:val="center"/>
                </w:tcPr>
                <w:p w14:paraId="1402C7C7" w14:textId="77777777" w:rsidR="004126C7" w:rsidRPr="00733612" w:rsidRDefault="004126C7" w:rsidP="004126C7">
                  <w:pPr>
                    <w:jc w:val="center"/>
                    <w:rPr>
                      <w:b/>
                      <w:bCs/>
                      <w:sz w:val="16"/>
                      <w:szCs w:val="16"/>
                    </w:rPr>
                  </w:pPr>
                  <w:r w:rsidRPr="00733612">
                    <w:rPr>
                      <w:b/>
                      <w:bCs/>
                      <w:sz w:val="16"/>
                      <w:szCs w:val="16"/>
                    </w:rPr>
                    <w:t>Godišnji obračun od 1.1.2021. (iznosi u kunama)</w:t>
                  </w:r>
                </w:p>
              </w:tc>
            </w:tr>
            <w:tr w:rsidR="00733612" w:rsidRPr="00733612" w14:paraId="7647E698" w14:textId="77777777" w:rsidTr="00785DA8">
              <w:trPr>
                <w:trHeight w:val="99"/>
                <w:jc w:val="center"/>
              </w:trPr>
              <w:tc>
                <w:tcPr>
                  <w:tcW w:w="2253" w:type="dxa"/>
                  <w:tcBorders>
                    <w:bottom w:val="single" w:sz="4" w:space="0" w:color="auto"/>
                  </w:tcBorders>
                  <w:shd w:val="clear" w:color="auto" w:fill="auto"/>
                  <w:noWrap/>
                  <w:vAlign w:val="center"/>
                </w:tcPr>
                <w:p w14:paraId="07E96AEB" w14:textId="77777777" w:rsidR="004126C7" w:rsidRPr="00733612" w:rsidRDefault="004126C7" w:rsidP="004126C7">
                  <w:pPr>
                    <w:jc w:val="center"/>
                    <w:rPr>
                      <w:b/>
                      <w:bCs/>
                      <w:sz w:val="16"/>
                      <w:szCs w:val="16"/>
                    </w:rPr>
                  </w:pPr>
                  <w:r w:rsidRPr="00733612">
                    <w:rPr>
                      <w:b/>
                      <w:bCs/>
                      <w:sz w:val="16"/>
                      <w:szCs w:val="16"/>
                    </w:rPr>
                    <w:t>1.</w:t>
                  </w:r>
                </w:p>
              </w:tc>
              <w:tc>
                <w:tcPr>
                  <w:tcW w:w="1134" w:type="dxa"/>
                  <w:tcBorders>
                    <w:top w:val="single" w:sz="4" w:space="0" w:color="auto"/>
                    <w:bottom w:val="single" w:sz="4" w:space="0" w:color="auto"/>
                  </w:tcBorders>
                  <w:shd w:val="clear" w:color="auto" w:fill="D9D9D9" w:themeFill="background1" w:themeFillShade="D9"/>
                </w:tcPr>
                <w:p w14:paraId="20B77E9B" w14:textId="77777777" w:rsidR="004126C7" w:rsidRPr="00733612" w:rsidRDefault="004126C7" w:rsidP="004126C7">
                  <w:pPr>
                    <w:jc w:val="center"/>
                    <w:rPr>
                      <w:b/>
                      <w:bCs/>
                      <w:sz w:val="16"/>
                      <w:szCs w:val="16"/>
                    </w:rPr>
                  </w:pPr>
                  <w:r w:rsidRPr="00733612">
                    <w:rPr>
                      <w:b/>
                      <w:bCs/>
                      <w:sz w:val="16"/>
                      <w:szCs w:val="16"/>
                    </w:rPr>
                    <w:t>2.</w:t>
                  </w:r>
                </w:p>
              </w:tc>
              <w:tc>
                <w:tcPr>
                  <w:tcW w:w="993" w:type="dxa"/>
                  <w:tcBorders>
                    <w:top w:val="single" w:sz="4" w:space="0" w:color="auto"/>
                    <w:bottom w:val="single" w:sz="4" w:space="0" w:color="auto"/>
                  </w:tcBorders>
                  <w:shd w:val="clear" w:color="auto" w:fill="D9D9D9" w:themeFill="background1" w:themeFillShade="D9"/>
                </w:tcPr>
                <w:p w14:paraId="3A80D3DB" w14:textId="77777777" w:rsidR="004126C7" w:rsidRPr="00733612" w:rsidRDefault="004126C7" w:rsidP="004126C7">
                  <w:pPr>
                    <w:jc w:val="center"/>
                    <w:rPr>
                      <w:b/>
                      <w:bCs/>
                      <w:sz w:val="16"/>
                      <w:szCs w:val="16"/>
                    </w:rPr>
                  </w:pPr>
                  <w:r w:rsidRPr="00733612">
                    <w:rPr>
                      <w:b/>
                      <w:bCs/>
                      <w:sz w:val="16"/>
                      <w:szCs w:val="16"/>
                    </w:rPr>
                    <w:t>3.</w:t>
                  </w:r>
                </w:p>
              </w:tc>
              <w:tc>
                <w:tcPr>
                  <w:tcW w:w="2126" w:type="dxa"/>
                  <w:tcBorders>
                    <w:top w:val="single" w:sz="4" w:space="0" w:color="auto"/>
                    <w:bottom w:val="single" w:sz="4" w:space="0" w:color="auto"/>
                  </w:tcBorders>
                  <w:shd w:val="clear" w:color="auto" w:fill="auto"/>
                </w:tcPr>
                <w:p w14:paraId="7B4C4056" w14:textId="77777777" w:rsidR="004126C7" w:rsidRPr="00733612" w:rsidRDefault="004126C7" w:rsidP="004126C7">
                  <w:pPr>
                    <w:jc w:val="center"/>
                    <w:rPr>
                      <w:b/>
                      <w:bCs/>
                      <w:sz w:val="16"/>
                      <w:szCs w:val="16"/>
                    </w:rPr>
                  </w:pPr>
                  <w:r w:rsidRPr="00733612">
                    <w:rPr>
                      <w:b/>
                      <w:bCs/>
                      <w:sz w:val="16"/>
                      <w:szCs w:val="16"/>
                    </w:rPr>
                    <w:t>4.</w:t>
                  </w:r>
                </w:p>
              </w:tc>
              <w:tc>
                <w:tcPr>
                  <w:tcW w:w="1276" w:type="dxa"/>
                  <w:tcBorders>
                    <w:top w:val="single" w:sz="4" w:space="0" w:color="auto"/>
                    <w:bottom w:val="single" w:sz="4" w:space="0" w:color="auto"/>
                  </w:tcBorders>
                  <w:shd w:val="clear" w:color="auto" w:fill="D9D9D9" w:themeFill="background1" w:themeFillShade="D9"/>
                </w:tcPr>
                <w:p w14:paraId="374D23E5" w14:textId="77777777" w:rsidR="004126C7" w:rsidRPr="00733612" w:rsidRDefault="004126C7" w:rsidP="004126C7">
                  <w:pPr>
                    <w:jc w:val="center"/>
                    <w:rPr>
                      <w:b/>
                      <w:bCs/>
                      <w:sz w:val="16"/>
                      <w:szCs w:val="16"/>
                    </w:rPr>
                  </w:pPr>
                  <w:r w:rsidRPr="00733612">
                    <w:rPr>
                      <w:b/>
                      <w:bCs/>
                      <w:sz w:val="16"/>
                      <w:szCs w:val="16"/>
                    </w:rPr>
                    <w:t>5.</w:t>
                  </w:r>
                </w:p>
              </w:tc>
              <w:tc>
                <w:tcPr>
                  <w:tcW w:w="1134" w:type="dxa"/>
                  <w:tcBorders>
                    <w:top w:val="single" w:sz="4" w:space="0" w:color="auto"/>
                    <w:bottom w:val="single" w:sz="4" w:space="0" w:color="auto"/>
                  </w:tcBorders>
                  <w:shd w:val="clear" w:color="auto" w:fill="D9D9D9" w:themeFill="background1" w:themeFillShade="D9"/>
                </w:tcPr>
                <w:p w14:paraId="2566DD63" w14:textId="77777777" w:rsidR="004126C7" w:rsidRPr="00733612" w:rsidRDefault="004126C7" w:rsidP="004126C7">
                  <w:pPr>
                    <w:jc w:val="center"/>
                    <w:rPr>
                      <w:b/>
                      <w:bCs/>
                      <w:sz w:val="16"/>
                      <w:szCs w:val="16"/>
                    </w:rPr>
                  </w:pPr>
                  <w:r w:rsidRPr="00733612">
                    <w:rPr>
                      <w:b/>
                      <w:bCs/>
                      <w:sz w:val="16"/>
                      <w:szCs w:val="16"/>
                    </w:rPr>
                    <w:t>6.</w:t>
                  </w:r>
                </w:p>
              </w:tc>
            </w:tr>
            <w:tr w:rsidR="00733612" w:rsidRPr="00733612" w14:paraId="1F6AB0CA" w14:textId="77777777" w:rsidTr="00785DA8">
              <w:trPr>
                <w:trHeight w:val="255"/>
                <w:jc w:val="center"/>
              </w:trPr>
              <w:tc>
                <w:tcPr>
                  <w:tcW w:w="2253" w:type="dxa"/>
                  <w:shd w:val="clear" w:color="auto" w:fill="FFFFFF" w:themeFill="background1"/>
                  <w:noWrap/>
                  <w:vAlign w:val="center"/>
                </w:tcPr>
                <w:p w14:paraId="3F6647EF" w14:textId="77777777" w:rsidR="004126C7" w:rsidRPr="00733612" w:rsidRDefault="004126C7" w:rsidP="004126C7">
                  <w:pPr>
                    <w:rPr>
                      <w:rFonts w:cs="Arial"/>
                      <w:sz w:val="18"/>
                      <w:szCs w:val="18"/>
                    </w:rPr>
                  </w:pPr>
                  <w:r w:rsidRPr="00733612">
                    <w:rPr>
                      <w:rFonts w:cs="Arial"/>
                      <w:sz w:val="18"/>
                      <w:szCs w:val="18"/>
                    </w:rPr>
                    <w:t xml:space="preserve">1. Plaća </w:t>
                  </w:r>
                </w:p>
              </w:tc>
              <w:tc>
                <w:tcPr>
                  <w:tcW w:w="1134" w:type="dxa"/>
                  <w:tcBorders>
                    <w:top w:val="single" w:sz="4" w:space="0" w:color="auto"/>
                    <w:bottom w:val="single" w:sz="4" w:space="0" w:color="auto"/>
                  </w:tcBorders>
                  <w:shd w:val="clear" w:color="auto" w:fill="D9D9D9" w:themeFill="background1" w:themeFillShade="D9"/>
                  <w:vAlign w:val="center"/>
                </w:tcPr>
                <w:p w14:paraId="51E27942" w14:textId="77777777" w:rsidR="004126C7" w:rsidRPr="00733612" w:rsidRDefault="004126C7" w:rsidP="00443DA3">
                  <w:pPr>
                    <w:jc w:val="right"/>
                    <w:rPr>
                      <w:b/>
                      <w:sz w:val="16"/>
                      <w:szCs w:val="16"/>
                    </w:rPr>
                  </w:pPr>
                  <w:r w:rsidRPr="00733612">
                    <w:rPr>
                      <w:b/>
                      <w:bCs/>
                      <w:sz w:val="16"/>
                      <w:szCs w:val="16"/>
                    </w:rPr>
                    <w:t>120.000,00</w:t>
                  </w:r>
                </w:p>
              </w:tc>
              <w:tc>
                <w:tcPr>
                  <w:tcW w:w="993" w:type="dxa"/>
                  <w:tcBorders>
                    <w:top w:val="single" w:sz="4" w:space="0" w:color="auto"/>
                    <w:bottom w:val="single" w:sz="4" w:space="0" w:color="auto"/>
                  </w:tcBorders>
                  <w:shd w:val="clear" w:color="auto" w:fill="D9D9D9" w:themeFill="background1" w:themeFillShade="D9"/>
                  <w:vAlign w:val="center"/>
                </w:tcPr>
                <w:p w14:paraId="7852C638" w14:textId="77777777" w:rsidR="004126C7" w:rsidRPr="00733612" w:rsidRDefault="004126C7" w:rsidP="00443DA3">
                  <w:pPr>
                    <w:jc w:val="right"/>
                    <w:rPr>
                      <w:b/>
                      <w:sz w:val="16"/>
                      <w:szCs w:val="16"/>
                    </w:rPr>
                  </w:pPr>
                  <w:r w:rsidRPr="00733612">
                    <w:rPr>
                      <w:b/>
                      <w:sz w:val="16"/>
                      <w:szCs w:val="16"/>
                    </w:rPr>
                    <w:t>240.000,00</w:t>
                  </w:r>
                </w:p>
              </w:tc>
              <w:tc>
                <w:tcPr>
                  <w:tcW w:w="2126" w:type="dxa"/>
                  <w:shd w:val="clear" w:color="auto" w:fill="FFFFFF" w:themeFill="background1"/>
                  <w:vAlign w:val="center"/>
                </w:tcPr>
                <w:p w14:paraId="1A8B4C1B" w14:textId="77777777" w:rsidR="004126C7" w:rsidRPr="00733612" w:rsidRDefault="004126C7" w:rsidP="004126C7">
                  <w:pPr>
                    <w:rPr>
                      <w:sz w:val="18"/>
                      <w:szCs w:val="18"/>
                    </w:rPr>
                  </w:pPr>
                  <w:r w:rsidRPr="00733612">
                    <w:rPr>
                      <w:sz w:val="18"/>
                      <w:szCs w:val="18"/>
                    </w:rPr>
                    <w:t>1. Plaća</w:t>
                  </w:r>
                </w:p>
              </w:tc>
              <w:tc>
                <w:tcPr>
                  <w:tcW w:w="1276" w:type="dxa"/>
                  <w:tcBorders>
                    <w:top w:val="single" w:sz="4" w:space="0" w:color="auto"/>
                    <w:bottom w:val="single" w:sz="4" w:space="0" w:color="auto"/>
                  </w:tcBorders>
                  <w:shd w:val="clear" w:color="auto" w:fill="D9D9D9" w:themeFill="background1" w:themeFillShade="D9"/>
                  <w:vAlign w:val="center"/>
                </w:tcPr>
                <w:p w14:paraId="6CF361BA" w14:textId="77777777" w:rsidR="004126C7" w:rsidRPr="00733612" w:rsidRDefault="004126C7" w:rsidP="00443DA3">
                  <w:pPr>
                    <w:jc w:val="right"/>
                    <w:rPr>
                      <w:b/>
                      <w:sz w:val="16"/>
                      <w:szCs w:val="16"/>
                    </w:rPr>
                  </w:pPr>
                  <w:r w:rsidRPr="00733612">
                    <w:rPr>
                      <w:b/>
                      <w:sz w:val="16"/>
                      <w:szCs w:val="16"/>
                    </w:rPr>
                    <w:t>120.000,00</w:t>
                  </w:r>
                </w:p>
              </w:tc>
              <w:tc>
                <w:tcPr>
                  <w:tcW w:w="1134" w:type="dxa"/>
                  <w:tcBorders>
                    <w:top w:val="single" w:sz="4" w:space="0" w:color="auto"/>
                    <w:bottom w:val="single" w:sz="4" w:space="0" w:color="auto"/>
                  </w:tcBorders>
                  <w:shd w:val="clear" w:color="auto" w:fill="D9D9D9" w:themeFill="background1" w:themeFillShade="D9"/>
                  <w:vAlign w:val="center"/>
                </w:tcPr>
                <w:p w14:paraId="4FF90612" w14:textId="77777777" w:rsidR="004126C7" w:rsidRPr="00733612" w:rsidRDefault="004126C7" w:rsidP="00443DA3">
                  <w:pPr>
                    <w:jc w:val="right"/>
                    <w:rPr>
                      <w:b/>
                      <w:sz w:val="16"/>
                      <w:szCs w:val="16"/>
                    </w:rPr>
                  </w:pPr>
                  <w:r w:rsidRPr="00733612">
                    <w:rPr>
                      <w:b/>
                      <w:sz w:val="16"/>
                      <w:szCs w:val="16"/>
                    </w:rPr>
                    <w:t>240.000,00</w:t>
                  </w:r>
                </w:p>
              </w:tc>
            </w:tr>
            <w:tr w:rsidR="00733612" w:rsidRPr="00733612" w14:paraId="0EE4B006" w14:textId="77777777" w:rsidTr="00785DA8">
              <w:trPr>
                <w:trHeight w:val="255"/>
                <w:jc w:val="center"/>
              </w:trPr>
              <w:tc>
                <w:tcPr>
                  <w:tcW w:w="2253" w:type="dxa"/>
                  <w:shd w:val="clear" w:color="auto" w:fill="FFFFFF" w:themeFill="background1"/>
                  <w:noWrap/>
                  <w:vAlign w:val="center"/>
                </w:tcPr>
                <w:p w14:paraId="5B0CFD76" w14:textId="77777777" w:rsidR="004126C7" w:rsidRPr="00733612" w:rsidRDefault="004126C7" w:rsidP="004126C7">
                  <w:pPr>
                    <w:rPr>
                      <w:b/>
                      <w:bCs/>
                      <w:sz w:val="16"/>
                      <w:szCs w:val="16"/>
                    </w:rPr>
                  </w:pPr>
                  <w:r w:rsidRPr="00733612">
                    <w:rPr>
                      <w:rFonts w:cs="Arial"/>
                      <w:sz w:val="18"/>
                      <w:szCs w:val="18"/>
                    </w:rPr>
                    <w:t xml:space="preserve">2. Doprinosi </w:t>
                  </w:r>
                </w:p>
              </w:tc>
              <w:tc>
                <w:tcPr>
                  <w:tcW w:w="1134" w:type="dxa"/>
                  <w:tcBorders>
                    <w:top w:val="single" w:sz="4" w:space="0" w:color="auto"/>
                    <w:bottom w:val="single" w:sz="4" w:space="0" w:color="auto"/>
                  </w:tcBorders>
                  <w:shd w:val="clear" w:color="auto" w:fill="D9D9D9" w:themeFill="background1" w:themeFillShade="D9"/>
                  <w:vAlign w:val="center"/>
                </w:tcPr>
                <w:p w14:paraId="1C648E08" w14:textId="77777777" w:rsidR="004126C7" w:rsidRPr="00733612" w:rsidRDefault="004126C7" w:rsidP="00443DA3">
                  <w:pPr>
                    <w:jc w:val="right"/>
                    <w:rPr>
                      <w:b/>
                      <w:sz w:val="16"/>
                      <w:szCs w:val="16"/>
                    </w:rPr>
                  </w:pPr>
                  <w:r w:rsidRPr="00733612">
                    <w:rPr>
                      <w:b/>
                      <w:bCs/>
                      <w:sz w:val="16"/>
                      <w:szCs w:val="16"/>
                    </w:rPr>
                    <w:t>24.000,00</w:t>
                  </w:r>
                </w:p>
              </w:tc>
              <w:tc>
                <w:tcPr>
                  <w:tcW w:w="993" w:type="dxa"/>
                  <w:tcBorders>
                    <w:top w:val="single" w:sz="4" w:space="0" w:color="auto"/>
                    <w:bottom w:val="single" w:sz="4" w:space="0" w:color="auto"/>
                  </w:tcBorders>
                  <w:shd w:val="clear" w:color="auto" w:fill="D9D9D9" w:themeFill="background1" w:themeFillShade="D9"/>
                  <w:vAlign w:val="center"/>
                </w:tcPr>
                <w:p w14:paraId="58A98D8A" w14:textId="77777777" w:rsidR="004126C7" w:rsidRPr="00733612" w:rsidRDefault="004126C7" w:rsidP="00443DA3">
                  <w:pPr>
                    <w:jc w:val="right"/>
                    <w:rPr>
                      <w:b/>
                      <w:sz w:val="16"/>
                      <w:szCs w:val="16"/>
                    </w:rPr>
                  </w:pPr>
                  <w:r w:rsidRPr="00733612">
                    <w:rPr>
                      <w:b/>
                      <w:sz w:val="16"/>
                      <w:szCs w:val="16"/>
                    </w:rPr>
                    <w:t>48.000,00</w:t>
                  </w:r>
                </w:p>
              </w:tc>
              <w:tc>
                <w:tcPr>
                  <w:tcW w:w="2126" w:type="dxa"/>
                  <w:shd w:val="clear" w:color="auto" w:fill="FFFFFF" w:themeFill="background1"/>
                  <w:vAlign w:val="center"/>
                </w:tcPr>
                <w:p w14:paraId="7BA7CFA8" w14:textId="77777777" w:rsidR="004126C7" w:rsidRPr="00733612" w:rsidRDefault="004126C7" w:rsidP="004126C7">
                  <w:pPr>
                    <w:rPr>
                      <w:b/>
                      <w:sz w:val="16"/>
                      <w:szCs w:val="16"/>
                    </w:rPr>
                  </w:pPr>
                  <w:r w:rsidRPr="00733612">
                    <w:rPr>
                      <w:rFonts w:cs="Arial"/>
                      <w:sz w:val="18"/>
                      <w:szCs w:val="18"/>
                    </w:rPr>
                    <w:t xml:space="preserve">2. Doprinosi </w:t>
                  </w:r>
                </w:p>
              </w:tc>
              <w:tc>
                <w:tcPr>
                  <w:tcW w:w="1276" w:type="dxa"/>
                  <w:tcBorders>
                    <w:top w:val="single" w:sz="4" w:space="0" w:color="auto"/>
                    <w:bottom w:val="single" w:sz="4" w:space="0" w:color="auto"/>
                  </w:tcBorders>
                  <w:shd w:val="clear" w:color="auto" w:fill="D9D9D9" w:themeFill="background1" w:themeFillShade="D9"/>
                  <w:vAlign w:val="center"/>
                </w:tcPr>
                <w:p w14:paraId="6FD648C7" w14:textId="77777777" w:rsidR="004126C7" w:rsidRPr="00733612" w:rsidRDefault="004126C7" w:rsidP="00443DA3">
                  <w:pPr>
                    <w:jc w:val="right"/>
                    <w:rPr>
                      <w:b/>
                      <w:sz w:val="16"/>
                      <w:szCs w:val="16"/>
                    </w:rPr>
                  </w:pPr>
                  <w:r w:rsidRPr="00733612">
                    <w:rPr>
                      <w:b/>
                      <w:sz w:val="16"/>
                      <w:szCs w:val="16"/>
                    </w:rPr>
                    <w:t>24.000,00</w:t>
                  </w:r>
                </w:p>
              </w:tc>
              <w:tc>
                <w:tcPr>
                  <w:tcW w:w="1134" w:type="dxa"/>
                  <w:tcBorders>
                    <w:top w:val="single" w:sz="4" w:space="0" w:color="auto"/>
                    <w:bottom w:val="single" w:sz="4" w:space="0" w:color="auto"/>
                  </w:tcBorders>
                  <w:shd w:val="clear" w:color="auto" w:fill="D9D9D9" w:themeFill="background1" w:themeFillShade="D9"/>
                  <w:vAlign w:val="center"/>
                </w:tcPr>
                <w:p w14:paraId="0AB2F81A" w14:textId="77777777" w:rsidR="004126C7" w:rsidRPr="00733612" w:rsidRDefault="004126C7" w:rsidP="00443DA3">
                  <w:pPr>
                    <w:jc w:val="right"/>
                    <w:rPr>
                      <w:b/>
                      <w:sz w:val="16"/>
                      <w:szCs w:val="16"/>
                    </w:rPr>
                  </w:pPr>
                  <w:r w:rsidRPr="00733612">
                    <w:rPr>
                      <w:b/>
                      <w:sz w:val="16"/>
                      <w:szCs w:val="16"/>
                    </w:rPr>
                    <w:t>48.000,00</w:t>
                  </w:r>
                </w:p>
              </w:tc>
            </w:tr>
            <w:tr w:rsidR="00733612" w:rsidRPr="00733612" w14:paraId="6930410E" w14:textId="77777777" w:rsidTr="00785DA8">
              <w:trPr>
                <w:trHeight w:val="255"/>
                <w:jc w:val="center"/>
              </w:trPr>
              <w:tc>
                <w:tcPr>
                  <w:tcW w:w="2253" w:type="dxa"/>
                  <w:tcBorders>
                    <w:bottom w:val="single" w:sz="4" w:space="0" w:color="auto"/>
                  </w:tcBorders>
                  <w:shd w:val="clear" w:color="auto" w:fill="FFFFFF" w:themeFill="background1"/>
                  <w:noWrap/>
                  <w:vAlign w:val="center"/>
                </w:tcPr>
                <w:p w14:paraId="7641A0F5" w14:textId="77777777" w:rsidR="004126C7" w:rsidRPr="00733612" w:rsidRDefault="004126C7" w:rsidP="004126C7">
                  <w:pPr>
                    <w:rPr>
                      <w:b/>
                      <w:sz w:val="16"/>
                      <w:szCs w:val="16"/>
                    </w:rPr>
                  </w:pPr>
                  <w:r w:rsidRPr="00733612">
                    <w:rPr>
                      <w:rFonts w:cs="Arial"/>
                      <w:sz w:val="18"/>
                      <w:szCs w:val="18"/>
                    </w:rPr>
                    <w:t xml:space="preserve">3. Dohodak </w:t>
                  </w:r>
                </w:p>
              </w:tc>
              <w:tc>
                <w:tcPr>
                  <w:tcW w:w="1134" w:type="dxa"/>
                  <w:tcBorders>
                    <w:top w:val="single" w:sz="4" w:space="0" w:color="auto"/>
                  </w:tcBorders>
                  <w:shd w:val="clear" w:color="auto" w:fill="D9D9D9" w:themeFill="background1" w:themeFillShade="D9"/>
                  <w:vAlign w:val="center"/>
                </w:tcPr>
                <w:p w14:paraId="4EC8BB7B" w14:textId="77777777" w:rsidR="004126C7" w:rsidRPr="00733612" w:rsidRDefault="004126C7" w:rsidP="00443DA3">
                  <w:pPr>
                    <w:jc w:val="right"/>
                    <w:rPr>
                      <w:b/>
                      <w:sz w:val="16"/>
                      <w:szCs w:val="16"/>
                    </w:rPr>
                  </w:pPr>
                  <w:r w:rsidRPr="00733612">
                    <w:rPr>
                      <w:b/>
                      <w:sz w:val="16"/>
                      <w:szCs w:val="16"/>
                    </w:rPr>
                    <w:t>96.000,00</w:t>
                  </w:r>
                </w:p>
              </w:tc>
              <w:tc>
                <w:tcPr>
                  <w:tcW w:w="993" w:type="dxa"/>
                  <w:tcBorders>
                    <w:top w:val="single" w:sz="4" w:space="0" w:color="auto"/>
                    <w:bottom w:val="single" w:sz="4" w:space="0" w:color="auto"/>
                  </w:tcBorders>
                  <w:shd w:val="clear" w:color="auto" w:fill="D9D9D9" w:themeFill="background1" w:themeFillShade="D9"/>
                  <w:vAlign w:val="center"/>
                </w:tcPr>
                <w:p w14:paraId="05CD4DDB" w14:textId="77777777" w:rsidR="004126C7" w:rsidRPr="00733612" w:rsidRDefault="004126C7" w:rsidP="00443DA3">
                  <w:pPr>
                    <w:jc w:val="right"/>
                    <w:rPr>
                      <w:b/>
                      <w:sz w:val="16"/>
                      <w:szCs w:val="16"/>
                    </w:rPr>
                  </w:pPr>
                  <w:r w:rsidRPr="00733612">
                    <w:rPr>
                      <w:b/>
                      <w:sz w:val="16"/>
                      <w:szCs w:val="16"/>
                    </w:rPr>
                    <w:t>192.000,00</w:t>
                  </w:r>
                </w:p>
              </w:tc>
              <w:tc>
                <w:tcPr>
                  <w:tcW w:w="2126" w:type="dxa"/>
                  <w:tcBorders>
                    <w:bottom w:val="single" w:sz="4" w:space="0" w:color="auto"/>
                  </w:tcBorders>
                  <w:shd w:val="clear" w:color="auto" w:fill="FFFFFF" w:themeFill="background1"/>
                  <w:vAlign w:val="center"/>
                </w:tcPr>
                <w:p w14:paraId="30307AD0" w14:textId="77777777" w:rsidR="004126C7" w:rsidRPr="00733612" w:rsidRDefault="004126C7" w:rsidP="004126C7">
                  <w:pPr>
                    <w:rPr>
                      <w:b/>
                      <w:sz w:val="16"/>
                      <w:szCs w:val="16"/>
                    </w:rPr>
                  </w:pPr>
                  <w:r w:rsidRPr="00733612">
                    <w:rPr>
                      <w:rFonts w:cs="Arial"/>
                      <w:sz w:val="18"/>
                      <w:szCs w:val="18"/>
                    </w:rPr>
                    <w:t xml:space="preserve">3. Dohodak </w:t>
                  </w:r>
                </w:p>
              </w:tc>
              <w:tc>
                <w:tcPr>
                  <w:tcW w:w="1276" w:type="dxa"/>
                  <w:tcBorders>
                    <w:top w:val="single" w:sz="4" w:space="0" w:color="auto"/>
                    <w:bottom w:val="single" w:sz="4" w:space="0" w:color="auto"/>
                  </w:tcBorders>
                  <w:shd w:val="clear" w:color="auto" w:fill="D9D9D9" w:themeFill="background1" w:themeFillShade="D9"/>
                  <w:vAlign w:val="center"/>
                </w:tcPr>
                <w:p w14:paraId="4EE45680" w14:textId="77777777" w:rsidR="004126C7" w:rsidRPr="00733612" w:rsidRDefault="004126C7" w:rsidP="00443DA3">
                  <w:pPr>
                    <w:jc w:val="right"/>
                    <w:rPr>
                      <w:b/>
                      <w:sz w:val="16"/>
                      <w:szCs w:val="16"/>
                    </w:rPr>
                  </w:pPr>
                  <w:r w:rsidRPr="00733612">
                    <w:rPr>
                      <w:b/>
                      <w:sz w:val="16"/>
                      <w:szCs w:val="16"/>
                    </w:rPr>
                    <w:t>96.000,00</w:t>
                  </w:r>
                </w:p>
              </w:tc>
              <w:tc>
                <w:tcPr>
                  <w:tcW w:w="1134" w:type="dxa"/>
                  <w:tcBorders>
                    <w:top w:val="single" w:sz="4" w:space="0" w:color="auto"/>
                    <w:bottom w:val="single" w:sz="4" w:space="0" w:color="auto"/>
                  </w:tcBorders>
                  <w:shd w:val="clear" w:color="auto" w:fill="D9D9D9" w:themeFill="background1" w:themeFillShade="D9"/>
                  <w:vAlign w:val="center"/>
                </w:tcPr>
                <w:p w14:paraId="28D75DA5" w14:textId="77777777" w:rsidR="004126C7" w:rsidRPr="00733612" w:rsidRDefault="004126C7" w:rsidP="00443DA3">
                  <w:pPr>
                    <w:jc w:val="right"/>
                    <w:rPr>
                      <w:b/>
                      <w:sz w:val="16"/>
                      <w:szCs w:val="16"/>
                    </w:rPr>
                  </w:pPr>
                  <w:r w:rsidRPr="00733612">
                    <w:rPr>
                      <w:b/>
                      <w:sz w:val="16"/>
                      <w:szCs w:val="16"/>
                    </w:rPr>
                    <w:t>192.000,00</w:t>
                  </w:r>
                </w:p>
              </w:tc>
            </w:tr>
            <w:tr w:rsidR="00733612" w:rsidRPr="00733612" w14:paraId="5D826BA2" w14:textId="77777777" w:rsidTr="00785DA8">
              <w:trPr>
                <w:trHeight w:val="255"/>
                <w:jc w:val="center"/>
              </w:trPr>
              <w:tc>
                <w:tcPr>
                  <w:tcW w:w="2253" w:type="dxa"/>
                  <w:shd w:val="clear" w:color="auto" w:fill="FFFFFF" w:themeFill="background1"/>
                  <w:noWrap/>
                  <w:vAlign w:val="center"/>
                </w:tcPr>
                <w:p w14:paraId="7B3CA62D" w14:textId="77777777" w:rsidR="004126C7" w:rsidRPr="00733612" w:rsidRDefault="004126C7" w:rsidP="004126C7">
                  <w:pPr>
                    <w:rPr>
                      <w:b/>
                      <w:sz w:val="16"/>
                      <w:szCs w:val="16"/>
                    </w:rPr>
                  </w:pPr>
                  <w:r w:rsidRPr="00733612">
                    <w:rPr>
                      <w:rFonts w:cs="Arial"/>
                      <w:sz w:val="18"/>
                      <w:szCs w:val="18"/>
                    </w:rPr>
                    <w:t>4. Osobni odbitak</w:t>
                  </w:r>
                </w:p>
              </w:tc>
              <w:tc>
                <w:tcPr>
                  <w:tcW w:w="1134" w:type="dxa"/>
                  <w:shd w:val="clear" w:color="auto" w:fill="D9D9D9" w:themeFill="background1" w:themeFillShade="D9"/>
                  <w:vAlign w:val="center"/>
                </w:tcPr>
                <w:p w14:paraId="60C0025C" w14:textId="77777777" w:rsidR="004126C7" w:rsidRPr="00733612" w:rsidRDefault="004126C7" w:rsidP="00443DA3">
                  <w:pPr>
                    <w:jc w:val="right"/>
                    <w:rPr>
                      <w:b/>
                      <w:sz w:val="16"/>
                      <w:szCs w:val="16"/>
                    </w:rPr>
                  </w:pPr>
                  <w:r w:rsidRPr="00733612">
                    <w:rPr>
                      <w:b/>
                      <w:sz w:val="16"/>
                      <w:szCs w:val="16"/>
                    </w:rPr>
                    <w:t>48.000,00</w:t>
                  </w:r>
                </w:p>
              </w:tc>
              <w:tc>
                <w:tcPr>
                  <w:tcW w:w="993" w:type="dxa"/>
                  <w:tcBorders>
                    <w:top w:val="single" w:sz="4" w:space="0" w:color="auto"/>
                    <w:bottom w:val="single" w:sz="4" w:space="0" w:color="auto"/>
                  </w:tcBorders>
                  <w:shd w:val="clear" w:color="auto" w:fill="D9D9D9" w:themeFill="background1" w:themeFillShade="D9"/>
                  <w:vAlign w:val="center"/>
                </w:tcPr>
                <w:p w14:paraId="4127608F" w14:textId="77777777" w:rsidR="004126C7" w:rsidRPr="00733612" w:rsidRDefault="004126C7" w:rsidP="00443DA3">
                  <w:pPr>
                    <w:jc w:val="right"/>
                    <w:rPr>
                      <w:b/>
                      <w:sz w:val="16"/>
                      <w:szCs w:val="16"/>
                    </w:rPr>
                  </w:pPr>
                  <w:r w:rsidRPr="00733612">
                    <w:rPr>
                      <w:b/>
                      <w:sz w:val="16"/>
                      <w:szCs w:val="16"/>
                    </w:rPr>
                    <w:t>48.000,00</w:t>
                  </w:r>
                </w:p>
              </w:tc>
              <w:tc>
                <w:tcPr>
                  <w:tcW w:w="2126" w:type="dxa"/>
                  <w:shd w:val="clear" w:color="auto" w:fill="FFFFFF" w:themeFill="background1"/>
                  <w:vAlign w:val="center"/>
                </w:tcPr>
                <w:p w14:paraId="1EB01F53" w14:textId="77777777" w:rsidR="004126C7" w:rsidRPr="00733612" w:rsidRDefault="004126C7" w:rsidP="004126C7">
                  <w:pPr>
                    <w:rPr>
                      <w:b/>
                      <w:sz w:val="16"/>
                      <w:szCs w:val="16"/>
                    </w:rPr>
                  </w:pPr>
                  <w:r w:rsidRPr="00733612">
                    <w:rPr>
                      <w:rFonts w:cs="Arial"/>
                      <w:sz w:val="18"/>
                      <w:szCs w:val="18"/>
                    </w:rPr>
                    <w:t>4. Osobni odbitak</w:t>
                  </w:r>
                </w:p>
              </w:tc>
              <w:tc>
                <w:tcPr>
                  <w:tcW w:w="1276" w:type="dxa"/>
                  <w:tcBorders>
                    <w:top w:val="single" w:sz="4" w:space="0" w:color="auto"/>
                    <w:bottom w:val="single" w:sz="4" w:space="0" w:color="auto"/>
                  </w:tcBorders>
                  <w:shd w:val="clear" w:color="auto" w:fill="D9D9D9" w:themeFill="background1" w:themeFillShade="D9"/>
                  <w:vAlign w:val="center"/>
                </w:tcPr>
                <w:p w14:paraId="65AE70AB" w14:textId="77777777" w:rsidR="004126C7" w:rsidRPr="00733612" w:rsidRDefault="004126C7" w:rsidP="00443DA3">
                  <w:pPr>
                    <w:jc w:val="right"/>
                    <w:rPr>
                      <w:b/>
                      <w:sz w:val="16"/>
                      <w:szCs w:val="16"/>
                    </w:rPr>
                  </w:pPr>
                  <w:r w:rsidRPr="00733612">
                    <w:rPr>
                      <w:b/>
                      <w:sz w:val="16"/>
                      <w:szCs w:val="16"/>
                    </w:rPr>
                    <w:t>48.000,00</w:t>
                  </w:r>
                </w:p>
              </w:tc>
              <w:tc>
                <w:tcPr>
                  <w:tcW w:w="1134" w:type="dxa"/>
                  <w:tcBorders>
                    <w:top w:val="single" w:sz="4" w:space="0" w:color="auto"/>
                    <w:bottom w:val="single" w:sz="4" w:space="0" w:color="auto"/>
                  </w:tcBorders>
                  <w:shd w:val="clear" w:color="auto" w:fill="D9D9D9" w:themeFill="background1" w:themeFillShade="D9"/>
                  <w:vAlign w:val="center"/>
                </w:tcPr>
                <w:p w14:paraId="70252ED4" w14:textId="77777777" w:rsidR="004126C7" w:rsidRPr="00733612" w:rsidRDefault="004126C7" w:rsidP="00443DA3">
                  <w:pPr>
                    <w:jc w:val="right"/>
                    <w:rPr>
                      <w:b/>
                      <w:sz w:val="16"/>
                      <w:szCs w:val="16"/>
                    </w:rPr>
                  </w:pPr>
                  <w:r w:rsidRPr="00733612">
                    <w:rPr>
                      <w:b/>
                      <w:sz w:val="16"/>
                      <w:szCs w:val="16"/>
                    </w:rPr>
                    <w:t>48.000,00</w:t>
                  </w:r>
                </w:p>
              </w:tc>
            </w:tr>
            <w:tr w:rsidR="00733612" w:rsidRPr="00733612" w14:paraId="69447FE2" w14:textId="77777777" w:rsidTr="00785DA8">
              <w:trPr>
                <w:trHeight w:val="255"/>
                <w:jc w:val="center"/>
              </w:trPr>
              <w:tc>
                <w:tcPr>
                  <w:tcW w:w="2253" w:type="dxa"/>
                  <w:shd w:val="clear" w:color="auto" w:fill="FFFFFF" w:themeFill="background1"/>
                  <w:noWrap/>
                  <w:vAlign w:val="center"/>
                </w:tcPr>
                <w:p w14:paraId="6F67FFFD" w14:textId="77777777" w:rsidR="004126C7" w:rsidRPr="00733612" w:rsidRDefault="004126C7" w:rsidP="004126C7">
                  <w:pPr>
                    <w:rPr>
                      <w:b/>
                      <w:sz w:val="16"/>
                      <w:szCs w:val="16"/>
                    </w:rPr>
                  </w:pPr>
                  <w:r w:rsidRPr="00733612">
                    <w:rPr>
                      <w:rFonts w:cs="Arial"/>
                      <w:sz w:val="18"/>
                      <w:szCs w:val="18"/>
                    </w:rPr>
                    <w:t>5. Porezna osnovica</w:t>
                  </w:r>
                </w:p>
              </w:tc>
              <w:tc>
                <w:tcPr>
                  <w:tcW w:w="1134" w:type="dxa"/>
                  <w:shd w:val="clear" w:color="auto" w:fill="D9D9D9" w:themeFill="background1" w:themeFillShade="D9"/>
                  <w:vAlign w:val="center"/>
                </w:tcPr>
                <w:p w14:paraId="03D47A76" w14:textId="77777777" w:rsidR="004126C7" w:rsidRPr="00733612" w:rsidRDefault="004126C7" w:rsidP="00443DA3">
                  <w:pPr>
                    <w:jc w:val="right"/>
                    <w:rPr>
                      <w:b/>
                      <w:sz w:val="16"/>
                      <w:szCs w:val="16"/>
                    </w:rPr>
                  </w:pPr>
                  <w:r w:rsidRPr="00733612">
                    <w:rPr>
                      <w:b/>
                      <w:sz w:val="16"/>
                      <w:szCs w:val="16"/>
                    </w:rPr>
                    <w:t>48.000,00</w:t>
                  </w:r>
                </w:p>
              </w:tc>
              <w:tc>
                <w:tcPr>
                  <w:tcW w:w="993" w:type="dxa"/>
                  <w:tcBorders>
                    <w:top w:val="single" w:sz="4" w:space="0" w:color="auto"/>
                    <w:bottom w:val="single" w:sz="4" w:space="0" w:color="auto"/>
                  </w:tcBorders>
                  <w:shd w:val="clear" w:color="auto" w:fill="D9D9D9" w:themeFill="background1" w:themeFillShade="D9"/>
                  <w:vAlign w:val="center"/>
                </w:tcPr>
                <w:p w14:paraId="096AA390" w14:textId="77777777" w:rsidR="004126C7" w:rsidRPr="00733612" w:rsidRDefault="004126C7" w:rsidP="00443DA3">
                  <w:pPr>
                    <w:jc w:val="right"/>
                    <w:rPr>
                      <w:b/>
                      <w:sz w:val="16"/>
                      <w:szCs w:val="16"/>
                    </w:rPr>
                  </w:pPr>
                  <w:r w:rsidRPr="00733612">
                    <w:rPr>
                      <w:b/>
                      <w:sz w:val="16"/>
                      <w:szCs w:val="16"/>
                    </w:rPr>
                    <w:t>144.000,00</w:t>
                  </w:r>
                </w:p>
              </w:tc>
              <w:tc>
                <w:tcPr>
                  <w:tcW w:w="2126" w:type="dxa"/>
                  <w:shd w:val="clear" w:color="auto" w:fill="FFFFFF" w:themeFill="background1"/>
                  <w:vAlign w:val="center"/>
                </w:tcPr>
                <w:p w14:paraId="5B11829C" w14:textId="77777777" w:rsidR="004126C7" w:rsidRPr="00733612" w:rsidRDefault="004126C7" w:rsidP="004126C7">
                  <w:pPr>
                    <w:rPr>
                      <w:b/>
                      <w:sz w:val="16"/>
                      <w:szCs w:val="16"/>
                    </w:rPr>
                  </w:pPr>
                  <w:r w:rsidRPr="00733612">
                    <w:rPr>
                      <w:rFonts w:cs="Arial"/>
                      <w:sz w:val="18"/>
                      <w:szCs w:val="18"/>
                    </w:rPr>
                    <w:t>5. Porezna osnovica</w:t>
                  </w:r>
                </w:p>
              </w:tc>
              <w:tc>
                <w:tcPr>
                  <w:tcW w:w="1276" w:type="dxa"/>
                  <w:tcBorders>
                    <w:top w:val="single" w:sz="4" w:space="0" w:color="auto"/>
                    <w:bottom w:val="single" w:sz="4" w:space="0" w:color="auto"/>
                  </w:tcBorders>
                  <w:shd w:val="clear" w:color="auto" w:fill="D9D9D9" w:themeFill="background1" w:themeFillShade="D9"/>
                  <w:vAlign w:val="center"/>
                </w:tcPr>
                <w:p w14:paraId="49CC7675" w14:textId="77777777" w:rsidR="004126C7" w:rsidRPr="00733612" w:rsidRDefault="004126C7" w:rsidP="00443DA3">
                  <w:pPr>
                    <w:jc w:val="right"/>
                    <w:rPr>
                      <w:b/>
                      <w:sz w:val="16"/>
                      <w:szCs w:val="16"/>
                    </w:rPr>
                  </w:pPr>
                  <w:r w:rsidRPr="00733612">
                    <w:rPr>
                      <w:b/>
                      <w:sz w:val="16"/>
                      <w:szCs w:val="16"/>
                    </w:rPr>
                    <w:t>48.000,00</w:t>
                  </w:r>
                </w:p>
              </w:tc>
              <w:tc>
                <w:tcPr>
                  <w:tcW w:w="1134" w:type="dxa"/>
                  <w:tcBorders>
                    <w:top w:val="single" w:sz="4" w:space="0" w:color="auto"/>
                    <w:bottom w:val="single" w:sz="4" w:space="0" w:color="auto"/>
                  </w:tcBorders>
                  <w:shd w:val="clear" w:color="auto" w:fill="D9D9D9" w:themeFill="background1" w:themeFillShade="D9"/>
                  <w:vAlign w:val="center"/>
                </w:tcPr>
                <w:p w14:paraId="43E953E6" w14:textId="77777777" w:rsidR="004126C7" w:rsidRPr="00733612" w:rsidRDefault="004126C7" w:rsidP="00443DA3">
                  <w:pPr>
                    <w:jc w:val="right"/>
                    <w:rPr>
                      <w:b/>
                      <w:sz w:val="16"/>
                      <w:szCs w:val="16"/>
                    </w:rPr>
                  </w:pPr>
                  <w:r w:rsidRPr="00733612">
                    <w:rPr>
                      <w:b/>
                      <w:sz w:val="16"/>
                      <w:szCs w:val="16"/>
                    </w:rPr>
                    <w:t>144.000,00</w:t>
                  </w:r>
                </w:p>
              </w:tc>
            </w:tr>
            <w:tr w:rsidR="00733612" w:rsidRPr="00733612" w14:paraId="4F5A84BE" w14:textId="77777777" w:rsidTr="00785DA8">
              <w:trPr>
                <w:trHeight w:val="399"/>
                <w:jc w:val="center"/>
              </w:trPr>
              <w:tc>
                <w:tcPr>
                  <w:tcW w:w="2253" w:type="dxa"/>
                  <w:shd w:val="clear" w:color="auto" w:fill="FFFFFF" w:themeFill="background1"/>
                  <w:noWrap/>
                  <w:vAlign w:val="center"/>
                </w:tcPr>
                <w:p w14:paraId="03EAFF6F" w14:textId="77777777" w:rsidR="004126C7" w:rsidRPr="00733612" w:rsidRDefault="004126C7" w:rsidP="004126C7">
                  <w:pPr>
                    <w:rPr>
                      <w:b/>
                      <w:sz w:val="16"/>
                      <w:szCs w:val="16"/>
                    </w:rPr>
                  </w:pPr>
                  <w:r w:rsidRPr="00733612">
                    <w:rPr>
                      <w:rFonts w:cs="Arial"/>
                      <w:sz w:val="18"/>
                      <w:szCs w:val="18"/>
                    </w:rPr>
                    <w:t>6. Porezna osnovica za primjenu stope 24%</w:t>
                  </w:r>
                </w:p>
              </w:tc>
              <w:tc>
                <w:tcPr>
                  <w:tcW w:w="1134" w:type="dxa"/>
                  <w:shd w:val="clear" w:color="auto" w:fill="D9D9D9" w:themeFill="background1" w:themeFillShade="D9"/>
                  <w:vAlign w:val="center"/>
                </w:tcPr>
                <w:p w14:paraId="6956023D" w14:textId="77777777" w:rsidR="004126C7" w:rsidRPr="00733612" w:rsidRDefault="004126C7" w:rsidP="00443DA3">
                  <w:pPr>
                    <w:jc w:val="right"/>
                    <w:rPr>
                      <w:b/>
                      <w:sz w:val="16"/>
                      <w:szCs w:val="16"/>
                    </w:rPr>
                  </w:pPr>
                  <w:r w:rsidRPr="00733612">
                    <w:rPr>
                      <w:b/>
                      <w:sz w:val="16"/>
                      <w:szCs w:val="16"/>
                    </w:rPr>
                    <w:t>48.000,00</w:t>
                  </w:r>
                </w:p>
              </w:tc>
              <w:tc>
                <w:tcPr>
                  <w:tcW w:w="993" w:type="dxa"/>
                  <w:tcBorders>
                    <w:top w:val="single" w:sz="4" w:space="0" w:color="auto"/>
                    <w:bottom w:val="single" w:sz="4" w:space="0" w:color="auto"/>
                  </w:tcBorders>
                  <w:shd w:val="clear" w:color="auto" w:fill="D9D9D9" w:themeFill="background1" w:themeFillShade="D9"/>
                  <w:vAlign w:val="center"/>
                </w:tcPr>
                <w:p w14:paraId="23A0D1DA" w14:textId="77777777" w:rsidR="004126C7" w:rsidRPr="00733612" w:rsidRDefault="004126C7" w:rsidP="00443DA3">
                  <w:pPr>
                    <w:jc w:val="right"/>
                    <w:rPr>
                      <w:b/>
                      <w:sz w:val="16"/>
                      <w:szCs w:val="16"/>
                    </w:rPr>
                  </w:pPr>
                  <w:r w:rsidRPr="00733612">
                    <w:rPr>
                      <w:b/>
                      <w:sz w:val="16"/>
                      <w:szCs w:val="16"/>
                    </w:rPr>
                    <w:t>144.000,00</w:t>
                  </w:r>
                </w:p>
              </w:tc>
              <w:tc>
                <w:tcPr>
                  <w:tcW w:w="2126" w:type="dxa"/>
                  <w:shd w:val="clear" w:color="auto" w:fill="FFFFFF" w:themeFill="background1"/>
                  <w:vAlign w:val="center"/>
                </w:tcPr>
                <w:p w14:paraId="6B9F5D0D" w14:textId="77777777" w:rsidR="004126C7" w:rsidRPr="00733612" w:rsidRDefault="004126C7" w:rsidP="004126C7">
                  <w:pPr>
                    <w:rPr>
                      <w:b/>
                      <w:sz w:val="16"/>
                      <w:szCs w:val="16"/>
                    </w:rPr>
                  </w:pPr>
                  <w:r w:rsidRPr="00733612">
                    <w:rPr>
                      <w:rFonts w:cs="Arial"/>
                      <w:sz w:val="18"/>
                      <w:szCs w:val="18"/>
                    </w:rPr>
                    <w:t>6. Porezna osnovica za primjenu stope 20%</w:t>
                  </w:r>
                </w:p>
              </w:tc>
              <w:tc>
                <w:tcPr>
                  <w:tcW w:w="1276" w:type="dxa"/>
                  <w:tcBorders>
                    <w:top w:val="single" w:sz="4" w:space="0" w:color="auto"/>
                    <w:bottom w:val="single" w:sz="4" w:space="0" w:color="auto"/>
                  </w:tcBorders>
                  <w:shd w:val="clear" w:color="auto" w:fill="D9D9D9" w:themeFill="background1" w:themeFillShade="D9"/>
                  <w:vAlign w:val="center"/>
                </w:tcPr>
                <w:p w14:paraId="5BC1B927" w14:textId="77777777" w:rsidR="004126C7" w:rsidRPr="00733612" w:rsidRDefault="004126C7" w:rsidP="00443DA3">
                  <w:pPr>
                    <w:jc w:val="right"/>
                    <w:rPr>
                      <w:b/>
                      <w:sz w:val="16"/>
                      <w:szCs w:val="16"/>
                    </w:rPr>
                  </w:pPr>
                  <w:r w:rsidRPr="00733612">
                    <w:rPr>
                      <w:b/>
                      <w:sz w:val="16"/>
                      <w:szCs w:val="16"/>
                    </w:rPr>
                    <w:t>48.000,00</w:t>
                  </w:r>
                </w:p>
              </w:tc>
              <w:tc>
                <w:tcPr>
                  <w:tcW w:w="1134" w:type="dxa"/>
                  <w:tcBorders>
                    <w:top w:val="single" w:sz="4" w:space="0" w:color="auto"/>
                    <w:bottom w:val="single" w:sz="4" w:space="0" w:color="auto"/>
                  </w:tcBorders>
                  <w:shd w:val="clear" w:color="auto" w:fill="D9D9D9" w:themeFill="background1" w:themeFillShade="D9"/>
                  <w:vAlign w:val="center"/>
                </w:tcPr>
                <w:p w14:paraId="31E8E9B5" w14:textId="77777777" w:rsidR="004126C7" w:rsidRPr="00733612" w:rsidRDefault="004126C7" w:rsidP="00443DA3">
                  <w:pPr>
                    <w:jc w:val="right"/>
                    <w:rPr>
                      <w:b/>
                      <w:sz w:val="16"/>
                      <w:szCs w:val="16"/>
                    </w:rPr>
                  </w:pPr>
                  <w:r w:rsidRPr="00733612">
                    <w:rPr>
                      <w:b/>
                      <w:sz w:val="16"/>
                      <w:szCs w:val="16"/>
                    </w:rPr>
                    <w:t>144.000,00</w:t>
                  </w:r>
                </w:p>
              </w:tc>
            </w:tr>
            <w:tr w:rsidR="00733612" w:rsidRPr="00733612" w14:paraId="4F300D67" w14:textId="77777777" w:rsidTr="00785DA8">
              <w:trPr>
                <w:trHeight w:val="255"/>
                <w:jc w:val="center"/>
              </w:trPr>
              <w:tc>
                <w:tcPr>
                  <w:tcW w:w="2253" w:type="dxa"/>
                  <w:shd w:val="clear" w:color="auto" w:fill="FFFFFF" w:themeFill="background1"/>
                  <w:noWrap/>
                  <w:vAlign w:val="center"/>
                </w:tcPr>
                <w:p w14:paraId="5EA34B82" w14:textId="77777777" w:rsidR="004126C7" w:rsidRPr="00733612" w:rsidRDefault="004126C7" w:rsidP="004126C7">
                  <w:pPr>
                    <w:rPr>
                      <w:b/>
                      <w:sz w:val="16"/>
                      <w:szCs w:val="16"/>
                    </w:rPr>
                  </w:pPr>
                  <w:r w:rsidRPr="00733612">
                    <w:rPr>
                      <w:rFonts w:cs="Arial"/>
                      <w:sz w:val="18"/>
                      <w:szCs w:val="18"/>
                    </w:rPr>
                    <w:t>7. Porezna osnovica za primjenu stope 36%</w:t>
                  </w:r>
                </w:p>
              </w:tc>
              <w:tc>
                <w:tcPr>
                  <w:tcW w:w="1134" w:type="dxa"/>
                  <w:shd w:val="clear" w:color="auto" w:fill="D9D9D9" w:themeFill="background1" w:themeFillShade="D9"/>
                  <w:vAlign w:val="center"/>
                </w:tcPr>
                <w:p w14:paraId="399495F1" w14:textId="449633A5" w:rsidR="004126C7" w:rsidRPr="00733612" w:rsidRDefault="004126C7" w:rsidP="00443DA3">
                  <w:pPr>
                    <w:jc w:val="right"/>
                    <w:rPr>
                      <w:b/>
                      <w:sz w:val="16"/>
                      <w:szCs w:val="16"/>
                    </w:rPr>
                  </w:pPr>
                  <w:r w:rsidRPr="00733612">
                    <w:rPr>
                      <w:b/>
                      <w:sz w:val="16"/>
                      <w:szCs w:val="16"/>
                    </w:rPr>
                    <w:t>0</w:t>
                  </w:r>
                  <w:r w:rsidR="00733612">
                    <w:rPr>
                      <w:b/>
                      <w:sz w:val="16"/>
                      <w:szCs w:val="16"/>
                    </w:rPr>
                    <w:t>,00</w:t>
                  </w:r>
                </w:p>
              </w:tc>
              <w:tc>
                <w:tcPr>
                  <w:tcW w:w="993" w:type="dxa"/>
                  <w:tcBorders>
                    <w:top w:val="single" w:sz="4" w:space="0" w:color="auto"/>
                    <w:bottom w:val="single" w:sz="4" w:space="0" w:color="auto"/>
                  </w:tcBorders>
                  <w:shd w:val="clear" w:color="auto" w:fill="D9D9D9" w:themeFill="background1" w:themeFillShade="D9"/>
                  <w:vAlign w:val="center"/>
                </w:tcPr>
                <w:p w14:paraId="1448FE9E" w14:textId="59B25EC2" w:rsidR="004126C7" w:rsidRPr="00733612" w:rsidRDefault="004126C7" w:rsidP="00443DA3">
                  <w:pPr>
                    <w:jc w:val="right"/>
                    <w:rPr>
                      <w:b/>
                      <w:sz w:val="16"/>
                      <w:szCs w:val="16"/>
                    </w:rPr>
                  </w:pPr>
                  <w:r w:rsidRPr="00733612">
                    <w:rPr>
                      <w:b/>
                      <w:sz w:val="16"/>
                      <w:szCs w:val="16"/>
                    </w:rPr>
                    <w:t>0</w:t>
                  </w:r>
                  <w:r w:rsidR="00733612">
                    <w:rPr>
                      <w:b/>
                      <w:sz w:val="16"/>
                      <w:szCs w:val="16"/>
                    </w:rPr>
                    <w:t>,00</w:t>
                  </w:r>
                </w:p>
              </w:tc>
              <w:tc>
                <w:tcPr>
                  <w:tcW w:w="2126" w:type="dxa"/>
                  <w:shd w:val="clear" w:color="auto" w:fill="FFFFFF" w:themeFill="background1"/>
                  <w:vAlign w:val="center"/>
                </w:tcPr>
                <w:p w14:paraId="4F5CB27D" w14:textId="77777777" w:rsidR="004126C7" w:rsidRPr="00733612" w:rsidRDefault="004126C7" w:rsidP="004126C7">
                  <w:pPr>
                    <w:rPr>
                      <w:b/>
                      <w:sz w:val="16"/>
                      <w:szCs w:val="16"/>
                    </w:rPr>
                  </w:pPr>
                  <w:r w:rsidRPr="00733612">
                    <w:rPr>
                      <w:rFonts w:cs="Arial"/>
                      <w:sz w:val="18"/>
                      <w:szCs w:val="18"/>
                    </w:rPr>
                    <w:t>7. Porezna osnovica za primjenu stope 30%</w:t>
                  </w:r>
                </w:p>
              </w:tc>
              <w:tc>
                <w:tcPr>
                  <w:tcW w:w="1276" w:type="dxa"/>
                  <w:tcBorders>
                    <w:top w:val="single" w:sz="4" w:space="0" w:color="auto"/>
                    <w:bottom w:val="single" w:sz="4" w:space="0" w:color="auto"/>
                  </w:tcBorders>
                  <w:shd w:val="clear" w:color="auto" w:fill="D9D9D9" w:themeFill="background1" w:themeFillShade="D9"/>
                  <w:vAlign w:val="center"/>
                </w:tcPr>
                <w:p w14:paraId="32383D01" w14:textId="404981D7" w:rsidR="004126C7" w:rsidRPr="00733612" w:rsidRDefault="004126C7" w:rsidP="00443DA3">
                  <w:pPr>
                    <w:jc w:val="right"/>
                    <w:rPr>
                      <w:b/>
                      <w:sz w:val="16"/>
                      <w:szCs w:val="16"/>
                    </w:rPr>
                  </w:pPr>
                  <w:r w:rsidRPr="00733612">
                    <w:rPr>
                      <w:b/>
                      <w:sz w:val="16"/>
                      <w:szCs w:val="16"/>
                    </w:rPr>
                    <w:t>0</w:t>
                  </w:r>
                  <w:r w:rsidR="00733612">
                    <w:rPr>
                      <w:b/>
                      <w:sz w:val="16"/>
                      <w:szCs w:val="16"/>
                    </w:rPr>
                    <w:t>,00</w:t>
                  </w:r>
                </w:p>
              </w:tc>
              <w:tc>
                <w:tcPr>
                  <w:tcW w:w="1134" w:type="dxa"/>
                  <w:tcBorders>
                    <w:top w:val="single" w:sz="4" w:space="0" w:color="auto"/>
                    <w:bottom w:val="single" w:sz="4" w:space="0" w:color="auto"/>
                  </w:tcBorders>
                  <w:shd w:val="clear" w:color="auto" w:fill="D9D9D9" w:themeFill="background1" w:themeFillShade="D9"/>
                  <w:vAlign w:val="center"/>
                </w:tcPr>
                <w:p w14:paraId="32890FCE" w14:textId="666C509F" w:rsidR="004126C7" w:rsidRPr="00733612" w:rsidRDefault="004126C7" w:rsidP="00443DA3">
                  <w:pPr>
                    <w:jc w:val="right"/>
                    <w:rPr>
                      <w:b/>
                      <w:sz w:val="16"/>
                      <w:szCs w:val="16"/>
                    </w:rPr>
                  </w:pPr>
                  <w:r w:rsidRPr="00733612">
                    <w:rPr>
                      <w:b/>
                      <w:sz w:val="16"/>
                      <w:szCs w:val="16"/>
                    </w:rPr>
                    <w:t>0</w:t>
                  </w:r>
                  <w:r w:rsidR="00733612">
                    <w:rPr>
                      <w:b/>
                      <w:sz w:val="16"/>
                      <w:szCs w:val="16"/>
                    </w:rPr>
                    <w:t>,00</w:t>
                  </w:r>
                </w:p>
              </w:tc>
            </w:tr>
            <w:tr w:rsidR="00733612" w:rsidRPr="00733612" w14:paraId="0015904E" w14:textId="77777777" w:rsidTr="00785DA8">
              <w:trPr>
                <w:trHeight w:val="255"/>
                <w:jc w:val="center"/>
              </w:trPr>
              <w:tc>
                <w:tcPr>
                  <w:tcW w:w="2253" w:type="dxa"/>
                  <w:shd w:val="clear" w:color="auto" w:fill="FFFFFF" w:themeFill="background1"/>
                  <w:noWrap/>
                  <w:vAlign w:val="center"/>
                </w:tcPr>
                <w:p w14:paraId="017F11C5" w14:textId="77777777" w:rsidR="004126C7" w:rsidRPr="00733612" w:rsidRDefault="004126C7" w:rsidP="004126C7">
                  <w:pPr>
                    <w:rPr>
                      <w:b/>
                      <w:sz w:val="18"/>
                      <w:szCs w:val="18"/>
                    </w:rPr>
                  </w:pPr>
                  <w:r w:rsidRPr="00733612">
                    <w:rPr>
                      <w:rFonts w:cs="Arial"/>
                      <w:sz w:val="18"/>
                      <w:szCs w:val="18"/>
                    </w:rPr>
                    <w:t>8. Porez po stopi 24%</w:t>
                  </w:r>
                </w:p>
              </w:tc>
              <w:tc>
                <w:tcPr>
                  <w:tcW w:w="1134" w:type="dxa"/>
                  <w:shd w:val="clear" w:color="auto" w:fill="D9D9D9" w:themeFill="background1" w:themeFillShade="D9"/>
                  <w:vAlign w:val="center"/>
                </w:tcPr>
                <w:p w14:paraId="02D974E2" w14:textId="77777777" w:rsidR="004126C7" w:rsidRPr="00733612" w:rsidRDefault="004126C7" w:rsidP="00443DA3">
                  <w:pPr>
                    <w:jc w:val="right"/>
                    <w:rPr>
                      <w:b/>
                      <w:sz w:val="16"/>
                      <w:szCs w:val="16"/>
                    </w:rPr>
                  </w:pPr>
                  <w:r w:rsidRPr="00733612">
                    <w:rPr>
                      <w:b/>
                      <w:sz w:val="16"/>
                      <w:szCs w:val="16"/>
                    </w:rPr>
                    <w:t>11.520,00</w:t>
                  </w:r>
                </w:p>
              </w:tc>
              <w:tc>
                <w:tcPr>
                  <w:tcW w:w="993" w:type="dxa"/>
                  <w:tcBorders>
                    <w:top w:val="single" w:sz="4" w:space="0" w:color="auto"/>
                    <w:bottom w:val="single" w:sz="4" w:space="0" w:color="auto"/>
                  </w:tcBorders>
                  <w:shd w:val="clear" w:color="auto" w:fill="D9D9D9" w:themeFill="background1" w:themeFillShade="D9"/>
                  <w:vAlign w:val="center"/>
                </w:tcPr>
                <w:p w14:paraId="6B65AC0F" w14:textId="77777777" w:rsidR="004126C7" w:rsidRPr="00733612" w:rsidRDefault="004126C7" w:rsidP="00443DA3">
                  <w:pPr>
                    <w:jc w:val="right"/>
                    <w:rPr>
                      <w:b/>
                      <w:sz w:val="16"/>
                      <w:szCs w:val="16"/>
                    </w:rPr>
                  </w:pPr>
                  <w:r w:rsidRPr="00733612">
                    <w:rPr>
                      <w:b/>
                      <w:sz w:val="16"/>
                      <w:szCs w:val="16"/>
                    </w:rPr>
                    <w:t>34.560,00</w:t>
                  </w:r>
                </w:p>
              </w:tc>
              <w:tc>
                <w:tcPr>
                  <w:tcW w:w="2126" w:type="dxa"/>
                  <w:shd w:val="clear" w:color="auto" w:fill="FFFFFF" w:themeFill="background1"/>
                  <w:vAlign w:val="center"/>
                </w:tcPr>
                <w:p w14:paraId="3686BC5D" w14:textId="77777777" w:rsidR="004126C7" w:rsidRPr="00733612" w:rsidRDefault="004126C7" w:rsidP="004126C7">
                  <w:pPr>
                    <w:rPr>
                      <w:b/>
                      <w:sz w:val="16"/>
                      <w:szCs w:val="16"/>
                    </w:rPr>
                  </w:pPr>
                  <w:r w:rsidRPr="00733612">
                    <w:rPr>
                      <w:rFonts w:cs="Arial"/>
                      <w:sz w:val="18"/>
                      <w:szCs w:val="18"/>
                    </w:rPr>
                    <w:t>8. Porez po stopi 20%</w:t>
                  </w:r>
                </w:p>
              </w:tc>
              <w:tc>
                <w:tcPr>
                  <w:tcW w:w="1276" w:type="dxa"/>
                  <w:tcBorders>
                    <w:top w:val="single" w:sz="4" w:space="0" w:color="auto"/>
                    <w:bottom w:val="single" w:sz="4" w:space="0" w:color="auto"/>
                  </w:tcBorders>
                  <w:shd w:val="clear" w:color="auto" w:fill="D9D9D9" w:themeFill="background1" w:themeFillShade="D9"/>
                  <w:vAlign w:val="center"/>
                </w:tcPr>
                <w:p w14:paraId="69F4FF25" w14:textId="77777777" w:rsidR="004126C7" w:rsidRPr="00733612" w:rsidRDefault="004126C7" w:rsidP="00443DA3">
                  <w:pPr>
                    <w:jc w:val="right"/>
                    <w:rPr>
                      <w:b/>
                      <w:sz w:val="16"/>
                      <w:szCs w:val="16"/>
                    </w:rPr>
                  </w:pPr>
                  <w:r w:rsidRPr="00733612">
                    <w:rPr>
                      <w:b/>
                      <w:sz w:val="16"/>
                      <w:szCs w:val="16"/>
                    </w:rPr>
                    <w:t>9.600,00</w:t>
                  </w:r>
                </w:p>
              </w:tc>
              <w:tc>
                <w:tcPr>
                  <w:tcW w:w="1134" w:type="dxa"/>
                  <w:tcBorders>
                    <w:top w:val="single" w:sz="4" w:space="0" w:color="auto"/>
                    <w:bottom w:val="single" w:sz="4" w:space="0" w:color="auto"/>
                  </w:tcBorders>
                  <w:shd w:val="clear" w:color="auto" w:fill="D9D9D9" w:themeFill="background1" w:themeFillShade="D9"/>
                  <w:vAlign w:val="center"/>
                </w:tcPr>
                <w:p w14:paraId="76ED1397" w14:textId="77777777" w:rsidR="004126C7" w:rsidRPr="00733612" w:rsidRDefault="004126C7" w:rsidP="00443DA3">
                  <w:pPr>
                    <w:jc w:val="right"/>
                    <w:rPr>
                      <w:b/>
                      <w:sz w:val="16"/>
                      <w:szCs w:val="16"/>
                    </w:rPr>
                  </w:pPr>
                  <w:r w:rsidRPr="00733612">
                    <w:rPr>
                      <w:b/>
                      <w:sz w:val="16"/>
                      <w:szCs w:val="16"/>
                    </w:rPr>
                    <w:t>28.800,00</w:t>
                  </w:r>
                </w:p>
              </w:tc>
            </w:tr>
            <w:tr w:rsidR="00733612" w:rsidRPr="00733612" w14:paraId="64A772B1" w14:textId="77777777" w:rsidTr="00785DA8">
              <w:trPr>
                <w:trHeight w:val="255"/>
                <w:jc w:val="center"/>
              </w:trPr>
              <w:tc>
                <w:tcPr>
                  <w:tcW w:w="2253" w:type="dxa"/>
                  <w:shd w:val="clear" w:color="auto" w:fill="FFFFFF" w:themeFill="background1"/>
                  <w:noWrap/>
                  <w:vAlign w:val="center"/>
                </w:tcPr>
                <w:p w14:paraId="564DAAF8" w14:textId="77777777" w:rsidR="004126C7" w:rsidRPr="00733612" w:rsidRDefault="004126C7" w:rsidP="004126C7">
                  <w:pPr>
                    <w:rPr>
                      <w:b/>
                      <w:sz w:val="18"/>
                      <w:szCs w:val="18"/>
                    </w:rPr>
                  </w:pPr>
                  <w:r w:rsidRPr="00733612">
                    <w:rPr>
                      <w:rFonts w:cs="Arial"/>
                      <w:sz w:val="18"/>
                      <w:szCs w:val="18"/>
                    </w:rPr>
                    <w:t>9.</w:t>
                  </w:r>
                  <w:r w:rsidRPr="00733612">
                    <w:rPr>
                      <w:sz w:val="18"/>
                      <w:szCs w:val="18"/>
                    </w:rPr>
                    <w:t xml:space="preserve"> Porez po stopi 36%</w:t>
                  </w:r>
                </w:p>
              </w:tc>
              <w:tc>
                <w:tcPr>
                  <w:tcW w:w="1134" w:type="dxa"/>
                  <w:shd w:val="clear" w:color="auto" w:fill="D9D9D9" w:themeFill="background1" w:themeFillShade="D9"/>
                  <w:vAlign w:val="center"/>
                </w:tcPr>
                <w:p w14:paraId="7CA4D37E" w14:textId="1897BCA5" w:rsidR="004126C7" w:rsidRPr="00733612" w:rsidRDefault="004126C7" w:rsidP="00443DA3">
                  <w:pPr>
                    <w:jc w:val="right"/>
                    <w:rPr>
                      <w:b/>
                      <w:sz w:val="16"/>
                      <w:szCs w:val="16"/>
                    </w:rPr>
                  </w:pPr>
                  <w:r w:rsidRPr="00733612">
                    <w:rPr>
                      <w:b/>
                      <w:sz w:val="16"/>
                      <w:szCs w:val="16"/>
                    </w:rPr>
                    <w:t>0</w:t>
                  </w:r>
                  <w:r w:rsidR="00733612">
                    <w:rPr>
                      <w:b/>
                      <w:sz w:val="16"/>
                      <w:szCs w:val="16"/>
                    </w:rPr>
                    <w:t>,00</w:t>
                  </w:r>
                </w:p>
              </w:tc>
              <w:tc>
                <w:tcPr>
                  <w:tcW w:w="993" w:type="dxa"/>
                  <w:tcBorders>
                    <w:top w:val="single" w:sz="4" w:space="0" w:color="auto"/>
                    <w:bottom w:val="single" w:sz="4" w:space="0" w:color="auto"/>
                  </w:tcBorders>
                  <w:shd w:val="clear" w:color="auto" w:fill="D9D9D9" w:themeFill="background1" w:themeFillShade="D9"/>
                  <w:vAlign w:val="center"/>
                </w:tcPr>
                <w:p w14:paraId="5A5289B9" w14:textId="4DFAD1B5" w:rsidR="004126C7" w:rsidRPr="00733612" w:rsidRDefault="004126C7" w:rsidP="00443DA3">
                  <w:pPr>
                    <w:jc w:val="right"/>
                    <w:rPr>
                      <w:b/>
                      <w:sz w:val="16"/>
                      <w:szCs w:val="16"/>
                    </w:rPr>
                  </w:pPr>
                  <w:r w:rsidRPr="00733612">
                    <w:rPr>
                      <w:b/>
                      <w:sz w:val="16"/>
                      <w:szCs w:val="16"/>
                    </w:rPr>
                    <w:t>0</w:t>
                  </w:r>
                  <w:r w:rsidR="00733612">
                    <w:rPr>
                      <w:b/>
                      <w:sz w:val="16"/>
                      <w:szCs w:val="16"/>
                    </w:rPr>
                    <w:t>,00</w:t>
                  </w:r>
                </w:p>
              </w:tc>
              <w:tc>
                <w:tcPr>
                  <w:tcW w:w="2126" w:type="dxa"/>
                  <w:shd w:val="clear" w:color="auto" w:fill="FFFFFF" w:themeFill="background1"/>
                  <w:vAlign w:val="center"/>
                </w:tcPr>
                <w:p w14:paraId="2B7A6F47" w14:textId="77777777" w:rsidR="004126C7" w:rsidRPr="00733612" w:rsidRDefault="004126C7" w:rsidP="004126C7">
                  <w:pPr>
                    <w:rPr>
                      <w:b/>
                      <w:sz w:val="16"/>
                      <w:szCs w:val="16"/>
                    </w:rPr>
                  </w:pPr>
                  <w:r w:rsidRPr="00733612">
                    <w:rPr>
                      <w:rFonts w:cs="Arial"/>
                      <w:sz w:val="18"/>
                      <w:szCs w:val="18"/>
                    </w:rPr>
                    <w:t>9.</w:t>
                  </w:r>
                  <w:r w:rsidRPr="00733612">
                    <w:rPr>
                      <w:sz w:val="18"/>
                      <w:szCs w:val="18"/>
                    </w:rPr>
                    <w:t xml:space="preserve"> Porez po stopi 30%</w:t>
                  </w:r>
                </w:p>
              </w:tc>
              <w:tc>
                <w:tcPr>
                  <w:tcW w:w="1276" w:type="dxa"/>
                  <w:tcBorders>
                    <w:top w:val="single" w:sz="4" w:space="0" w:color="auto"/>
                    <w:bottom w:val="single" w:sz="4" w:space="0" w:color="auto"/>
                  </w:tcBorders>
                  <w:shd w:val="clear" w:color="auto" w:fill="D9D9D9" w:themeFill="background1" w:themeFillShade="D9"/>
                  <w:vAlign w:val="center"/>
                </w:tcPr>
                <w:p w14:paraId="130BADF1" w14:textId="5557993A" w:rsidR="004126C7" w:rsidRPr="00733612" w:rsidRDefault="004126C7" w:rsidP="00443DA3">
                  <w:pPr>
                    <w:jc w:val="right"/>
                    <w:rPr>
                      <w:b/>
                      <w:sz w:val="16"/>
                      <w:szCs w:val="16"/>
                    </w:rPr>
                  </w:pPr>
                  <w:r w:rsidRPr="00733612">
                    <w:rPr>
                      <w:b/>
                      <w:sz w:val="16"/>
                      <w:szCs w:val="16"/>
                    </w:rPr>
                    <w:t>0</w:t>
                  </w:r>
                  <w:r w:rsidR="00733612">
                    <w:rPr>
                      <w:b/>
                      <w:sz w:val="16"/>
                      <w:szCs w:val="16"/>
                    </w:rPr>
                    <w:t>,00</w:t>
                  </w:r>
                </w:p>
              </w:tc>
              <w:tc>
                <w:tcPr>
                  <w:tcW w:w="1134" w:type="dxa"/>
                  <w:tcBorders>
                    <w:top w:val="single" w:sz="4" w:space="0" w:color="auto"/>
                    <w:bottom w:val="single" w:sz="4" w:space="0" w:color="auto"/>
                  </w:tcBorders>
                  <w:shd w:val="clear" w:color="auto" w:fill="D9D9D9" w:themeFill="background1" w:themeFillShade="D9"/>
                  <w:vAlign w:val="center"/>
                </w:tcPr>
                <w:p w14:paraId="421CC467" w14:textId="6EBEF5DB" w:rsidR="004126C7" w:rsidRPr="00733612" w:rsidRDefault="004126C7" w:rsidP="00443DA3">
                  <w:pPr>
                    <w:jc w:val="right"/>
                    <w:rPr>
                      <w:b/>
                      <w:sz w:val="16"/>
                      <w:szCs w:val="16"/>
                    </w:rPr>
                  </w:pPr>
                  <w:r w:rsidRPr="00733612">
                    <w:rPr>
                      <w:b/>
                      <w:sz w:val="16"/>
                      <w:szCs w:val="16"/>
                    </w:rPr>
                    <w:t>0</w:t>
                  </w:r>
                  <w:r w:rsidR="00733612">
                    <w:rPr>
                      <w:b/>
                      <w:sz w:val="16"/>
                      <w:szCs w:val="16"/>
                    </w:rPr>
                    <w:t>,00</w:t>
                  </w:r>
                </w:p>
              </w:tc>
            </w:tr>
            <w:tr w:rsidR="00733612" w:rsidRPr="00733612" w14:paraId="26B2AAAB" w14:textId="77777777" w:rsidTr="00785DA8">
              <w:trPr>
                <w:trHeight w:val="60"/>
                <w:jc w:val="center"/>
              </w:trPr>
              <w:tc>
                <w:tcPr>
                  <w:tcW w:w="2253" w:type="dxa"/>
                  <w:noWrap/>
                  <w:vAlign w:val="center"/>
                </w:tcPr>
                <w:p w14:paraId="06E7D0E3" w14:textId="77777777" w:rsidR="004126C7" w:rsidRPr="00733612" w:rsidRDefault="004126C7" w:rsidP="004126C7">
                  <w:pPr>
                    <w:rPr>
                      <w:b/>
                      <w:sz w:val="16"/>
                      <w:szCs w:val="16"/>
                    </w:rPr>
                  </w:pPr>
                  <w:r w:rsidRPr="00733612">
                    <w:rPr>
                      <w:rFonts w:cs="Arial"/>
                      <w:sz w:val="18"/>
                      <w:szCs w:val="18"/>
                    </w:rPr>
                    <w:t>10. Ukupno porez</w:t>
                  </w:r>
                </w:p>
              </w:tc>
              <w:tc>
                <w:tcPr>
                  <w:tcW w:w="1134" w:type="dxa"/>
                  <w:shd w:val="clear" w:color="auto" w:fill="D9D9D9" w:themeFill="background1" w:themeFillShade="D9"/>
                  <w:vAlign w:val="center"/>
                </w:tcPr>
                <w:p w14:paraId="06454D1D" w14:textId="77777777" w:rsidR="004126C7" w:rsidRPr="00733612" w:rsidRDefault="004126C7" w:rsidP="00443DA3">
                  <w:pPr>
                    <w:jc w:val="right"/>
                    <w:rPr>
                      <w:b/>
                      <w:sz w:val="16"/>
                      <w:szCs w:val="16"/>
                    </w:rPr>
                  </w:pPr>
                  <w:r w:rsidRPr="00733612">
                    <w:rPr>
                      <w:b/>
                      <w:sz w:val="16"/>
                      <w:szCs w:val="16"/>
                    </w:rPr>
                    <w:t>11.520,00</w:t>
                  </w:r>
                </w:p>
              </w:tc>
              <w:tc>
                <w:tcPr>
                  <w:tcW w:w="993" w:type="dxa"/>
                  <w:tcBorders>
                    <w:top w:val="single" w:sz="4" w:space="0" w:color="auto"/>
                    <w:bottom w:val="single" w:sz="4" w:space="0" w:color="auto"/>
                  </w:tcBorders>
                  <w:shd w:val="clear" w:color="auto" w:fill="D9D9D9" w:themeFill="background1" w:themeFillShade="D9"/>
                  <w:vAlign w:val="center"/>
                </w:tcPr>
                <w:p w14:paraId="2BAC114D" w14:textId="77777777" w:rsidR="004126C7" w:rsidRPr="00733612" w:rsidRDefault="004126C7" w:rsidP="00443DA3">
                  <w:pPr>
                    <w:jc w:val="right"/>
                    <w:rPr>
                      <w:b/>
                      <w:sz w:val="16"/>
                      <w:szCs w:val="16"/>
                    </w:rPr>
                  </w:pPr>
                  <w:r w:rsidRPr="00733612">
                    <w:rPr>
                      <w:b/>
                      <w:sz w:val="16"/>
                      <w:szCs w:val="16"/>
                    </w:rPr>
                    <w:t>34.560,00</w:t>
                  </w:r>
                </w:p>
              </w:tc>
              <w:tc>
                <w:tcPr>
                  <w:tcW w:w="2126" w:type="dxa"/>
                  <w:vAlign w:val="center"/>
                </w:tcPr>
                <w:p w14:paraId="0320808E" w14:textId="77777777" w:rsidR="004126C7" w:rsidRPr="00733612" w:rsidRDefault="004126C7" w:rsidP="004126C7">
                  <w:pPr>
                    <w:rPr>
                      <w:b/>
                      <w:sz w:val="16"/>
                      <w:szCs w:val="16"/>
                    </w:rPr>
                  </w:pPr>
                  <w:r w:rsidRPr="00733612">
                    <w:rPr>
                      <w:rFonts w:cs="Arial"/>
                      <w:sz w:val="18"/>
                      <w:szCs w:val="18"/>
                    </w:rPr>
                    <w:t>10. Ukupno porez</w:t>
                  </w:r>
                </w:p>
              </w:tc>
              <w:tc>
                <w:tcPr>
                  <w:tcW w:w="1276" w:type="dxa"/>
                  <w:tcBorders>
                    <w:top w:val="single" w:sz="4" w:space="0" w:color="auto"/>
                    <w:bottom w:val="single" w:sz="4" w:space="0" w:color="auto"/>
                  </w:tcBorders>
                  <w:shd w:val="clear" w:color="auto" w:fill="D9D9D9" w:themeFill="background1" w:themeFillShade="D9"/>
                  <w:vAlign w:val="center"/>
                </w:tcPr>
                <w:p w14:paraId="10F0894D" w14:textId="77777777" w:rsidR="004126C7" w:rsidRPr="00733612" w:rsidRDefault="004126C7" w:rsidP="00443DA3">
                  <w:pPr>
                    <w:jc w:val="right"/>
                    <w:rPr>
                      <w:b/>
                      <w:sz w:val="16"/>
                      <w:szCs w:val="16"/>
                    </w:rPr>
                  </w:pPr>
                  <w:r w:rsidRPr="00733612">
                    <w:rPr>
                      <w:b/>
                      <w:sz w:val="16"/>
                      <w:szCs w:val="16"/>
                    </w:rPr>
                    <w:t>9.600,00</w:t>
                  </w:r>
                </w:p>
              </w:tc>
              <w:tc>
                <w:tcPr>
                  <w:tcW w:w="1134" w:type="dxa"/>
                  <w:tcBorders>
                    <w:top w:val="single" w:sz="4" w:space="0" w:color="auto"/>
                    <w:bottom w:val="single" w:sz="4" w:space="0" w:color="auto"/>
                  </w:tcBorders>
                  <w:shd w:val="clear" w:color="auto" w:fill="D9D9D9" w:themeFill="background1" w:themeFillShade="D9"/>
                  <w:vAlign w:val="center"/>
                </w:tcPr>
                <w:p w14:paraId="76D00DE9" w14:textId="77777777" w:rsidR="004126C7" w:rsidRPr="00733612" w:rsidRDefault="004126C7" w:rsidP="00443DA3">
                  <w:pPr>
                    <w:jc w:val="right"/>
                    <w:rPr>
                      <w:b/>
                      <w:sz w:val="16"/>
                      <w:szCs w:val="16"/>
                    </w:rPr>
                  </w:pPr>
                  <w:r w:rsidRPr="00733612">
                    <w:rPr>
                      <w:b/>
                      <w:sz w:val="16"/>
                      <w:szCs w:val="16"/>
                    </w:rPr>
                    <w:t>28.800,00</w:t>
                  </w:r>
                </w:p>
              </w:tc>
            </w:tr>
            <w:tr w:rsidR="00733612" w:rsidRPr="00733612" w14:paraId="79638D84" w14:textId="77777777" w:rsidTr="00785DA8">
              <w:trPr>
                <w:trHeight w:val="255"/>
                <w:jc w:val="center"/>
              </w:trPr>
              <w:tc>
                <w:tcPr>
                  <w:tcW w:w="2253" w:type="dxa"/>
                  <w:noWrap/>
                  <w:vAlign w:val="center"/>
                </w:tcPr>
                <w:p w14:paraId="2F4A21E3" w14:textId="77777777" w:rsidR="004126C7" w:rsidRPr="00733612" w:rsidRDefault="004126C7" w:rsidP="004126C7">
                  <w:pPr>
                    <w:rPr>
                      <w:b/>
                      <w:sz w:val="16"/>
                      <w:szCs w:val="16"/>
                    </w:rPr>
                  </w:pPr>
                  <w:r w:rsidRPr="00733612">
                    <w:rPr>
                      <w:rFonts w:cs="Arial"/>
                      <w:sz w:val="18"/>
                      <w:szCs w:val="18"/>
                    </w:rPr>
                    <w:t xml:space="preserve">11. Prirez (18%) </w:t>
                  </w:r>
                </w:p>
              </w:tc>
              <w:tc>
                <w:tcPr>
                  <w:tcW w:w="1134" w:type="dxa"/>
                  <w:shd w:val="clear" w:color="auto" w:fill="D9D9D9" w:themeFill="background1" w:themeFillShade="D9"/>
                  <w:vAlign w:val="center"/>
                </w:tcPr>
                <w:p w14:paraId="4A02CB0B" w14:textId="77777777" w:rsidR="004126C7" w:rsidRPr="00733612" w:rsidRDefault="004126C7" w:rsidP="00443DA3">
                  <w:pPr>
                    <w:jc w:val="right"/>
                    <w:rPr>
                      <w:b/>
                      <w:sz w:val="16"/>
                      <w:szCs w:val="16"/>
                    </w:rPr>
                  </w:pPr>
                  <w:r w:rsidRPr="00733612">
                    <w:rPr>
                      <w:b/>
                      <w:sz w:val="16"/>
                      <w:szCs w:val="16"/>
                    </w:rPr>
                    <w:t>2.073,60</w:t>
                  </w:r>
                </w:p>
              </w:tc>
              <w:tc>
                <w:tcPr>
                  <w:tcW w:w="993" w:type="dxa"/>
                  <w:tcBorders>
                    <w:top w:val="single" w:sz="4" w:space="0" w:color="auto"/>
                    <w:bottom w:val="single" w:sz="4" w:space="0" w:color="auto"/>
                  </w:tcBorders>
                  <w:shd w:val="clear" w:color="auto" w:fill="D9D9D9" w:themeFill="background1" w:themeFillShade="D9"/>
                  <w:vAlign w:val="center"/>
                </w:tcPr>
                <w:p w14:paraId="68344D12" w14:textId="77777777" w:rsidR="004126C7" w:rsidRPr="00733612" w:rsidRDefault="004126C7" w:rsidP="00443DA3">
                  <w:pPr>
                    <w:jc w:val="right"/>
                    <w:rPr>
                      <w:b/>
                      <w:sz w:val="16"/>
                      <w:szCs w:val="16"/>
                    </w:rPr>
                  </w:pPr>
                  <w:r w:rsidRPr="00733612">
                    <w:rPr>
                      <w:b/>
                      <w:sz w:val="16"/>
                      <w:szCs w:val="16"/>
                    </w:rPr>
                    <w:t>6.220,80</w:t>
                  </w:r>
                </w:p>
              </w:tc>
              <w:tc>
                <w:tcPr>
                  <w:tcW w:w="2126" w:type="dxa"/>
                  <w:vAlign w:val="center"/>
                </w:tcPr>
                <w:p w14:paraId="397D90D8" w14:textId="77777777" w:rsidR="004126C7" w:rsidRPr="00733612" w:rsidRDefault="004126C7" w:rsidP="004126C7">
                  <w:pPr>
                    <w:rPr>
                      <w:b/>
                      <w:sz w:val="16"/>
                      <w:szCs w:val="16"/>
                    </w:rPr>
                  </w:pPr>
                  <w:r w:rsidRPr="00733612">
                    <w:rPr>
                      <w:rFonts w:cs="Arial"/>
                      <w:sz w:val="18"/>
                      <w:szCs w:val="18"/>
                    </w:rPr>
                    <w:t xml:space="preserve">11. Prirez (18%) </w:t>
                  </w:r>
                </w:p>
              </w:tc>
              <w:tc>
                <w:tcPr>
                  <w:tcW w:w="1276" w:type="dxa"/>
                  <w:tcBorders>
                    <w:top w:val="single" w:sz="4" w:space="0" w:color="auto"/>
                    <w:bottom w:val="single" w:sz="4" w:space="0" w:color="auto"/>
                  </w:tcBorders>
                  <w:shd w:val="clear" w:color="auto" w:fill="D9D9D9" w:themeFill="background1" w:themeFillShade="D9"/>
                  <w:vAlign w:val="center"/>
                </w:tcPr>
                <w:p w14:paraId="212A7820" w14:textId="77777777" w:rsidR="004126C7" w:rsidRPr="00733612" w:rsidRDefault="004126C7" w:rsidP="00443DA3">
                  <w:pPr>
                    <w:jc w:val="right"/>
                    <w:rPr>
                      <w:b/>
                      <w:sz w:val="16"/>
                      <w:szCs w:val="16"/>
                    </w:rPr>
                  </w:pPr>
                  <w:r w:rsidRPr="00733612">
                    <w:rPr>
                      <w:b/>
                      <w:sz w:val="16"/>
                      <w:szCs w:val="16"/>
                    </w:rPr>
                    <w:t>1.728,00</w:t>
                  </w:r>
                </w:p>
              </w:tc>
              <w:tc>
                <w:tcPr>
                  <w:tcW w:w="1134" w:type="dxa"/>
                  <w:tcBorders>
                    <w:top w:val="single" w:sz="4" w:space="0" w:color="auto"/>
                    <w:bottom w:val="single" w:sz="4" w:space="0" w:color="auto"/>
                  </w:tcBorders>
                  <w:shd w:val="clear" w:color="auto" w:fill="D9D9D9" w:themeFill="background1" w:themeFillShade="D9"/>
                  <w:vAlign w:val="center"/>
                </w:tcPr>
                <w:p w14:paraId="754F2C4D" w14:textId="77777777" w:rsidR="004126C7" w:rsidRPr="00733612" w:rsidRDefault="004126C7" w:rsidP="00443DA3">
                  <w:pPr>
                    <w:jc w:val="right"/>
                    <w:rPr>
                      <w:b/>
                      <w:sz w:val="16"/>
                      <w:szCs w:val="16"/>
                    </w:rPr>
                  </w:pPr>
                  <w:r w:rsidRPr="00733612">
                    <w:rPr>
                      <w:b/>
                      <w:sz w:val="16"/>
                      <w:szCs w:val="16"/>
                    </w:rPr>
                    <w:t>5.184,00</w:t>
                  </w:r>
                </w:p>
              </w:tc>
            </w:tr>
            <w:tr w:rsidR="00733612" w:rsidRPr="00733612" w14:paraId="571E1EFD" w14:textId="77777777" w:rsidTr="00785DA8">
              <w:trPr>
                <w:trHeight w:val="255"/>
                <w:jc w:val="center"/>
              </w:trPr>
              <w:tc>
                <w:tcPr>
                  <w:tcW w:w="2253" w:type="dxa"/>
                  <w:noWrap/>
                  <w:vAlign w:val="center"/>
                </w:tcPr>
                <w:p w14:paraId="7B38F16B" w14:textId="77777777" w:rsidR="004126C7" w:rsidRPr="00733612" w:rsidRDefault="004126C7" w:rsidP="004126C7">
                  <w:pPr>
                    <w:rPr>
                      <w:b/>
                      <w:sz w:val="16"/>
                      <w:szCs w:val="16"/>
                    </w:rPr>
                  </w:pPr>
                  <w:r w:rsidRPr="00733612">
                    <w:rPr>
                      <w:rFonts w:cs="Arial"/>
                      <w:sz w:val="18"/>
                      <w:szCs w:val="18"/>
                    </w:rPr>
                    <w:t>12. Porez i prirez ukupno</w:t>
                  </w:r>
                </w:p>
              </w:tc>
              <w:tc>
                <w:tcPr>
                  <w:tcW w:w="1134" w:type="dxa"/>
                  <w:tcBorders>
                    <w:bottom w:val="single" w:sz="4" w:space="0" w:color="auto"/>
                  </w:tcBorders>
                  <w:shd w:val="clear" w:color="auto" w:fill="D9D9D9" w:themeFill="background1" w:themeFillShade="D9"/>
                  <w:vAlign w:val="center"/>
                </w:tcPr>
                <w:p w14:paraId="52928870" w14:textId="77777777" w:rsidR="004126C7" w:rsidRPr="00733612" w:rsidRDefault="004126C7" w:rsidP="00443DA3">
                  <w:pPr>
                    <w:jc w:val="right"/>
                    <w:rPr>
                      <w:b/>
                      <w:sz w:val="16"/>
                      <w:szCs w:val="16"/>
                    </w:rPr>
                  </w:pPr>
                  <w:r w:rsidRPr="00733612">
                    <w:rPr>
                      <w:b/>
                      <w:bCs/>
                      <w:sz w:val="16"/>
                      <w:szCs w:val="16"/>
                    </w:rPr>
                    <w:t>13.593,60</w:t>
                  </w:r>
                </w:p>
              </w:tc>
              <w:tc>
                <w:tcPr>
                  <w:tcW w:w="993" w:type="dxa"/>
                  <w:tcBorders>
                    <w:top w:val="single" w:sz="4" w:space="0" w:color="auto"/>
                    <w:bottom w:val="single" w:sz="4" w:space="0" w:color="auto"/>
                  </w:tcBorders>
                  <w:shd w:val="clear" w:color="auto" w:fill="D9D9D9" w:themeFill="background1" w:themeFillShade="D9"/>
                  <w:vAlign w:val="center"/>
                </w:tcPr>
                <w:p w14:paraId="5A89002F" w14:textId="77777777" w:rsidR="004126C7" w:rsidRPr="00733612" w:rsidRDefault="004126C7" w:rsidP="00443DA3">
                  <w:pPr>
                    <w:jc w:val="right"/>
                    <w:rPr>
                      <w:b/>
                      <w:sz w:val="16"/>
                      <w:szCs w:val="16"/>
                    </w:rPr>
                  </w:pPr>
                  <w:r w:rsidRPr="00733612">
                    <w:rPr>
                      <w:b/>
                      <w:sz w:val="16"/>
                      <w:szCs w:val="16"/>
                    </w:rPr>
                    <w:t>40.780,80</w:t>
                  </w:r>
                </w:p>
              </w:tc>
              <w:tc>
                <w:tcPr>
                  <w:tcW w:w="2126" w:type="dxa"/>
                  <w:vAlign w:val="center"/>
                </w:tcPr>
                <w:p w14:paraId="54D90090" w14:textId="77777777" w:rsidR="004126C7" w:rsidRPr="00733612" w:rsidRDefault="004126C7" w:rsidP="004126C7">
                  <w:pPr>
                    <w:rPr>
                      <w:b/>
                      <w:sz w:val="16"/>
                      <w:szCs w:val="16"/>
                    </w:rPr>
                  </w:pPr>
                  <w:r w:rsidRPr="00733612">
                    <w:rPr>
                      <w:rFonts w:cs="Arial"/>
                      <w:sz w:val="18"/>
                      <w:szCs w:val="18"/>
                    </w:rPr>
                    <w:t>12. Porez i prirez ukupno</w:t>
                  </w:r>
                </w:p>
              </w:tc>
              <w:tc>
                <w:tcPr>
                  <w:tcW w:w="1276" w:type="dxa"/>
                  <w:tcBorders>
                    <w:top w:val="single" w:sz="4" w:space="0" w:color="auto"/>
                    <w:bottom w:val="single" w:sz="4" w:space="0" w:color="auto"/>
                  </w:tcBorders>
                  <w:shd w:val="clear" w:color="auto" w:fill="D9D9D9" w:themeFill="background1" w:themeFillShade="D9"/>
                  <w:vAlign w:val="center"/>
                </w:tcPr>
                <w:p w14:paraId="23F766F6" w14:textId="77777777" w:rsidR="004126C7" w:rsidRPr="00733612" w:rsidRDefault="004126C7" w:rsidP="00443DA3">
                  <w:pPr>
                    <w:jc w:val="right"/>
                    <w:rPr>
                      <w:b/>
                      <w:sz w:val="16"/>
                      <w:szCs w:val="16"/>
                    </w:rPr>
                  </w:pPr>
                  <w:r w:rsidRPr="00733612">
                    <w:rPr>
                      <w:b/>
                      <w:sz w:val="16"/>
                      <w:szCs w:val="16"/>
                    </w:rPr>
                    <w:t>11.328,00</w:t>
                  </w:r>
                </w:p>
              </w:tc>
              <w:tc>
                <w:tcPr>
                  <w:tcW w:w="1134" w:type="dxa"/>
                  <w:tcBorders>
                    <w:top w:val="single" w:sz="4" w:space="0" w:color="auto"/>
                    <w:bottom w:val="single" w:sz="4" w:space="0" w:color="auto"/>
                  </w:tcBorders>
                  <w:shd w:val="clear" w:color="auto" w:fill="D9D9D9" w:themeFill="background1" w:themeFillShade="D9"/>
                  <w:vAlign w:val="center"/>
                </w:tcPr>
                <w:p w14:paraId="6535AC41" w14:textId="77777777" w:rsidR="004126C7" w:rsidRPr="00733612" w:rsidRDefault="004126C7" w:rsidP="00443DA3">
                  <w:pPr>
                    <w:jc w:val="right"/>
                    <w:rPr>
                      <w:b/>
                      <w:sz w:val="16"/>
                      <w:szCs w:val="16"/>
                    </w:rPr>
                  </w:pPr>
                  <w:r w:rsidRPr="00733612">
                    <w:rPr>
                      <w:b/>
                      <w:sz w:val="16"/>
                      <w:szCs w:val="16"/>
                    </w:rPr>
                    <w:t>33.984,00</w:t>
                  </w:r>
                </w:p>
              </w:tc>
            </w:tr>
            <w:tr w:rsidR="00733612" w:rsidRPr="00733612" w14:paraId="2B1D01F9" w14:textId="77777777" w:rsidTr="00785DA8">
              <w:trPr>
                <w:trHeight w:val="255"/>
                <w:jc w:val="center"/>
              </w:trPr>
              <w:tc>
                <w:tcPr>
                  <w:tcW w:w="2253" w:type="dxa"/>
                  <w:noWrap/>
                  <w:vAlign w:val="center"/>
                </w:tcPr>
                <w:p w14:paraId="3997C6E6" w14:textId="77777777" w:rsidR="004126C7" w:rsidRPr="00733612" w:rsidRDefault="004126C7" w:rsidP="004126C7">
                  <w:pPr>
                    <w:rPr>
                      <w:b/>
                      <w:sz w:val="16"/>
                      <w:szCs w:val="16"/>
                    </w:rPr>
                  </w:pPr>
                  <w:r w:rsidRPr="00733612">
                    <w:rPr>
                      <w:rFonts w:cs="Arial"/>
                      <w:sz w:val="18"/>
                      <w:szCs w:val="18"/>
                    </w:rPr>
                    <w:t xml:space="preserve">13. Iznos plaće za isplatu </w:t>
                  </w:r>
                </w:p>
              </w:tc>
              <w:tc>
                <w:tcPr>
                  <w:tcW w:w="1134" w:type="dxa"/>
                  <w:shd w:val="clear" w:color="auto" w:fill="D9D9D9" w:themeFill="background1" w:themeFillShade="D9"/>
                  <w:vAlign w:val="center"/>
                </w:tcPr>
                <w:p w14:paraId="0EB62A1E" w14:textId="77777777" w:rsidR="004126C7" w:rsidRPr="00733612" w:rsidRDefault="004126C7" w:rsidP="00443DA3">
                  <w:pPr>
                    <w:jc w:val="right"/>
                    <w:rPr>
                      <w:b/>
                      <w:sz w:val="16"/>
                      <w:szCs w:val="16"/>
                    </w:rPr>
                  </w:pPr>
                  <w:r w:rsidRPr="00733612">
                    <w:rPr>
                      <w:b/>
                      <w:sz w:val="16"/>
                      <w:szCs w:val="16"/>
                    </w:rPr>
                    <w:t>82.406,40</w:t>
                  </w:r>
                </w:p>
              </w:tc>
              <w:tc>
                <w:tcPr>
                  <w:tcW w:w="993" w:type="dxa"/>
                  <w:tcBorders>
                    <w:top w:val="single" w:sz="4" w:space="0" w:color="auto"/>
                    <w:bottom w:val="single" w:sz="4" w:space="0" w:color="auto"/>
                  </w:tcBorders>
                  <w:shd w:val="clear" w:color="auto" w:fill="D9D9D9" w:themeFill="background1" w:themeFillShade="D9"/>
                  <w:vAlign w:val="center"/>
                </w:tcPr>
                <w:p w14:paraId="7D7A7C17" w14:textId="77777777" w:rsidR="004126C7" w:rsidRPr="00733612" w:rsidRDefault="004126C7" w:rsidP="00443DA3">
                  <w:pPr>
                    <w:jc w:val="right"/>
                    <w:rPr>
                      <w:b/>
                      <w:sz w:val="16"/>
                      <w:szCs w:val="16"/>
                    </w:rPr>
                  </w:pPr>
                  <w:r w:rsidRPr="00733612">
                    <w:rPr>
                      <w:b/>
                      <w:sz w:val="16"/>
                      <w:szCs w:val="16"/>
                    </w:rPr>
                    <w:t>151.219,20</w:t>
                  </w:r>
                </w:p>
              </w:tc>
              <w:tc>
                <w:tcPr>
                  <w:tcW w:w="2126" w:type="dxa"/>
                  <w:vAlign w:val="center"/>
                </w:tcPr>
                <w:p w14:paraId="5EF76B3A" w14:textId="77777777" w:rsidR="004126C7" w:rsidRPr="00733612" w:rsidRDefault="004126C7" w:rsidP="004126C7">
                  <w:pPr>
                    <w:rPr>
                      <w:b/>
                      <w:sz w:val="16"/>
                      <w:szCs w:val="16"/>
                    </w:rPr>
                  </w:pPr>
                  <w:r w:rsidRPr="00733612">
                    <w:rPr>
                      <w:rFonts w:cs="Arial"/>
                      <w:sz w:val="18"/>
                      <w:szCs w:val="18"/>
                    </w:rPr>
                    <w:t xml:space="preserve">13. Iznos plaće za isplatu </w:t>
                  </w:r>
                </w:p>
              </w:tc>
              <w:tc>
                <w:tcPr>
                  <w:tcW w:w="1276" w:type="dxa"/>
                  <w:tcBorders>
                    <w:top w:val="single" w:sz="4" w:space="0" w:color="auto"/>
                    <w:bottom w:val="single" w:sz="4" w:space="0" w:color="auto"/>
                  </w:tcBorders>
                  <w:shd w:val="clear" w:color="auto" w:fill="D9D9D9" w:themeFill="background1" w:themeFillShade="D9"/>
                  <w:vAlign w:val="center"/>
                </w:tcPr>
                <w:p w14:paraId="54D96710" w14:textId="77777777" w:rsidR="004126C7" w:rsidRPr="00733612" w:rsidRDefault="004126C7" w:rsidP="00443DA3">
                  <w:pPr>
                    <w:jc w:val="right"/>
                    <w:rPr>
                      <w:b/>
                      <w:sz w:val="16"/>
                      <w:szCs w:val="16"/>
                    </w:rPr>
                  </w:pPr>
                  <w:r w:rsidRPr="00733612">
                    <w:rPr>
                      <w:b/>
                      <w:sz w:val="16"/>
                      <w:szCs w:val="16"/>
                    </w:rPr>
                    <w:t>84.672,00</w:t>
                  </w:r>
                </w:p>
              </w:tc>
              <w:tc>
                <w:tcPr>
                  <w:tcW w:w="1134" w:type="dxa"/>
                  <w:tcBorders>
                    <w:top w:val="single" w:sz="4" w:space="0" w:color="auto"/>
                    <w:bottom w:val="single" w:sz="4" w:space="0" w:color="auto"/>
                  </w:tcBorders>
                  <w:shd w:val="clear" w:color="auto" w:fill="D9D9D9" w:themeFill="background1" w:themeFillShade="D9"/>
                  <w:vAlign w:val="center"/>
                </w:tcPr>
                <w:p w14:paraId="3353A63B" w14:textId="77777777" w:rsidR="004126C7" w:rsidRPr="00733612" w:rsidRDefault="004126C7" w:rsidP="00443DA3">
                  <w:pPr>
                    <w:jc w:val="right"/>
                    <w:rPr>
                      <w:b/>
                      <w:sz w:val="16"/>
                      <w:szCs w:val="16"/>
                    </w:rPr>
                  </w:pPr>
                  <w:r w:rsidRPr="00733612">
                    <w:rPr>
                      <w:b/>
                      <w:sz w:val="16"/>
                      <w:szCs w:val="16"/>
                    </w:rPr>
                    <w:t>158.016,00</w:t>
                  </w:r>
                </w:p>
              </w:tc>
            </w:tr>
            <w:tr w:rsidR="00733612" w:rsidRPr="00733612" w14:paraId="2B927346" w14:textId="77777777" w:rsidTr="00785DA8">
              <w:trPr>
                <w:trHeight w:val="255"/>
                <w:jc w:val="center"/>
              </w:trPr>
              <w:tc>
                <w:tcPr>
                  <w:tcW w:w="2253" w:type="dxa"/>
                  <w:noWrap/>
                  <w:vAlign w:val="center"/>
                </w:tcPr>
                <w:p w14:paraId="12E16D73" w14:textId="77777777" w:rsidR="004126C7" w:rsidRPr="00733612" w:rsidRDefault="004126C7" w:rsidP="004126C7">
                  <w:pPr>
                    <w:rPr>
                      <w:rFonts w:cs="Arial"/>
                      <w:sz w:val="18"/>
                      <w:szCs w:val="18"/>
                    </w:rPr>
                  </w:pPr>
                </w:p>
              </w:tc>
              <w:tc>
                <w:tcPr>
                  <w:tcW w:w="1134" w:type="dxa"/>
                  <w:tcBorders>
                    <w:top w:val="single" w:sz="4" w:space="0" w:color="auto"/>
                    <w:bottom w:val="single" w:sz="4" w:space="0" w:color="auto"/>
                  </w:tcBorders>
                  <w:shd w:val="clear" w:color="auto" w:fill="D9D9D9" w:themeFill="background1" w:themeFillShade="D9"/>
                  <w:vAlign w:val="center"/>
                </w:tcPr>
                <w:p w14:paraId="6D308CE5" w14:textId="77777777" w:rsidR="004126C7" w:rsidRPr="00733612" w:rsidRDefault="004126C7" w:rsidP="004126C7">
                  <w:pPr>
                    <w:jc w:val="center"/>
                    <w:rPr>
                      <w:b/>
                      <w:sz w:val="16"/>
                      <w:szCs w:val="16"/>
                    </w:rPr>
                  </w:pPr>
                </w:p>
              </w:tc>
              <w:tc>
                <w:tcPr>
                  <w:tcW w:w="993" w:type="dxa"/>
                  <w:tcBorders>
                    <w:top w:val="single" w:sz="4" w:space="0" w:color="auto"/>
                    <w:bottom w:val="single" w:sz="4" w:space="0" w:color="auto"/>
                  </w:tcBorders>
                  <w:shd w:val="clear" w:color="auto" w:fill="D9D9D9" w:themeFill="background1" w:themeFillShade="D9"/>
                  <w:vAlign w:val="center"/>
                </w:tcPr>
                <w:p w14:paraId="7A9A2F43" w14:textId="77777777" w:rsidR="004126C7" w:rsidRPr="00733612" w:rsidRDefault="004126C7" w:rsidP="004126C7">
                  <w:pPr>
                    <w:jc w:val="center"/>
                    <w:rPr>
                      <w:b/>
                      <w:sz w:val="16"/>
                      <w:szCs w:val="16"/>
                    </w:rPr>
                  </w:pPr>
                </w:p>
              </w:tc>
              <w:tc>
                <w:tcPr>
                  <w:tcW w:w="2126" w:type="dxa"/>
                  <w:tcBorders>
                    <w:top w:val="single" w:sz="4" w:space="0" w:color="auto"/>
                    <w:bottom w:val="single" w:sz="4" w:space="0" w:color="auto"/>
                  </w:tcBorders>
                  <w:shd w:val="clear" w:color="auto" w:fill="auto"/>
                </w:tcPr>
                <w:p w14:paraId="08142A22" w14:textId="77777777" w:rsidR="004126C7" w:rsidRPr="00733612" w:rsidRDefault="004126C7" w:rsidP="004126C7">
                  <w:pPr>
                    <w:rPr>
                      <w:b/>
                      <w:sz w:val="16"/>
                      <w:szCs w:val="16"/>
                    </w:rPr>
                  </w:pPr>
                  <w:r w:rsidRPr="00733612">
                    <w:rPr>
                      <w:b/>
                      <w:sz w:val="16"/>
                      <w:szCs w:val="16"/>
                    </w:rPr>
                    <w:t>RAZLIKA</w:t>
                  </w:r>
                </w:p>
              </w:tc>
              <w:tc>
                <w:tcPr>
                  <w:tcW w:w="1276" w:type="dxa"/>
                  <w:tcBorders>
                    <w:top w:val="single" w:sz="4" w:space="0" w:color="auto"/>
                    <w:bottom w:val="single" w:sz="4" w:space="0" w:color="auto"/>
                  </w:tcBorders>
                  <w:shd w:val="clear" w:color="auto" w:fill="D9D9D9" w:themeFill="background1" w:themeFillShade="D9"/>
                  <w:vAlign w:val="center"/>
                </w:tcPr>
                <w:p w14:paraId="08A11985" w14:textId="77777777" w:rsidR="004126C7" w:rsidRPr="00733612" w:rsidRDefault="004126C7" w:rsidP="00443DA3">
                  <w:pPr>
                    <w:jc w:val="right"/>
                    <w:rPr>
                      <w:b/>
                      <w:sz w:val="16"/>
                      <w:szCs w:val="16"/>
                    </w:rPr>
                  </w:pPr>
                  <w:r w:rsidRPr="00733612">
                    <w:rPr>
                      <w:b/>
                      <w:sz w:val="16"/>
                      <w:szCs w:val="16"/>
                    </w:rPr>
                    <w:t>2.265,60</w:t>
                  </w:r>
                </w:p>
              </w:tc>
              <w:tc>
                <w:tcPr>
                  <w:tcW w:w="1134" w:type="dxa"/>
                  <w:tcBorders>
                    <w:top w:val="single" w:sz="4" w:space="0" w:color="auto"/>
                    <w:bottom w:val="single" w:sz="4" w:space="0" w:color="auto"/>
                  </w:tcBorders>
                  <w:shd w:val="clear" w:color="auto" w:fill="D9D9D9" w:themeFill="background1" w:themeFillShade="D9"/>
                  <w:vAlign w:val="center"/>
                </w:tcPr>
                <w:p w14:paraId="275CBB84" w14:textId="77777777" w:rsidR="004126C7" w:rsidRPr="00733612" w:rsidRDefault="004126C7" w:rsidP="00443DA3">
                  <w:pPr>
                    <w:jc w:val="right"/>
                    <w:rPr>
                      <w:b/>
                      <w:sz w:val="16"/>
                      <w:szCs w:val="16"/>
                    </w:rPr>
                  </w:pPr>
                  <w:r w:rsidRPr="00733612">
                    <w:rPr>
                      <w:b/>
                      <w:sz w:val="16"/>
                      <w:szCs w:val="16"/>
                    </w:rPr>
                    <w:t>6.796,80</w:t>
                  </w:r>
                </w:p>
              </w:tc>
            </w:tr>
          </w:tbl>
          <w:p w14:paraId="2C5D0060" w14:textId="77777777" w:rsidR="004126C7" w:rsidRPr="00733612" w:rsidRDefault="004126C7" w:rsidP="004126C7">
            <w:pPr>
              <w:jc w:val="both"/>
              <w:rPr>
                <w:iCs/>
              </w:rPr>
            </w:pPr>
          </w:p>
          <w:p w14:paraId="790637AC" w14:textId="4BBE67E4" w:rsidR="004126C7" w:rsidRPr="00733612" w:rsidRDefault="004126C7" w:rsidP="0069358F">
            <w:pPr>
              <w:jc w:val="both"/>
              <w:rPr>
                <w:iCs/>
              </w:rPr>
            </w:pPr>
            <w:r w:rsidRPr="00733612">
              <w:rPr>
                <w:iCs/>
              </w:rPr>
              <w:t xml:space="preserve">Stoga je iz navedenog razvidno kako je smanjenjem poreznih stopa </w:t>
            </w:r>
            <w:r w:rsidR="004E0220" w:rsidRPr="00733612">
              <w:rPr>
                <w:iCs/>
              </w:rPr>
              <w:t>došlo do povećanja neto</w:t>
            </w:r>
            <w:r w:rsidR="003C33D3" w:rsidRPr="00733612">
              <w:rPr>
                <w:iCs/>
              </w:rPr>
              <w:t xml:space="preserve"> </w:t>
            </w:r>
            <w:r w:rsidR="004E0220" w:rsidRPr="00733612">
              <w:rPr>
                <w:iCs/>
              </w:rPr>
              <w:t xml:space="preserve">plaće odnosno </w:t>
            </w:r>
            <w:r w:rsidR="00E10013" w:rsidRPr="00733612">
              <w:rPr>
                <w:iCs/>
              </w:rPr>
              <w:t xml:space="preserve">izravno je </w:t>
            </w:r>
            <w:r w:rsidRPr="00733612">
              <w:rPr>
                <w:iCs/>
              </w:rPr>
              <w:t>povećan</w:t>
            </w:r>
            <w:r w:rsidR="004E0220" w:rsidRPr="00733612">
              <w:rPr>
                <w:iCs/>
              </w:rPr>
              <w:t xml:space="preserve"> </w:t>
            </w:r>
            <w:r w:rsidRPr="00733612">
              <w:rPr>
                <w:iCs/>
              </w:rPr>
              <w:t>raspoloživi dohodak porezn</w:t>
            </w:r>
            <w:r w:rsidR="00A43EB8" w:rsidRPr="00733612">
              <w:rPr>
                <w:iCs/>
              </w:rPr>
              <w:t>ih</w:t>
            </w:r>
            <w:r w:rsidRPr="00733612">
              <w:rPr>
                <w:iCs/>
              </w:rPr>
              <w:t xml:space="preserve"> obveznika koji između ostalog </w:t>
            </w:r>
            <w:r w:rsidR="00340A43" w:rsidRPr="00733612">
              <w:rPr>
                <w:iCs/>
              </w:rPr>
              <w:t>ima utjecaj i</w:t>
            </w:r>
            <w:r w:rsidRPr="00733612">
              <w:rPr>
                <w:iCs/>
              </w:rPr>
              <w:t xml:space="preserve"> na povećanje potrošnje.</w:t>
            </w:r>
            <w:r w:rsidR="0069358F" w:rsidRPr="00733612">
              <w:rPr>
                <w:iCs/>
              </w:rPr>
              <w:t xml:space="preserve"> </w:t>
            </w:r>
          </w:p>
          <w:p w14:paraId="7E92BA0A" w14:textId="77777777" w:rsidR="004126C7" w:rsidRPr="00733612" w:rsidRDefault="004126C7" w:rsidP="004126C7">
            <w:pPr>
              <w:jc w:val="both"/>
              <w:rPr>
                <w:iCs/>
              </w:rPr>
            </w:pPr>
          </w:p>
          <w:p w14:paraId="25E54887" w14:textId="0F2A62C1" w:rsidR="006E3A24" w:rsidRPr="00733612" w:rsidRDefault="00D36535" w:rsidP="006E3A24">
            <w:pPr>
              <w:jc w:val="both"/>
              <w:rPr>
                <w:iCs/>
              </w:rPr>
            </w:pPr>
            <w:r w:rsidRPr="00733612">
              <w:rPr>
                <w:iCs/>
              </w:rPr>
              <w:t>R</w:t>
            </w:r>
            <w:r w:rsidR="00D731BE" w:rsidRPr="00733612">
              <w:rPr>
                <w:iCs/>
              </w:rPr>
              <w:t>adi pojednostavljenja poreznog sustava i postizanja dodatne pravednosti uki</w:t>
            </w:r>
            <w:r w:rsidRPr="00733612">
              <w:rPr>
                <w:iCs/>
              </w:rPr>
              <w:t>nuto je</w:t>
            </w:r>
            <w:r w:rsidR="00D731BE" w:rsidRPr="00733612">
              <w:rPr>
                <w:iCs/>
              </w:rPr>
              <w:t xml:space="preserve"> oporezivanj</w:t>
            </w:r>
            <w:r w:rsidRPr="00733612">
              <w:rPr>
                <w:iCs/>
              </w:rPr>
              <w:t>e</w:t>
            </w:r>
            <w:r w:rsidR="00D731BE" w:rsidRPr="00733612">
              <w:rPr>
                <w:iCs/>
              </w:rPr>
              <w:t xml:space="preserve"> nižom poreznom stopom poreznih obveznika koji su ostvarili dodatne primitke po osnovi drugog dohotka do visine peterostrukog iznosa osnovice osobnog odbitka</w:t>
            </w:r>
            <w:r w:rsidRPr="00733612">
              <w:rPr>
                <w:iCs/>
              </w:rPr>
              <w:t xml:space="preserve"> čime je</w:t>
            </w:r>
            <w:r w:rsidR="00D731BE" w:rsidRPr="00733612">
              <w:rPr>
                <w:iCs/>
              </w:rPr>
              <w:t xml:space="preserve"> ujednačen godišnji obračun za sve porezne obveznike</w:t>
            </w:r>
            <w:r w:rsidR="00A84075" w:rsidRPr="00733612">
              <w:rPr>
                <w:iCs/>
              </w:rPr>
              <w:t xml:space="preserve"> bez dodatnih izuzetaka</w:t>
            </w:r>
            <w:r w:rsidR="00D731BE" w:rsidRPr="00733612">
              <w:rPr>
                <w:iCs/>
              </w:rPr>
              <w:t xml:space="preserve">. </w:t>
            </w:r>
          </w:p>
          <w:p w14:paraId="737B7C48" w14:textId="77777777" w:rsidR="00D86510" w:rsidRPr="00733612" w:rsidRDefault="00D86510" w:rsidP="006E3A24">
            <w:pPr>
              <w:jc w:val="both"/>
              <w:rPr>
                <w:iCs/>
              </w:rPr>
            </w:pPr>
          </w:p>
          <w:p w14:paraId="1BC63964" w14:textId="3499FC10" w:rsidR="006E3A24" w:rsidRPr="00733612" w:rsidRDefault="001856CA" w:rsidP="006E3A24">
            <w:pPr>
              <w:jc w:val="both"/>
              <w:rPr>
                <w:iCs/>
              </w:rPr>
            </w:pPr>
            <w:r w:rsidRPr="00733612">
              <w:rPr>
                <w:iCs/>
              </w:rPr>
              <w:t>Nadalje, p</w:t>
            </w:r>
            <w:r w:rsidR="006A0C75" w:rsidRPr="00733612">
              <w:rPr>
                <w:iCs/>
              </w:rPr>
              <w:t xml:space="preserve">roširen je obuhvat primitaka koji se ne smatraju primicima od nesamostalnog rada na način da je propisano da se trošak cijepljenja protiv zaraznih bolesti što ga poslodavac i isplatitelj primitka odnosno plaće na svoj teret omogućuje radnicima i fizičkim osobama koje ostvaruju primitke od nesamostalnog rada u interesu obavljanja djelatnosti poslodavca i isplatitelja primitka odnosno plaće ne smatra primitkom po osnovi nesamostalnog rada neovisno o načinu podmirenja troška cijepljenja. Navedeno izuzeće od oporezivanja </w:t>
            </w:r>
            <w:r w:rsidR="00AE1934" w:rsidRPr="00733612">
              <w:rPr>
                <w:iCs/>
              </w:rPr>
              <w:t xml:space="preserve">omogućuje nastavak </w:t>
            </w:r>
            <w:r w:rsidR="00A84075" w:rsidRPr="00733612">
              <w:t>poticaj</w:t>
            </w:r>
            <w:r w:rsidR="00AE1934" w:rsidRPr="00733612">
              <w:t>a</w:t>
            </w:r>
            <w:r w:rsidR="00A84075" w:rsidRPr="00733612">
              <w:t xml:space="preserve"> i </w:t>
            </w:r>
            <w:r w:rsidR="00672FC3" w:rsidRPr="00733612">
              <w:rPr>
                <w:iCs/>
              </w:rPr>
              <w:t>pomoć poslodavcima da održe likvidnost, očuvaju zaposlenost i zaštite zdravlje svojih radnika</w:t>
            </w:r>
            <w:r w:rsidR="00A84075" w:rsidRPr="00733612">
              <w:rPr>
                <w:iCs/>
              </w:rPr>
              <w:t>.</w:t>
            </w:r>
          </w:p>
          <w:p w14:paraId="1E218956" w14:textId="7C994CDD" w:rsidR="00D60531" w:rsidRPr="00733612" w:rsidRDefault="00D60531" w:rsidP="000841CF">
            <w:pPr>
              <w:jc w:val="both"/>
              <w:rPr>
                <w:iCs/>
              </w:rPr>
            </w:pPr>
            <w:bookmarkStart w:id="3" w:name="_Hlk126454753"/>
          </w:p>
          <w:p w14:paraId="2AD6FFF0" w14:textId="51AD864D" w:rsidR="00FE6F04" w:rsidRPr="00733612" w:rsidRDefault="00FE6F04" w:rsidP="008B29CB">
            <w:pPr>
              <w:jc w:val="both"/>
              <w:rPr>
                <w:iCs/>
              </w:rPr>
            </w:pPr>
            <w:r w:rsidRPr="00733612">
              <w:rPr>
                <w:iCs/>
              </w:rPr>
              <w:t>Izmjenom odredbe kojom je propisano da se primici u naravi po osnovi dodjele ili opcijske kupnje vlastitih dionica koje poslodavci/isplatitelji primitaka odnosno plaće daju radnicima, članovima uprave i drugim povezanim osobama smatraju dohotkom od kapitala tih osoba, ali bez ispunjavanja kriterija da su ostvareni po osnovi udjela u dobiti omogućeno je dodatno nagrađivanje i zadržavanje stručnih radnika</w:t>
            </w:r>
            <w:r w:rsidRPr="00733612">
              <w:t xml:space="preserve"> </w:t>
            </w:r>
            <w:r w:rsidRPr="00733612">
              <w:rPr>
                <w:iCs/>
              </w:rPr>
              <w:t>u društvima u nastajanju koja u početku možebitno niti ne ostvaruju dobit</w:t>
            </w:r>
            <w:r w:rsidR="004C653F" w:rsidRPr="00733612">
              <w:rPr>
                <w:iCs/>
              </w:rPr>
              <w:t>.</w:t>
            </w:r>
            <w:r w:rsidR="004C653F" w:rsidRPr="00733612">
              <w:t xml:space="preserve"> </w:t>
            </w:r>
            <w:r w:rsidR="004C653F" w:rsidRPr="00733612">
              <w:rPr>
                <w:iCs/>
              </w:rPr>
              <w:t xml:space="preserve">Prema podacima iz službenih evidencija Porezne uprave </w:t>
            </w:r>
            <w:r w:rsidR="0025222A" w:rsidRPr="00733612">
              <w:rPr>
                <w:iCs/>
              </w:rPr>
              <w:t xml:space="preserve">u </w:t>
            </w:r>
            <w:r w:rsidR="00B8161C" w:rsidRPr="00733612">
              <w:rPr>
                <w:iCs/>
              </w:rPr>
              <w:t xml:space="preserve">2020. godini evidentirano je sveukupno 793 poreznih obveznika kojima je isplaćen primitak </w:t>
            </w:r>
            <w:r w:rsidR="00B8161C" w:rsidRPr="00733612">
              <w:rPr>
                <w:iCs/>
              </w:rPr>
              <w:lastRenderedPageBreak/>
              <w:t>u naravi po osnovi dodjele ili opcijske kupnje vlastitih dionica</w:t>
            </w:r>
            <w:r w:rsidR="00D709A7" w:rsidRPr="00733612">
              <w:rPr>
                <w:iCs/>
              </w:rPr>
              <w:t xml:space="preserve"> dok je u</w:t>
            </w:r>
            <w:r w:rsidR="00B8161C" w:rsidRPr="00733612">
              <w:rPr>
                <w:iCs/>
              </w:rPr>
              <w:t xml:space="preserve"> </w:t>
            </w:r>
            <w:r w:rsidR="004C653F" w:rsidRPr="00733612">
              <w:rPr>
                <w:iCs/>
              </w:rPr>
              <w:t>2021. godini evidentirano</w:t>
            </w:r>
            <w:r w:rsidR="00D709A7" w:rsidRPr="00733612">
              <w:rPr>
                <w:iCs/>
              </w:rPr>
              <w:t xml:space="preserve"> </w:t>
            </w:r>
            <w:r w:rsidR="004C653F" w:rsidRPr="00733612">
              <w:rPr>
                <w:iCs/>
              </w:rPr>
              <w:t xml:space="preserve">sveukupno 1.099 </w:t>
            </w:r>
            <w:r w:rsidR="00B8161C" w:rsidRPr="00733612">
              <w:rPr>
                <w:iCs/>
              </w:rPr>
              <w:t xml:space="preserve">takvih </w:t>
            </w:r>
            <w:r w:rsidR="004C653F" w:rsidRPr="00733612">
              <w:rPr>
                <w:iCs/>
              </w:rPr>
              <w:t>poreznih obveznika što je u odnosu na 2020. godinu 38,59% poreznih obveznika više</w:t>
            </w:r>
            <w:r w:rsidR="00B8161C" w:rsidRPr="00733612">
              <w:rPr>
                <w:iCs/>
              </w:rPr>
              <w:t>.</w:t>
            </w:r>
          </w:p>
          <w:p w14:paraId="2026B2FF" w14:textId="77777777" w:rsidR="008B29CB" w:rsidRPr="00733612" w:rsidRDefault="008B29CB" w:rsidP="000841CF">
            <w:pPr>
              <w:jc w:val="both"/>
              <w:rPr>
                <w:iCs/>
              </w:rPr>
            </w:pPr>
          </w:p>
          <w:p w14:paraId="06B931B4" w14:textId="5DA12898" w:rsidR="00CA0BB5" w:rsidRPr="00733612" w:rsidRDefault="005A700F" w:rsidP="000841CF">
            <w:pPr>
              <w:jc w:val="both"/>
              <w:rPr>
                <w:iCs/>
              </w:rPr>
            </w:pPr>
            <w:r w:rsidRPr="00733612">
              <w:rPr>
                <w:iCs/>
              </w:rPr>
              <w:t>D</w:t>
            </w:r>
            <w:r w:rsidR="000841CF" w:rsidRPr="00733612">
              <w:rPr>
                <w:iCs/>
              </w:rPr>
              <w:t>odatno rasterećenje obveznika poreza na dohodak</w:t>
            </w:r>
            <w:r w:rsidR="00FC15DE" w:rsidRPr="00733612">
              <w:rPr>
                <w:iCs/>
              </w:rPr>
              <w:t xml:space="preserve"> i</w:t>
            </w:r>
            <w:r w:rsidR="000841CF" w:rsidRPr="00733612">
              <w:rPr>
                <w:iCs/>
              </w:rPr>
              <w:t xml:space="preserve"> socijalna pravednost</w:t>
            </w:r>
            <w:r w:rsidRPr="00733612">
              <w:rPr>
                <w:iCs/>
              </w:rPr>
              <w:t xml:space="preserve"> postignuto je proširenjem primitaka na koje se ne plaća porez na dohodak</w:t>
            </w:r>
            <w:r w:rsidR="00FC15DE" w:rsidRPr="00733612">
              <w:rPr>
                <w:iCs/>
              </w:rPr>
              <w:t xml:space="preserve">. </w:t>
            </w:r>
            <w:bookmarkEnd w:id="3"/>
            <w:r w:rsidR="00FC15DE" w:rsidRPr="00733612">
              <w:rPr>
                <w:iCs/>
              </w:rPr>
              <w:t xml:space="preserve">Naime, </w:t>
            </w:r>
            <w:r w:rsidR="00FC1D3D" w:rsidRPr="00733612">
              <w:rPr>
                <w:iCs/>
              </w:rPr>
              <w:t xml:space="preserve">izmjenama </w:t>
            </w:r>
            <w:r w:rsidR="00CA0BB5" w:rsidRPr="00733612">
              <w:rPr>
                <w:iCs/>
              </w:rPr>
              <w:t>odredbi vezanih za oporezivanje primitaka studenata za rad preko učeničkih i studentskih udruga Zakon o porezu na dohodak usklađen je s posebnim propisom koji uređuje obavljanje studentskih poslova</w:t>
            </w:r>
            <w:r w:rsidR="00BD53DF" w:rsidRPr="00733612">
              <w:rPr>
                <w:iCs/>
              </w:rPr>
              <w:t xml:space="preserve"> čime je omogućen jednak porezni tretman ostvarenih primitaka svim studentima.</w:t>
            </w:r>
          </w:p>
          <w:p w14:paraId="07AC0C49" w14:textId="77777777" w:rsidR="0082250A" w:rsidRPr="00733612" w:rsidRDefault="0082250A" w:rsidP="000841CF">
            <w:pPr>
              <w:jc w:val="both"/>
              <w:rPr>
                <w:iCs/>
              </w:rPr>
            </w:pPr>
          </w:p>
          <w:p w14:paraId="4228BB43" w14:textId="77B92084" w:rsidR="0045584B" w:rsidRPr="00733612" w:rsidRDefault="0082250A" w:rsidP="000841CF">
            <w:pPr>
              <w:jc w:val="both"/>
              <w:rPr>
                <w:iCs/>
              </w:rPr>
            </w:pPr>
            <w:r w:rsidRPr="00733612">
              <w:rPr>
                <w:iCs/>
              </w:rPr>
              <w:t xml:space="preserve">Nadalje, </w:t>
            </w:r>
            <w:r w:rsidR="00F76A12" w:rsidRPr="00733612">
              <w:rPr>
                <w:iCs/>
              </w:rPr>
              <w:t>propisivanjem poreznog tretmana nacionalne naknade za starije osobe prema posebnom propisu kao primitka na koj</w:t>
            </w:r>
            <w:r w:rsidR="0045584B" w:rsidRPr="00733612">
              <w:rPr>
                <w:iCs/>
              </w:rPr>
              <w:t>i se ne plaća porez na dohodak omogućen je rast raspoloživog dohotka starijim osobama koje predstavljaju najugroženiju skupinu stanovništva. Također, propisivanje izuzeća da se pri utvrđivanju prava na osobni odbitak za uzdržavane članove ne uzimaju u obzir primici po osnovi nacionalne naknade za starije osobe propisane posebnim propisom</w:t>
            </w:r>
            <w:r w:rsidR="0045584B" w:rsidRPr="00733612">
              <w:t xml:space="preserve"> </w:t>
            </w:r>
            <w:r w:rsidR="0045584B" w:rsidRPr="00733612">
              <w:rPr>
                <w:iCs/>
              </w:rPr>
              <w:t>dovelo je ujedno i do povećanja neto raspoloživog dohotka uzdržavatelja koji su te starije osobe koristili kao uzdržavane članove čime je otvoren prostor za povećanje potrošnje.</w:t>
            </w:r>
          </w:p>
          <w:p w14:paraId="18B2781C" w14:textId="7D3A5148" w:rsidR="004126C7" w:rsidRPr="00733612" w:rsidRDefault="004126C7" w:rsidP="002A5C0C">
            <w:pPr>
              <w:jc w:val="both"/>
              <w:rPr>
                <w:iCs/>
              </w:rPr>
            </w:pPr>
          </w:p>
          <w:p w14:paraId="414D4140" w14:textId="5E6C8D57" w:rsidR="008F31D5" w:rsidRPr="00733612" w:rsidRDefault="008F31D5" w:rsidP="008145C2">
            <w:pPr>
              <w:jc w:val="both"/>
              <w:rPr>
                <w:iCs/>
              </w:rPr>
            </w:pPr>
            <w:r w:rsidRPr="00733612">
              <w:rPr>
                <w:iCs/>
              </w:rPr>
              <w:t xml:space="preserve">Proširenjem obuhvata primitaka koji se ne smatraju dohotkom i za primitke fizičkih osoba ostvarene temeljem stečenog statusa digitalnih nomada sukladno posebnom propisu </w:t>
            </w:r>
            <w:r w:rsidR="002847C3" w:rsidRPr="00733612">
              <w:rPr>
                <w:iCs/>
              </w:rPr>
              <w:t>potaknuo se veći interes pri odabiru R</w:t>
            </w:r>
            <w:r w:rsidR="003C33D3" w:rsidRPr="00733612">
              <w:rPr>
                <w:iCs/>
              </w:rPr>
              <w:t>epublike Hrvatske</w:t>
            </w:r>
            <w:r w:rsidR="002847C3" w:rsidRPr="00733612">
              <w:rPr>
                <w:iCs/>
              </w:rPr>
              <w:t xml:space="preserve"> kao mjesta </w:t>
            </w:r>
            <w:r w:rsidR="00DF1187" w:rsidRPr="00733612">
              <w:rPr>
                <w:iCs/>
              </w:rPr>
              <w:t xml:space="preserve">njihova </w:t>
            </w:r>
            <w:r w:rsidR="002847C3" w:rsidRPr="00733612">
              <w:rPr>
                <w:iCs/>
              </w:rPr>
              <w:t>boravka i rada</w:t>
            </w:r>
            <w:r w:rsidR="00DF1187" w:rsidRPr="00733612">
              <w:rPr>
                <w:iCs/>
              </w:rPr>
              <w:t xml:space="preserve">. </w:t>
            </w:r>
            <w:r w:rsidRPr="00733612">
              <w:rPr>
                <w:iCs/>
              </w:rPr>
              <w:t xml:space="preserve">Boraveći i radeći u </w:t>
            </w:r>
            <w:r w:rsidR="003C33D3" w:rsidRPr="00733612">
              <w:rPr>
                <w:iCs/>
              </w:rPr>
              <w:t>Republici Hrvatskoj</w:t>
            </w:r>
            <w:r w:rsidRPr="00733612">
              <w:rPr>
                <w:iCs/>
              </w:rPr>
              <w:t>, digitalni nomadi posredno svojom potrošnjom doprinose prihodima lokalnih poduzetnika te potiču dodatne gospodarske aktivnosti</w:t>
            </w:r>
            <w:r w:rsidR="00DF1187" w:rsidRPr="00733612">
              <w:rPr>
                <w:iCs/>
              </w:rPr>
              <w:t xml:space="preserve">, ponajviše njihov boravak u </w:t>
            </w:r>
            <w:r w:rsidR="003C33D3" w:rsidRPr="00733612">
              <w:rPr>
                <w:iCs/>
              </w:rPr>
              <w:t>Republici Hrvatskoj</w:t>
            </w:r>
            <w:r w:rsidR="00DF1187" w:rsidRPr="00733612">
              <w:rPr>
                <w:iCs/>
              </w:rPr>
              <w:t xml:space="preserve"> ima pozitivan utjecaj na sve grane uslužne djelatnosti vezane uz turizam</w:t>
            </w:r>
            <w:r w:rsidRPr="00733612">
              <w:rPr>
                <w:iCs/>
              </w:rPr>
              <w:t>. Prema podacima Ministarstva unutarnjih poslova u razdoblju od 1. siječnja 2021. do 30. studenoga 2022. podnijeta su 1</w:t>
            </w:r>
            <w:r w:rsidR="00FA1557" w:rsidRPr="00733612">
              <w:rPr>
                <w:iCs/>
              </w:rPr>
              <w:t>.</w:t>
            </w:r>
            <w:r w:rsidRPr="00733612">
              <w:rPr>
                <w:iCs/>
              </w:rPr>
              <w:t xml:space="preserve">393 zahtjeva za status digitalnog nomada u </w:t>
            </w:r>
            <w:r w:rsidR="003C33D3" w:rsidRPr="00733612">
              <w:rPr>
                <w:iCs/>
              </w:rPr>
              <w:t>Republici Hrvatskoj</w:t>
            </w:r>
            <w:r w:rsidRPr="00733612">
              <w:rPr>
                <w:iCs/>
              </w:rPr>
              <w:t xml:space="preserve">. </w:t>
            </w:r>
          </w:p>
          <w:p w14:paraId="0727C8BA" w14:textId="77777777" w:rsidR="008F31D5" w:rsidRPr="00733612" w:rsidRDefault="008F31D5" w:rsidP="002A5C0C">
            <w:pPr>
              <w:jc w:val="both"/>
              <w:rPr>
                <w:iCs/>
              </w:rPr>
            </w:pPr>
          </w:p>
          <w:p w14:paraId="3066358F" w14:textId="77777777" w:rsidR="000A510D" w:rsidRPr="00733612" w:rsidRDefault="001C10F0" w:rsidP="00D43403">
            <w:pPr>
              <w:jc w:val="both"/>
              <w:rPr>
                <w:iCs/>
              </w:rPr>
            </w:pPr>
            <w:r w:rsidRPr="00733612">
              <w:rPr>
                <w:iCs/>
              </w:rPr>
              <w:t xml:space="preserve">Izmjene u dijelu prijave dohotka od imovine dovele su do administrativnog rasterećenja poreznih obveznika. Naime, </w:t>
            </w:r>
            <w:r w:rsidR="00236B2B" w:rsidRPr="00733612">
              <w:rPr>
                <w:iCs/>
              </w:rPr>
              <w:t>obvezivanjem javnih bilježnika na dostavu ovjerenih isprava o</w:t>
            </w:r>
            <w:r w:rsidR="00876F1F" w:rsidRPr="00733612">
              <w:rPr>
                <w:iCs/>
              </w:rPr>
              <w:t xml:space="preserve"> o</w:t>
            </w:r>
            <w:r w:rsidR="00236B2B" w:rsidRPr="00733612">
              <w:rPr>
                <w:iCs/>
              </w:rPr>
              <w:t>stvarivanju</w:t>
            </w:r>
            <w:r w:rsidR="00876F1F" w:rsidRPr="00733612">
              <w:rPr>
                <w:iCs/>
              </w:rPr>
              <w:t xml:space="preserve"> najamnine i zakupnine nekretnina i pokretnina (ugovor o najmu i dr.), pojednostavila se prijava dohotka od imovine ostvarenog od najamnine i zakupnine pokretnina i nekretnina budući da Porezna uprava na temelju dostavljenih isprava od javnih bilježnika utvrđuje poreznu obvezu poreznim obveznicima. Stoga</w:t>
            </w:r>
            <w:r w:rsidR="00983E03" w:rsidRPr="00733612">
              <w:rPr>
                <w:iCs/>
              </w:rPr>
              <w:t xml:space="preserve"> su oni</w:t>
            </w:r>
            <w:r w:rsidR="00876F1F" w:rsidRPr="00733612">
              <w:rPr>
                <w:iCs/>
              </w:rPr>
              <w:t xml:space="preserve"> porezni obveznici koji ispravu o ostvarivanju najamnine i zakupnine pokretnina i nekretnina </w:t>
            </w:r>
            <w:r w:rsidR="00983E03" w:rsidRPr="00733612">
              <w:rPr>
                <w:iCs/>
              </w:rPr>
              <w:t xml:space="preserve">ovjere </w:t>
            </w:r>
            <w:r w:rsidR="00876F1F" w:rsidRPr="00733612">
              <w:rPr>
                <w:iCs/>
              </w:rPr>
              <w:t xml:space="preserve">kod javnog bilježnika </w:t>
            </w:r>
            <w:r w:rsidR="00983E03" w:rsidRPr="00733612">
              <w:rPr>
                <w:iCs/>
              </w:rPr>
              <w:t xml:space="preserve">oslobođeni dodatne obveze dolaska u Poreznu upravu i </w:t>
            </w:r>
            <w:r w:rsidR="00876F1F" w:rsidRPr="00733612">
              <w:rPr>
                <w:iCs/>
              </w:rPr>
              <w:t xml:space="preserve">dostave </w:t>
            </w:r>
            <w:r w:rsidR="00983E03" w:rsidRPr="00733612">
              <w:rPr>
                <w:iCs/>
              </w:rPr>
              <w:t>prijave dohotka od imovine</w:t>
            </w:r>
            <w:r w:rsidR="00876F1F" w:rsidRPr="00733612">
              <w:rPr>
                <w:iCs/>
              </w:rPr>
              <w:t>.</w:t>
            </w:r>
            <w:r w:rsidR="000841CF" w:rsidRPr="00733612">
              <w:t xml:space="preserve"> </w:t>
            </w:r>
            <w:r w:rsidR="000841CF" w:rsidRPr="00733612">
              <w:rPr>
                <w:iCs/>
              </w:rPr>
              <w:t xml:space="preserve">Prema podacima iz službenih evidencija Porezne uprave </w:t>
            </w:r>
            <w:r w:rsidR="00E915F0" w:rsidRPr="00733612">
              <w:rPr>
                <w:iCs/>
              </w:rPr>
              <w:t xml:space="preserve">do kraja 2022. godine od strane javnih bilježnika dostavljene su ukupno 177.174 </w:t>
            </w:r>
            <w:r w:rsidR="00800599" w:rsidRPr="00733612">
              <w:rPr>
                <w:iCs/>
              </w:rPr>
              <w:t>isprav</w:t>
            </w:r>
            <w:r w:rsidR="00E915F0" w:rsidRPr="00733612">
              <w:rPr>
                <w:iCs/>
              </w:rPr>
              <w:t>e</w:t>
            </w:r>
            <w:r w:rsidR="00800599" w:rsidRPr="00733612">
              <w:rPr>
                <w:iCs/>
              </w:rPr>
              <w:t xml:space="preserve"> o ostvarivanju najamnine i zakupnine pokretnina i nekretnina</w:t>
            </w:r>
            <w:r w:rsidR="000841CF" w:rsidRPr="00733612">
              <w:rPr>
                <w:iCs/>
              </w:rPr>
              <w:t>.</w:t>
            </w:r>
          </w:p>
          <w:p w14:paraId="69BC752F" w14:textId="0B64ADA4" w:rsidR="00D43403" w:rsidRPr="00733612" w:rsidRDefault="00D43403" w:rsidP="00D43403">
            <w:pPr>
              <w:jc w:val="both"/>
              <w:rPr>
                <w:iCs/>
              </w:rPr>
            </w:pPr>
          </w:p>
        </w:tc>
      </w:tr>
      <w:tr w:rsidR="000213BB" w:rsidRPr="0097347E" w14:paraId="069323AE" w14:textId="77777777" w:rsidTr="00C95418">
        <w:trPr>
          <w:trHeight w:val="240"/>
        </w:trPr>
        <w:tc>
          <w:tcPr>
            <w:tcW w:w="851" w:type="dxa"/>
            <w:tcBorders>
              <w:top w:val="single" w:sz="4" w:space="0" w:color="auto"/>
              <w:left w:val="nil"/>
              <w:bottom w:val="single" w:sz="4" w:space="0" w:color="auto"/>
              <w:right w:val="nil"/>
            </w:tcBorders>
            <w:shd w:val="clear" w:color="auto" w:fill="auto"/>
          </w:tcPr>
          <w:p w14:paraId="5916029C" w14:textId="77777777" w:rsidR="000213BB" w:rsidRPr="00C948DE" w:rsidRDefault="000213BB" w:rsidP="00C948DE">
            <w:pPr>
              <w:pStyle w:val="Naslov1"/>
            </w:pPr>
            <w:r w:rsidRPr="00C948DE">
              <w:lastRenderedPageBreak/>
              <w:t>3.</w:t>
            </w:r>
          </w:p>
        </w:tc>
        <w:tc>
          <w:tcPr>
            <w:tcW w:w="9072" w:type="dxa"/>
            <w:gridSpan w:val="3"/>
            <w:tcBorders>
              <w:top w:val="single" w:sz="4" w:space="0" w:color="auto"/>
              <w:left w:val="nil"/>
              <w:bottom w:val="single" w:sz="4" w:space="0" w:color="auto"/>
              <w:right w:val="nil"/>
            </w:tcBorders>
            <w:shd w:val="clear" w:color="auto" w:fill="auto"/>
          </w:tcPr>
          <w:p w14:paraId="3C6EED51" w14:textId="77777777" w:rsidR="000213BB" w:rsidRPr="00C948DE" w:rsidRDefault="000213BB" w:rsidP="00C948DE">
            <w:pPr>
              <w:pStyle w:val="Naslov1"/>
            </w:pPr>
            <w:r w:rsidRPr="00C948DE">
              <w:t xml:space="preserve">ANALIZA IZRAVNIH UČINAKA NASTALIH PRIMJENOM ZAKONA </w:t>
            </w:r>
          </w:p>
        </w:tc>
      </w:tr>
      <w:tr w:rsidR="000213BB" w:rsidRPr="0097347E" w14:paraId="38D9DF39" w14:textId="77777777" w:rsidTr="00C948DE">
        <w:tc>
          <w:tcPr>
            <w:tcW w:w="851" w:type="dxa"/>
            <w:tcBorders>
              <w:top w:val="single" w:sz="4" w:space="0" w:color="auto"/>
            </w:tcBorders>
          </w:tcPr>
          <w:p w14:paraId="55CC893A" w14:textId="77777777" w:rsidR="000213BB" w:rsidRPr="0097347E" w:rsidRDefault="000213BB" w:rsidP="007C137B">
            <w:r w:rsidRPr="0097347E">
              <w:t>3.1.</w:t>
            </w:r>
          </w:p>
        </w:tc>
        <w:tc>
          <w:tcPr>
            <w:tcW w:w="9072" w:type="dxa"/>
            <w:gridSpan w:val="3"/>
            <w:tcBorders>
              <w:top w:val="single" w:sz="4" w:space="0" w:color="auto"/>
            </w:tcBorders>
          </w:tcPr>
          <w:p w14:paraId="22B946B2" w14:textId="77777777" w:rsidR="000213BB" w:rsidRPr="0097347E" w:rsidRDefault="000213BB" w:rsidP="007C137B">
            <w:r w:rsidRPr="0097347E">
              <w:rPr>
                <w:b/>
              </w:rPr>
              <w:t>Analiza gospodarskih učinaka primjene Zakona</w:t>
            </w:r>
          </w:p>
        </w:tc>
      </w:tr>
      <w:tr w:rsidR="00F66139" w:rsidRPr="0097347E" w14:paraId="231DD089" w14:textId="77777777" w:rsidTr="00F66139">
        <w:tc>
          <w:tcPr>
            <w:tcW w:w="851" w:type="dxa"/>
          </w:tcPr>
          <w:p w14:paraId="19556F44" w14:textId="77777777" w:rsidR="00F66139" w:rsidRPr="0097347E" w:rsidRDefault="00F66139" w:rsidP="00F66139"/>
        </w:tc>
        <w:tc>
          <w:tcPr>
            <w:tcW w:w="9072" w:type="dxa"/>
            <w:gridSpan w:val="3"/>
            <w:shd w:val="clear" w:color="auto" w:fill="auto"/>
          </w:tcPr>
          <w:p w14:paraId="466B132C" w14:textId="77777777" w:rsidR="006022B6" w:rsidRPr="00733612" w:rsidRDefault="006F6401" w:rsidP="00C83513">
            <w:pPr>
              <w:jc w:val="both"/>
            </w:pPr>
            <w:r w:rsidRPr="00733612">
              <w:t xml:space="preserve">Primjena Zakona utjecala je na gospodarski rast odnosno rast osobne potrošnje, a pozitivno se odrazila i na kretanja na tržištu rada. U sustavu poreza na dohodak smanjeno je ukupno porezno opterećenje za sve obveznike poreza na dohodak i to </w:t>
            </w:r>
            <w:r w:rsidR="00C83513" w:rsidRPr="00733612">
              <w:t xml:space="preserve">smanjenjem </w:t>
            </w:r>
            <w:r w:rsidRPr="00733612">
              <w:t>poreznih stopa</w:t>
            </w:r>
            <w:r w:rsidR="00C83513" w:rsidRPr="00733612">
              <w:t xml:space="preserve">, dodatnim propisivanjem oslobođenja od plaćanja poreza na određene primitke, proširenjem </w:t>
            </w:r>
            <w:r w:rsidR="00C83513" w:rsidRPr="00733612">
              <w:lastRenderedPageBreak/>
              <w:t>obuhvata primitaka koji se ne uzimaju u obzir pri utvrđivanju prava na osobni odbitak za uzdržavane članove te im je povećan raspoloživi dohodak</w:t>
            </w:r>
            <w:r w:rsidRPr="00733612">
              <w:t xml:space="preserve">. </w:t>
            </w:r>
          </w:p>
          <w:p w14:paraId="4269CF91" w14:textId="77777777" w:rsidR="00C83513" w:rsidRPr="00733612" w:rsidRDefault="00C83513" w:rsidP="00C83513">
            <w:pPr>
              <w:jc w:val="both"/>
            </w:pPr>
          </w:p>
          <w:p w14:paraId="0DD3370B" w14:textId="0DDD450E" w:rsidR="00C83513" w:rsidRPr="00733612" w:rsidRDefault="00C83513" w:rsidP="00C83513">
            <w:pPr>
              <w:jc w:val="both"/>
            </w:pPr>
            <w:r w:rsidRPr="00733612">
              <w:t xml:space="preserve">Tako primjerice, poreznom obvezniku s mjesečnom bruto plaćom od </w:t>
            </w:r>
            <w:r w:rsidR="006022B6" w:rsidRPr="00733612">
              <w:t>1</w:t>
            </w:r>
            <w:r w:rsidRPr="00733612">
              <w:t>0.000,00 k</w:t>
            </w:r>
            <w:r w:rsidR="00443DA3" w:rsidRPr="00733612">
              <w:t>u</w:t>
            </w:r>
            <w:r w:rsidRPr="00733612">
              <w:t>n</w:t>
            </w:r>
            <w:r w:rsidR="00443DA3" w:rsidRPr="00733612">
              <w:t>a</w:t>
            </w:r>
            <w:r w:rsidRPr="00733612">
              <w:t xml:space="preserve"> koji nema uzdržavanih članova niti invalidnost neto</w:t>
            </w:r>
            <w:r w:rsidR="00BD53DF" w:rsidRPr="00733612">
              <w:t xml:space="preserve"> </w:t>
            </w:r>
            <w:r w:rsidRPr="00733612">
              <w:t xml:space="preserve">plaća povećala se za </w:t>
            </w:r>
            <w:r w:rsidR="00C32197" w:rsidRPr="00733612">
              <w:t>188,80</w:t>
            </w:r>
            <w:r w:rsidRPr="00733612">
              <w:t xml:space="preserve"> k</w:t>
            </w:r>
            <w:r w:rsidR="00C32197" w:rsidRPr="00733612">
              <w:t>u</w:t>
            </w:r>
            <w:r w:rsidRPr="00733612">
              <w:t>n</w:t>
            </w:r>
            <w:r w:rsidR="00C32197" w:rsidRPr="00733612">
              <w:t>a</w:t>
            </w:r>
            <w:r w:rsidRPr="00733612">
              <w:t xml:space="preserve">, a poreznom obvezniku koji ostvaruje mjesečnu bruto plaću od </w:t>
            </w:r>
            <w:r w:rsidR="00C32197" w:rsidRPr="00733612">
              <w:t>20</w:t>
            </w:r>
            <w:r w:rsidRPr="00733612">
              <w:t>.000,00 k</w:t>
            </w:r>
            <w:r w:rsidR="00C32197" w:rsidRPr="00733612">
              <w:t>u</w:t>
            </w:r>
            <w:r w:rsidRPr="00733612">
              <w:t>n</w:t>
            </w:r>
            <w:r w:rsidR="00C32197" w:rsidRPr="00733612">
              <w:t>a</w:t>
            </w:r>
            <w:r w:rsidRPr="00733612">
              <w:t xml:space="preserve"> neto</w:t>
            </w:r>
            <w:r w:rsidR="00BD53DF" w:rsidRPr="00733612">
              <w:t xml:space="preserve"> </w:t>
            </w:r>
            <w:r w:rsidRPr="00733612">
              <w:t xml:space="preserve">plaća povećala za </w:t>
            </w:r>
            <w:r w:rsidR="00C32197" w:rsidRPr="00733612">
              <w:t>566,40</w:t>
            </w:r>
            <w:r w:rsidRPr="00733612">
              <w:t xml:space="preserve"> k</w:t>
            </w:r>
            <w:r w:rsidR="00443DA3" w:rsidRPr="00733612">
              <w:t>u</w:t>
            </w:r>
            <w:r w:rsidRPr="00733612">
              <w:t>n</w:t>
            </w:r>
            <w:r w:rsidR="00443DA3" w:rsidRPr="00733612">
              <w:t>a</w:t>
            </w:r>
            <w:r w:rsidRPr="00733612">
              <w:t xml:space="preserve"> (kao što je to prikazano u primjerima pod točkom 2.1.). Dakle, osobama koje ostvaruju veće iznose dohotka raste i neto</w:t>
            </w:r>
            <w:r w:rsidR="00BD53DF" w:rsidRPr="00733612">
              <w:t xml:space="preserve"> </w:t>
            </w:r>
            <w:r w:rsidRPr="00733612">
              <w:t>plaća  što  je posljedično utjecalo na povećanje potrošnje i samim time pozitivno na gospodarski rast. Time se potaknula konkurentnost hrvatskih radnika na tržištu rada osobito u sektoru visokih tehnologija, koji u pravilu ostvaruju veće iznose dohotka, a povećanje neto</w:t>
            </w:r>
            <w:r w:rsidR="00BD53DF" w:rsidRPr="00733612">
              <w:t xml:space="preserve"> </w:t>
            </w:r>
            <w:r w:rsidRPr="00733612">
              <w:t>plaća je posljedično utjecalo na uvećanu potrošnju i gospodarski rast</w:t>
            </w:r>
            <w:r w:rsidR="00C32197" w:rsidRPr="00733612">
              <w:t xml:space="preserve">, </w:t>
            </w:r>
            <w:r w:rsidRPr="00733612">
              <w:t>odnosno, stvoreni su dodatni uvjeti za zadržavanje visokokvalificiranih radnika u Republici Hrvatskoj.</w:t>
            </w:r>
          </w:p>
          <w:p w14:paraId="0E65D35E" w14:textId="77777777" w:rsidR="00F66139" w:rsidRPr="00733612" w:rsidRDefault="00F66139" w:rsidP="00F66139">
            <w:pPr>
              <w:jc w:val="both"/>
              <w:rPr>
                <w:bCs/>
                <w:szCs w:val="24"/>
              </w:rPr>
            </w:pPr>
          </w:p>
          <w:p w14:paraId="7E7ADD68" w14:textId="5E22C039" w:rsidR="00F66139" w:rsidRPr="00733612" w:rsidRDefault="00AA2FA9" w:rsidP="00BF2E30">
            <w:pPr>
              <w:jc w:val="both"/>
              <w:rPr>
                <w:szCs w:val="24"/>
              </w:rPr>
            </w:pPr>
            <w:r w:rsidRPr="00733612">
              <w:rPr>
                <w:szCs w:val="24"/>
              </w:rPr>
              <w:t>Nadalje, o</w:t>
            </w:r>
            <w:r w:rsidR="00F66139" w:rsidRPr="00733612">
              <w:rPr>
                <w:szCs w:val="24"/>
              </w:rPr>
              <w:t xml:space="preserve">slobođenjem oporezivanja primitaka koje ostvaruju digitalni nomadi po osnovi tako stečenog statusa motiviralo se iste na odabir </w:t>
            </w:r>
            <w:r w:rsidR="003C33D3" w:rsidRPr="00733612">
              <w:rPr>
                <w:szCs w:val="24"/>
              </w:rPr>
              <w:t>Republike Hrvatske</w:t>
            </w:r>
            <w:r w:rsidR="00F66139" w:rsidRPr="00733612">
              <w:rPr>
                <w:szCs w:val="24"/>
              </w:rPr>
              <w:t xml:space="preserve"> kao države za boravak i poslovanje. </w:t>
            </w:r>
            <w:r w:rsidR="00683336" w:rsidRPr="00733612">
              <w:rPr>
                <w:szCs w:val="24"/>
              </w:rPr>
              <w:t xml:space="preserve">Budući </w:t>
            </w:r>
            <w:r w:rsidR="004A713E" w:rsidRPr="00733612">
              <w:rPr>
                <w:szCs w:val="24"/>
              </w:rPr>
              <w:t xml:space="preserve">da se digitalni nomadi zadržavaju u </w:t>
            </w:r>
            <w:r w:rsidR="003C33D3" w:rsidRPr="00733612">
              <w:rPr>
                <w:szCs w:val="24"/>
              </w:rPr>
              <w:t>Republici Hrvatskoj</w:t>
            </w:r>
            <w:r w:rsidR="004A713E" w:rsidRPr="00733612">
              <w:rPr>
                <w:szCs w:val="24"/>
              </w:rPr>
              <w:t xml:space="preserve"> i izvan turističke sezone</w:t>
            </w:r>
            <w:r w:rsidR="00683336" w:rsidRPr="00733612">
              <w:rPr>
                <w:szCs w:val="24"/>
              </w:rPr>
              <w:t>, s</w:t>
            </w:r>
            <w:r w:rsidR="00755ED3" w:rsidRPr="00733612">
              <w:rPr>
                <w:szCs w:val="24"/>
              </w:rPr>
              <w:t xml:space="preserve">vojim </w:t>
            </w:r>
            <w:r w:rsidR="004A713E" w:rsidRPr="00733612">
              <w:rPr>
                <w:szCs w:val="24"/>
              </w:rPr>
              <w:t>boravkom</w:t>
            </w:r>
            <w:r w:rsidR="00755ED3" w:rsidRPr="00733612">
              <w:rPr>
                <w:szCs w:val="24"/>
              </w:rPr>
              <w:t xml:space="preserve"> oni zapravo na neki način produljuju turističku sezonu</w:t>
            </w:r>
            <w:r w:rsidR="004A713E" w:rsidRPr="00733612">
              <w:rPr>
                <w:szCs w:val="24"/>
              </w:rPr>
              <w:t xml:space="preserve">. </w:t>
            </w:r>
            <w:r w:rsidR="00683336" w:rsidRPr="00733612">
              <w:rPr>
                <w:szCs w:val="24"/>
              </w:rPr>
              <w:t xml:space="preserve">Također, budući da je riječ o radnicima višega dohodovnog razreda i njihova potrošnja je razmjerno veća. </w:t>
            </w:r>
            <w:r w:rsidR="00BF2E30" w:rsidRPr="00733612">
              <w:rPr>
                <w:szCs w:val="24"/>
              </w:rPr>
              <w:t>Stoga</w:t>
            </w:r>
            <w:r w:rsidR="00F66139" w:rsidRPr="00733612">
              <w:rPr>
                <w:szCs w:val="24"/>
              </w:rPr>
              <w:t xml:space="preserve"> </w:t>
            </w:r>
            <w:r w:rsidRPr="00733612">
              <w:rPr>
                <w:szCs w:val="24"/>
              </w:rPr>
              <w:t xml:space="preserve">digitalni nomadi posredno svojom potrošnjom doprinose prihodima lokalnih poduzetnika te potiču dodatne gospodarske aktivnosti, ponajviše </w:t>
            </w:r>
            <w:r w:rsidR="00BF2E30" w:rsidRPr="00733612">
              <w:rPr>
                <w:szCs w:val="24"/>
              </w:rPr>
              <w:t xml:space="preserve">u </w:t>
            </w:r>
            <w:r w:rsidRPr="00733612">
              <w:rPr>
                <w:szCs w:val="24"/>
              </w:rPr>
              <w:t>uslužn</w:t>
            </w:r>
            <w:r w:rsidR="00BF2E30" w:rsidRPr="00733612">
              <w:rPr>
                <w:szCs w:val="24"/>
              </w:rPr>
              <w:t>im</w:t>
            </w:r>
            <w:r w:rsidRPr="00733612">
              <w:rPr>
                <w:szCs w:val="24"/>
              </w:rPr>
              <w:t xml:space="preserve"> djelatnosti</w:t>
            </w:r>
            <w:r w:rsidR="00BF2E30" w:rsidRPr="00733612">
              <w:rPr>
                <w:szCs w:val="24"/>
              </w:rPr>
              <w:t>ma</w:t>
            </w:r>
            <w:r w:rsidRPr="00733612">
              <w:rPr>
                <w:szCs w:val="24"/>
              </w:rPr>
              <w:t xml:space="preserve"> vezan</w:t>
            </w:r>
            <w:r w:rsidR="00BF2E30" w:rsidRPr="00733612">
              <w:rPr>
                <w:szCs w:val="24"/>
              </w:rPr>
              <w:t>ima</w:t>
            </w:r>
            <w:r w:rsidRPr="00733612">
              <w:rPr>
                <w:szCs w:val="24"/>
              </w:rPr>
              <w:t xml:space="preserve"> uz turizam.</w:t>
            </w:r>
          </w:p>
          <w:p w14:paraId="7D9A4A35" w14:textId="2E9C6EBD" w:rsidR="00F66139" w:rsidRPr="00733612" w:rsidRDefault="00F66139" w:rsidP="00F66139">
            <w:pPr>
              <w:jc w:val="both"/>
              <w:rPr>
                <w:i/>
              </w:rPr>
            </w:pPr>
          </w:p>
        </w:tc>
      </w:tr>
      <w:tr w:rsidR="00F66139" w:rsidRPr="0097347E" w14:paraId="17C48CFB" w14:textId="77777777" w:rsidTr="007C137B">
        <w:tc>
          <w:tcPr>
            <w:tcW w:w="851" w:type="dxa"/>
          </w:tcPr>
          <w:p w14:paraId="49D5E638" w14:textId="77777777" w:rsidR="00F66139" w:rsidRPr="0097347E" w:rsidRDefault="00F66139" w:rsidP="00F66139">
            <w:r w:rsidRPr="0097347E">
              <w:lastRenderedPageBreak/>
              <w:t>3.2.</w:t>
            </w:r>
          </w:p>
        </w:tc>
        <w:tc>
          <w:tcPr>
            <w:tcW w:w="9072" w:type="dxa"/>
            <w:gridSpan w:val="3"/>
          </w:tcPr>
          <w:p w14:paraId="2DEDD301" w14:textId="77777777" w:rsidR="00F66139" w:rsidRPr="0097347E" w:rsidRDefault="00F66139" w:rsidP="00F66139">
            <w:pPr>
              <w:rPr>
                <w:b/>
              </w:rPr>
            </w:pPr>
            <w:r w:rsidRPr="0097347E">
              <w:rPr>
                <w:b/>
              </w:rPr>
              <w:t xml:space="preserve">Analiza učinaka primjene Zakona na zaštitu tržišnog natjecanja </w:t>
            </w:r>
          </w:p>
        </w:tc>
      </w:tr>
      <w:tr w:rsidR="00F66139" w:rsidRPr="0097347E" w14:paraId="2D2B78A6" w14:textId="77777777" w:rsidTr="00571C80">
        <w:tc>
          <w:tcPr>
            <w:tcW w:w="851" w:type="dxa"/>
          </w:tcPr>
          <w:p w14:paraId="6A6134D3" w14:textId="77777777" w:rsidR="00F66139" w:rsidRPr="0097347E" w:rsidRDefault="00F66139" w:rsidP="00F66139"/>
        </w:tc>
        <w:tc>
          <w:tcPr>
            <w:tcW w:w="9072" w:type="dxa"/>
            <w:gridSpan w:val="3"/>
            <w:shd w:val="clear" w:color="auto" w:fill="auto"/>
          </w:tcPr>
          <w:p w14:paraId="33C6D581" w14:textId="77777777" w:rsidR="00F66139" w:rsidRPr="00733612" w:rsidRDefault="00F66139" w:rsidP="00F66139">
            <w:pPr>
              <w:jc w:val="both"/>
              <w:rPr>
                <w:iCs/>
              </w:rPr>
            </w:pPr>
            <w:r w:rsidRPr="00733612">
              <w:rPr>
                <w:iCs/>
              </w:rPr>
              <w:t>Primjena ovog Zakona nije rezultirala učincima na zaštitu tržišnog natjecanja.</w:t>
            </w:r>
          </w:p>
          <w:p w14:paraId="2E3472F9" w14:textId="41C8147D" w:rsidR="00D43403" w:rsidRPr="00733612" w:rsidRDefault="00D43403" w:rsidP="00F66139">
            <w:pPr>
              <w:jc w:val="both"/>
              <w:rPr>
                <w:iCs/>
              </w:rPr>
            </w:pPr>
          </w:p>
        </w:tc>
      </w:tr>
      <w:tr w:rsidR="00F66139" w:rsidRPr="0097347E" w14:paraId="4D86E643" w14:textId="77777777" w:rsidTr="007C137B">
        <w:tc>
          <w:tcPr>
            <w:tcW w:w="851" w:type="dxa"/>
          </w:tcPr>
          <w:p w14:paraId="77C04900" w14:textId="77777777" w:rsidR="00F66139" w:rsidRPr="0097347E" w:rsidRDefault="00F66139" w:rsidP="00F66139">
            <w:r w:rsidRPr="0097347E">
              <w:t>3.3.</w:t>
            </w:r>
          </w:p>
        </w:tc>
        <w:tc>
          <w:tcPr>
            <w:tcW w:w="9072" w:type="dxa"/>
            <w:gridSpan w:val="3"/>
          </w:tcPr>
          <w:p w14:paraId="26BD76E5" w14:textId="77777777" w:rsidR="00F66139" w:rsidRPr="00733612" w:rsidRDefault="00F66139" w:rsidP="00F66139">
            <w:r w:rsidRPr="00733612">
              <w:rPr>
                <w:b/>
              </w:rPr>
              <w:t>Analiza socijalnih učinaka primjene Zakona</w:t>
            </w:r>
          </w:p>
        </w:tc>
      </w:tr>
      <w:tr w:rsidR="00F66139" w:rsidRPr="0097347E" w14:paraId="30254AAD" w14:textId="77777777" w:rsidTr="004063CE">
        <w:tc>
          <w:tcPr>
            <w:tcW w:w="851" w:type="dxa"/>
          </w:tcPr>
          <w:p w14:paraId="4B3C8596" w14:textId="77777777" w:rsidR="00F66139" w:rsidRPr="0097347E" w:rsidRDefault="00F66139" w:rsidP="00F66139"/>
        </w:tc>
        <w:tc>
          <w:tcPr>
            <w:tcW w:w="9072" w:type="dxa"/>
            <w:gridSpan w:val="3"/>
            <w:shd w:val="clear" w:color="auto" w:fill="auto"/>
          </w:tcPr>
          <w:p w14:paraId="7F2B3F08" w14:textId="1CA31545" w:rsidR="00DC0CE3" w:rsidRPr="00733612" w:rsidRDefault="004063CE" w:rsidP="004063CE">
            <w:pPr>
              <w:jc w:val="both"/>
              <w:rPr>
                <w:rFonts w:asciiTheme="majorBidi" w:hAnsiTheme="majorBidi" w:cstheme="majorBidi"/>
              </w:rPr>
            </w:pPr>
            <w:r w:rsidRPr="00733612">
              <w:rPr>
                <w:rFonts w:asciiTheme="majorBidi" w:hAnsiTheme="majorBidi" w:cstheme="majorBidi"/>
              </w:rPr>
              <w:t xml:space="preserve">Primjena </w:t>
            </w:r>
            <w:r w:rsidR="0072375B" w:rsidRPr="00733612">
              <w:rPr>
                <w:rFonts w:asciiTheme="majorBidi" w:hAnsiTheme="majorBidi" w:cstheme="majorBidi"/>
              </w:rPr>
              <w:t xml:space="preserve">ovog </w:t>
            </w:r>
            <w:r w:rsidRPr="00733612">
              <w:rPr>
                <w:rFonts w:asciiTheme="majorBidi" w:hAnsiTheme="majorBidi" w:cstheme="majorBidi"/>
              </w:rPr>
              <w:t xml:space="preserve">Zakona predstavlja jednu od mjera koja ima pozitivan utjecaj na olakšavanje položaja </w:t>
            </w:r>
            <w:r w:rsidR="008E429F" w:rsidRPr="00733612">
              <w:rPr>
                <w:rFonts w:asciiTheme="majorBidi" w:hAnsiTheme="majorBidi" w:cstheme="majorBidi"/>
              </w:rPr>
              <w:t xml:space="preserve">i povećanje kvalitete života </w:t>
            </w:r>
            <w:r w:rsidRPr="00733612">
              <w:rPr>
                <w:rFonts w:asciiTheme="majorBidi" w:hAnsiTheme="majorBidi" w:cstheme="majorBidi"/>
              </w:rPr>
              <w:t>starijih osoba</w:t>
            </w:r>
            <w:r w:rsidR="00DB002D" w:rsidRPr="00733612">
              <w:rPr>
                <w:rFonts w:asciiTheme="majorBidi" w:hAnsiTheme="majorBidi" w:cstheme="majorBidi"/>
              </w:rPr>
              <w:t xml:space="preserve"> (</w:t>
            </w:r>
            <w:r w:rsidR="006F6401" w:rsidRPr="00733612">
              <w:rPr>
                <w:rFonts w:asciiTheme="majorBidi" w:hAnsiTheme="majorBidi" w:cstheme="majorBidi"/>
              </w:rPr>
              <w:t>socijalno ugroženih skupina</w:t>
            </w:r>
            <w:r w:rsidR="00DB002D" w:rsidRPr="00733612">
              <w:rPr>
                <w:rFonts w:asciiTheme="majorBidi" w:hAnsiTheme="majorBidi" w:cstheme="majorBidi"/>
              </w:rPr>
              <w:t>)</w:t>
            </w:r>
            <w:r w:rsidRPr="00733612">
              <w:rPr>
                <w:rFonts w:asciiTheme="majorBidi" w:hAnsiTheme="majorBidi" w:cstheme="majorBidi"/>
              </w:rPr>
              <w:t>. Naime, Zakonom je propisano da se porez na dohodak ne plaća na nacionalnu naknadu za starije osobe prema posebnom propisu. Također, primitak s osnove nacionalne naknade za starije osobe izuzet je od cenzusa za uzdržavanog člana.</w:t>
            </w:r>
            <w:r w:rsidR="00EE1E4F" w:rsidRPr="00733612">
              <w:rPr>
                <w:rFonts w:asciiTheme="majorBidi" w:hAnsiTheme="majorBidi" w:cstheme="majorBidi"/>
              </w:rPr>
              <w:t xml:space="preserve"> Stoga </w:t>
            </w:r>
            <w:r w:rsidR="006555D8" w:rsidRPr="00733612">
              <w:rPr>
                <w:rFonts w:asciiTheme="majorBidi" w:hAnsiTheme="majorBidi" w:cstheme="majorBidi"/>
              </w:rPr>
              <w:t xml:space="preserve">fizička osoba koja je tijekom 2021. godine uz nacionalnu naknadu za starije osobe </w:t>
            </w:r>
            <w:r w:rsidR="00DB002D" w:rsidRPr="00733612">
              <w:rPr>
                <w:rFonts w:asciiTheme="majorBidi" w:hAnsiTheme="majorBidi" w:cstheme="majorBidi"/>
              </w:rPr>
              <w:t xml:space="preserve">propisanu posebnim propisom u iznosu </w:t>
            </w:r>
            <w:r w:rsidR="006555D8" w:rsidRPr="00733612">
              <w:rPr>
                <w:rFonts w:asciiTheme="majorBidi" w:hAnsiTheme="majorBidi" w:cstheme="majorBidi"/>
              </w:rPr>
              <w:t xml:space="preserve">od 9.600,00 kuna godišnje </w:t>
            </w:r>
            <w:r w:rsidR="00B1351B" w:rsidRPr="00733612">
              <w:rPr>
                <w:rFonts w:asciiTheme="majorBidi" w:hAnsiTheme="majorBidi" w:cstheme="majorBidi"/>
              </w:rPr>
              <w:t xml:space="preserve">primjerice ostvarila primitke od otuđenja posebnih vrsta imovine (prodaje otpada) u iznosu od 6.000,00 kuna mogla je biti uzdržavani član iako joj ukupni primici prelaze iznos od 15.000,00 kuna </w:t>
            </w:r>
            <w:r w:rsidR="00DC0CE3" w:rsidRPr="00733612">
              <w:rPr>
                <w:rFonts w:asciiTheme="majorBidi" w:hAnsiTheme="majorBidi" w:cstheme="majorBidi"/>
              </w:rPr>
              <w:t>odnosno propisani cenzus primitaka uzdržavanih članova.</w:t>
            </w:r>
          </w:p>
          <w:p w14:paraId="3A1921E0" w14:textId="77777777" w:rsidR="004063CE" w:rsidRPr="00733612" w:rsidRDefault="004063CE" w:rsidP="004063CE">
            <w:pPr>
              <w:jc w:val="both"/>
              <w:rPr>
                <w:rFonts w:asciiTheme="majorBidi" w:hAnsiTheme="majorBidi" w:cstheme="majorBidi"/>
              </w:rPr>
            </w:pPr>
          </w:p>
          <w:p w14:paraId="7135527B" w14:textId="18208AB9" w:rsidR="004063CE" w:rsidRPr="00733612" w:rsidRDefault="006F6401" w:rsidP="004063CE">
            <w:pPr>
              <w:jc w:val="both"/>
            </w:pPr>
            <w:r w:rsidRPr="00733612">
              <w:t>Nadalje, s</w:t>
            </w:r>
            <w:r w:rsidR="004063CE" w:rsidRPr="00733612">
              <w:t>manjenje poreznih stopa rezultiralo je povećanjem mjesečne neto</w:t>
            </w:r>
            <w:r w:rsidR="00BD53DF" w:rsidRPr="00733612">
              <w:t xml:space="preserve"> </w:t>
            </w:r>
            <w:r w:rsidR="004063CE" w:rsidRPr="00733612">
              <w:t xml:space="preserve">plaće tj. raspoloživog dohotka poreznih obveznika koji ostvaruju godišnji dohodak bez obzira kojoj dobnoj skupini pripadaju. </w:t>
            </w:r>
          </w:p>
          <w:p w14:paraId="6BDD9EE3" w14:textId="6346D3A5" w:rsidR="00F66139" w:rsidRPr="00733612" w:rsidRDefault="00F66139" w:rsidP="00F66139">
            <w:pPr>
              <w:jc w:val="both"/>
              <w:rPr>
                <w:i/>
              </w:rPr>
            </w:pPr>
          </w:p>
        </w:tc>
      </w:tr>
      <w:tr w:rsidR="00F66139" w:rsidRPr="0097347E" w14:paraId="70E5225B" w14:textId="77777777" w:rsidTr="007C137B">
        <w:tc>
          <w:tcPr>
            <w:tcW w:w="851" w:type="dxa"/>
          </w:tcPr>
          <w:p w14:paraId="21AE8B04" w14:textId="77777777" w:rsidR="00F66139" w:rsidRPr="0097347E" w:rsidRDefault="00F66139" w:rsidP="00F66139">
            <w:r w:rsidRPr="0097347E">
              <w:t>3.4.</w:t>
            </w:r>
          </w:p>
        </w:tc>
        <w:tc>
          <w:tcPr>
            <w:tcW w:w="9072" w:type="dxa"/>
            <w:gridSpan w:val="3"/>
          </w:tcPr>
          <w:p w14:paraId="4017ECD3" w14:textId="77777777" w:rsidR="00F66139" w:rsidRPr="00733612" w:rsidRDefault="00F66139" w:rsidP="00F66139">
            <w:pPr>
              <w:rPr>
                <w:b/>
              </w:rPr>
            </w:pPr>
            <w:r w:rsidRPr="00733612">
              <w:rPr>
                <w:b/>
              </w:rPr>
              <w:t>Analiza učinaka primjene Zakona na rad i tržište rada</w:t>
            </w:r>
          </w:p>
        </w:tc>
      </w:tr>
      <w:tr w:rsidR="00F66139" w:rsidRPr="0097347E" w14:paraId="295FE0FE" w14:textId="77777777" w:rsidTr="002D2E04">
        <w:tc>
          <w:tcPr>
            <w:tcW w:w="851" w:type="dxa"/>
          </w:tcPr>
          <w:p w14:paraId="2163F6BF" w14:textId="77777777" w:rsidR="00F66139" w:rsidRPr="0097347E" w:rsidRDefault="00F66139" w:rsidP="00F66139"/>
        </w:tc>
        <w:tc>
          <w:tcPr>
            <w:tcW w:w="9072" w:type="dxa"/>
            <w:gridSpan w:val="3"/>
            <w:shd w:val="clear" w:color="auto" w:fill="auto"/>
          </w:tcPr>
          <w:p w14:paraId="6280B0D9" w14:textId="763527B1" w:rsidR="00F152EA" w:rsidRPr="00733612" w:rsidRDefault="00F152EA" w:rsidP="00F152EA">
            <w:pPr>
              <w:jc w:val="both"/>
              <w:rPr>
                <w:iCs/>
              </w:rPr>
            </w:pPr>
            <w:r w:rsidRPr="00733612">
              <w:rPr>
                <w:iCs/>
              </w:rPr>
              <w:t>Primjenom navedenih izmjena u sustavu poreza na dohodak doprinijelo se smanjenju ukupnog poreznog opterećenja za sve porezne obveznike te samim time poreznom rasterećenju rada i poduzetništva.</w:t>
            </w:r>
          </w:p>
          <w:p w14:paraId="70409B19" w14:textId="77777777" w:rsidR="003C33D3" w:rsidRPr="00733612" w:rsidRDefault="003C33D3" w:rsidP="00F152EA">
            <w:pPr>
              <w:jc w:val="both"/>
              <w:rPr>
                <w:iCs/>
              </w:rPr>
            </w:pPr>
          </w:p>
          <w:p w14:paraId="016AEBD6" w14:textId="1E05BB01" w:rsidR="00DF7FCB" w:rsidRPr="00733612" w:rsidRDefault="002A73CA" w:rsidP="00F152EA">
            <w:pPr>
              <w:jc w:val="both"/>
              <w:rPr>
                <w:iCs/>
              </w:rPr>
            </w:pPr>
            <w:r w:rsidRPr="00733612">
              <w:rPr>
                <w:iCs/>
              </w:rPr>
              <w:t>Smanjenje</w:t>
            </w:r>
            <w:r w:rsidR="00DF7FCB" w:rsidRPr="00733612">
              <w:rPr>
                <w:iCs/>
              </w:rPr>
              <w:t xml:space="preserve">m poreznih stopa odnosno umanjenjem porezne obveze poduzetnika i poslodavaca stvorilo se poticajno okruženje za nova zapošljavanja prvenstveno mladih i </w:t>
            </w:r>
            <w:r w:rsidR="00DF7FCB" w:rsidRPr="00733612">
              <w:rPr>
                <w:iCs/>
              </w:rPr>
              <w:lastRenderedPageBreak/>
              <w:t>visokoobrazovanih osoba kako bi s</w:t>
            </w:r>
            <w:r w:rsidR="00782C5E" w:rsidRPr="00733612">
              <w:rPr>
                <w:iCs/>
              </w:rPr>
              <w:t xml:space="preserve">e zaustavio trend njihova odlaska na rad u inozemstvo. Tome </w:t>
            </w:r>
            <w:r w:rsidR="00B30570" w:rsidRPr="00733612">
              <w:rPr>
                <w:iCs/>
              </w:rPr>
              <w:t xml:space="preserve">je </w:t>
            </w:r>
            <w:r w:rsidR="00782C5E" w:rsidRPr="00733612">
              <w:rPr>
                <w:iCs/>
              </w:rPr>
              <w:t xml:space="preserve">dodatno </w:t>
            </w:r>
            <w:r w:rsidR="00B30570" w:rsidRPr="00733612">
              <w:rPr>
                <w:iCs/>
              </w:rPr>
              <w:t>doprinijelo</w:t>
            </w:r>
            <w:r w:rsidR="00782C5E" w:rsidRPr="00733612">
              <w:rPr>
                <w:iCs/>
              </w:rPr>
              <w:t xml:space="preserve"> i povećanje neto plaća uslijed smanjenja poreznih stopa.</w:t>
            </w:r>
            <w:r w:rsidR="00DF7FCB" w:rsidRPr="00733612">
              <w:rPr>
                <w:iCs/>
              </w:rPr>
              <w:t xml:space="preserve"> </w:t>
            </w:r>
            <w:r w:rsidRPr="00733612">
              <w:rPr>
                <w:iCs/>
              </w:rPr>
              <w:t xml:space="preserve"> </w:t>
            </w:r>
          </w:p>
          <w:p w14:paraId="751D8B87" w14:textId="798AFA33" w:rsidR="00076AF3" w:rsidRPr="00733612" w:rsidRDefault="00B30570" w:rsidP="00F10E39">
            <w:pPr>
              <w:jc w:val="both"/>
              <w:rPr>
                <w:iCs/>
              </w:rPr>
            </w:pPr>
            <w:r w:rsidRPr="00733612">
              <w:rPr>
                <w:iCs/>
              </w:rPr>
              <w:t>P</w:t>
            </w:r>
            <w:r w:rsidR="00076AF3" w:rsidRPr="00733612">
              <w:rPr>
                <w:iCs/>
              </w:rPr>
              <w:t>roširenje</w:t>
            </w:r>
            <w:r w:rsidR="00753920" w:rsidRPr="00733612">
              <w:rPr>
                <w:iCs/>
              </w:rPr>
              <w:t>m</w:t>
            </w:r>
            <w:r w:rsidR="00076AF3" w:rsidRPr="00733612">
              <w:rPr>
                <w:iCs/>
              </w:rPr>
              <w:t xml:space="preserve"> neoporezivih primitaka temeljem koj</w:t>
            </w:r>
            <w:r w:rsidR="00753920" w:rsidRPr="00733612">
              <w:rPr>
                <w:iCs/>
              </w:rPr>
              <w:t>eg</w:t>
            </w:r>
            <w:r w:rsidR="00076AF3" w:rsidRPr="00733612">
              <w:rPr>
                <w:iCs/>
              </w:rPr>
              <w:t xml:space="preserve"> poslodavci mogu radnicima neoporezivo podmiriti</w:t>
            </w:r>
            <w:r w:rsidR="00753920" w:rsidRPr="00733612">
              <w:t xml:space="preserve"> </w:t>
            </w:r>
            <w:r w:rsidR="00753920" w:rsidRPr="00733612">
              <w:rPr>
                <w:iCs/>
              </w:rPr>
              <w:t xml:space="preserve">trošak cijepljenja protiv zaraznih bolesti </w:t>
            </w:r>
            <w:r w:rsidRPr="00733612">
              <w:rPr>
                <w:iCs/>
              </w:rPr>
              <w:t>potaknulo</w:t>
            </w:r>
            <w:r w:rsidR="00753920" w:rsidRPr="00733612">
              <w:rPr>
                <w:iCs/>
              </w:rPr>
              <w:t xml:space="preserve"> se poslodavce </w:t>
            </w:r>
            <w:r w:rsidRPr="00733612">
              <w:rPr>
                <w:iCs/>
              </w:rPr>
              <w:t>da ulažu u</w:t>
            </w:r>
            <w:r w:rsidR="00753920" w:rsidRPr="00733612">
              <w:rPr>
                <w:iCs/>
              </w:rPr>
              <w:t xml:space="preserve"> zaštit</w:t>
            </w:r>
            <w:r w:rsidRPr="00733612">
              <w:rPr>
                <w:iCs/>
              </w:rPr>
              <w:t>u</w:t>
            </w:r>
            <w:r w:rsidR="00753920" w:rsidRPr="00733612">
              <w:rPr>
                <w:iCs/>
              </w:rPr>
              <w:t xml:space="preserve"> zdravlj</w:t>
            </w:r>
            <w:r w:rsidRPr="00733612">
              <w:rPr>
                <w:iCs/>
              </w:rPr>
              <w:t>a</w:t>
            </w:r>
            <w:r w:rsidR="00753920" w:rsidRPr="00733612">
              <w:rPr>
                <w:iCs/>
              </w:rPr>
              <w:t xml:space="preserve"> svojih radnika</w:t>
            </w:r>
            <w:r w:rsidRPr="00733612">
              <w:rPr>
                <w:iCs/>
              </w:rPr>
              <w:t xml:space="preserve"> te im</w:t>
            </w:r>
            <w:r w:rsidR="00753920" w:rsidRPr="00733612">
              <w:rPr>
                <w:iCs/>
              </w:rPr>
              <w:t xml:space="preserve"> </w:t>
            </w:r>
            <w:r w:rsidRPr="00733612">
              <w:rPr>
                <w:iCs/>
              </w:rPr>
              <w:t xml:space="preserve">se </w:t>
            </w:r>
            <w:r w:rsidR="00076AF3" w:rsidRPr="00733612">
              <w:rPr>
                <w:iCs/>
              </w:rPr>
              <w:t xml:space="preserve">ujedno </w:t>
            </w:r>
            <w:r w:rsidRPr="00733612">
              <w:rPr>
                <w:iCs/>
              </w:rPr>
              <w:t>omogućilo</w:t>
            </w:r>
            <w:r w:rsidR="00076AF3" w:rsidRPr="00733612">
              <w:rPr>
                <w:iCs/>
              </w:rPr>
              <w:t xml:space="preserve"> da dodatno motiviraju i nagrade svoje radnike</w:t>
            </w:r>
            <w:r w:rsidRPr="00733612">
              <w:rPr>
                <w:iCs/>
              </w:rPr>
              <w:t xml:space="preserve"> i osiguraju im bolje uvjete </w:t>
            </w:r>
            <w:r w:rsidR="00DC0CE3" w:rsidRPr="00733612">
              <w:rPr>
                <w:iCs/>
              </w:rPr>
              <w:t>rada</w:t>
            </w:r>
            <w:r w:rsidRPr="00733612">
              <w:rPr>
                <w:iCs/>
              </w:rPr>
              <w:t>.</w:t>
            </w:r>
          </w:p>
          <w:p w14:paraId="63AD7AEC" w14:textId="77777777" w:rsidR="003C33D3" w:rsidRPr="00733612" w:rsidRDefault="003C33D3" w:rsidP="00F10E39">
            <w:pPr>
              <w:jc w:val="both"/>
              <w:rPr>
                <w:iCs/>
              </w:rPr>
            </w:pPr>
          </w:p>
          <w:p w14:paraId="0D10C47D" w14:textId="77777777" w:rsidR="00F66139" w:rsidRPr="00733612" w:rsidRDefault="00B30570" w:rsidP="00B30570">
            <w:pPr>
              <w:jc w:val="both"/>
              <w:rPr>
                <w:iCs/>
              </w:rPr>
            </w:pPr>
            <w:r w:rsidRPr="00733612">
              <w:rPr>
                <w:iCs/>
              </w:rPr>
              <w:t>Isto tako, d</w:t>
            </w:r>
            <w:r w:rsidR="00F10E39" w:rsidRPr="00733612">
              <w:rPr>
                <w:iCs/>
              </w:rPr>
              <w:t xml:space="preserve">odatno nagrađivanje i zadržavanje radnika posebice u društvima u nastajanju koja u početku možebitno niti ne ostvaruju dobit omogućeno je proširenjem mogućnosti isplate primitaka u naravi po osnovi dodjele ili opcijske kupnje vlastitih dionica koje poslodavci/isplatitelji primitaka odnosno plaće daju radnicima, članovima uprave i drugim povezanim osobama bez ispunjavanja kriterija da su ostvareni po osnovi udjela u dobiti. </w:t>
            </w:r>
          </w:p>
          <w:p w14:paraId="12FDB044" w14:textId="5C2185A4" w:rsidR="00D43403" w:rsidRPr="00733612" w:rsidRDefault="00D43403" w:rsidP="00B30570">
            <w:pPr>
              <w:jc w:val="both"/>
              <w:rPr>
                <w:iCs/>
              </w:rPr>
            </w:pPr>
          </w:p>
        </w:tc>
      </w:tr>
      <w:tr w:rsidR="00F66139" w:rsidRPr="0097347E" w14:paraId="40B3E32C" w14:textId="77777777" w:rsidTr="007C137B">
        <w:tc>
          <w:tcPr>
            <w:tcW w:w="851" w:type="dxa"/>
          </w:tcPr>
          <w:p w14:paraId="5E474444" w14:textId="77777777" w:rsidR="00F66139" w:rsidRPr="0097347E" w:rsidRDefault="00F66139" w:rsidP="00F66139">
            <w:r w:rsidRPr="0097347E">
              <w:lastRenderedPageBreak/>
              <w:t>3.5.</w:t>
            </w:r>
          </w:p>
        </w:tc>
        <w:tc>
          <w:tcPr>
            <w:tcW w:w="9072" w:type="dxa"/>
            <w:gridSpan w:val="3"/>
          </w:tcPr>
          <w:p w14:paraId="6F12D64B" w14:textId="77777777" w:rsidR="00F66139" w:rsidRPr="00733612" w:rsidRDefault="00F66139" w:rsidP="00F66139">
            <w:pPr>
              <w:rPr>
                <w:b/>
              </w:rPr>
            </w:pPr>
            <w:r w:rsidRPr="00733612">
              <w:rPr>
                <w:b/>
              </w:rPr>
              <w:t>Analiza učinaka primjene Zakona na zaštitu okoliša</w:t>
            </w:r>
          </w:p>
        </w:tc>
      </w:tr>
      <w:tr w:rsidR="00F66139" w:rsidRPr="0097347E" w14:paraId="1B9CE50B" w14:textId="77777777" w:rsidTr="00571C80">
        <w:tc>
          <w:tcPr>
            <w:tcW w:w="851" w:type="dxa"/>
          </w:tcPr>
          <w:p w14:paraId="501EE66D" w14:textId="77777777" w:rsidR="00F66139" w:rsidRPr="0097347E" w:rsidRDefault="00F66139" w:rsidP="00F66139"/>
        </w:tc>
        <w:tc>
          <w:tcPr>
            <w:tcW w:w="9072" w:type="dxa"/>
            <w:gridSpan w:val="3"/>
            <w:shd w:val="clear" w:color="auto" w:fill="auto"/>
          </w:tcPr>
          <w:p w14:paraId="01AB8F09" w14:textId="77777777" w:rsidR="00F66139" w:rsidRPr="00733612" w:rsidRDefault="00F66139" w:rsidP="00F66139">
            <w:pPr>
              <w:jc w:val="both"/>
              <w:rPr>
                <w:iCs/>
              </w:rPr>
            </w:pPr>
            <w:r w:rsidRPr="00733612">
              <w:rPr>
                <w:iCs/>
              </w:rPr>
              <w:t>Primjena ovog Zakona nije rezultirala učincima na zaštitu okoliša.</w:t>
            </w:r>
          </w:p>
          <w:p w14:paraId="4C7ABC76" w14:textId="574EB611" w:rsidR="00D43403" w:rsidRPr="00733612" w:rsidRDefault="00D43403" w:rsidP="00F66139">
            <w:pPr>
              <w:jc w:val="both"/>
              <w:rPr>
                <w:iCs/>
              </w:rPr>
            </w:pPr>
          </w:p>
        </w:tc>
      </w:tr>
      <w:tr w:rsidR="00F66139" w:rsidRPr="0097347E" w14:paraId="0296176B" w14:textId="77777777" w:rsidTr="00C948DE">
        <w:tc>
          <w:tcPr>
            <w:tcW w:w="851" w:type="dxa"/>
            <w:tcBorders>
              <w:bottom w:val="single" w:sz="4" w:space="0" w:color="auto"/>
            </w:tcBorders>
          </w:tcPr>
          <w:p w14:paraId="6D0B993B" w14:textId="77777777" w:rsidR="00F66139" w:rsidRPr="0097347E" w:rsidRDefault="00F66139" w:rsidP="00F66139">
            <w:r w:rsidRPr="0097347E">
              <w:t>3.6.</w:t>
            </w:r>
          </w:p>
        </w:tc>
        <w:tc>
          <w:tcPr>
            <w:tcW w:w="9072" w:type="dxa"/>
            <w:gridSpan w:val="3"/>
            <w:tcBorders>
              <w:bottom w:val="single" w:sz="4" w:space="0" w:color="auto"/>
            </w:tcBorders>
          </w:tcPr>
          <w:p w14:paraId="71025C26" w14:textId="77777777" w:rsidR="00F66139" w:rsidRPr="00733612" w:rsidRDefault="00F66139" w:rsidP="00F66139">
            <w:pPr>
              <w:rPr>
                <w:b/>
              </w:rPr>
            </w:pPr>
            <w:r w:rsidRPr="00733612">
              <w:rPr>
                <w:b/>
              </w:rPr>
              <w:t>Analiza učinaka primjene Zakona na zaštitu ljudskih prava</w:t>
            </w:r>
          </w:p>
        </w:tc>
      </w:tr>
      <w:tr w:rsidR="00F66139" w:rsidRPr="0097347E" w14:paraId="4A3E50B0" w14:textId="77777777" w:rsidTr="00C948DE">
        <w:tc>
          <w:tcPr>
            <w:tcW w:w="851" w:type="dxa"/>
            <w:tcBorders>
              <w:bottom w:val="single" w:sz="4" w:space="0" w:color="auto"/>
            </w:tcBorders>
          </w:tcPr>
          <w:p w14:paraId="530D0FDA" w14:textId="77777777" w:rsidR="00F66139" w:rsidRPr="0097347E" w:rsidRDefault="00F66139" w:rsidP="00F66139"/>
        </w:tc>
        <w:tc>
          <w:tcPr>
            <w:tcW w:w="9072" w:type="dxa"/>
            <w:gridSpan w:val="3"/>
            <w:tcBorders>
              <w:bottom w:val="single" w:sz="4" w:space="0" w:color="auto"/>
            </w:tcBorders>
            <w:shd w:val="clear" w:color="auto" w:fill="auto"/>
          </w:tcPr>
          <w:p w14:paraId="2B60F5F2" w14:textId="77777777" w:rsidR="00F66139" w:rsidRPr="00733612" w:rsidRDefault="00F66139" w:rsidP="00F66139">
            <w:pPr>
              <w:jc w:val="both"/>
              <w:rPr>
                <w:iCs/>
              </w:rPr>
            </w:pPr>
            <w:r w:rsidRPr="00733612">
              <w:rPr>
                <w:iCs/>
              </w:rPr>
              <w:t>Primjena ovog Zakona nije rezultirala učincima na zaštitu ljudskih prava.</w:t>
            </w:r>
          </w:p>
          <w:p w14:paraId="37260FF1" w14:textId="2D9AEC1E" w:rsidR="00D43403" w:rsidRPr="00733612" w:rsidRDefault="00D43403" w:rsidP="00F66139">
            <w:pPr>
              <w:jc w:val="both"/>
              <w:rPr>
                <w:iCs/>
              </w:rPr>
            </w:pPr>
          </w:p>
        </w:tc>
      </w:tr>
      <w:tr w:rsidR="00F66139" w:rsidRPr="00C948DE" w14:paraId="01AFFA02" w14:textId="77777777" w:rsidTr="00C948DE">
        <w:tc>
          <w:tcPr>
            <w:tcW w:w="851" w:type="dxa"/>
            <w:tcBorders>
              <w:top w:val="single" w:sz="4" w:space="0" w:color="auto"/>
              <w:left w:val="nil"/>
              <w:bottom w:val="single" w:sz="4" w:space="0" w:color="auto"/>
              <w:right w:val="nil"/>
            </w:tcBorders>
          </w:tcPr>
          <w:p w14:paraId="53AA5C5C" w14:textId="77777777" w:rsidR="00F66139" w:rsidRPr="00C948DE" w:rsidRDefault="00F66139" w:rsidP="00C948DE">
            <w:pPr>
              <w:pStyle w:val="Naslov1"/>
            </w:pPr>
            <w:r w:rsidRPr="00C948DE">
              <w:t>4.</w:t>
            </w:r>
          </w:p>
        </w:tc>
        <w:tc>
          <w:tcPr>
            <w:tcW w:w="9072" w:type="dxa"/>
            <w:gridSpan w:val="3"/>
            <w:tcBorders>
              <w:top w:val="single" w:sz="4" w:space="0" w:color="auto"/>
              <w:left w:val="nil"/>
              <w:bottom w:val="single" w:sz="4" w:space="0" w:color="auto"/>
              <w:right w:val="nil"/>
            </w:tcBorders>
          </w:tcPr>
          <w:p w14:paraId="49A608E4" w14:textId="77777777" w:rsidR="00F66139" w:rsidRPr="00C948DE" w:rsidRDefault="00F66139" w:rsidP="00C948DE">
            <w:pPr>
              <w:pStyle w:val="Naslov1"/>
            </w:pPr>
            <w:r w:rsidRPr="00C948DE">
              <w:t>SAVJETOVANJE I KONZULTACIJE</w:t>
            </w:r>
          </w:p>
        </w:tc>
      </w:tr>
      <w:tr w:rsidR="00F66139" w:rsidRPr="0097347E" w14:paraId="2F834E09" w14:textId="77777777" w:rsidTr="00C948DE">
        <w:trPr>
          <w:trHeight w:val="465"/>
        </w:trPr>
        <w:tc>
          <w:tcPr>
            <w:tcW w:w="851" w:type="dxa"/>
            <w:tcBorders>
              <w:top w:val="single" w:sz="4" w:space="0" w:color="auto"/>
              <w:bottom w:val="single" w:sz="4" w:space="0" w:color="auto"/>
            </w:tcBorders>
          </w:tcPr>
          <w:p w14:paraId="5716D6C6" w14:textId="77777777" w:rsidR="00F66139" w:rsidRPr="0097347E" w:rsidRDefault="00F66139" w:rsidP="00F66139"/>
        </w:tc>
        <w:tc>
          <w:tcPr>
            <w:tcW w:w="9072" w:type="dxa"/>
            <w:gridSpan w:val="3"/>
            <w:tcBorders>
              <w:top w:val="single" w:sz="4" w:space="0" w:color="auto"/>
              <w:bottom w:val="single" w:sz="4" w:space="0" w:color="auto"/>
            </w:tcBorders>
            <w:shd w:val="clear" w:color="auto" w:fill="auto"/>
          </w:tcPr>
          <w:p w14:paraId="223A3EAE" w14:textId="2EA7C991" w:rsidR="00F66139" w:rsidRPr="0097347E" w:rsidRDefault="00F66139" w:rsidP="00F66139">
            <w:pPr>
              <w:jc w:val="both"/>
              <w:rPr>
                <w:szCs w:val="24"/>
              </w:rPr>
            </w:pPr>
          </w:p>
        </w:tc>
      </w:tr>
      <w:tr w:rsidR="00F66139" w:rsidRPr="0097347E" w14:paraId="0814DEB1" w14:textId="77777777" w:rsidTr="00C948DE">
        <w:tc>
          <w:tcPr>
            <w:tcW w:w="851" w:type="dxa"/>
            <w:tcBorders>
              <w:top w:val="single" w:sz="4" w:space="0" w:color="auto"/>
              <w:left w:val="nil"/>
              <w:bottom w:val="single" w:sz="4" w:space="0" w:color="auto"/>
              <w:right w:val="nil"/>
            </w:tcBorders>
          </w:tcPr>
          <w:p w14:paraId="5B558B48" w14:textId="77777777" w:rsidR="00F66139" w:rsidRPr="00C948DE" w:rsidRDefault="00F66139" w:rsidP="00C948DE">
            <w:pPr>
              <w:pStyle w:val="Naslov1"/>
            </w:pPr>
            <w:r w:rsidRPr="00C948DE">
              <w:t>5.</w:t>
            </w:r>
          </w:p>
        </w:tc>
        <w:tc>
          <w:tcPr>
            <w:tcW w:w="9072" w:type="dxa"/>
            <w:gridSpan w:val="3"/>
            <w:tcBorders>
              <w:top w:val="single" w:sz="4" w:space="0" w:color="auto"/>
              <w:left w:val="nil"/>
              <w:bottom w:val="single" w:sz="4" w:space="0" w:color="auto"/>
              <w:right w:val="nil"/>
            </w:tcBorders>
            <w:shd w:val="clear" w:color="auto" w:fill="auto"/>
          </w:tcPr>
          <w:p w14:paraId="7BCD2517" w14:textId="77777777" w:rsidR="00F66139" w:rsidRPr="00C948DE" w:rsidRDefault="00F66139" w:rsidP="00C948DE">
            <w:pPr>
              <w:pStyle w:val="Naslov1"/>
            </w:pPr>
            <w:r w:rsidRPr="00C948DE">
              <w:t>PREPORUKA O DALJNJEM POSTUPANJU</w:t>
            </w:r>
          </w:p>
        </w:tc>
      </w:tr>
      <w:tr w:rsidR="00F66139" w:rsidRPr="0097347E" w14:paraId="6C942CFB" w14:textId="77777777" w:rsidTr="00C948DE">
        <w:tc>
          <w:tcPr>
            <w:tcW w:w="851" w:type="dxa"/>
            <w:tcBorders>
              <w:top w:val="single" w:sz="4" w:space="0" w:color="auto"/>
              <w:bottom w:val="single" w:sz="4" w:space="0" w:color="auto"/>
            </w:tcBorders>
          </w:tcPr>
          <w:p w14:paraId="23AFDF2E" w14:textId="77777777" w:rsidR="00F66139" w:rsidRPr="0097347E" w:rsidRDefault="00F66139" w:rsidP="00F66139"/>
        </w:tc>
        <w:tc>
          <w:tcPr>
            <w:tcW w:w="9072" w:type="dxa"/>
            <w:gridSpan w:val="3"/>
            <w:tcBorders>
              <w:top w:val="single" w:sz="4" w:space="0" w:color="auto"/>
              <w:bottom w:val="single" w:sz="4" w:space="0" w:color="auto"/>
            </w:tcBorders>
            <w:shd w:val="clear" w:color="auto" w:fill="auto"/>
          </w:tcPr>
          <w:p w14:paraId="30084D96" w14:textId="77777777" w:rsidR="00F66139" w:rsidRDefault="00F66139" w:rsidP="00F66139">
            <w:pPr>
              <w:jc w:val="both"/>
              <w:rPr>
                <w:i/>
              </w:rPr>
            </w:pPr>
          </w:p>
          <w:p w14:paraId="554C5636" w14:textId="091CC6EE" w:rsidR="00C95418" w:rsidRPr="0097347E" w:rsidRDefault="00C95418" w:rsidP="00F66139">
            <w:pPr>
              <w:jc w:val="both"/>
              <w:rPr>
                <w:i/>
              </w:rPr>
            </w:pPr>
          </w:p>
        </w:tc>
      </w:tr>
      <w:tr w:rsidR="00F66139" w:rsidRPr="0097347E" w14:paraId="66C11A10" w14:textId="77777777" w:rsidTr="00C948DE">
        <w:tc>
          <w:tcPr>
            <w:tcW w:w="851" w:type="dxa"/>
            <w:tcBorders>
              <w:top w:val="single" w:sz="4" w:space="0" w:color="auto"/>
              <w:left w:val="nil"/>
              <w:bottom w:val="single" w:sz="4" w:space="0" w:color="auto"/>
              <w:right w:val="nil"/>
            </w:tcBorders>
          </w:tcPr>
          <w:p w14:paraId="0B8E9172" w14:textId="77777777" w:rsidR="00F66139" w:rsidRPr="00C948DE" w:rsidRDefault="00F66139" w:rsidP="00C948DE">
            <w:pPr>
              <w:pStyle w:val="Naslov1"/>
            </w:pPr>
            <w:r w:rsidRPr="00C948DE">
              <w:t xml:space="preserve">6. </w:t>
            </w:r>
          </w:p>
        </w:tc>
        <w:tc>
          <w:tcPr>
            <w:tcW w:w="9072" w:type="dxa"/>
            <w:gridSpan w:val="3"/>
            <w:tcBorders>
              <w:top w:val="single" w:sz="4" w:space="0" w:color="auto"/>
              <w:left w:val="nil"/>
              <w:bottom w:val="single" w:sz="4" w:space="0" w:color="auto"/>
              <w:right w:val="nil"/>
            </w:tcBorders>
          </w:tcPr>
          <w:p w14:paraId="776E8A6B" w14:textId="77777777" w:rsidR="00F66139" w:rsidRPr="00C948DE" w:rsidRDefault="00F66139" w:rsidP="00C948DE">
            <w:pPr>
              <w:pStyle w:val="Naslov1"/>
            </w:pPr>
            <w:r w:rsidRPr="00C948DE">
              <w:t>PRILOZI</w:t>
            </w:r>
          </w:p>
        </w:tc>
      </w:tr>
      <w:tr w:rsidR="00F66139" w:rsidRPr="0097347E" w14:paraId="3997CCF2" w14:textId="77777777" w:rsidTr="00C948DE">
        <w:tc>
          <w:tcPr>
            <w:tcW w:w="851" w:type="dxa"/>
            <w:tcBorders>
              <w:top w:val="single" w:sz="4" w:space="0" w:color="auto"/>
              <w:bottom w:val="single" w:sz="4" w:space="0" w:color="auto"/>
            </w:tcBorders>
          </w:tcPr>
          <w:p w14:paraId="1911C6EF" w14:textId="77777777" w:rsidR="00F66139" w:rsidRPr="0097347E" w:rsidRDefault="00F66139" w:rsidP="00F66139"/>
        </w:tc>
        <w:tc>
          <w:tcPr>
            <w:tcW w:w="9072" w:type="dxa"/>
            <w:gridSpan w:val="3"/>
            <w:tcBorders>
              <w:top w:val="single" w:sz="4" w:space="0" w:color="auto"/>
              <w:bottom w:val="single" w:sz="4" w:space="0" w:color="auto"/>
            </w:tcBorders>
            <w:shd w:val="clear" w:color="auto" w:fill="auto"/>
          </w:tcPr>
          <w:p w14:paraId="728C3D69" w14:textId="77777777" w:rsidR="00F66139" w:rsidRDefault="00F66139" w:rsidP="00F66139">
            <w:pPr>
              <w:jc w:val="both"/>
              <w:rPr>
                <w:i/>
              </w:rPr>
            </w:pPr>
          </w:p>
          <w:p w14:paraId="5A09809C" w14:textId="7440BC7F" w:rsidR="00C95418" w:rsidRPr="0097347E" w:rsidRDefault="00C95418" w:rsidP="00F66139">
            <w:pPr>
              <w:jc w:val="both"/>
              <w:rPr>
                <w:i/>
              </w:rPr>
            </w:pPr>
          </w:p>
        </w:tc>
      </w:tr>
      <w:tr w:rsidR="00F66139" w:rsidRPr="00C948DE" w14:paraId="09284A0B" w14:textId="77777777" w:rsidTr="00154B52">
        <w:tc>
          <w:tcPr>
            <w:tcW w:w="851" w:type="dxa"/>
            <w:tcBorders>
              <w:top w:val="single" w:sz="4" w:space="0" w:color="auto"/>
              <w:left w:val="nil"/>
              <w:bottom w:val="single" w:sz="4" w:space="0" w:color="auto"/>
              <w:right w:val="nil"/>
            </w:tcBorders>
          </w:tcPr>
          <w:p w14:paraId="0F9E2573" w14:textId="77777777" w:rsidR="00F66139" w:rsidRPr="00C948DE" w:rsidRDefault="00F66139" w:rsidP="00C948DE">
            <w:pPr>
              <w:pStyle w:val="Naslov1"/>
            </w:pPr>
            <w:r w:rsidRPr="00C948DE">
              <w:t xml:space="preserve">7. </w:t>
            </w:r>
          </w:p>
        </w:tc>
        <w:tc>
          <w:tcPr>
            <w:tcW w:w="9072" w:type="dxa"/>
            <w:gridSpan w:val="3"/>
            <w:tcBorders>
              <w:top w:val="single" w:sz="4" w:space="0" w:color="auto"/>
              <w:left w:val="nil"/>
              <w:bottom w:val="single" w:sz="4" w:space="0" w:color="auto"/>
              <w:right w:val="nil"/>
            </w:tcBorders>
          </w:tcPr>
          <w:p w14:paraId="410F75D5" w14:textId="77777777" w:rsidR="00F66139" w:rsidRPr="00C948DE" w:rsidRDefault="00F66139" w:rsidP="00C948DE">
            <w:pPr>
              <w:pStyle w:val="Naslov1"/>
            </w:pPr>
            <w:r w:rsidRPr="00C948DE">
              <w:t>POTPIS ČELNIKA TIJELA</w:t>
            </w:r>
          </w:p>
        </w:tc>
      </w:tr>
      <w:tr w:rsidR="00F66139" w:rsidRPr="0097347E" w14:paraId="6A09AB97" w14:textId="77777777" w:rsidTr="00154B52">
        <w:tc>
          <w:tcPr>
            <w:tcW w:w="851" w:type="dxa"/>
            <w:tcBorders>
              <w:top w:val="single" w:sz="4" w:space="0" w:color="auto"/>
              <w:left w:val="single" w:sz="4" w:space="0" w:color="auto"/>
              <w:bottom w:val="single" w:sz="4" w:space="0" w:color="auto"/>
              <w:right w:val="single" w:sz="4" w:space="0" w:color="auto"/>
            </w:tcBorders>
          </w:tcPr>
          <w:p w14:paraId="69AD3D6B" w14:textId="77777777" w:rsidR="00F66139" w:rsidRPr="0097347E" w:rsidRDefault="00F66139" w:rsidP="00F66139"/>
        </w:tc>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232E5509" w14:textId="72FC4DBA" w:rsidR="00F66139" w:rsidRPr="00733612" w:rsidRDefault="00F66139" w:rsidP="00F66139">
            <w:pPr>
              <w:jc w:val="both"/>
              <w:rPr>
                <w:rFonts w:eastAsia="Times New Roman"/>
                <w:szCs w:val="24"/>
              </w:rPr>
            </w:pPr>
            <w:r w:rsidRPr="00571C80">
              <w:rPr>
                <w:rFonts w:eastAsia="Times New Roman"/>
                <w:szCs w:val="24"/>
              </w:rPr>
              <w:t>Potpis:</w:t>
            </w:r>
            <w:r w:rsidR="00A10152">
              <w:rPr>
                <w:rFonts w:eastAsia="Times New Roman"/>
                <w:szCs w:val="24"/>
              </w:rPr>
              <w:t xml:space="preserve"> </w:t>
            </w:r>
            <w:r w:rsidR="00A10152" w:rsidRPr="00733612">
              <w:rPr>
                <w:rFonts w:eastAsia="Times New Roman"/>
                <w:szCs w:val="24"/>
              </w:rPr>
              <w:t>dr. sc. Marko Primorac</w:t>
            </w:r>
          </w:p>
          <w:p w14:paraId="49A56B14" w14:textId="543EC3A4" w:rsidR="00F66139" w:rsidRPr="00571C80" w:rsidRDefault="00F66139" w:rsidP="00C948DE">
            <w:pPr>
              <w:jc w:val="both"/>
              <w:rPr>
                <w:szCs w:val="24"/>
              </w:rPr>
            </w:pPr>
            <w:r w:rsidRPr="00733612">
              <w:rPr>
                <w:rFonts w:eastAsia="Times New Roman"/>
                <w:szCs w:val="24"/>
              </w:rPr>
              <w:t>Datum:</w:t>
            </w:r>
            <w:r w:rsidR="00443DA3" w:rsidRPr="00733612">
              <w:rPr>
                <w:rFonts w:eastAsia="Times New Roman"/>
                <w:szCs w:val="24"/>
              </w:rPr>
              <w:t xml:space="preserve"> </w:t>
            </w:r>
            <w:r w:rsidR="00C147AB" w:rsidRPr="00733612">
              <w:rPr>
                <w:rFonts w:eastAsia="Times New Roman"/>
                <w:szCs w:val="24"/>
              </w:rPr>
              <w:t>20</w:t>
            </w:r>
            <w:r w:rsidR="00443DA3" w:rsidRPr="00733612">
              <w:rPr>
                <w:rFonts w:eastAsia="Times New Roman"/>
                <w:szCs w:val="24"/>
              </w:rPr>
              <w:t>. veljače 2023.</w:t>
            </w:r>
          </w:p>
        </w:tc>
      </w:tr>
    </w:tbl>
    <w:p w14:paraId="73FEF30A" w14:textId="77777777" w:rsidR="0061139F" w:rsidRDefault="0061139F" w:rsidP="0061139F">
      <w:pPr>
        <w:suppressAutoHyphens/>
        <w:ind w:left="5664"/>
        <w:jc w:val="both"/>
        <w:rPr>
          <w:rFonts w:cs="Arial"/>
          <w:kern w:val="1"/>
          <w:szCs w:val="20"/>
        </w:rPr>
      </w:pPr>
    </w:p>
    <w:p w14:paraId="2C527A5C" w14:textId="77777777" w:rsidR="0061139F" w:rsidRDefault="0061139F" w:rsidP="00C948DE">
      <w:pPr>
        <w:suppressAutoHyphens/>
        <w:jc w:val="both"/>
        <w:rPr>
          <w:rFonts w:cs="Arial"/>
          <w:kern w:val="1"/>
          <w:szCs w:val="20"/>
        </w:rPr>
      </w:pPr>
    </w:p>
    <w:sectPr w:rsidR="006113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E57F9"/>
    <w:multiLevelType w:val="hybridMultilevel"/>
    <w:tmpl w:val="7FC04D2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9E2704F"/>
    <w:multiLevelType w:val="hybridMultilevel"/>
    <w:tmpl w:val="E2CC5596"/>
    <w:lvl w:ilvl="0" w:tplc="2058332E">
      <w:start w:val="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A316B92"/>
    <w:multiLevelType w:val="hybridMultilevel"/>
    <w:tmpl w:val="71BCB8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032351C"/>
    <w:multiLevelType w:val="hybridMultilevel"/>
    <w:tmpl w:val="E6C002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61478181">
    <w:abstractNumId w:val="0"/>
  </w:num>
  <w:num w:numId="2" w16cid:durableId="639501804">
    <w:abstractNumId w:val="2"/>
  </w:num>
  <w:num w:numId="3" w16cid:durableId="357046041">
    <w:abstractNumId w:val="3"/>
  </w:num>
  <w:num w:numId="4" w16cid:durableId="468670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3BB"/>
    <w:rsid w:val="000134ED"/>
    <w:rsid w:val="000213BB"/>
    <w:rsid w:val="000260DB"/>
    <w:rsid w:val="0003315F"/>
    <w:rsid w:val="000357EA"/>
    <w:rsid w:val="000762C5"/>
    <w:rsid w:val="00076AF3"/>
    <w:rsid w:val="000841CF"/>
    <w:rsid w:val="000868C1"/>
    <w:rsid w:val="000A510D"/>
    <w:rsid w:val="000B507A"/>
    <w:rsid w:val="000C2A4D"/>
    <w:rsid w:val="000C2F8C"/>
    <w:rsid w:val="000D1FBD"/>
    <w:rsid w:val="00113CB3"/>
    <w:rsid w:val="0013270F"/>
    <w:rsid w:val="00134603"/>
    <w:rsid w:val="00154B52"/>
    <w:rsid w:val="0017332C"/>
    <w:rsid w:val="001856CA"/>
    <w:rsid w:val="00185FAE"/>
    <w:rsid w:val="00194508"/>
    <w:rsid w:val="001C10F0"/>
    <w:rsid w:val="001D11CB"/>
    <w:rsid w:val="001D6090"/>
    <w:rsid w:val="001F13A0"/>
    <w:rsid w:val="002201FF"/>
    <w:rsid w:val="00226A6C"/>
    <w:rsid w:val="00236B2B"/>
    <w:rsid w:val="0025222A"/>
    <w:rsid w:val="00281D26"/>
    <w:rsid w:val="002847C3"/>
    <w:rsid w:val="002A5C0C"/>
    <w:rsid w:val="002A73CA"/>
    <w:rsid w:val="002C059C"/>
    <w:rsid w:val="002D2E04"/>
    <w:rsid w:val="002E28F5"/>
    <w:rsid w:val="003106CB"/>
    <w:rsid w:val="0031464D"/>
    <w:rsid w:val="00340A43"/>
    <w:rsid w:val="00344002"/>
    <w:rsid w:val="003945C4"/>
    <w:rsid w:val="003C33D3"/>
    <w:rsid w:val="003D28ED"/>
    <w:rsid w:val="004063CE"/>
    <w:rsid w:val="004126C7"/>
    <w:rsid w:val="00420797"/>
    <w:rsid w:val="0044218C"/>
    <w:rsid w:val="00443DA3"/>
    <w:rsid w:val="00453AF1"/>
    <w:rsid w:val="0045584B"/>
    <w:rsid w:val="004A366B"/>
    <w:rsid w:val="004A713E"/>
    <w:rsid w:val="004C653F"/>
    <w:rsid w:val="004D1630"/>
    <w:rsid w:val="004E0220"/>
    <w:rsid w:val="004F2C14"/>
    <w:rsid w:val="004F3C3A"/>
    <w:rsid w:val="0050608C"/>
    <w:rsid w:val="00514D79"/>
    <w:rsid w:val="00515123"/>
    <w:rsid w:val="005215A4"/>
    <w:rsid w:val="00571C80"/>
    <w:rsid w:val="005A700F"/>
    <w:rsid w:val="006022B6"/>
    <w:rsid w:val="00606150"/>
    <w:rsid w:val="0061139F"/>
    <w:rsid w:val="0061209E"/>
    <w:rsid w:val="006333B5"/>
    <w:rsid w:val="00641C9C"/>
    <w:rsid w:val="006555D8"/>
    <w:rsid w:val="00656197"/>
    <w:rsid w:val="00672FC3"/>
    <w:rsid w:val="00683336"/>
    <w:rsid w:val="0069358F"/>
    <w:rsid w:val="006A0C75"/>
    <w:rsid w:val="006C2A49"/>
    <w:rsid w:val="006C5E1C"/>
    <w:rsid w:val="006D4D07"/>
    <w:rsid w:val="006E3A24"/>
    <w:rsid w:val="006F6401"/>
    <w:rsid w:val="007028A6"/>
    <w:rsid w:val="0072375B"/>
    <w:rsid w:val="00733612"/>
    <w:rsid w:val="00753920"/>
    <w:rsid w:val="00755ED3"/>
    <w:rsid w:val="00762CD5"/>
    <w:rsid w:val="00776FBE"/>
    <w:rsid w:val="00777CB2"/>
    <w:rsid w:val="00782C5E"/>
    <w:rsid w:val="007B0B24"/>
    <w:rsid w:val="007E46B2"/>
    <w:rsid w:val="007F77CA"/>
    <w:rsid w:val="00800599"/>
    <w:rsid w:val="00806C18"/>
    <w:rsid w:val="008145C2"/>
    <w:rsid w:val="0082250A"/>
    <w:rsid w:val="00876F1F"/>
    <w:rsid w:val="00880FF9"/>
    <w:rsid w:val="00891F8C"/>
    <w:rsid w:val="008B29CB"/>
    <w:rsid w:val="008C0420"/>
    <w:rsid w:val="008E429F"/>
    <w:rsid w:val="008F31D5"/>
    <w:rsid w:val="00940B8D"/>
    <w:rsid w:val="00983E03"/>
    <w:rsid w:val="009850F3"/>
    <w:rsid w:val="00987407"/>
    <w:rsid w:val="009926F2"/>
    <w:rsid w:val="00A01B47"/>
    <w:rsid w:val="00A0267F"/>
    <w:rsid w:val="00A10152"/>
    <w:rsid w:val="00A14B6A"/>
    <w:rsid w:val="00A43EB8"/>
    <w:rsid w:val="00A45636"/>
    <w:rsid w:val="00A70780"/>
    <w:rsid w:val="00A84075"/>
    <w:rsid w:val="00A8703E"/>
    <w:rsid w:val="00AA2FA9"/>
    <w:rsid w:val="00AE1934"/>
    <w:rsid w:val="00B1351B"/>
    <w:rsid w:val="00B22B85"/>
    <w:rsid w:val="00B30570"/>
    <w:rsid w:val="00B739BC"/>
    <w:rsid w:val="00B8161C"/>
    <w:rsid w:val="00BB3B96"/>
    <w:rsid w:val="00BD49BA"/>
    <w:rsid w:val="00BD53DF"/>
    <w:rsid w:val="00BF2E30"/>
    <w:rsid w:val="00C127CD"/>
    <w:rsid w:val="00C147AB"/>
    <w:rsid w:val="00C32197"/>
    <w:rsid w:val="00C421FE"/>
    <w:rsid w:val="00C50D07"/>
    <w:rsid w:val="00C52D46"/>
    <w:rsid w:val="00C83513"/>
    <w:rsid w:val="00C948DE"/>
    <w:rsid w:val="00C95418"/>
    <w:rsid w:val="00CA0BB5"/>
    <w:rsid w:val="00CA7642"/>
    <w:rsid w:val="00CD09C5"/>
    <w:rsid w:val="00D36535"/>
    <w:rsid w:val="00D43403"/>
    <w:rsid w:val="00D525D8"/>
    <w:rsid w:val="00D60531"/>
    <w:rsid w:val="00D709A7"/>
    <w:rsid w:val="00D731BE"/>
    <w:rsid w:val="00D76DAB"/>
    <w:rsid w:val="00D85A2D"/>
    <w:rsid w:val="00D86510"/>
    <w:rsid w:val="00D90363"/>
    <w:rsid w:val="00D91EF6"/>
    <w:rsid w:val="00DB002D"/>
    <w:rsid w:val="00DC0CE3"/>
    <w:rsid w:val="00DF1187"/>
    <w:rsid w:val="00DF7FCB"/>
    <w:rsid w:val="00E058CE"/>
    <w:rsid w:val="00E10013"/>
    <w:rsid w:val="00E16BA7"/>
    <w:rsid w:val="00E41DDE"/>
    <w:rsid w:val="00E471BC"/>
    <w:rsid w:val="00E810F2"/>
    <w:rsid w:val="00E915F0"/>
    <w:rsid w:val="00EB1D01"/>
    <w:rsid w:val="00EE1E4F"/>
    <w:rsid w:val="00EF437D"/>
    <w:rsid w:val="00F050D5"/>
    <w:rsid w:val="00F10E39"/>
    <w:rsid w:val="00F152EA"/>
    <w:rsid w:val="00F37C34"/>
    <w:rsid w:val="00F37DFA"/>
    <w:rsid w:val="00F441F4"/>
    <w:rsid w:val="00F66139"/>
    <w:rsid w:val="00F76A12"/>
    <w:rsid w:val="00F84936"/>
    <w:rsid w:val="00F86313"/>
    <w:rsid w:val="00FA1557"/>
    <w:rsid w:val="00FA253B"/>
    <w:rsid w:val="00FC15DE"/>
    <w:rsid w:val="00FC1D3D"/>
    <w:rsid w:val="00FC2F97"/>
    <w:rsid w:val="00FE0358"/>
    <w:rsid w:val="00FE6F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B9A44"/>
  <w15:docId w15:val="{F813EF34-780D-486B-8244-E8AF99C25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18C"/>
    <w:pPr>
      <w:spacing w:after="0" w:line="240" w:lineRule="auto"/>
    </w:pPr>
    <w:rPr>
      <w:rFonts w:ascii="Times New Roman" w:eastAsia="Calibri" w:hAnsi="Times New Roman" w:cs="Times New Roman"/>
      <w:sz w:val="24"/>
      <w:lang w:eastAsia="hr-HR"/>
    </w:rPr>
  </w:style>
  <w:style w:type="paragraph" w:styleId="Naslov1">
    <w:name w:val="heading 1"/>
    <w:basedOn w:val="Normal"/>
    <w:next w:val="Normal"/>
    <w:link w:val="Naslov1Char"/>
    <w:uiPriority w:val="9"/>
    <w:qFormat/>
    <w:rsid w:val="00E471B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021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6C2A49"/>
    <w:pPr>
      <w:ind w:left="720"/>
      <w:contextualSpacing/>
    </w:pPr>
  </w:style>
  <w:style w:type="paragraph" w:styleId="Naslov">
    <w:name w:val="Title"/>
    <w:basedOn w:val="Normal"/>
    <w:next w:val="Normal"/>
    <w:link w:val="NaslovChar"/>
    <w:uiPriority w:val="10"/>
    <w:qFormat/>
    <w:rsid w:val="00E471BC"/>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471BC"/>
    <w:rPr>
      <w:rFonts w:asciiTheme="majorHAnsi" w:eastAsiaTheme="majorEastAsia" w:hAnsiTheme="majorHAnsi" w:cstheme="majorBidi"/>
      <w:spacing w:val="-10"/>
      <w:kern w:val="28"/>
      <w:sz w:val="56"/>
      <w:szCs w:val="56"/>
      <w:lang w:eastAsia="hr-HR"/>
    </w:rPr>
  </w:style>
  <w:style w:type="character" w:customStyle="1" w:styleId="Naslov1Char">
    <w:name w:val="Naslov 1 Char"/>
    <w:basedOn w:val="Zadanifontodlomka"/>
    <w:link w:val="Naslov1"/>
    <w:uiPriority w:val="9"/>
    <w:rsid w:val="00E471BC"/>
    <w:rPr>
      <w:rFonts w:asciiTheme="majorHAnsi" w:eastAsiaTheme="majorEastAsia" w:hAnsiTheme="majorHAnsi" w:cstheme="majorBidi"/>
      <w:color w:val="365F91" w:themeColor="accent1" w:themeShade="BF"/>
      <w:sz w:val="32"/>
      <w:szCs w:val="3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2576</Words>
  <Characters>14685</Characters>
  <Application>Microsoft Office Word</Application>
  <DocSecurity>0</DocSecurity>
  <Lines>122</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VRH</Company>
  <LinksUpToDate>false</LinksUpToDate>
  <CharactersWithSpaces>17227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dc:creator>
  <cp:lastModifiedBy>Monika Prekrat</cp:lastModifiedBy>
  <cp:revision>3</cp:revision>
  <cp:lastPrinted>2023-02-20T07:52:00Z</cp:lastPrinted>
  <dcterms:created xsi:type="dcterms:W3CDTF">2023-03-13T14:11:00Z</dcterms:created>
  <dcterms:modified xsi:type="dcterms:W3CDTF">2023-03-13T14:12:00Z</dcterms:modified>
</cp:coreProperties>
</file>