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864"/>
      </w:tblGrid>
      <w:tr w:rsidR="00327B4D" w14:paraId="3B8DEFC3" w14:textId="77777777" w:rsidTr="00AF0D93">
        <w:trPr>
          <w:trHeight w:val="952"/>
          <w:jc w:val="center"/>
        </w:trPr>
        <w:tc>
          <w:tcPr>
            <w:tcW w:w="4864" w:type="dxa"/>
          </w:tcPr>
          <w:p w14:paraId="3B8DEFBF" w14:textId="6B6C91FD" w:rsidR="00A607BE" w:rsidRDefault="00022E97" w:rsidP="00235895">
            <w:pPr>
              <w:rPr>
                <w:rFonts w:ascii="Calibri" w:hAnsi="Calibri" w:cs="Calibri"/>
                <w:color w:val="000000"/>
                <w:sz w:val="32"/>
                <w:szCs w:val="32"/>
              </w:rPr>
            </w:pPr>
            <w:r>
              <w:rPr>
                <w:noProof/>
              </w:rPr>
              <w:drawing>
                <wp:anchor distT="0" distB="0" distL="114300" distR="114300" simplePos="0" relativeHeight="251658240" behindDoc="0" locked="0" layoutInCell="1" allowOverlap="1" wp14:anchorId="3B8DEFEA" wp14:editId="484F98BE">
                  <wp:simplePos x="0" y="0"/>
                  <wp:positionH relativeFrom="column">
                    <wp:posOffset>252719</wp:posOffset>
                  </wp:positionH>
                  <wp:positionV relativeFrom="paragraph">
                    <wp:posOffset>270194</wp:posOffset>
                  </wp:positionV>
                  <wp:extent cx="2767965" cy="1361440"/>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67965" cy="1361440"/>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4864" w:type="dxa"/>
            <w:vAlign w:val="center"/>
          </w:tcPr>
          <w:p w14:paraId="3B8DEFC1" w14:textId="535E804B" w:rsidR="00A607BE" w:rsidRDefault="00A607BE" w:rsidP="00235895">
            <w:pPr>
              <w:jc w:val="center"/>
              <w:rPr>
                <w:color w:val="000000"/>
              </w:rPr>
            </w:pPr>
          </w:p>
          <w:p w14:paraId="3B8DEFC2" w14:textId="5B8D3C22" w:rsidR="00A607BE" w:rsidRPr="00235895" w:rsidRDefault="00A607BE" w:rsidP="00235895">
            <w:pPr>
              <w:jc w:val="center"/>
              <w:rPr>
                <w:color w:val="000000"/>
              </w:rPr>
            </w:pPr>
          </w:p>
        </w:tc>
      </w:tr>
      <w:tr w:rsidR="00327B4D" w14:paraId="3B8DEFC8" w14:textId="77777777" w:rsidTr="00AF0D93">
        <w:trPr>
          <w:trHeight w:val="366"/>
          <w:jc w:val="center"/>
        </w:trPr>
        <w:tc>
          <w:tcPr>
            <w:tcW w:w="4864" w:type="dxa"/>
          </w:tcPr>
          <w:p w14:paraId="3B8DEFC6" w14:textId="02A1F4CC" w:rsidR="00A607BE" w:rsidRPr="00235895" w:rsidRDefault="00A607BE" w:rsidP="00AF0D93">
            <w:pPr>
              <w:rPr>
                <w:color w:val="000000"/>
              </w:rPr>
            </w:pPr>
          </w:p>
        </w:tc>
        <w:tc>
          <w:tcPr>
            <w:tcW w:w="4864" w:type="dxa"/>
          </w:tcPr>
          <w:p w14:paraId="3B8DEFC7" w14:textId="77777777" w:rsidR="00A607BE" w:rsidRDefault="00A607BE" w:rsidP="00235895">
            <w:pPr>
              <w:rPr>
                <w:rFonts w:ascii="Calibri" w:hAnsi="Calibri" w:cs="Calibri"/>
                <w:color w:val="000000"/>
                <w:sz w:val="32"/>
                <w:szCs w:val="32"/>
              </w:rPr>
            </w:pPr>
          </w:p>
        </w:tc>
      </w:tr>
    </w:tbl>
    <w:p w14:paraId="73BFD63B" w14:textId="77777777" w:rsidR="00A607BE" w:rsidRPr="00B27F01" w:rsidRDefault="00A607BE" w:rsidP="00B27F01">
      <w:pPr>
        <w:pStyle w:val="Heading1"/>
        <w:jc w:val="center"/>
        <w:rPr>
          <w:rFonts w:ascii="Times New Roman" w:hAnsi="Times New Roman" w:cs="Times New Roman"/>
          <w:color w:val="auto"/>
        </w:rPr>
      </w:pPr>
      <w:r w:rsidRPr="00B27F01">
        <w:rPr>
          <w:rFonts w:ascii="Times New Roman" w:hAnsi="Times New Roman" w:cs="Times New Roman"/>
          <w:color w:val="auto"/>
        </w:rPr>
        <w:t>PROGRAM DODJELE POTPORA MALE VRIJEDNOSTI OTOČNIM POSLODAVCIMA ZA POKRETANJE GOSPODARSKIH AKTIVNOSTI I OČUVANJE RADNIH MJESTA</w:t>
      </w:r>
    </w:p>
    <w:p w14:paraId="5349B2C1" w14:textId="77777777" w:rsidR="00B27F01" w:rsidRDefault="00B27F01" w:rsidP="00A607BE">
      <w:pPr>
        <w:spacing w:after="120"/>
        <w:jc w:val="both"/>
        <w:rPr>
          <w:bCs/>
        </w:rPr>
      </w:pPr>
    </w:p>
    <w:p w14:paraId="5C0E865F" w14:textId="673CCBAC" w:rsidR="00A607BE" w:rsidRDefault="00A607BE" w:rsidP="00A607BE">
      <w:pPr>
        <w:spacing w:after="120"/>
        <w:jc w:val="both"/>
        <w:rPr>
          <w:bCs/>
        </w:rPr>
      </w:pPr>
      <w:r>
        <w:rPr>
          <w:bCs/>
        </w:rPr>
        <w:t xml:space="preserve">Pravni temelj za donošenje ovog Programa je članak 4. Zakona o državnim potporama („Narodne novine“, br. 47/14 i 69/17), članak 37. stavak 6. Zakona o otocima („Narodne novine“, br. 116/18, 73/20 i 70/21) i </w:t>
      </w:r>
      <w:bookmarkStart w:id="0" w:name="_Hlk154738628"/>
      <w:r w:rsidRPr="00D578E4">
        <w:rPr>
          <w:bCs/>
        </w:rPr>
        <w:t>Uredba Komisije (EU) 2023/2831 od 13. prosinca 2023. o pr</w:t>
      </w:r>
      <w:r w:rsidR="00B27F01">
        <w:rPr>
          <w:bCs/>
        </w:rPr>
        <w:t>i</w:t>
      </w:r>
      <w:r w:rsidRPr="00D578E4">
        <w:rPr>
          <w:bCs/>
        </w:rPr>
        <w:t xml:space="preserve">mjeni članaka 107. i 108. Ugovora o funkcioniranju Europske unije na de </w:t>
      </w:r>
      <w:proofErr w:type="spellStart"/>
      <w:r w:rsidRPr="00D578E4">
        <w:rPr>
          <w:bCs/>
        </w:rPr>
        <w:t>minimis</w:t>
      </w:r>
      <w:proofErr w:type="spellEnd"/>
      <w:r w:rsidRPr="00D578E4">
        <w:rPr>
          <w:bCs/>
        </w:rPr>
        <w:t xml:space="preserve"> potpore</w:t>
      </w:r>
      <w:bookmarkEnd w:id="0"/>
      <w:r w:rsidRPr="00D578E4">
        <w:rPr>
          <w:bCs/>
        </w:rPr>
        <w:t xml:space="preserve"> </w:t>
      </w:r>
      <w:r w:rsidR="000746E0" w:rsidRPr="000746E0">
        <w:rPr>
          <w:bCs/>
        </w:rPr>
        <w:t>(Službeni list Europske unije, L 2023/2831, 15.12.2023.)</w:t>
      </w:r>
      <w:r w:rsidR="000746E0">
        <w:rPr>
          <w:bCs/>
        </w:rPr>
        <w:t>.</w:t>
      </w:r>
    </w:p>
    <w:p w14:paraId="545C7519" w14:textId="77777777" w:rsidR="00A607BE" w:rsidRDefault="00A607BE" w:rsidP="00A607BE">
      <w:pPr>
        <w:jc w:val="center"/>
        <w:rPr>
          <w:b/>
        </w:rPr>
      </w:pPr>
    </w:p>
    <w:p w14:paraId="7A05113A" w14:textId="77777777"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Članak 1.</w:t>
      </w:r>
    </w:p>
    <w:p w14:paraId="2F72D369" w14:textId="77777777" w:rsidR="00A607BE" w:rsidRPr="00805E2C" w:rsidRDefault="00A607BE" w:rsidP="00A607BE">
      <w:pPr>
        <w:pStyle w:val="Heading3"/>
        <w:jc w:val="center"/>
        <w:rPr>
          <w:rFonts w:ascii="Times New Roman" w:hAnsi="Times New Roman" w:cs="Times New Roman"/>
          <w:b/>
          <w:bCs/>
          <w:i/>
          <w:iCs/>
          <w:color w:val="auto"/>
        </w:rPr>
      </w:pPr>
      <w:r w:rsidRPr="00805E2C">
        <w:rPr>
          <w:rFonts w:ascii="Times New Roman" w:hAnsi="Times New Roman" w:cs="Times New Roman"/>
          <w:b/>
          <w:bCs/>
          <w:i/>
          <w:iCs/>
          <w:color w:val="auto"/>
        </w:rPr>
        <w:t>Opće odredbe</w:t>
      </w:r>
    </w:p>
    <w:p w14:paraId="63252800" w14:textId="77777777" w:rsidR="00A607BE" w:rsidRDefault="00A607BE" w:rsidP="00A607BE">
      <w:pPr>
        <w:jc w:val="center"/>
      </w:pPr>
    </w:p>
    <w:p w14:paraId="237C856F" w14:textId="77777777" w:rsidR="00A607BE" w:rsidRDefault="00A607BE" w:rsidP="00A607BE">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Programom dodjele potpora male vrijednosti otočnim poslodavcima za pokretanje gospodarskih aktivnosti i očuvanje radnih mjesta određuju se ciljevi i svrha programa, definiraju se pojmovi, korisnici potpora, uvjeti ostvarivanja prava na potpore, područje primjene, trajanje programa, iznos potpore, instrument dodjele, mogućnost zbrajanja potpora, prihvatljivi korisnici potpora, visina potpora i način ostvarivanja prava na potpore male vrijednosti otočnim poslodavcima za pokretanje gospodarskih aktivnosti i očuvanje radnih mjesta. </w:t>
      </w:r>
    </w:p>
    <w:p w14:paraId="7B17A958" w14:textId="77777777" w:rsidR="00A607BE" w:rsidRDefault="00A607BE" w:rsidP="00A607BE">
      <w:pPr>
        <w:jc w:val="both"/>
      </w:pPr>
    </w:p>
    <w:p w14:paraId="55C893BF" w14:textId="77777777" w:rsidR="00A607BE" w:rsidRDefault="00A607BE" w:rsidP="00A607BE">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Program usklađen je i doprinosi ostvarivanju prioriteta javnih politika sukladno Zakonu o otocima (Narodne novine“, br. 116/18, 73/20 i 70/21, u daljnjem tekstu: Zakon) i ostalim pozitivnim propisima Republike Hrvatske.</w:t>
      </w:r>
    </w:p>
    <w:p w14:paraId="0AD8ED1E" w14:textId="77777777" w:rsidR="00A607BE" w:rsidRDefault="00A607BE" w:rsidP="00A607BE">
      <w:pPr>
        <w:pStyle w:val="ListParagraph"/>
        <w:spacing w:after="0" w:line="240" w:lineRule="auto"/>
        <w:ind w:left="360"/>
        <w:jc w:val="both"/>
        <w:rPr>
          <w:rFonts w:ascii="Times New Roman" w:eastAsia="Times New Roman" w:hAnsi="Times New Roman" w:cs="Times New Roman"/>
          <w:sz w:val="24"/>
          <w:szCs w:val="24"/>
          <w:lang w:eastAsia="hr-HR"/>
        </w:rPr>
      </w:pPr>
    </w:p>
    <w:p w14:paraId="3F0D4C80" w14:textId="247D0622" w:rsidR="00A607BE" w:rsidRPr="00D578E4" w:rsidRDefault="00A607BE" w:rsidP="00A607BE">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sidRPr="00D578E4">
        <w:rPr>
          <w:rFonts w:ascii="Times New Roman" w:eastAsia="Times New Roman" w:hAnsi="Times New Roman" w:cs="Times New Roman"/>
          <w:sz w:val="24"/>
          <w:szCs w:val="24"/>
          <w:lang w:eastAsia="hr-HR"/>
        </w:rPr>
        <w:t xml:space="preserve">Ovaj Program predstavlja akt na temelju kojeg će se dodjeljivati potpore male vrijednosti u smislu članka 3. Uredbe Komisije (EU) broj 2023/2831 od 13. prosinca 2023. godine o primjeni članka 107. i 108. Ugovora o funkcioniranju Europske unije na </w:t>
      </w:r>
      <w:r w:rsidRPr="00D578E4">
        <w:rPr>
          <w:rFonts w:ascii="Times New Roman" w:eastAsia="Times New Roman" w:hAnsi="Times New Roman" w:cs="Times New Roman"/>
          <w:i/>
          <w:iCs/>
          <w:sz w:val="24"/>
          <w:szCs w:val="24"/>
          <w:lang w:eastAsia="hr-HR"/>
        </w:rPr>
        <w:t xml:space="preserve">de </w:t>
      </w:r>
      <w:proofErr w:type="spellStart"/>
      <w:r w:rsidRPr="00D578E4">
        <w:rPr>
          <w:rFonts w:ascii="Times New Roman" w:eastAsia="Times New Roman" w:hAnsi="Times New Roman" w:cs="Times New Roman"/>
          <w:i/>
          <w:iCs/>
          <w:sz w:val="24"/>
          <w:szCs w:val="24"/>
          <w:lang w:eastAsia="hr-HR"/>
        </w:rPr>
        <w:t>minimis</w:t>
      </w:r>
      <w:proofErr w:type="spellEnd"/>
      <w:r w:rsidRPr="00D578E4">
        <w:rPr>
          <w:rFonts w:ascii="Times New Roman" w:eastAsia="Times New Roman" w:hAnsi="Times New Roman" w:cs="Times New Roman"/>
          <w:sz w:val="24"/>
          <w:szCs w:val="24"/>
          <w:lang w:eastAsia="hr-HR"/>
        </w:rPr>
        <w:t xml:space="preserve"> potpore </w:t>
      </w:r>
      <w:r w:rsidR="000746E0" w:rsidRPr="000746E0">
        <w:rPr>
          <w:rFonts w:ascii="Times New Roman" w:eastAsia="Times New Roman" w:hAnsi="Times New Roman" w:cs="Times New Roman"/>
          <w:sz w:val="24"/>
          <w:szCs w:val="24"/>
          <w:lang w:eastAsia="hr-HR"/>
        </w:rPr>
        <w:t xml:space="preserve">(Službeni list Europske unije, L 2023/2831, 15.12.2023.) </w:t>
      </w:r>
      <w:r w:rsidRPr="00D578E4">
        <w:rPr>
          <w:rFonts w:ascii="Times New Roman" w:eastAsia="Times New Roman" w:hAnsi="Times New Roman" w:cs="Times New Roman"/>
          <w:sz w:val="24"/>
          <w:szCs w:val="24"/>
          <w:lang w:eastAsia="hr-HR"/>
        </w:rPr>
        <w:t xml:space="preserve">(u daljnjem tekstu: Uredba). </w:t>
      </w:r>
    </w:p>
    <w:p w14:paraId="7C3C919B" w14:textId="77777777" w:rsidR="00A607BE" w:rsidRDefault="00A607BE" w:rsidP="00A607BE">
      <w:pPr>
        <w:pStyle w:val="ListParagraph"/>
        <w:spacing w:after="0" w:line="240" w:lineRule="auto"/>
        <w:ind w:left="360"/>
        <w:jc w:val="both"/>
        <w:rPr>
          <w:rFonts w:ascii="Times New Roman" w:eastAsia="Times New Roman" w:hAnsi="Times New Roman" w:cs="Times New Roman"/>
          <w:sz w:val="24"/>
          <w:szCs w:val="24"/>
          <w:lang w:eastAsia="hr-HR"/>
        </w:rPr>
      </w:pPr>
    </w:p>
    <w:p w14:paraId="3AAACF9C" w14:textId="6B8C8D6F" w:rsidR="00A607BE" w:rsidRDefault="00A607BE" w:rsidP="00A607BE">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Potpore male vrijednosti iz ovog Programa bespovratna su sredstva i smatraju se transparentnim potporama u smislu članka 4. stavak 2</w:t>
      </w:r>
      <w:r w:rsidR="000746E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Uredbe.</w:t>
      </w:r>
    </w:p>
    <w:p w14:paraId="1637FE00" w14:textId="77777777" w:rsidR="00A607BE" w:rsidRPr="00263CCA" w:rsidRDefault="00A607BE" w:rsidP="00263CCA">
      <w:pPr>
        <w:jc w:val="both"/>
      </w:pPr>
    </w:p>
    <w:p w14:paraId="7D180CA8" w14:textId="1AE349F6" w:rsidR="00A607BE" w:rsidRDefault="00A607BE" w:rsidP="00A607BE">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Davatelj potpora male vrijednosti u smislu ovog Programa je Ministarstvo regionalnog razvoja i fondova Europske unije (u daljnjem tekstu: Ministarstvo) koje dodjelj</w:t>
      </w:r>
      <w:r w:rsidR="00187C3D">
        <w:rPr>
          <w:rFonts w:ascii="Times New Roman" w:eastAsia="Times New Roman" w:hAnsi="Times New Roman" w:cs="Times New Roman"/>
          <w:sz w:val="24"/>
          <w:szCs w:val="24"/>
          <w:lang w:eastAsia="hr-HR"/>
        </w:rPr>
        <w:t>uje</w:t>
      </w:r>
      <w:r>
        <w:rPr>
          <w:rFonts w:ascii="Times New Roman" w:eastAsia="Times New Roman" w:hAnsi="Times New Roman" w:cs="Times New Roman"/>
          <w:sz w:val="24"/>
          <w:szCs w:val="24"/>
          <w:lang w:eastAsia="hr-HR"/>
        </w:rPr>
        <w:t xml:space="preserve"> potpore male vrijednosti u obliku bespovratnih sredstava putem Javnog poziva za dodjelu potpora male vrijednosti otočnim poslodavcima za pokretanje gospodarskih aktivnosti i očuvanje radnih mjesta (u daljnjem tekstu: Javni poziv).</w:t>
      </w:r>
    </w:p>
    <w:p w14:paraId="1EAA7963" w14:textId="77777777" w:rsidR="00A607BE" w:rsidRDefault="00A607BE" w:rsidP="00A607BE">
      <w:pPr>
        <w:pStyle w:val="ListParagraph"/>
        <w:spacing w:after="0" w:line="240" w:lineRule="auto"/>
        <w:ind w:left="360"/>
        <w:jc w:val="both"/>
        <w:rPr>
          <w:rFonts w:ascii="Times New Roman" w:eastAsia="Times New Roman" w:hAnsi="Times New Roman" w:cs="Times New Roman"/>
          <w:sz w:val="24"/>
          <w:szCs w:val="24"/>
          <w:lang w:eastAsia="hr-HR"/>
        </w:rPr>
      </w:pPr>
    </w:p>
    <w:p w14:paraId="0CFF9FDD" w14:textId="77777777"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Članak 2.</w:t>
      </w:r>
    </w:p>
    <w:p w14:paraId="45A48D0B"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Ciljevi i svrha programa</w:t>
      </w:r>
    </w:p>
    <w:p w14:paraId="54C3BBD5" w14:textId="77777777" w:rsidR="00A607BE" w:rsidRDefault="00A607BE" w:rsidP="00A607BE">
      <w:pPr>
        <w:jc w:val="center"/>
      </w:pPr>
    </w:p>
    <w:p w14:paraId="7409B63D" w14:textId="59571A47" w:rsidR="00A607BE" w:rsidRPr="00766B1F" w:rsidRDefault="00A607BE" w:rsidP="00A607BE">
      <w:pPr>
        <w:pStyle w:val="ListParagraph"/>
        <w:numPr>
          <w:ilvl w:val="0"/>
          <w:numId w:val="2"/>
        </w:numPr>
        <w:jc w:val="both"/>
        <w:rPr>
          <w:rStyle w:val="CommentReference"/>
          <w:rFonts w:ascii="Times New Roman" w:hAnsi="Times New Roman" w:cs="Times New Roman"/>
          <w:sz w:val="24"/>
          <w:szCs w:val="24"/>
        </w:rPr>
      </w:pPr>
      <w:r w:rsidRPr="00BB45E4">
        <w:rPr>
          <w:rFonts w:ascii="Times New Roman" w:hAnsi="Times New Roman" w:cs="Times New Roman"/>
          <w:sz w:val="24"/>
          <w:szCs w:val="24"/>
        </w:rPr>
        <w:t xml:space="preserve">Na temelju ovog Programa dodjeljuju se potpore male vrijednosti za djelatnosti koje su važne za gospodarski razvoj otoka iz članka 35. Zakona, s izuzećem djelatnosti u sektoru </w:t>
      </w:r>
      <w:bookmarkStart w:id="1" w:name="_Hlk156387130"/>
      <w:r w:rsidRPr="00BB45E4">
        <w:rPr>
          <w:rFonts w:ascii="Times New Roman" w:hAnsi="Times New Roman" w:cs="Times New Roman"/>
          <w:sz w:val="24"/>
          <w:szCs w:val="24"/>
        </w:rPr>
        <w:t>primarne proizvodnje proizvoda ribarstva i akvakulture</w:t>
      </w:r>
      <w:r w:rsidR="00766B1F">
        <w:rPr>
          <w:rFonts w:ascii="Times New Roman" w:hAnsi="Times New Roman" w:cs="Times New Roman"/>
          <w:sz w:val="24"/>
          <w:szCs w:val="24"/>
        </w:rPr>
        <w:t xml:space="preserve"> </w:t>
      </w:r>
      <w:r w:rsidRPr="00BB45E4">
        <w:rPr>
          <w:rFonts w:ascii="Times New Roman" w:hAnsi="Times New Roman" w:cs="Times New Roman"/>
          <w:sz w:val="24"/>
          <w:szCs w:val="24"/>
        </w:rPr>
        <w:t>te primarne proizvodnje poljoprivrednih proizvoda</w:t>
      </w:r>
      <w:r w:rsidRPr="00BB45E4">
        <w:rPr>
          <w:rStyle w:val="CommentReference"/>
          <w:rFonts w:ascii="Times New Roman" w:eastAsia="Times New Roman" w:hAnsi="Times New Roman" w:cs="Times New Roman"/>
          <w:sz w:val="24"/>
          <w:szCs w:val="24"/>
          <w:lang w:eastAsia="hr-HR"/>
        </w:rPr>
        <w:t>.</w:t>
      </w:r>
      <w:bookmarkEnd w:id="1"/>
    </w:p>
    <w:p w14:paraId="48D0EB86" w14:textId="77777777" w:rsidR="00766B1F" w:rsidRPr="00BB45E4" w:rsidRDefault="00766B1F" w:rsidP="00766B1F">
      <w:pPr>
        <w:pStyle w:val="ListParagraph"/>
        <w:ind w:left="360"/>
        <w:jc w:val="both"/>
        <w:rPr>
          <w:rFonts w:ascii="Times New Roman" w:hAnsi="Times New Roman" w:cs="Times New Roman"/>
          <w:sz w:val="24"/>
          <w:szCs w:val="24"/>
        </w:rPr>
      </w:pPr>
    </w:p>
    <w:p w14:paraId="33A13686" w14:textId="77777777" w:rsidR="00A607BE" w:rsidRPr="00BB45E4" w:rsidRDefault="00A607BE" w:rsidP="00A607BE">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BB45E4">
        <w:rPr>
          <w:rFonts w:ascii="Times New Roman" w:eastAsia="Times New Roman" w:hAnsi="Times New Roman" w:cs="Times New Roman"/>
          <w:sz w:val="24"/>
          <w:szCs w:val="24"/>
          <w:lang w:eastAsia="hr-HR"/>
        </w:rPr>
        <w:t>Potpore iz ovog Programa dodjeljuju se otočnim poslodavcima u svrhu poticanja konkurentnosti i rasta poduzetništva na otocima za mjeru pokretanja gospodarske aktivnosti i mjeru očuvanja radnih mjesta.</w:t>
      </w:r>
    </w:p>
    <w:p w14:paraId="4AB58FF7" w14:textId="77777777" w:rsidR="00A607BE" w:rsidRDefault="00A607BE" w:rsidP="00A607BE">
      <w:pPr>
        <w:pStyle w:val="ListParagraph"/>
        <w:spacing w:after="0" w:line="240" w:lineRule="auto"/>
        <w:ind w:left="360"/>
        <w:jc w:val="center"/>
        <w:rPr>
          <w:rFonts w:ascii="Times New Roman" w:eastAsia="Times New Roman" w:hAnsi="Times New Roman" w:cs="Times New Roman"/>
          <w:sz w:val="24"/>
          <w:szCs w:val="24"/>
          <w:lang w:eastAsia="hr-HR"/>
        </w:rPr>
      </w:pPr>
    </w:p>
    <w:p w14:paraId="261C3D41" w14:textId="77777777" w:rsidR="00A607BE" w:rsidRDefault="00A607BE" w:rsidP="00A607BE">
      <w:pPr>
        <w:pStyle w:val="ListParagraph"/>
        <w:spacing w:after="0" w:line="240" w:lineRule="auto"/>
        <w:ind w:left="360"/>
        <w:jc w:val="center"/>
        <w:rPr>
          <w:rFonts w:ascii="Times New Roman" w:eastAsia="Times New Roman" w:hAnsi="Times New Roman" w:cs="Times New Roman"/>
          <w:sz w:val="24"/>
          <w:szCs w:val="24"/>
          <w:lang w:eastAsia="hr-HR"/>
        </w:rPr>
      </w:pPr>
    </w:p>
    <w:p w14:paraId="2466BDD5" w14:textId="156B047A"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Članak </w:t>
      </w:r>
      <w:r w:rsidR="00263CCA">
        <w:rPr>
          <w:rFonts w:ascii="Times New Roman" w:hAnsi="Times New Roman" w:cs="Times New Roman"/>
          <w:b/>
          <w:bCs/>
          <w:color w:val="auto"/>
          <w:sz w:val="24"/>
          <w:szCs w:val="24"/>
        </w:rPr>
        <w:t>3</w:t>
      </w:r>
      <w:r>
        <w:rPr>
          <w:rFonts w:ascii="Times New Roman" w:hAnsi="Times New Roman" w:cs="Times New Roman"/>
          <w:b/>
          <w:bCs/>
          <w:color w:val="auto"/>
          <w:sz w:val="24"/>
          <w:szCs w:val="24"/>
        </w:rPr>
        <w:t>.</w:t>
      </w:r>
    </w:p>
    <w:p w14:paraId="148D5858"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Definicije</w:t>
      </w:r>
    </w:p>
    <w:p w14:paraId="0D82D1C8" w14:textId="77777777" w:rsidR="00A607BE" w:rsidRDefault="00A607BE" w:rsidP="00A607BE">
      <w:pPr>
        <w:jc w:val="center"/>
      </w:pPr>
    </w:p>
    <w:p w14:paraId="6EB6A6C4" w14:textId="77777777" w:rsidR="00A607BE" w:rsidRDefault="00A607BE" w:rsidP="00A607BE">
      <w:pPr>
        <w:jc w:val="both"/>
      </w:pPr>
      <w:r>
        <w:t>Za potrebe ovog Programa primjenjuju se sljedeće definicije:</w:t>
      </w:r>
    </w:p>
    <w:p w14:paraId="7028A77C" w14:textId="77777777" w:rsidR="00A607BE" w:rsidRDefault="00A607BE" w:rsidP="00A607BE">
      <w:pPr>
        <w:jc w:val="both"/>
      </w:pPr>
    </w:p>
    <w:p w14:paraId="4EA7CE3E" w14:textId="0F61F0C9" w:rsidR="00A607BE" w:rsidRDefault="00A607BE" w:rsidP="00A607BE">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b/>
          <w:bCs/>
          <w:sz w:val="24"/>
          <w:szCs w:val="24"/>
          <w:lang w:eastAsia="hr-HR"/>
        </w:rPr>
        <w:t>otočni poslodavci</w:t>
      </w:r>
      <w:r>
        <w:rPr>
          <w:rFonts w:ascii="Times New Roman" w:eastAsia="Times New Roman" w:hAnsi="Times New Roman" w:cs="Times New Roman"/>
          <w:sz w:val="24"/>
          <w:szCs w:val="24"/>
          <w:lang w:eastAsia="hr-HR"/>
        </w:rPr>
        <w:t>“ - fizičke osobe</w:t>
      </w:r>
      <w:r w:rsidR="004B2FA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obrtnici i pravne osobe, koje obavljaju svoju registriranu djelatnost na otocima, neovisno o njihovom sjedištu</w:t>
      </w:r>
    </w:p>
    <w:p w14:paraId="0818E110" w14:textId="3B5F0FAF" w:rsidR="009F010B" w:rsidRPr="009F010B" w:rsidRDefault="009F010B" w:rsidP="009F010B">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b/>
          <w:bCs/>
          <w:sz w:val="24"/>
          <w:szCs w:val="24"/>
          <w:lang w:eastAsia="hr-HR"/>
        </w:rPr>
        <w:t>poduzetnik</w:t>
      </w:r>
      <w:r>
        <w:rPr>
          <w:rFonts w:ascii="Times New Roman" w:eastAsia="Times New Roman" w:hAnsi="Times New Roman" w:cs="Times New Roman"/>
          <w:sz w:val="24"/>
          <w:szCs w:val="24"/>
          <w:lang w:eastAsia="hr-HR"/>
        </w:rPr>
        <w:t xml:space="preserve">“ - svaki </w:t>
      </w:r>
      <w:r w:rsidR="008A4880">
        <w:rPr>
          <w:rFonts w:ascii="Times New Roman" w:eastAsia="Times New Roman" w:hAnsi="Times New Roman" w:cs="Times New Roman"/>
          <w:sz w:val="24"/>
          <w:szCs w:val="24"/>
          <w:lang w:eastAsia="hr-HR"/>
        </w:rPr>
        <w:t>otočni poslodavac</w:t>
      </w:r>
      <w:r>
        <w:rPr>
          <w:rFonts w:ascii="Times New Roman" w:eastAsia="Times New Roman" w:hAnsi="Times New Roman" w:cs="Times New Roman"/>
          <w:sz w:val="24"/>
          <w:szCs w:val="24"/>
          <w:lang w:eastAsia="hr-HR"/>
        </w:rPr>
        <w:t xml:space="preserve"> bilo da je riječ o fizičkoj ili pravnoj osobi, koji obavlja gospodarsku djelatnost bez obzira na njegov pravni status ili način financiranja</w:t>
      </w:r>
    </w:p>
    <w:p w14:paraId="12F2AC59" w14:textId="2081798E" w:rsidR="00A607BE" w:rsidRDefault="00A607BE" w:rsidP="00A607BE">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b/>
          <w:bCs/>
          <w:sz w:val="24"/>
          <w:szCs w:val="24"/>
          <w:lang w:eastAsia="hr-HR"/>
        </w:rPr>
        <w:t>jedan poduzetnik</w:t>
      </w:r>
      <w:r>
        <w:rPr>
          <w:rFonts w:ascii="Times New Roman" w:eastAsia="Times New Roman" w:hAnsi="Times New Roman" w:cs="Times New Roman"/>
          <w:sz w:val="24"/>
          <w:szCs w:val="24"/>
          <w:lang w:eastAsia="hr-HR"/>
        </w:rPr>
        <w:t>“ - sva poduzeća koja su barem u jednom od slijedećih odnosa jedan prema drugom:</w:t>
      </w:r>
    </w:p>
    <w:p w14:paraId="02CA88E2" w14:textId="222104AB" w:rsidR="00A607BE" w:rsidRDefault="00A607BE" w:rsidP="00A607BE">
      <w:pPr>
        <w:pStyle w:val="ListParagraph"/>
        <w:numPr>
          <w:ilvl w:val="1"/>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jedno poduzeće ima većinu glasačkih prava dioničara ili članova u drugom poduzeću;</w:t>
      </w:r>
    </w:p>
    <w:p w14:paraId="2EF20292" w14:textId="67BCE3EB" w:rsidR="00A607BE" w:rsidRDefault="00A607BE" w:rsidP="00A607BE">
      <w:pPr>
        <w:pStyle w:val="ListParagraph"/>
        <w:numPr>
          <w:ilvl w:val="1"/>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jedno poduzeće ima pravo imenovati ili smijeniti većinu članova upravnog, upravljačkog ili nadzornog tijela drugog poduzeća;</w:t>
      </w:r>
    </w:p>
    <w:p w14:paraId="155964EC" w14:textId="77777777" w:rsidR="00A607BE" w:rsidRDefault="00A607BE" w:rsidP="00A607BE">
      <w:pPr>
        <w:pStyle w:val="ListParagraph"/>
        <w:numPr>
          <w:ilvl w:val="1"/>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jedno poduzeće ima pravo ostvarivati vladajući utjecaj nad drugim poduzećem  na temelju ugovora sklopljenom s tim poduzećem ili  na temelju  odredbe njegova osnivačkog akta ili statuta;</w:t>
      </w:r>
    </w:p>
    <w:p w14:paraId="21817FF6" w14:textId="5480995E" w:rsidR="00A607BE" w:rsidRDefault="00A607BE" w:rsidP="00A607BE">
      <w:pPr>
        <w:pStyle w:val="ListParagraph"/>
        <w:numPr>
          <w:ilvl w:val="1"/>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jedno poduzeće, koje je dioničar ili član u drugom poduzeću, samo kontrolira većinu glasačkih prava dioničara ili glasačkih prava članova u tom poduzeću u dogovoru s drugim dioničarima ili članovima tog poduzeća.</w:t>
      </w:r>
    </w:p>
    <w:p w14:paraId="0016CC20" w14:textId="6696163B" w:rsidR="00A607BE" w:rsidRDefault="00A607BE" w:rsidP="00A607BE">
      <w:pPr>
        <w:ind w:left="851"/>
        <w:jc w:val="both"/>
      </w:pPr>
      <w:r>
        <w:t>Poduzeća  koja su u bilo kojem od odnosa navedenih u točkama a) do d) preko jednog ili više drugih poduzeća također se smatraju jednim poduzetnikom</w:t>
      </w:r>
    </w:p>
    <w:p w14:paraId="05A18D3E" w14:textId="406F1258" w:rsidR="00A607BE" w:rsidRDefault="00A607BE" w:rsidP="00A607BE">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b/>
          <w:bCs/>
          <w:sz w:val="24"/>
          <w:szCs w:val="24"/>
          <w:lang w:eastAsia="hr-HR"/>
        </w:rPr>
        <w:t>korisnik potpore</w:t>
      </w:r>
      <w:r>
        <w:rPr>
          <w:rFonts w:ascii="Times New Roman" w:eastAsia="Times New Roman" w:hAnsi="Times New Roman" w:cs="Times New Roman"/>
          <w:sz w:val="24"/>
          <w:szCs w:val="24"/>
          <w:lang w:eastAsia="hr-HR"/>
        </w:rPr>
        <w:t xml:space="preserve">“ </w:t>
      </w:r>
      <w:r w:rsidR="008A488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8A4880">
        <w:rPr>
          <w:rFonts w:ascii="Times New Roman" w:eastAsia="Times New Roman" w:hAnsi="Times New Roman" w:cs="Times New Roman"/>
          <w:sz w:val="24"/>
          <w:szCs w:val="24"/>
          <w:lang w:eastAsia="hr-HR"/>
        </w:rPr>
        <w:t>otočni poslodavac</w:t>
      </w:r>
      <w:r>
        <w:rPr>
          <w:rFonts w:ascii="Times New Roman" w:eastAsia="Times New Roman" w:hAnsi="Times New Roman" w:cs="Times New Roman"/>
          <w:sz w:val="24"/>
          <w:szCs w:val="24"/>
          <w:lang w:eastAsia="hr-HR"/>
        </w:rPr>
        <w:t xml:space="preserve"> koji, obavljajući gospodarsku djelatnost, sudjeluje u prometu roba i usluga, a prima potporu male vrijednosti na temelju ovog Programa, bez obzira na njen oblik i namjenu</w:t>
      </w:r>
    </w:p>
    <w:p w14:paraId="21B43E0C" w14:textId="0A8F9093" w:rsidR="00A607BE" w:rsidRDefault="00A607BE" w:rsidP="00A607BE">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„poljoprivredni proizvodi”</w:t>
      </w:r>
      <w:r>
        <w:rPr>
          <w:rFonts w:ascii="Times New Roman" w:eastAsia="Times New Roman" w:hAnsi="Times New Roman" w:cs="Times New Roman"/>
          <w:sz w:val="24"/>
          <w:szCs w:val="24"/>
          <w:lang w:eastAsia="hr-HR"/>
        </w:rPr>
        <w:t xml:space="preserve"> - proizvodi koji su navedeni u </w:t>
      </w:r>
      <w:r>
        <w:rPr>
          <w:rFonts w:ascii="Times New Roman" w:hAnsi="Times New Roman" w:cs="Times New Roman"/>
          <w:sz w:val="24"/>
          <w:szCs w:val="24"/>
        </w:rPr>
        <w:t>Prilogu I. Ugovora o funkcioniranju Europske unije</w:t>
      </w:r>
      <w:r>
        <w:rPr>
          <w:rFonts w:ascii="Times New Roman" w:eastAsia="Times New Roman" w:hAnsi="Times New Roman" w:cs="Times New Roman"/>
          <w:sz w:val="24"/>
          <w:szCs w:val="24"/>
          <w:lang w:eastAsia="hr-HR"/>
        </w:rPr>
        <w:t>, osim proizvoda ribarstva i akvakulture obuhvaćenih Uredbom (EU) br. 1379/2013 Europskog parlamenta i Vijeća (SL L  354 28.12.2013.) (Uredba br. 1379/2013)</w:t>
      </w:r>
    </w:p>
    <w:p w14:paraId="1ABD0E2C" w14:textId="588C9318" w:rsidR="00A607BE" w:rsidRDefault="00A607BE" w:rsidP="00A607BE">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„primarna poljoprivredna proizvodnja“ </w:t>
      </w:r>
      <w:r w:rsidR="00705A2C">
        <w:rPr>
          <w:rFonts w:ascii="Times New Roman" w:hAnsi="Times New Roman" w:cs="Times New Roman"/>
          <w:sz w:val="24"/>
          <w:szCs w:val="24"/>
        </w:rPr>
        <w:t xml:space="preserve">-  </w:t>
      </w:r>
      <w:r>
        <w:rPr>
          <w:rFonts w:ascii="Times New Roman" w:hAnsi="Times New Roman" w:cs="Times New Roman"/>
          <w:sz w:val="24"/>
          <w:szCs w:val="24"/>
        </w:rPr>
        <w:t xml:space="preserve">proizvodnja plodova zemlje i proizvoda stočarstva navedenih u Prilogu 1. </w:t>
      </w:r>
      <w:r w:rsidRPr="00AB3546">
        <w:rPr>
          <w:rFonts w:ascii="Times New Roman" w:hAnsi="Times New Roman" w:cs="Times New Roman"/>
          <w:sz w:val="24"/>
          <w:szCs w:val="24"/>
        </w:rPr>
        <w:t>Ugovora o funkcioniranju Europske unije</w:t>
      </w:r>
      <w:r>
        <w:rPr>
          <w:rFonts w:ascii="Times New Roman" w:hAnsi="Times New Roman" w:cs="Times New Roman"/>
          <w:sz w:val="24"/>
          <w:szCs w:val="24"/>
        </w:rPr>
        <w:t xml:space="preserve"> bez obavljanja dodatnih operacija kojima bi se promijenila priroda tih proizvoda</w:t>
      </w:r>
    </w:p>
    <w:p w14:paraId="61D57E02" w14:textId="4BCC65B7" w:rsidR="00A607BE" w:rsidRDefault="00A607BE" w:rsidP="00A607BE">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„prerada poljoprivrednih proizvoda”</w:t>
      </w:r>
      <w:r>
        <w:rPr>
          <w:rFonts w:ascii="Times New Roman" w:hAnsi="Times New Roman" w:cs="Times New Roman"/>
          <w:sz w:val="24"/>
          <w:szCs w:val="24"/>
        </w:rPr>
        <w:t xml:space="preserve"> </w:t>
      </w:r>
      <w:r w:rsidR="00705A2C">
        <w:rPr>
          <w:rFonts w:ascii="Times New Roman" w:hAnsi="Times New Roman" w:cs="Times New Roman"/>
          <w:sz w:val="24"/>
          <w:szCs w:val="24"/>
        </w:rPr>
        <w:t xml:space="preserve">- </w:t>
      </w:r>
      <w:r>
        <w:rPr>
          <w:rFonts w:ascii="Times New Roman" w:hAnsi="Times New Roman" w:cs="Times New Roman"/>
          <w:sz w:val="24"/>
          <w:szCs w:val="24"/>
        </w:rPr>
        <w:t xml:space="preserve">svaki postupak proveden na poljoprivrednom proizvodu čiji je rezultat proizvod koji je isto poljoprivredni proizvod,  osim aktivnosti </w:t>
      </w:r>
      <w:r>
        <w:rPr>
          <w:rFonts w:ascii="Times New Roman" w:hAnsi="Times New Roman" w:cs="Times New Roman"/>
          <w:sz w:val="24"/>
          <w:szCs w:val="24"/>
        </w:rPr>
        <w:lastRenderedPageBreak/>
        <w:t>na poljoprivrednim gospodarstvima koje su potrebne za pripremu životinjskog ili biljnog proizvoda za prvu prodaju</w:t>
      </w:r>
    </w:p>
    <w:p w14:paraId="564FEC44" w14:textId="7B670541" w:rsidR="00A607BE" w:rsidRDefault="00A607BE" w:rsidP="00A607BE">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„stavljanje na tržište poljoprivrednih proizvoda”</w:t>
      </w:r>
      <w:r>
        <w:rPr>
          <w:rFonts w:ascii="Times New Roman" w:hAnsi="Times New Roman" w:cs="Times New Roman"/>
          <w:sz w:val="24"/>
          <w:szCs w:val="24"/>
        </w:rPr>
        <w:t xml:space="preserve"> - držanje ili izlaganje poljoprivrednog proizvoda u cilju prodaje, ponuda na prodaju, isporuka ili bilo koji drugi način stavljanja na tržište, osim prve prodaje preprodavateljima i prerađivačima koju obavlja primarni proizvođač i svih djelatnosti povezanih s pripremom proizvoda  za takvu prvu prodaju; prodaja  krajnjim potrošačima koju obavlja primarni proizvođač smatra se stavljanjem na tržište poljoprivrednih proizvoda ako se odvija u zasebnim za to namijenjenim prostorima</w:t>
      </w:r>
    </w:p>
    <w:p w14:paraId="5327C8DD" w14:textId="7D9B35EB" w:rsidR="00A607BE" w:rsidRDefault="00A607BE" w:rsidP="00A607B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„proizvodi ribarstva i akvakulture“ </w:t>
      </w:r>
      <w:r w:rsidR="00705A2C">
        <w:rPr>
          <w:rFonts w:ascii="Times New Roman" w:hAnsi="Times New Roman" w:cs="Times New Roman"/>
          <w:sz w:val="24"/>
          <w:szCs w:val="24"/>
        </w:rPr>
        <w:t xml:space="preserve">-  </w:t>
      </w:r>
      <w:r>
        <w:rPr>
          <w:rFonts w:ascii="Times New Roman" w:hAnsi="Times New Roman" w:cs="Times New Roman"/>
          <w:sz w:val="24"/>
          <w:szCs w:val="24"/>
        </w:rPr>
        <w:t xml:space="preserve">proizvodi definirani u članku 5. točkama (a) i (b) Uredbe (EU) br. 1379/2013 </w:t>
      </w:r>
    </w:p>
    <w:p w14:paraId="3851B029" w14:textId="467065EB" w:rsidR="00A607BE" w:rsidRPr="00E95B8C" w:rsidRDefault="00A607BE" w:rsidP="00A607BE">
      <w:pPr>
        <w:pStyle w:val="ListParagraph"/>
        <w:numPr>
          <w:ilvl w:val="0"/>
          <w:numId w:val="4"/>
        </w:numPr>
        <w:spacing w:after="0" w:line="240" w:lineRule="auto"/>
        <w:jc w:val="both"/>
        <w:rPr>
          <w:rFonts w:ascii="Times New Roman" w:hAnsi="Times New Roman" w:cs="Times New Roman"/>
          <w:sz w:val="24"/>
          <w:szCs w:val="24"/>
        </w:rPr>
      </w:pPr>
      <w:r w:rsidRPr="00CE08DC">
        <w:rPr>
          <w:rFonts w:ascii="Times New Roman" w:hAnsi="Times New Roman" w:cs="Times New Roman"/>
          <w:b/>
          <w:sz w:val="24"/>
          <w:szCs w:val="24"/>
        </w:rPr>
        <w:t xml:space="preserve">„primarna proizvodnja proizvoda ribarstva i akvakulture“ </w:t>
      </w:r>
      <w:r w:rsidR="00705A2C">
        <w:rPr>
          <w:rFonts w:ascii="Times New Roman" w:hAnsi="Times New Roman" w:cs="Times New Roman"/>
          <w:b/>
          <w:sz w:val="24"/>
          <w:szCs w:val="24"/>
        </w:rPr>
        <w:t xml:space="preserve">- </w:t>
      </w:r>
      <w:r w:rsidRPr="00E95B8C">
        <w:rPr>
          <w:rFonts w:ascii="Times New Roman" w:hAnsi="Times New Roman" w:cs="Times New Roman"/>
          <w:sz w:val="24"/>
          <w:szCs w:val="24"/>
        </w:rPr>
        <w:t xml:space="preserve">sve operacije povezane s ribolovom, uzgojem ili rastom vodenih organizama, kao i aktivnosti na poljoprivrednim gospodarstvima ili na brodu koje su potrebne za pripremu životinje ili biljke za prvu prodaju, uključujući rezanje, </w:t>
      </w:r>
      <w:proofErr w:type="spellStart"/>
      <w:r w:rsidRPr="00E95B8C">
        <w:rPr>
          <w:rFonts w:ascii="Times New Roman" w:hAnsi="Times New Roman" w:cs="Times New Roman"/>
          <w:sz w:val="24"/>
          <w:szCs w:val="24"/>
        </w:rPr>
        <w:t>filetiranje</w:t>
      </w:r>
      <w:proofErr w:type="spellEnd"/>
      <w:r w:rsidRPr="00E95B8C">
        <w:rPr>
          <w:rFonts w:ascii="Times New Roman" w:hAnsi="Times New Roman" w:cs="Times New Roman"/>
          <w:sz w:val="24"/>
          <w:szCs w:val="24"/>
        </w:rPr>
        <w:t xml:space="preserve"> ili zamrzavanje, i prva prodaja preprodavačima ili prerađivačima</w:t>
      </w:r>
    </w:p>
    <w:p w14:paraId="30DFE19F" w14:textId="6102B16D" w:rsidR="00A607BE" w:rsidRPr="00CE08DC" w:rsidRDefault="00A607BE" w:rsidP="00A607BE">
      <w:pPr>
        <w:pStyle w:val="ListParagraph"/>
        <w:numPr>
          <w:ilvl w:val="0"/>
          <w:numId w:val="4"/>
        </w:numPr>
        <w:spacing w:after="0" w:line="240" w:lineRule="auto"/>
        <w:jc w:val="both"/>
        <w:rPr>
          <w:rFonts w:ascii="Times New Roman" w:hAnsi="Times New Roman" w:cs="Times New Roman"/>
          <w:sz w:val="24"/>
          <w:szCs w:val="24"/>
        </w:rPr>
      </w:pPr>
      <w:r w:rsidRPr="00E95B8C">
        <w:rPr>
          <w:rFonts w:ascii="Times New Roman" w:hAnsi="Times New Roman" w:cs="Times New Roman"/>
          <w:sz w:val="24"/>
          <w:szCs w:val="24"/>
        </w:rPr>
        <w:t>„</w:t>
      </w:r>
      <w:r w:rsidRPr="00E95B8C">
        <w:rPr>
          <w:rFonts w:ascii="Times New Roman" w:hAnsi="Times New Roman" w:cs="Times New Roman"/>
          <w:b/>
          <w:bCs/>
          <w:sz w:val="24"/>
          <w:szCs w:val="24"/>
        </w:rPr>
        <w:t>prerada i stavljanje na tržište proizvoda ribarstva i akvakulture</w:t>
      </w:r>
      <w:r w:rsidRPr="00E95B8C">
        <w:rPr>
          <w:rFonts w:ascii="Times New Roman" w:hAnsi="Times New Roman" w:cs="Times New Roman"/>
          <w:sz w:val="24"/>
          <w:szCs w:val="24"/>
        </w:rPr>
        <w:t xml:space="preserve">” </w:t>
      </w:r>
      <w:r w:rsidR="00705A2C">
        <w:rPr>
          <w:rFonts w:ascii="Times New Roman" w:hAnsi="Times New Roman" w:cs="Times New Roman"/>
          <w:sz w:val="24"/>
          <w:szCs w:val="24"/>
        </w:rPr>
        <w:t xml:space="preserve">- </w:t>
      </w:r>
      <w:r w:rsidRPr="00E95B8C">
        <w:rPr>
          <w:rFonts w:ascii="Times New Roman" w:hAnsi="Times New Roman" w:cs="Times New Roman"/>
          <w:sz w:val="24"/>
          <w:szCs w:val="24"/>
        </w:rPr>
        <w:t>sve operacije, uključujući rukovanje, obradu i preradu, koje se obavljaju nakon iskrcaja (ili sakupljanja u slučaju akvakulture) i čiji je rezultat prerađen proizvod, kao i distribucija tih proizvoda</w:t>
      </w:r>
    </w:p>
    <w:p w14:paraId="17DF6A9B" w14:textId="6FC71911" w:rsidR="00A607BE" w:rsidRDefault="00A607BE" w:rsidP="00A607B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„datum dodjele potpore“ </w:t>
      </w:r>
      <w:r w:rsidR="00FA3733">
        <w:rPr>
          <w:rFonts w:ascii="Times New Roman" w:hAnsi="Times New Roman" w:cs="Times New Roman"/>
          <w:sz w:val="24"/>
          <w:szCs w:val="24"/>
        </w:rPr>
        <w:t xml:space="preserve">- </w:t>
      </w:r>
      <w:r>
        <w:rPr>
          <w:rFonts w:ascii="Times New Roman" w:hAnsi="Times New Roman" w:cs="Times New Roman"/>
          <w:sz w:val="24"/>
          <w:szCs w:val="24"/>
        </w:rPr>
        <w:t xml:space="preserve">datum kojim je temeljem </w:t>
      </w:r>
      <w:r w:rsidR="00827D0E">
        <w:rPr>
          <w:rFonts w:ascii="Times New Roman" w:hAnsi="Times New Roman" w:cs="Times New Roman"/>
          <w:sz w:val="24"/>
          <w:szCs w:val="24"/>
        </w:rPr>
        <w:t>pravnih propisa Republike Hrvatske</w:t>
      </w:r>
      <w:r>
        <w:rPr>
          <w:rFonts w:ascii="Times New Roman" w:hAnsi="Times New Roman" w:cs="Times New Roman"/>
          <w:sz w:val="24"/>
          <w:szCs w:val="24"/>
        </w:rPr>
        <w:t xml:space="preserve"> korisniku </w:t>
      </w:r>
      <w:r w:rsidR="00257CCE">
        <w:rPr>
          <w:rFonts w:ascii="Times New Roman" w:hAnsi="Times New Roman" w:cs="Times New Roman"/>
          <w:sz w:val="24"/>
          <w:szCs w:val="24"/>
        </w:rPr>
        <w:t xml:space="preserve">potpore </w:t>
      </w:r>
      <w:r>
        <w:rPr>
          <w:rFonts w:ascii="Times New Roman" w:hAnsi="Times New Roman" w:cs="Times New Roman"/>
          <w:sz w:val="24"/>
          <w:szCs w:val="24"/>
        </w:rPr>
        <w:t>dodijeljeno zakonsko pravo na primanje potpore, neovisno o datumu isplate potpore</w:t>
      </w:r>
      <w:r w:rsidR="00905DC2">
        <w:rPr>
          <w:rFonts w:ascii="Times New Roman" w:hAnsi="Times New Roman" w:cs="Times New Roman"/>
          <w:sz w:val="24"/>
          <w:szCs w:val="24"/>
        </w:rPr>
        <w:t xml:space="preserve"> male vrijednosti</w:t>
      </w:r>
      <w:r w:rsidR="00FA3733">
        <w:rPr>
          <w:rFonts w:ascii="Times New Roman" w:hAnsi="Times New Roman" w:cs="Times New Roman"/>
          <w:sz w:val="24"/>
          <w:szCs w:val="24"/>
        </w:rPr>
        <w:t>.</w:t>
      </w:r>
    </w:p>
    <w:p w14:paraId="6DC0A0AE" w14:textId="77777777" w:rsidR="00A607BE" w:rsidRDefault="00A607BE" w:rsidP="00263CCA">
      <w:pPr>
        <w:rPr>
          <w:b/>
        </w:rPr>
      </w:pPr>
    </w:p>
    <w:p w14:paraId="11E12C4C" w14:textId="5F88C12F"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Članak. </w:t>
      </w:r>
      <w:r w:rsidR="00263CCA">
        <w:rPr>
          <w:rFonts w:ascii="Times New Roman" w:hAnsi="Times New Roman" w:cs="Times New Roman"/>
          <w:b/>
          <w:bCs/>
          <w:color w:val="auto"/>
          <w:sz w:val="24"/>
          <w:szCs w:val="24"/>
        </w:rPr>
        <w:t>4</w:t>
      </w:r>
    </w:p>
    <w:p w14:paraId="066D2778"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Korisnici</w:t>
      </w:r>
    </w:p>
    <w:p w14:paraId="248FE17D" w14:textId="77777777" w:rsidR="00A607BE" w:rsidRDefault="00A607BE" w:rsidP="00A607BE">
      <w:pPr>
        <w:jc w:val="both"/>
        <w:rPr>
          <w:b/>
        </w:rPr>
      </w:pPr>
    </w:p>
    <w:p w14:paraId="3ECA4968" w14:textId="38EFDF06" w:rsidR="00A607BE" w:rsidRDefault="00A607BE" w:rsidP="00A607BE">
      <w:pPr>
        <w:jc w:val="both"/>
        <w:rPr>
          <w:b/>
          <w:i/>
        </w:rPr>
      </w:pPr>
      <w:r>
        <w:t xml:space="preserve">Prihvatljivi korisnici potpore male vrijednosti su otočni poslodavci. </w:t>
      </w:r>
    </w:p>
    <w:p w14:paraId="716F022E" w14:textId="77777777" w:rsidR="00A607BE" w:rsidRDefault="00A607BE" w:rsidP="00A607BE"/>
    <w:p w14:paraId="4AB39206" w14:textId="5D661C72"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Članak </w:t>
      </w:r>
      <w:r w:rsidR="00263CCA">
        <w:rPr>
          <w:rFonts w:ascii="Times New Roman" w:hAnsi="Times New Roman" w:cs="Times New Roman"/>
          <w:b/>
          <w:bCs/>
          <w:color w:val="auto"/>
          <w:sz w:val="24"/>
          <w:szCs w:val="24"/>
        </w:rPr>
        <w:t>5</w:t>
      </w:r>
      <w:r>
        <w:rPr>
          <w:rFonts w:ascii="Times New Roman" w:hAnsi="Times New Roman" w:cs="Times New Roman"/>
          <w:b/>
          <w:bCs/>
          <w:color w:val="auto"/>
          <w:sz w:val="24"/>
          <w:szCs w:val="24"/>
        </w:rPr>
        <w:t>.</w:t>
      </w:r>
    </w:p>
    <w:p w14:paraId="65F5DEFF"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Uvjeti za ostvarivanje prava na potpore</w:t>
      </w:r>
    </w:p>
    <w:p w14:paraId="2478CF47" w14:textId="77777777" w:rsidR="00A607BE" w:rsidRDefault="00A607BE" w:rsidP="00A607BE">
      <w:pPr>
        <w:jc w:val="both"/>
      </w:pPr>
    </w:p>
    <w:p w14:paraId="49B4AD2F" w14:textId="77777777" w:rsidR="00A607BE" w:rsidRDefault="00A607BE" w:rsidP="00A607BE">
      <w:pPr>
        <w:jc w:val="both"/>
      </w:pPr>
      <w:r>
        <w:t>Potpore otočni poslodavci mogu ostvariti ako zadovoljavaju sljedeće uvjete:</w:t>
      </w:r>
    </w:p>
    <w:p w14:paraId="3364CE79" w14:textId="77777777" w:rsidR="00A607BE" w:rsidRDefault="00A607BE" w:rsidP="00A607BE">
      <w:pPr>
        <w:jc w:val="both"/>
      </w:pPr>
      <w:r>
        <w:tab/>
        <w:t xml:space="preserve"> </w:t>
      </w:r>
    </w:p>
    <w:p w14:paraId="3D51CF19" w14:textId="77777777" w:rsidR="00A607BE" w:rsidRDefault="00A607BE" w:rsidP="00A607BE">
      <w:pPr>
        <w:ind w:left="708"/>
        <w:jc w:val="both"/>
      </w:pPr>
      <w:bookmarkStart w:id="2" w:name="_Hlk89962196"/>
      <w:r>
        <w:t xml:space="preserve">– </w:t>
      </w:r>
      <w:bookmarkEnd w:id="2"/>
      <w:r>
        <w:t>da obavljaju djelatnost na otocima ili poluotoku Pelješcu</w:t>
      </w:r>
    </w:p>
    <w:p w14:paraId="0682D571" w14:textId="77777777" w:rsidR="00A607BE" w:rsidRDefault="00A607BE" w:rsidP="00A607BE">
      <w:pPr>
        <w:ind w:left="708"/>
        <w:jc w:val="both"/>
      </w:pPr>
      <w:r>
        <w:t xml:space="preserve">– da djelatnici koje zapošljavaju i za koje traže potporu imaju prebivalište na otocima ili poluotoku Pelješcu </w:t>
      </w:r>
    </w:p>
    <w:p w14:paraId="6442FDFB" w14:textId="77777777" w:rsidR="00A607BE" w:rsidRDefault="00A607BE" w:rsidP="00A607BE">
      <w:pPr>
        <w:ind w:left="708"/>
        <w:jc w:val="both"/>
      </w:pPr>
      <w:r>
        <w:t>– da djelatnici koje zapošljavaju rade kod istog otočnog poslodavca najmanje dvanaest mjeseci bez prekida u razdoblju za koje se potpora dodjeljuje za mjeru očuvanja radnih mjesta</w:t>
      </w:r>
    </w:p>
    <w:p w14:paraId="79166D48" w14:textId="4B5E7D93" w:rsidR="00A607BE" w:rsidRDefault="00A607BE" w:rsidP="00A607BE">
      <w:pPr>
        <w:ind w:left="708"/>
        <w:jc w:val="both"/>
      </w:pPr>
      <w:r>
        <w:t xml:space="preserve">– da djelatnici koje zapošljavaju rade kod istog otočnog poslodavca najmanje šest mjeseci bez prekida u razdoblju za koje se potpora dodjeljuje za mjeru pokretanja gospodarske djelatnosti </w:t>
      </w:r>
    </w:p>
    <w:p w14:paraId="6C6B60F5" w14:textId="3CAF5386" w:rsidR="00A607BE" w:rsidRDefault="00A607BE" w:rsidP="00A607BE">
      <w:pPr>
        <w:ind w:left="708"/>
        <w:jc w:val="both"/>
      </w:pPr>
      <w:r>
        <w:t xml:space="preserve">– da otočni poslodavac koji je samozaposlen </w:t>
      </w:r>
      <w:r w:rsidR="009F010B">
        <w:t xml:space="preserve">(samostalno i aktivno </w:t>
      </w:r>
      <w:r>
        <w:t xml:space="preserve">obavlja </w:t>
      </w:r>
      <w:r w:rsidR="009F010B">
        <w:t xml:space="preserve"> gospodarsku </w:t>
      </w:r>
      <w:r>
        <w:t xml:space="preserve">djelatnost </w:t>
      </w:r>
      <w:r w:rsidR="009F010B">
        <w:t xml:space="preserve">kao svoje jedino i glavno zanimanje), </w:t>
      </w:r>
      <w:r>
        <w:t xml:space="preserve">ostvaruje dohodak od samostalne djelatnosti kao svoj glavni izvor dohotka </w:t>
      </w:r>
    </w:p>
    <w:p w14:paraId="6E73964E" w14:textId="47FA89BE" w:rsidR="00A607BE" w:rsidRDefault="00A607BE" w:rsidP="00A607BE">
      <w:pPr>
        <w:ind w:left="708"/>
        <w:jc w:val="both"/>
      </w:pPr>
      <w:r>
        <w:t xml:space="preserve">– da udio vlasništva Republike Hrvatske, jedinice regionalne (područne) samouprave i jedinice lokalne samouprave u strukturi vlasništva </w:t>
      </w:r>
      <w:r w:rsidR="00257CCE">
        <w:t>k</w:t>
      </w:r>
      <w:r>
        <w:t>orisnika potpora nije veći od 50%,</w:t>
      </w:r>
    </w:p>
    <w:p w14:paraId="635A1F8D" w14:textId="77777777" w:rsidR="00A607BE" w:rsidRDefault="00A607BE" w:rsidP="00A607BE">
      <w:pPr>
        <w:ind w:left="708"/>
        <w:jc w:val="both"/>
      </w:pPr>
      <w:r>
        <w:t>– da nisu financijske institucije (banke, osiguravajuća društva, štedno-kreditne zadruge i slično)</w:t>
      </w:r>
    </w:p>
    <w:p w14:paraId="13794FBF" w14:textId="222C02E1" w:rsidR="00A607BE" w:rsidRDefault="00A607BE" w:rsidP="00905DC2">
      <w:pPr>
        <w:ind w:left="708"/>
        <w:jc w:val="both"/>
      </w:pPr>
      <w:r>
        <w:lastRenderedPageBreak/>
        <w:t xml:space="preserve">– da obavljaju djelatnost iz članka 35. Zakona, s izuzećem djelatnosti u sektoru </w:t>
      </w:r>
      <w:r w:rsidR="000B6459" w:rsidRPr="00BB45E4">
        <w:t>primarne proizvodnje proizvoda ribarstva i akvakulture</w:t>
      </w:r>
      <w:r w:rsidR="000B6459">
        <w:t xml:space="preserve"> </w:t>
      </w:r>
      <w:r w:rsidR="000B6459" w:rsidRPr="00BB45E4">
        <w:t>te primarne proizvodnje poljoprivrednih proizvoda</w:t>
      </w:r>
      <w:r w:rsidR="000B6459">
        <w:rPr>
          <w:rStyle w:val="CommentReference"/>
          <w:sz w:val="24"/>
          <w:szCs w:val="24"/>
        </w:rPr>
        <w:t xml:space="preserve"> </w:t>
      </w:r>
    </w:p>
    <w:p w14:paraId="2FF51EF7" w14:textId="77777777" w:rsidR="00A607BE" w:rsidRDefault="00A607BE" w:rsidP="00905DC2">
      <w:pPr>
        <w:ind w:left="708"/>
        <w:jc w:val="both"/>
      </w:pPr>
      <w:r>
        <w:t>–  da nisu primili kao poduzetnik u smislu ovog Programa, potpora male vrijednosti u iznosu od 300.000 EUR tijekom prethodnog trogodišnjeg razdoblja.</w:t>
      </w:r>
    </w:p>
    <w:p w14:paraId="69B1B5A1" w14:textId="77777777" w:rsidR="00A607BE" w:rsidRDefault="00A607BE" w:rsidP="00A607BE">
      <w:pPr>
        <w:ind w:left="708"/>
      </w:pPr>
    </w:p>
    <w:p w14:paraId="6191E1C4" w14:textId="0405EA3E"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Članak </w:t>
      </w:r>
      <w:r w:rsidR="00263CCA">
        <w:rPr>
          <w:rFonts w:ascii="Times New Roman" w:hAnsi="Times New Roman" w:cs="Times New Roman"/>
          <w:b/>
          <w:bCs/>
          <w:color w:val="auto"/>
          <w:sz w:val="24"/>
          <w:szCs w:val="24"/>
        </w:rPr>
        <w:t>6</w:t>
      </w:r>
      <w:r>
        <w:rPr>
          <w:rFonts w:ascii="Times New Roman" w:hAnsi="Times New Roman" w:cs="Times New Roman"/>
          <w:b/>
          <w:bCs/>
          <w:color w:val="auto"/>
          <w:sz w:val="24"/>
          <w:szCs w:val="24"/>
        </w:rPr>
        <w:t>.</w:t>
      </w:r>
    </w:p>
    <w:p w14:paraId="348EF4D8"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Područje primjene</w:t>
      </w:r>
    </w:p>
    <w:p w14:paraId="6B53D7BC" w14:textId="77777777" w:rsidR="00A607BE" w:rsidRDefault="00A607BE" w:rsidP="00A607BE">
      <w:pPr>
        <w:jc w:val="both"/>
        <w:rPr>
          <w:b/>
        </w:rPr>
      </w:pPr>
    </w:p>
    <w:p w14:paraId="0A883C43" w14:textId="77777777" w:rsidR="00A607BE" w:rsidRDefault="00A607BE" w:rsidP="00A607BE">
      <w:pPr>
        <w:jc w:val="both"/>
      </w:pPr>
      <w:r>
        <w:t xml:space="preserve">(1) U skladu s člankom 1. Uredbe, u okviru ovog Programa, potpore male vrijednosti se ne mogu dodijeliti: </w:t>
      </w:r>
    </w:p>
    <w:p w14:paraId="69D5FFCB" w14:textId="77777777" w:rsidR="00766B1F" w:rsidRDefault="00766B1F" w:rsidP="00A607BE">
      <w:pPr>
        <w:jc w:val="both"/>
      </w:pPr>
    </w:p>
    <w:p w14:paraId="277C9EA6" w14:textId="77777777" w:rsidR="00A607BE" w:rsidRDefault="00A607BE" w:rsidP="00A607BE">
      <w:pPr>
        <w:pStyle w:val="ListParagraph"/>
        <w:numPr>
          <w:ilvl w:val="1"/>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poduzetnicima koji se bave primarnom proizvodnjom proizvoda ribarstva i akvakulture </w:t>
      </w:r>
    </w:p>
    <w:p w14:paraId="72DF04A4" w14:textId="29EA5D24" w:rsidR="00A607BE" w:rsidRDefault="00A607BE" w:rsidP="00A607BE">
      <w:pPr>
        <w:pStyle w:val="ListParagraph"/>
        <w:numPr>
          <w:ilvl w:val="1"/>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poduzetnicima u primarnoj proizvodnji poljoprivrednih proizvoda</w:t>
      </w:r>
      <w:r w:rsidR="00FA3733">
        <w:rPr>
          <w:rFonts w:ascii="Times New Roman" w:eastAsia="Times New Roman" w:hAnsi="Times New Roman" w:cs="Times New Roman"/>
          <w:sz w:val="24"/>
          <w:szCs w:val="24"/>
          <w:lang w:eastAsia="hr-HR"/>
        </w:rPr>
        <w:t>.</w:t>
      </w:r>
    </w:p>
    <w:p w14:paraId="5F694D20" w14:textId="77777777" w:rsidR="00A607BE" w:rsidRPr="00DC35CF" w:rsidRDefault="00A607BE" w:rsidP="00A607BE">
      <w:pPr>
        <w:pStyle w:val="ListParagraph"/>
        <w:spacing w:after="0" w:line="240" w:lineRule="auto"/>
        <w:ind w:left="1080"/>
        <w:jc w:val="both"/>
        <w:rPr>
          <w:rFonts w:ascii="Times New Roman" w:eastAsia="Times New Roman" w:hAnsi="Times New Roman" w:cs="Times New Roman"/>
          <w:sz w:val="24"/>
          <w:szCs w:val="24"/>
          <w:lang w:eastAsia="hr-HR"/>
        </w:rPr>
      </w:pPr>
    </w:p>
    <w:p w14:paraId="65C0A9DA" w14:textId="363557F0" w:rsidR="00A607BE" w:rsidRDefault="00A607BE" w:rsidP="00A607BE">
      <w:pPr>
        <w:pStyle w:val="NormalWeb"/>
        <w:numPr>
          <w:ilvl w:val="0"/>
          <w:numId w:val="5"/>
        </w:numPr>
        <w:spacing w:before="0" w:beforeAutospacing="0" w:after="0" w:afterAutospacing="0" w:line="276" w:lineRule="auto"/>
        <w:ind w:left="357" w:hanging="357"/>
        <w:jc w:val="both"/>
      </w:pPr>
      <w:r>
        <w:t>Ako određeni korisnik</w:t>
      </w:r>
      <w:r w:rsidR="00257CCE">
        <w:t xml:space="preserve"> potpore</w:t>
      </w:r>
      <w:r>
        <w:t xml:space="preserve"> obavlja djelatnost u sektorima iz stavka 1. ovog članka </w:t>
      </w:r>
      <w:bookmarkStart w:id="3" w:name="_Hlk155613950"/>
      <w:r>
        <w:t xml:space="preserve">u jednom ili više sektora obuhvaćenih </w:t>
      </w:r>
      <w:bookmarkEnd w:id="3"/>
      <w:r>
        <w:t xml:space="preserve">područjem primjene ovog Programa, ovaj Program će se primjenjivati i na te sektore ili djelatnosti, pod uvjetom da se kod isključenih sektora/djelatnosti ne ostvaruju koristi od potpore male vrijednosti dodijeljene sukladno ovom Programu. Korisnik potpore male vrijednosti je u obvezi osigurati na primjeren način navedeno razdvajanje, primjerice vođenjem odvojenog knjigovodstva (razdvajanjem troškova) ili organizacijskim razdvajanjem svoje djelatnosti </w:t>
      </w:r>
      <w:bookmarkStart w:id="4" w:name="_Hlk155614044"/>
      <w:r>
        <w:t>te dostaviti izjavu Ministarstvu kojom potvrđuje to razdvajanje.</w:t>
      </w:r>
    </w:p>
    <w:bookmarkEnd w:id="4"/>
    <w:p w14:paraId="2B40F93F" w14:textId="77777777" w:rsidR="00A607BE" w:rsidRDefault="00A607BE" w:rsidP="00A607BE">
      <w:pPr>
        <w:pStyle w:val="NormalWeb"/>
        <w:spacing w:before="0" w:beforeAutospacing="0" w:after="0" w:afterAutospacing="0"/>
        <w:ind w:left="360"/>
        <w:jc w:val="both"/>
      </w:pPr>
    </w:p>
    <w:p w14:paraId="76A6B2AF" w14:textId="54161B4C"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Članak </w:t>
      </w:r>
      <w:r w:rsidR="00263CCA">
        <w:rPr>
          <w:rFonts w:ascii="Times New Roman" w:hAnsi="Times New Roman" w:cs="Times New Roman"/>
          <w:b/>
          <w:bCs/>
          <w:color w:val="auto"/>
          <w:sz w:val="24"/>
          <w:szCs w:val="24"/>
        </w:rPr>
        <w:t>7</w:t>
      </w:r>
      <w:r>
        <w:rPr>
          <w:rFonts w:ascii="Times New Roman" w:hAnsi="Times New Roman" w:cs="Times New Roman"/>
          <w:b/>
          <w:bCs/>
          <w:color w:val="auto"/>
          <w:sz w:val="24"/>
          <w:szCs w:val="24"/>
        </w:rPr>
        <w:t>.</w:t>
      </w:r>
    </w:p>
    <w:p w14:paraId="1ABF6C6F" w14:textId="4CD6F3A2" w:rsidR="00C21B94" w:rsidRDefault="00A607BE" w:rsidP="00263CCA">
      <w:pPr>
        <w:pStyle w:val="Heading2"/>
        <w:jc w:val="center"/>
        <w:rPr>
          <w:rFonts w:ascii="Times New Roman" w:hAnsi="Times New Roman" w:cs="Times New Roman"/>
          <w:b/>
          <w:bCs/>
          <w:color w:val="auto"/>
          <w:sz w:val="24"/>
          <w:szCs w:val="24"/>
        </w:rPr>
      </w:pPr>
      <w:r w:rsidRPr="00263CCA">
        <w:rPr>
          <w:rFonts w:ascii="Times New Roman" w:hAnsi="Times New Roman" w:cs="Times New Roman"/>
          <w:b/>
          <w:bCs/>
          <w:color w:val="auto"/>
          <w:sz w:val="24"/>
          <w:szCs w:val="24"/>
        </w:rPr>
        <w:t>Iznos potpore male vrijednosti</w:t>
      </w:r>
    </w:p>
    <w:p w14:paraId="7FD791B9" w14:textId="77777777" w:rsidR="00263CCA" w:rsidRPr="00263CCA" w:rsidRDefault="00263CCA" w:rsidP="00263CCA"/>
    <w:p w14:paraId="7AB6B4A3" w14:textId="654BBFDF" w:rsidR="00B76C2C" w:rsidRPr="00B76C2C" w:rsidRDefault="00C21B94" w:rsidP="00B76C2C">
      <w:pPr>
        <w:pStyle w:val="ListParagraph"/>
        <w:numPr>
          <w:ilvl w:val="3"/>
          <w:numId w:val="3"/>
        </w:numPr>
        <w:ind w:left="0"/>
        <w:jc w:val="both"/>
        <w:rPr>
          <w:rFonts w:ascii="Times New Roman" w:hAnsi="Times New Roman" w:cs="Times New Roman"/>
          <w:sz w:val="24"/>
          <w:szCs w:val="24"/>
        </w:rPr>
      </w:pPr>
      <w:bookmarkStart w:id="5" w:name="_Hlk156299210"/>
      <w:r w:rsidRPr="00B76C2C">
        <w:rPr>
          <w:rFonts w:ascii="Times New Roman" w:hAnsi="Times New Roman" w:cs="Times New Roman"/>
          <w:sz w:val="24"/>
          <w:szCs w:val="24"/>
        </w:rPr>
        <w:t xml:space="preserve">Gornja granica potpore male vrijednosti koja se po državi članici može dodijeliti jednom poduzetniku ne smije premašiti 300.000 EUR tijekom prethodnog trogodišnjeg razdoblja </w:t>
      </w:r>
      <w:r w:rsidR="0098439C">
        <w:rPr>
          <w:rFonts w:ascii="Times New Roman" w:hAnsi="Times New Roman" w:cs="Times New Roman"/>
          <w:sz w:val="24"/>
          <w:szCs w:val="24"/>
        </w:rPr>
        <w:t xml:space="preserve">te se pri svakoj novoj dodjeli </w:t>
      </w:r>
      <w:r w:rsidR="009F010B">
        <w:rPr>
          <w:rFonts w:ascii="Times New Roman" w:hAnsi="Times New Roman" w:cs="Times New Roman"/>
          <w:sz w:val="24"/>
          <w:szCs w:val="24"/>
        </w:rPr>
        <w:t>u</w:t>
      </w:r>
      <w:r w:rsidR="0098439C">
        <w:rPr>
          <w:rFonts w:ascii="Times New Roman" w:hAnsi="Times New Roman" w:cs="Times New Roman"/>
          <w:sz w:val="24"/>
          <w:szCs w:val="24"/>
        </w:rPr>
        <w:t xml:space="preserve">zima u obzir ukupan iznos potpora male vrijednosti dodijeljenih u tri prethodne godine.  </w:t>
      </w:r>
      <w:r w:rsidRPr="00B76C2C">
        <w:rPr>
          <w:rFonts w:ascii="Times New Roman" w:hAnsi="Times New Roman" w:cs="Times New Roman"/>
          <w:sz w:val="24"/>
          <w:szCs w:val="24"/>
        </w:rPr>
        <w:t xml:space="preserve"> </w:t>
      </w:r>
      <w:bookmarkEnd w:id="5"/>
    </w:p>
    <w:p w14:paraId="0AA54605" w14:textId="716FB43D" w:rsidR="00B76C2C" w:rsidRPr="00B76C2C" w:rsidRDefault="00C21B94" w:rsidP="00B76C2C">
      <w:pPr>
        <w:pStyle w:val="ListParagraph"/>
        <w:numPr>
          <w:ilvl w:val="3"/>
          <w:numId w:val="3"/>
        </w:numPr>
        <w:ind w:left="0"/>
        <w:jc w:val="both"/>
        <w:rPr>
          <w:rFonts w:ascii="Times New Roman" w:hAnsi="Times New Roman" w:cs="Times New Roman"/>
          <w:sz w:val="24"/>
          <w:szCs w:val="24"/>
        </w:rPr>
      </w:pPr>
      <w:r w:rsidRPr="00B76C2C">
        <w:rPr>
          <w:rFonts w:ascii="Times New Roman" w:hAnsi="Times New Roman" w:cs="Times New Roman"/>
          <w:sz w:val="24"/>
          <w:szCs w:val="24"/>
        </w:rPr>
        <w:t>Ako bi se dodjelom nove potpor</w:t>
      </w:r>
      <w:r w:rsidR="007140BC">
        <w:rPr>
          <w:rFonts w:ascii="Times New Roman" w:hAnsi="Times New Roman" w:cs="Times New Roman"/>
          <w:sz w:val="24"/>
          <w:szCs w:val="24"/>
        </w:rPr>
        <w:t>e</w:t>
      </w:r>
      <w:r w:rsidRPr="00B76C2C">
        <w:rPr>
          <w:rFonts w:ascii="Times New Roman" w:hAnsi="Times New Roman" w:cs="Times New Roman"/>
          <w:sz w:val="24"/>
          <w:szCs w:val="24"/>
        </w:rPr>
        <w:t xml:space="preserve"> male vrijednosti premašila gornja granica iz stavka </w:t>
      </w:r>
      <w:r w:rsidR="00263CCA">
        <w:rPr>
          <w:rFonts w:ascii="Times New Roman" w:hAnsi="Times New Roman" w:cs="Times New Roman"/>
          <w:sz w:val="24"/>
          <w:szCs w:val="24"/>
        </w:rPr>
        <w:t>1</w:t>
      </w:r>
      <w:r w:rsidRPr="00B76C2C">
        <w:rPr>
          <w:rFonts w:ascii="Times New Roman" w:hAnsi="Times New Roman" w:cs="Times New Roman"/>
          <w:sz w:val="24"/>
          <w:szCs w:val="24"/>
        </w:rPr>
        <w:t>. ovog članka, potpora se na temelju ovog Programa ne može dodijeliti.</w:t>
      </w:r>
      <w:bookmarkStart w:id="6" w:name="_Hlk155614258"/>
    </w:p>
    <w:p w14:paraId="0FDB22B5" w14:textId="0ACBFEBA" w:rsidR="00B76C2C" w:rsidRPr="00B76C2C" w:rsidRDefault="00A607BE" w:rsidP="00B76C2C">
      <w:pPr>
        <w:pStyle w:val="ListParagraph"/>
        <w:numPr>
          <w:ilvl w:val="3"/>
          <w:numId w:val="3"/>
        </w:numPr>
        <w:ind w:left="0"/>
        <w:jc w:val="both"/>
        <w:rPr>
          <w:rFonts w:ascii="Times New Roman" w:hAnsi="Times New Roman" w:cs="Times New Roman"/>
          <w:sz w:val="24"/>
          <w:szCs w:val="24"/>
        </w:rPr>
      </w:pPr>
      <w:r w:rsidRPr="00B76C2C">
        <w:rPr>
          <w:rFonts w:ascii="Times New Roman" w:hAnsi="Times New Roman" w:cs="Times New Roman"/>
          <w:sz w:val="24"/>
          <w:szCs w:val="24"/>
        </w:rPr>
        <w:t xml:space="preserve">U slučaju spajanja i preuzimanja poduzetnika, u skladu s člankom 3. stavkom 8. Uredbe pri utvrđivanju prelazi li se gornja granica utvrđena u </w:t>
      </w:r>
      <w:r w:rsidR="00C21B94" w:rsidRPr="00B76C2C">
        <w:rPr>
          <w:rFonts w:ascii="Times New Roman" w:hAnsi="Times New Roman" w:cs="Times New Roman"/>
          <w:sz w:val="24"/>
          <w:szCs w:val="24"/>
        </w:rPr>
        <w:t>stavku 1.</w:t>
      </w:r>
      <w:r w:rsidR="00263CCA">
        <w:rPr>
          <w:rFonts w:ascii="Times New Roman" w:hAnsi="Times New Roman" w:cs="Times New Roman"/>
          <w:sz w:val="24"/>
          <w:szCs w:val="24"/>
        </w:rPr>
        <w:t xml:space="preserve"> ovog članka</w:t>
      </w:r>
      <w:r w:rsidR="00C21B94" w:rsidRPr="00B76C2C">
        <w:rPr>
          <w:rFonts w:ascii="Times New Roman" w:hAnsi="Times New Roman" w:cs="Times New Roman"/>
          <w:sz w:val="24"/>
          <w:szCs w:val="24"/>
        </w:rPr>
        <w:t xml:space="preserve"> </w:t>
      </w:r>
      <w:r w:rsidRPr="00B76C2C">
        <w:rPr>
          <w:rFonts w:ascii="Times New Roman" w:hAnsi="Times New Roman" w:cs="Times New Roman"/>
          <w:sz w:val="24"/>
          <w:szCs w:val="24"/>
        </w:rPr>
        <w:t>ovog Programa bilo kojom novom potporom male vrijednosti dodijeljenom novom poduzetniku ili poduzetniku preuzimatelju, u obzir se uzimaju sve prethodno dodijeljene potpore male vrijednosti bilo kojem od poduzetnika uključenih u postupak spajanja. Potpore male vrijednosti koje su zakonito dodijeljene prije spajanja ili preuzimanja ostaju zakonite.</w:t>
      </w:r>
    </w:p>
    <w:p w14:paraId="56029E41" w14:textId="115B7861" w:rsidR="00B76C2C" w:rsidRPr="00B76C2C" w:rsidRDefault="00A607BE" w:rsidP="00B76C2C">
      <w:pPr>
        <w:pStyle w:val="ListParagraph"/>
        <w:numPr>
          <w:ilvl w:val="3"/>
          <w:numId w:val="3"/>
        </w:numPr>
        <w:ind w:left="0"/>
        <w:jc w:val="both"/>
        <w:rPr>
          <w:rFonts w:ascii="Times New Roman" w:hAnsi="Times New Roman" w:cs="Times New Roman"/>
          <w:sz w:val="24"/>
          <w:szCs w:val="24"/>
        </w:rPr>
      </w:pPr>
      <w:r w:rsidRPr="00B76C2C">
        <w:rPr>
          <w:rFonts w:ascii="Times New Roman" w:hAnsi="Times New Roman" w:cs="Times New Roman"/>
          <w:sz w:val="24"/>
          <w:szCs w:val="24"/>
        </w:rPr>
        <w:t>Ako se jedan poduzetnik podijeli na dva ili više zasebnih poduzetnika, potpora male vrijednosti koja je dodijeljena prije podjele, dodjeljuje se poduzetniku koji je od nje ostvario korist, što je u načel</w:t>
      </w:r>
      <w:r w:rsidR="00DB3CFB">
        <w:rPr>
          <w:rFonts w:ascii="Times New Roman" w:hAnsi="Times New Roman" w:cs="Times New Roman"/>
          <w:sz w:val="24"/>
          <w:szCs w:val="24"/>
        </w:rPr>
        <w:t>u</w:t>
      </w:r>
      <w:r w:rsidRPr="00B76C2C">
        <w:rPr>
          <w:rFonts w:ascii="Times New Roman" w:hAnsi="Times New Roman" w:cs="Times New Roman"/>
          <w:sz w:val="24"/>
          <w:szCs w:val="24"/>
        </w:rPr>
        <w:t xml:space="preserve"> poduzetnik koji je preuzeo djelatnosti za koje je korištena potpora male vrijednosti. Ako takva raspodjela  nije moguća, potpora male vrijednosti razmjerno se dodjeljuje na temelju knjigovodstvene vrijednosti vlasničkog kapitala novih poduzetnika na datum stupanja na snagu podjele.</w:t>
      </w:r>
      <w:bookmarkEnd w:id="6"/>
    </w:p>
    <w:p w14:paraId="14BCE56B" w14:textId="59069F9E" w:rsidR="00B76C2C" w:rsidRPr="00B76C2C" w:rsidRDefault="00A607BE" w:rsidP="00B76C2C">
      <w:pPr>
        <w:pStyle w:val="ListParagraph"/>
        <w:numPr>
          <w:ilvl w:val="3"/>
          <w:numId w:val="3"/>
        </w:numPr>
        <w:ind w:left="0"/>
        <w:jc w:val="both"/>
        <w:rPr>
          <w:rFonts w:ascii="Times New Roman" w:hAnsi="Times New Roman" w:cs="Times New Roman"/>
          <w:sz w:val="24"/>
          <w:szCs w:val="24"/>
        </w:rPr>
      </w:pPr>
      <w:r w:rsidRPr="00B76C2C">
        <w:rPr>
          <w:rFonts w:ascii="Times New Roman" w:hAnsi="Times New Roman" w:cs="Times New Roman"/>
          <w:sz w:val="24"/>
          <w:szCs w:val="24"/>
        </w:rPr>
        <w:lastRenderedPageBreak/>
        <w:t xml:space="preserve">Gornje granice potpore male vrijednosti iz ovog članka primjenjuju se bez obzira na oblik potpore </w:t>
      </w:r>
      <w:r w:rsidR="00DB3CFB">
        <w:rPr>
          <w:rFonts w:ascii="Times New Roman" w:hAnsi="Times New Roman" w:cs="Times New Roman"/>
          <w:sz w:val="24"/>
          <w:szCs w:val="24"/>
        </w:rPr>
        <w:t xml:space="preserve">male vrijednosti </w:t>
      </w:r>
      <w:r w:rsidRPr="00B76C2C">
        <w:rPr>
          <w:rFonts w:ascii="Times New Roman" w:hAnsi="Times New Roman" w:cs="Times New Roman"/>
          <w:sz w:val="24"/>
          <w:szCs w:val="24"/>
        </w:rPr>
        <w:t>ili na cilj koji se namjerava postići te neovisno o tome financira li se potpora koju dodjeljuje Republika Hrvatska u cijelosti</w:t>
      </w:r>
      <w:r w:rsidR="009F010B">
        <w:rPr>
          <w:rFonts w:ascii="Times New Roman" w:hAnsi="Times New Roman" w:cs="Times New Roman"/>
          <w:sz w:val="24"/>
          <w:szCs w:val="24"/>
        </w:rPr>
        <w:t xml:space="preserve"> ili djelomično iz sredstava koja su podrijetlom iz Europske unije ili </w:t>
      </w:r>
      <w:r w:rsidRPr="00B76C2C">
        <w:rPr>
          <w:rFonts w:ascii="Times New Roman" w:hAnsi="Times New Roman" w:cs="Times New Roman"/>
          <w:sz w:val="24"/>
          <w:szCs w:val="24"/>
        </w:rPr>
        <w:t>iz nacionalnih sredstava Republike Hrvatske.</w:t>
      </w:r>
      <w:bookmarkStart w:id="7" w:name="_Hlk132965481"/>
    </w:p>
    <w:bookmarkEnd w:id="7"/>
    <w:p w14:paraId="2C38BAB5" w14:textId="77777777" w:rsidR="00A607BE" w:rsidRDefault="00A607BE" w:rsidP="00A607BE">
      <w:pPr>
        <w:pStyle w:val="NormalWeb"/>
        <w:spacing w:before="0" w:beforeAutospacing="0" w:after="0" w:afterAutospacing="0"/>
      </w:pPr>
    </w:p>
    <w:p w14:paraId="175F8A52" w14:textId="0A9A4E8E"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Članak </w:t>
      </w:r>
      <w:r w:rsidR="00263CCA">
        <w:rPr>
          <w:rFonts w:ascii="Times New Roman" w:hAnsi="Times New Roman" w:cs="Times New Roman"/>
          <w:b/>
          <w:bCs/>
          <w:color w:val="auto"/>
          <w:sz w:val="24"/>
          <w:szCs w:val="24"/>
        </w:rPr>
        <w:t>8</w:t>
      </w:r>
      <w:r>
        <w:rPr>
          <w:rFonts w:ascii="Times New Roman" w:hAnsi="Times New Roman" w:cs="Times New Roman"/>
          <w:b/>
          <w:bCs/>
          <w:color w:val="auto"/>
          <w:sz w:val="24"/>
          <w:szCs w:val="24"/>
        </w:rPr>
        <w:t>.</w:t>
      </w:r>
    </w:p>
    <w:p w14:paraId="474A3A17"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Instrument dodjele potpore male vrijednosti</w:t>
      </w:r>
    </w:p>
    <w:p w14:paraId="05A35715" w14:textId="77777777" w:rsidR="00A607BE" w:rsidRDefault="00A607BE" w:rsidP="00A607BE">
      <w:pPr>
        <w:pStyle w:val="NormalWeb"/>
        <w:spacing w:before="0" w:beforeAutospacing="0" w:after="0" w:afterAutospacing="0"/>
        <w:jc w:val="center"/>
      </w:pPr>
    </w:p>
    <w:p w14:paraId="6650621F" w14:textId="77777777" w:rsidR="00A607BE" w:rsidRDefault="00A607BE" w:rsidP="00A607BE">
      <w:pPr>
        <w:pStyle w:val="NormalWeb"/>
        <w:spacing w:before="0" w:beforeAutospacing="0" w:after="0" w:afterAutospacing="0"/>
        <w:jc w:val="both"/>
      </w:pPr>
      <w:r>
        <w:t>Potpore male vrijednosti sukladno ovom Programu dodjeljuju se u obliku bespovratnih sredstava.</w:t>
      </w:r>
    </w:p>
    <w:p w14:paraId="34D12085" w14:textId="77777777" w:rsidR="00A607BE" w:rsidRDefault="00A607BE" w:rsidP="00A607BE">
      <w:pPr>
        <w:pStyle w:val="NormalWeb"/>
        <w:spacing w:before="0" w:beforeAutospacing="0" w:after="0" w:afterAutospacing="0"/>
        <w:jc w:val="both"/>
      </w:pPr>
    </w:p>
    <w:p w14:paraId="55D95F50" w14:textId="5D3E8E1E"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Članak </w:t>
      </w:r>
      <w:r w:rsidR="00263CCA">
        <w:rPr>
          <w:rFonts w:ascii="Times New Roman" w:hAnsi="Times New Roman" w:cs="Times New Roman"/>
          <w:b/>
          <w:bCs/>
          <w:color w:val="auto"/>
          <w:sz w:val="24"/>
          <w:szCs w:val="24"/>
        </w:rPr>
        <w:t>9</w:t>
      </w:r>
      <w:r>
        <w:rPr>
          <w:rFonts w:ascii="Times New Roman" w:hAnsi="Times New Roman" w:cs="Times New Roman"/>
          <w:b/>
          <w:bCs/>
          <w:color w:val="auto"/>
          <w:sz w:val="24"/>
          <w:szCs w:val="24"/>
        </w:rPr>
        <w:t>.</w:t>
      </w:r>
    </w:p>
    <w:p w14:paraId="0F2A6778"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Zbrajanje potpora</w:t>
      </w:r>
    </w:p>
    <w:p w14:paraId="68D00D2E" w14:textId="77777777" w:rsidR="00A607BE" w:rsidRDefault="00A607BE" w:rsidP="00A607BE">
      <w:pPr>
        <w:pStyle w:val="NormalWeb"/>
        <w:numPr>
          <w:ilvl w:val="0"/>
          <w:numId w:val="7"/>
        </w:numPr>
        <w:jc w:val="both"/>
      </w:pPr>
      <w:r>
        <w:t xml:space="preserve">Potpore male vrijednosti koje se dodjeljuju u skladu s ovim Programom mogu se zbrajati s drugim potporama male vrijednosti, dodijeljenim u skladu s Uredbom Europske komisije (EU) 2023/2832 </w:t>
      </w:r>
      <w:proofErr w:type="spellStart"/>
      <w:r>
        <w:t>оd</w:t>
      </w:r>
      <w:proofErr w:type="spellEnd"/>
      <w:r>
        <w:t xml:space="preserve"> 13. prosinca 2023. o primjeni članaka 107. i 108. Ugovora o funkcioniranju Europske unije na de </w:t>
      </w:r>
      <w:proofErr w:type="spellStart"/>
      <w:r>
        <w:t>minimis</w:t>
      </w:r>
      <w:proofErr w:type="spellEnd"/>
      <w:r>
        <w:t xml:space="preserve"> potpore koje se dodjeljuju poduzetnicima koji pružaju usluge od općeg gospodarskog interesa (SL L, 2023/2832, 15.12.2023.) </w:t>
      </w:r>
    </w:p>
    <w:p w14:paraId="10968C75" w14:textId="77777777" w:rsidR="00A607BE" w:rsidRDefault="00A607BE" w:rsidP="00A607BE">
      <w:pPr>
        <w:pStyle w:val="NormalWeb"/>
        <w:numPr>
          <w:ilvl w:val="0"/>
          <w:numId w:val="7"/>
        </w:numPr>
        <w:jc w:val="both"/>
      </w:pPr>
      <w:r>
        <w:t xml:space="preserve">Potpore male vrijednosti koje se dodjeljuju u skladu s ovim Programom, mogu se zbrajati s potporama male vrijednosti dodijeljenima u skladu s Uredbom Komisije (EU) br. 1408/2013 </w:t>
      </w:r>
      <w:proofErr w:type="spellStart"/>
      <w:r w:rsidRPr="00A017EB">
        <w:t>оd</w:t>
      </w:r>
      <w:proofErr w:type="spellEnd"/>
      <w:r w:rsidRPr="00A017EB">
        <w:t xml:space="preserve"> 18. prosinca 2013. o primjeni članaka 107. i 108. Ugovora o funkcioniranju Europske unije na potpore de </w:t>
      </w:r>
      <w:proofErr w:type="spellStart"/>
      <w:r w:rsidRPr="00A017EB">
        <w:t>minimis</w:t>
      </w:r>
      <w:proofErr w:type="spellEnd"/>
      <w:r w:rsidRPr="00A017EB">
        <w:t xml:space="preserve"> u poljoprivrednom sektoru </w:t>
      </w:r>
      <w:r>
        <w:t xml:space="preserve">(SL L 352,24.122013.) i Uredbom (EU) br. 717/2014 </w:t>
      </w:r>
      <w:r w:rsidRPr="00741726">
        <w:t xml:space="preserve">od 27. lipnja 2014. o primjeni članaka 107. i 108. Ugovora o funkcioniranju Europske unije na de </w:t>
      </w:r>
      <w:proofErr w:type="spellStart"/>
      <w:r w:rsidRPr="00741726">
        <w:t>minimis</w:t>
      </w:r>
      <w:proofErr w:type="spellEnd"/>
      <w:r w:rsidRPr="00741726">
        <w:t xml:space="preserve"> potpore u sektoru ribarstva i akvakulture</w:t>
      </w:r>
      <w:r>
        <w:t xml:space="preserve"> </w:t>
      </w:r>
      <w:r w:rsidRPr="00741726">
        <w:t xml:space="preserve">(SL L 190, 28.6.2014.) </w:t>
      </w:r>
      <w:r>
        <w:t>do odgovarajuće gornje granice utvrđene u članku 3 stavku 2. Uredbe.</w:t>
      </w:r>
    </w:p>
    <w:p w14:paraId="3CF5E58F" w14:textId="3E1ABA58" w:rsidR="00766B1F" w:rsidRDefault="00766B1F" w:rsidP="00766B1F">
      <w:pPr>
        <w:pStyle w:val="NormalWeb"/>
        <w:numPr>
          <w:ilvl w:val="0"/>
          <w:numId w:val="7"/>
        </w:numPr>
        <w:jc w:val="both"/>
      </w:pPr>
      <w:r>
        <w:t>Potpore male vrijednosti koje se dodjeljuju u skladu s ovim Programom ne zbrajaju se s državnim potporama u vezi s istim prihvatljivim troškovima niti s državnim potporama za istu mjeru rizičnog financiranja ako bi se takvim zbrajanjem premašio najviši relevantni intenzitet potpore ili iznos potpore koji je za konkretan slučaj utvrđen uredbom o skupnom izuzeću ili odlukom Komisije. Potpore male vrijednosti koje nisu dodijeljene za određene prihvatljive troškove ili se ne mogu se pripisati takvim troškovima mogu se kumulirati s drugim državnim potporama dodijeljenima na temelju uredbe o skupnom izuzeću ili odluke Komisije.</w:t>
      </w:r>
    </w:p>
    <w:p w14:paraId="7A9729CF" w14:textId="58DA8253" w:rsidR="00A607BE" w:rsidRPr="00A607BE" w:rsidRDefault="00A607BE" w:rsidP="00A607BE">
      <w:pPr>
        <w:pStyle w:val="NormalWeb"/>
        <w:numPr>
          <w:ilvl w:val="0"/>
          <w:numId w:val="7"/>
        </w:numPr>
        <w:jc w:val="both"/>
      </w:pPr>
      <w:r w:rsidRPr="00A607BE">
        <w:t>Prilikom utvrđivanja poštuju li se odredbe ovog članka o zbrajanju potpora, u obzir će se uzimati svi iznosi potpora koje su određenom korisniku</w:t>
      </w:r>
      <w:r w:rsidR="00257CCE">
        <w:t xml:space="preserve"> potpore</w:t>
      </w:r>
      <w:r w:rsidRPr="00A607BE">
        <w:t xml:space="preserve">, dodijeljeni iz državnih/javnih izvora, neovisno o tomu radi li se o sredstvima Ministarstva ili drugih davatelja potpora na razini središnje države ili sredstvima dodijeljenim od strane jedinica lokalne i područne (regionalne) samouprave ili sredstvima iz </w:t>
      </w:r>
      <w:r w:rsidR="00905DC2">
        <w:t>fondova Europske unije</w:t>
      </w:r>
      <w:r w:rsidRPr="00A607BE">
        <w:t>.</w:t>
      </w:r>
    </w:p>
    <w:p w14:paraId="142BEB14" w14:textId="5A235E36"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Članak 1</w:t>
      </w:r>
      <w:r w:rsidR="00263CCA">
        <w:rPr>
          <w:rFonts w:ascii="Times New Roman" w:hAnsi="Times New Roman" w:cs="Times New Roman"/>
          <w:b/>
          <w:bCs/>
          <w:color w:val="auto"/>
          <w:sz w:val="24"/>
          <w:szCs w:val="24"/>
        </w:rPr>
        <w:t>0</w:t>
      </w:r>
      <w:r>
        <w:rPr>
          <w:rFonts w:ascii="Times New Roman" w:hAnsi="Times New Roman" w:cs="Times New Roman"/>
          <w:b/>
          <w:bCs/>
          <w:color w:val="auto"/>
          <w:sz w:val="24"/>
          <w:szCs w:val="24"/>
        </w:rPr>
        <w:t xml:space="preserve">. </w:t>
      </w:r>
    </w:p>
    <w:p w14:paraId="73E621EC"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Dodjela potpore male vrijednosti</w:t>
      </w:r>
    </w:p>
    <w:p w14:paraId="5EB05BC2" w14:textId="34878B0D" w:rsidR="00A607BE" w:rsidRDefault="00A607BE" w:rsidP="00766B1F">
      <w:pPr>
        <w:pStyle w:val="NormalWeb"/>
        <w:jc w:val="both"/>
        <w:rPr>
          <w:b/>
          <w:i/>
          <w:iCs/>
        </w:rPr>
      </w:pPr>
      <w:r>
        <w:t>Potpora male vrijednosti sukladno ovom Programu smatra se dodijeljenom danom izvršnosti rješenja o dodjeli potpore, neovisno o datumu isplate potpore korisniku</w:t>
      </w:r>
      <w:r w:rsidR="00257CCE">
        <w:t xml:space="preserve"> potpore</w:t>
      </w:r>
      <w:r>
        <w:t xml:space="preserve">, a o istome će Ministarstvo obavijestiti korisnika </w:t>
      </w:r>
      <w:r w:rsidR="00257CCE">
        <w:t xml:space="preserve">potpore </w:t>
      </w:r>
      <w:r>
        <w:t>dostavom rješenja.</w:t>
      </w:r>
    </w:p>
    <w:p w14:paraId="2EBD1997" w14:textId="12E12736" w:rsidR="00A607BE" w:rsidRDefault="00A607BE" w:rsidP="00A607BE">
      <w:pPr>
        <w:pStyle w:val="Heading2"/>
        <w:jc w:val="center"/>
        <w:rPr>
          <w:rFonts w:ascii="Times New Roman" w:hAnsi="Times New Roman" w:cs="Times New Roman"/>
          <w:b/>
          <w:bCs/>
          <w:color w:val="auto"/>
          <w:sz w:val="24"/>
          <w:szCs w:val="24"/>
        </w:rPr>
      </w:pPr>
      <w:bookmarkStart w:id="8" w:name="_Hlk126145793"/>
      <w:r>
        <w:rPr>
          <w:rFonts w:ascii="Times New Roman" w:hAnsi="Times New Roman" w:cs="Times New Roman"/>
          <w:b/>
          <w:bCs/>
          <w:color w:val="auto"/>
          <w:sz w:val="24"/>
          <w:szCs w:val="24"/>
        </w:rPr>
        <w:lastRenderedPageBreak/>
        <w:t>Članak 1</w:t>
      </w:r>
      <w:r w:rsidR="00263CCA">
        <w:rPr>
          <w:rFonts w:ascii="Times New Roman" w:hAnsi="Times New Roman" w:cs="Times New Roman"/>
          <w:b/>
          <w:bCs/>
          <w:color w:val="auto"/>
          <w:sz w:val="24"/>
          <w:szCs w:val="24"/>
        </w:rPr>
        <w:t>1</w:t>
      </w:r>
      <w:r>
        <w:rPr>
          <w:rFonts w:ascii="Times New Roman" w:hAnsi="Times New Roman" w:cs="Times New Roman"/>
          <w:b/>
          <w:bCs/>
          <w:color w:val="auto"/>
          <w:sz w:val="24"/>
          <w:szCs w:val="24"/>
        </w:rPr>
        <w:t>.</w:t>
      </w:r>
    </w:p>
    <w:p w14:paraId="278B6FDA" w14:textId="6403EDC8"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Prihvatljivost korisnika</w:t>
      </w:r>
      <w:r w:rsidR="00257CCE">
        <w:rPr>
          <w:rFonts w:ascii="Times New Roman" w:hAnsi="Times New Roman" w:cs="Times New Roman"/>
          <w:b/>
          <w:bCs/>
          <w:i/>
          <w:iCs/>
          <w:color w:val="auto"/>
        </w:rPr>
        <w:t xml:space="preserve"> potpore</w:t>
      </w:r>
    </w:p>
    <w:bookmarkEnd w:id="8"/>
    <w:p w14:paraId="2B4EC84D" w14:textId="77777777" w:rsidR="00A607BE" w:rsidRDefault="00A607BE" w:rsidP="00A607BE">
      <w:pPr>
        <w:pStyle w:val="NormalWeb"/>
        <w:numPr>
          <w:ilvl w:val="0"/>
          <w:numId w:val="9"/>
        </w:numPr>
        <w:ind w:left="0" w:firstLine="0"/>
        <w:jc w:val="both"/>
      </w:pPr>
      <w:r>
        <w:t>U okviru ovog Programa, potpora male vrijednosti se ne može dodijeliti:</w:t>
      </w:r>
    </w:p>
    <w:p w14:paraId="722EF3E6" w14:textId="5B99F547" w:rsidR="00A607BE" w:rsidRDefault="00A607BE" w:rsidP="00A607BE">
      <w:pPr>
        <w:pStyle w:val="NormalWeb"/>
        <w:numPr>
          <w:ilvl w:val="0"/>
          <w:numId w:val="10"/>
        </w:numPr>
        <w:jc w:val="both"/>
      </w:pPr>
      <w:r>
        <w:t>poduzetnicima koji podliježu neizvršenom nalogu za povrat sredstava na temelju prethodne odluke Europske komisije kojom se potpora ocjenjuje nezakonitom i nespojivom s unutarnjim tržištem</w:t>
      </w:r>
    </w:p>
    <w:p w14:paraId="0E4FB133" w14:textId="3C637CCC" w:rsidR="00A607BE" w:rsidRDefault="00A607BE" w:rsidP="00A607BE">
      <w:pPr>
        <w:pStyle w:val="NormalWeb"/>
        <w:numPr>
          <w:ilvl w:val="0"/>
          <w:numId w:val="10"/>
        </w:numPr>
        <w:jc w:val="both"/>
      </w:pPr>
      <w:r>
        <w:t>poduzetnicima u teškoćama kako je definirano točkom 20. Smjernica o državnim potporama za sanaciju i restrukturiranje nefinancijskih poduzetnika u teškoćama (SL C 249/1, 31. srpnja 2014.) uključujući poduzetnike koje su u predstečajnom postupku, stečaju ili likvidaciji sukladno odredbama zakona kojim se uređuju ti postupci</w:t>
      </w:r>
    </w:p>
    <w:p w14:paraId="224DA1B5" w14:textId="4FB771BB" w:rsidR="00A607BE" w:rsidRDefault="00A607BE" w:rsidP="00A607BE">
      <w:pPr>
        <w:pStyle w:val="NormalWeb"/>
        <w:numPr>
          <w:ilvl w:val="0"/>
          <w:numId w:val="10"/>
        </w:numPr>
        <w:jc w:val="both"/>
      </w:pPr>
      <w:r>
        <w:t xml:space="preserve">poduzetnicima koji nisu ispunili obveze vezane uz plaćanje dospjelih javnih davanja čiju evidenciju vodi Ministarstvo financija - Porezna uprava </w:t>
      </w:r>
    </w:p>
    <w:p w14:paraId="17416EBA" w14:textId="4B92E1AF" w:rsidR="00A607BE" w:rsidRDefault="00A607BE" w:rsidP="00A607BE">
      <w:pPr>
        <w:pStyle w:val="NormalWeb"/>
        <w:numPr>
          <w:ilvl w:val="0"/>
          <w:numId w:val="10"/>
        </w:numPr>
        <w:jc w:val="both"/>
      </w:pPr>
      <w:r>
        <w:t>poduzetnicima koji nemaju podmirene obveze prema svojim zaposlenicima po bilo kojoj osnovi</w:t>
      </w:r>
    </w:p>
    <w:p w14:paraId="4441A478" w14:textId="616D10B7" w:rsidR="00A607BE" w:rsidRDefault="00A607BE" w:rsidP="00A607BE">
      <w:pPr>
        <w:pStyle w:val="NormalWeb"/>
        <w:numPr>
          <w:ilvl w:val="0"/>
          <w:numId w:val="10"/>
        </w:numPr>
        <w:jc w:val="both"/>
      </w:pPr>
      <w:r>
        <w:t xml:space="preserve">poduzetnicima protiv kojih je izrečena pravomoćna osuđujuća kaznena presuda za jedno ili više kaznenih djela: prijevara, prijevara u gospodarskom poslovanju, preuzimanje mita u gospodarskom poslovanju, zlouporaba u postupku javne nabave, utaja poreza ili carine, subvencijska prijevara, pranje novca,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poduzetnicima i/ili osobama ovlaštenim za zastupanje korisnika potpore u tim poduzetnicima, protiv kojih je izrečena pravomoćna osuđujuća kaznena presuda za jedno ili više kaznenih djela: prijevara, pranje novca ili financiranje terorizma, zlouporaba položaja i ovlasti, nezakonito pogodovanje, primanje mita, davanje mita, trgovanje utjecajem, protuzakonito posredovanje, udruživanje za počinjenje kaznenog djela u sustavu zločinačkog udruženja i zlouporaba obavljanja dužnosti državne vlasti, sudjelovanja u zločinačkoj organizaciji, terorizma ili kaznenih djela povezanih s terorističkim aktivnostima, dječjeg rada ili drugih oblika trgovanja ljudima sukladno odredbama Kaznenog zakona („Narodne novine“, broj 125/11, 144/12, 56/15, 61/15, 101/17, 118/18,126/19, 84/21, </w:t>
      </w:r>
      <w:r w:rsidRPr="00C90BD6">
        <w:t>114/22</w:t>
      </w:r>
      <w:r>
        <w:t xml:space="preserve"> i</w:t>
      </w:r>
      <w:r w:rsidRPr="00C90BD6">
        <w:t xml:space="preserve"> 114/23</w:t>
      </w:r>
      <w:r>
        <w:t>)</w:t>
      </w:r>
    </w:p>
    <w:p w14:paraId="254F73B3" w14:textId="5CE8CCBE" w:rsidR="00A607BE" w:rsidRDefault="00A607BE" w:rsidP="00A607BE">
      <w:pPr>
        <w:pStyle w:val="NormalWeb"/>
        <w:numPr>
          <w:ilvl w:val="0"/>
          <w:numId w:val="10"/>
        </w:numPr>
        <w:jc w:val="both"/>
      </w:pPr>
      <w:r>
        <w:t>poduzetnicima koji se nalaze u postupku povrata državne potpore ili potpore male vrijednosti pokrenutog od strane države članice Europske unije</w:t>
      </w:r>
    </w:p>
    <w:p w14:paraId="74166747" w14:textId="6A036A84" w:rsidR="00A607BE" w:rsidRDefault="00A607BE" w:rsidP="00A607BE">
      <w:pPr>
        <w:pStyle w:val="NormalWeb"/>
        <w:numPr>
          <w:ilvl w:val="0"/>
          <w:numId w:val="10"/>
        </w:numPr>
        <w:jc w:val="both"/>
      </w:pPr>
      <w:r>
        <w:t>poduzetnicima kojima je utvrđeno teško kršenje ugovora zbog neispunjavanja obveza iz Ugovora o dodjeli bespovratnih sredstava, postupaka (su)financiranog sredstvima Europske unije, odnosno ESI fondova</w:t>
      </w:r>
    </w:p>
    <w:p w14:paraId="1A84F30D" w14:textId="201A2D76" w:rsidR="00A607BE" w:rsidRDefault="00A607BE" w:rsidP="00766B1F">
      <w:pPr>
        <w:pStyle w:val="NormalWeb"/>
        <w:numPr>
          <w:ilvl w:val="0"/>
          <w:numId w:val="10"/>
        </w:numPr>
        <w:jc w:val="both"/>
      </w:pPr>
      <w:r>
        <w:t>poduzetnicima koji su za istu namjenu dobili bespovratna sredstva iz državnog proračuna Republike Hrvatske, proračuna Europske unije ili drugih javnih financiranja</w:t>
      </w:r>
    </w:p>
    <w:p w14:paraId="796CEEB2" w14:textId="274EC3BD" w:rsidR="00A607BE" w:rsidRDefault="00A607BE" w:rsidP="009C2B16">
      <w:pPr>
        <w:pStyle w:val="NormalWeb"/>
        <w:numPr>
          <w:ilvl w:val="0"/>
          <w:numId w:val="10"/>
        </w:numPr>
        <w:jc w:val="both"/>
      </w:pPr>
      <w:r>
        <w:t>poduzetnicima u kojima su i/ili osobi ovlaštenoj po zakonu za zastupanje proglašen krivima zbog teškog profesionalnog propusta</w:t>
      </w:r>
    </w:p>
    <w:p w14:paraId="630E0C9C" w14:textId="77777777" w:rsidR="00A607BE" w:rsidRDefault="00A607BE" w:rsidP="009C2B16">
      <w:pPr>
        <w:pStyle w:val="NormalWeb"/>
        <w:numPr>
          <w:ilvl w:val="0"/>
          <w:numId w:val="10"/>
        </w:numPr>
        <w:jc w:val="both"/>
      </w:pPr>
      <w:r>
        <w:t>poduzetnicima koji su u sukobu interesa u postupku dodjele potpore male vrijednosti;</w:t>
      </w:r>
    </w:p>
    <w:p w14:paraId="2D06B6E2" w14:textId="77777777" w:rsidR="00A607BE" w:rsidRDefault="00A607BE" w:rsidP="009C2B16">
      <w:pPr>
        <w:pStyle w:val="NormalWeb"/>
        <w:numPr>
          <w:ilvl w:val="0"/>
          <w:numId w:val="10"/>
        </w:numPr>
        <w:jc w:val="both"/>
      </w:pPr>
      <w:r>
        <w:t>poduzetnicima koji ne udovoljavaju obvezama u skladu s obročnom otplatom duga;</w:t>
      </w:r>
    </w:p>
    <w:p w14:paraId="75A2B964" w14:textId="13B7E229" w:rsidR="00A607BE" w:rsidRDefault="00A607BE" w:rsidP="009C2B16">
      <w:pPr>
        <w:pStyle w:val="NormalWeb"/>
        <w:numPr>
          <w:ilvl w:val="0"/>
          <w:numId w:val="10"/>
        </w:numPr>
        <w:jc w:val="both"/>
      </w:pPr>
      <w:r>
        <w:t>poduzetnicima koji su u postupku prisilnog povrata sredstava</w:t>
      </w:r>
    </w:p>
    <w:p w14:paraId="7EAF217E" w14:textId="06B3DA25" w:rsidR="00A607BE" w:rsidRDefault="00A607BE" w:rsidP="009C2B16">
      <w:pPr>
        <w:pStyle w:val="NormalWeb"/>
        <w:numPr>
          <w:ilvl w:val="0"/>
          <w:numId w:val="10"/>
        </w:numPr>
        <w:jc w:val="both"/>
      </w:pPr>
      <w:r>
        <w:t xml:space="preserve">poduzetnicima koji ne zadovoljavaju uvjete iz članka </w:t>
      </w:r>
      <w:r w:rsidR="001E4AEF">
        <w:t>5</w:t>
      </w:r>
      <w:r>
        <w:t>. ovog Programa</w:t>
      </w:r>
      <w:r w:rsidR="009C2B16">
        <w:t>.</w:t>
      </w:r>
    </w:p>
    <w:p w14:paraId="0DE1B1A1" w14:textId="77777777" w:rsidR="00A607BE" w:rsidRDefault="00A607BE" w:rsidP="00A607BE">
      <w:pPr>
        <w:rPr>
          <w:b/>
          <w:bCs/>
        </w:rPr>
      </w:pPr>
    </w:p>
    <w:p w14:paraId="266827DC" w14:textId="2F8BEEC9"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Članak 1</w:t>
      </w:r>
      <w:r w:rsidR="00263CCA">
        <w:rPr>
          <w:rFonts w:ascii="Times New Roman" w:hAnsi="Times New Roman" w:cs="Times New Roman"/>
          <w:b/>
          <w:bCs/>
          <w:color w:val="auto"/>
          <w:sz w:val="24"/>
          <w:szCs w:val="24"/>
        </w:rPr>
        <w:t>2</w:t>
      </w:r>
      <w:r>
        <w:rPr>
          <w:rFonts w:ascii="Times New Roman" w:hAnsi="Times New Roman" w:cs="Times New Roman"/>
          <w:b/>
          <w:bCs/>
          <w:color w:val="auto"/>
          <w:sz w:val="24"/>
          <w:szCs w:val="24"/>
        </w:rPr>
        <w:t>.</w:t>
      </w:r>
    </w:p>
    <w:p w14:paraId="04CDE982"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Visina potpora</w:t>
      </w:r>
    </w:p>
    <w:p w14:paraId="6A83D7BF" w14:textId="77777777" w:rsidR="00A607BE" w:rsidRDefault="00A607BE" w:rsidP="00A607BE">
      <w:pPr>
        <w:pStyle w:val="NormalWeb"/>
        <w:spacing w:before="0" w:beforeAutospacing="0" w:after="0" w:afterAutospacing="0"/>
        <w:jc w:val="both"/>
      </w:pPr>
    </w:p>
    <w:p w14:paraId="0389A1F3" w14:textId="06C27542" w:rsidR="002F6404" w:rsidRPr="002F6404" w:rsidRDefault="002F6404" w:rsidP="002F6404">
      <w:pPr>
        <w:jc w:val="both"/>
      </w:pPr>
      <w:r w:rsidRPr="002F6404">
        <w:lastRenderedPageBreak/>
        <w:t xml:space="preserve">Do donošenja Odluke iz članka 13. stavka 4. Zakona, podjela </w:t>
      </w:r>
      <w:r w:rsidR="005C7E8B">
        <w:t>k</w:t>
      </w:r>
      <w:r w:rsidRPr="002F6404">
        <w:t xml:space="preserve">orisnika </w:t>
      </w:r>
      <w:r w:rsidR="00257CCE">
        <w:t xml:space="preserve">potpora </w:t>
      </w:r>
      <w:r w:rsidRPr="002F6404">
        <w:t>vršit će se sukladno članku 51. stavak 1. Zakona, a iznos potpore sukladno podjeli iznosi:</w:t>
      </w:r>
    </w:p>
    <w:p w14:paraId="04C7FF4D" w14:textId="106BF0BA" w:rsidR="00A607BE" w:rsidRDefault="00A607BE" w:rsidP="00A607BE">
      <w:pPr>
        <w:pStyle w:val="NormalWeb"/>
        <w:jc w:val="both"/>
      </w:pPr>
      <w:r>
        <w:t xml:space="preserve">a) za </w:t>
      </w:r>
      <w:r w:rsidR="00257CCE">
        <w:t>k</w:t>
      </w:r>
      <w:r>
        <w:t xml:space="preserve">orisnike potpora na otocima prve skupine u iznosu od 100% jedne prosječne isplaćene mjesečne bruto plaće koju isplaćuje </w:t>
      </w:r>
      <w:r w:rsidR="00257CCE">
        <w:t>k</w:t>
      </w:r>
      <w:r>
        <w:t>orisnik potpora, bez doprinosa na plaću, a za otočnog poslodavca koji je samozaposlen jedna prosječna mjesečna neto</w:t>
      </w:r>
      <w:r w:rsidR="009C2B16">
        <w:t xml:space="preserve"> </w:t>
      </w:r>
      <w:r>
        <w:t>plaća u Republici Hrvatskoj, bez doprinosa na plaću, za godinu za koju se potpora dodjeljuje</w:t>
      </w:r>
    </w:p>
    <w:p w14:paraId="0799E912" w14:textId="7BE2325D" w:rsidR="00A607BE" w:rsidRDefault="00A607BE" w:rsidP="00A607BE">
      <w:pPr>
        <w:pStyle w:val="NormalWeb"/>
        <w:spacing w:before="0" w:beforeAutospacing="0" w:after="0" w:afterAutospacing="0"/>
        <w:jc w:val="both"/>
      </w:pPr>
      <w:r>
        <w:t xml:space="preserve">b) za </w:t>
      </w:r>
      <w:r w:rsidR="00257CCE">
        <w:t>k</w:t>
      </w:r>
      <w:r>
        <w:t xml:space="preserve">orisnike potpora na otocima druge skupine u iznosu od 50% jedne prosječne isplaćene mjesečne bruto plaće koju isplaćuje </w:t>
      </w:r>
      <w:r w:rsidR="00257CCE">
        <w:t>k</w:t>
      </w:r>
      <w:r>
        <w:t>orisnik potpora, bez doprinosa na plaću, a za otočnog poslodavca koji je samozaposlen jedna prosječna mjesečna neto</w:t>
      </w:r>
      <w:r w:rsidR="009C2B16">
        <w:t xml:space="preserve"> </w:t>
      </w:r>
      <w:r>
        <w:t>plaća u Republici Hrvatskoj, bez doprinosa na plaću, za godinu za koju se potpora dodjeljuje</w:t>
      </w:r>
      <w:r w:rsidR="009C2B16">
        <w:t>.</w:t>
      </w:r>
    </w:p>
    <w:p w14:paraId="368EFE94" w14:textId="77777777" w:rsidR="00A607BE" w:rsidRDefault="00A607BE" w:rsidP="00A607BE">
      <w:pPr>
        <w:jc w:val="both"/>
      </w:pPr>
    </w:p>
    <w:p w14:paraId="26C93F98" w14:textId="77777777" w:rsidR="00A607BE" w:rsidRDefault="00A607BE" w:rsidP="00A607BE">
      <w:pPr>
        <w:jc w:val="center"/>
        <w:rPr>
          <w:b/>
          <w:bCs/>
        </w:rPr>
      </w:pPr>
    </w:p>
    <w:p w14:paraId="11997D2B" w14:textId="0E8FD238"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Članak 1</w:t>
      </w:r>
      <w:r w:rsidR="00263CCA">
        <w:rPr>
          <w:rFonts w:ascii="Times New Roman" w:hAnsi="Times New Roman" w:cs="Times New Roman"/>
          <w:b/>
          <w:bCs/>
          <w:color w:val="auto"/>
          <w:sz w:val="24"/>
          <w:szCs w:val="24"/>
        </w:rPr>
        <w:t>3</w:t>
      </w:r>
      <w:r>
        <w:rPr>
          <w:rFonts w:ascii="Times New Roman" w:hAnsi="Times New Roman" w:cs="Times New Roman"/>
          <w:b/>
          <w:bCs/>
          <w:color w:val="auto"/>
          <w:sz w:val="24"/>
          <w:szCs w:val="24"/>
        </w:rPr>
        <w:t>.</w:t>
      </w:r>
    </w:p>
    <w:p w14:paraId="48639105" w14:textId="77777777" w:rsidR="00A607BE" w:rsidRDefault="00A607BE" w:rsidP="00A607BE">
      <w:pPr>
        <w:pStyle w:val="Heading3"/>
        <w:jc w:val="center"/>
        <w:rPr>
          <w:rFonts w:ascii="Times New Roman" w:hAnsi="Times New Roman" w:cs="Times New Roman"/>
          <w:b/>
          <w:bCs/>
          <w:i/>
          <w:iCs/>
          <w:color w:val="auto"/>
        </w:rPr>
      </w:pPr>
      <w:r>
        <w:rPr>
          <w:rFonts w:ascii="Times New Roman" w:hAnsi="Times New Roman" w:cs="Times New Roman"/>
          <w:b/>
          <w:bCs/>
          <w:i/>
          <w:iCs/>
          <w:color w:val="auto"/>
        </w:rPr>
        <w:t>Način ostvarivanja potpore</w:t>
      </w:r>
    </w:p>
    <w:p w14:paraId="2EBF41B6" w14:textId="77777777" w:rsidR="00A607BE" w:rsidRDefault="00A607BE" w:rsidP="00A607BE">
      <w:pPr>
        <w:jc w:val="center"/>
      </w:pPr>
    </w:p>
    <w:p w14:paraId="7A48B53C" w14:textId="77777777" w:rsidR="00A607BE" w:rsidRDefault="00A607BE" w:rsidP="00A607BE">
      <w:pPr>
        <w:pStyle w:val="ListParagraph"/>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Ministarstvo kao davatelj potpora male vrijednosti raspisuje Javni poziv.</w:t>
      </w:r>
    </w:p>
    <w:p w14:paraId="525DC1FF" w14:textId="77777777" w:rsidR="00A607BE" w:rsidRDefault="00A607BE" w:rsidP="00A607BE">
      <w:pPr>
        <w:pStyle w:val="ListParagraph"/>
        <w:spacing w:after="0" w:line="240" w:lineRule="auto"/>
        <w:ind w:left="360"/>
        <w:jc w:val="both"/>
        <w:rPr>
          <w:rFonts w:ascii="Times New Roman" w:eastAsia="Times New Roman" w:hAnsi="Times New Roman" w:cs="Times New Roman"/>
          <w:sz w:val="24"/>
          <w:szCs w:val="24"/>
          <w:lang w:eastAsia="hr-HR"/>
        </w:rPr>
      </w:pPr>
    </w:p>
    <w:p w14:paraId="71E82F92" w14:textId="46866111" w:rsidR="00A607BE" w:rsidRDefault="00A607BE" w:rsidP="00A607BE">
      <w:pPr>
        <w:pStyle w:val="ListParagraph"/>
        <w:numPr>
          <w:ilvl w:val="0"/>
          <w:numId w:val="1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Javni poziv mora sadržavati uvjete i kriterije za ostvarivanje prava na potpore, popis dokumentacije koja je potrebna za prijavu, dokaze i izjave o ispunjavanju uvjeta propisanih ovim Programom te rok za podnošenje zahtjeva, koji ne može biti kraći od 15 dana od dana objave Javnog poziva</w:t>
      </w:r>
      <w:r w:rsidR="009C2B16">
        <w:rPr>
          <w:rFonts w:ascii="Times New Roman" w:eastAsia="Times New Roman" w:hAnsi="Times New Roman" w:cs="Times New Roman"/>
          <w:sz w:val="24"/>
          <w:szCs w:val="24"/>
          <w:lang w:eastAsia="hr-HR"/>
        </w:rPr>
        <w:t>.</w:t>
      </w:r>
    </w:p>
    <w:p w14:paraId="7375EF5E" w14:textId="60D628B2"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Članak 1</w:t>
      </w:r>
      <w:r w:rsidR="00263CCA">
        <w:rPr>
          <w:rFonts w:ascii="Times New Roman" w:hAnsi="Times New Roman" w:cs="Times New Roman"/>
          <w:b/>
          <w:bCs/>
          <w:color w:val="auto"/>
          <w:sz w:val="24"/>
          <w:szCs w:val="24"/>
        </w:rPr>
        <w:t>4</w:t>
      </w:r>
      <w:r>
        <w:rPr>
          <w:rFonts w:ascii="Times New Roman" w:hAnsi="Times New Roman" w:cs="Times New Roman"/>
          <w:b/>
          <w:bCs/>
          <w:color w:val="auto"/>
          <w:sz w:val="24"/>
          <w:szCs w:val="24"/>
        </w:rPr>
        <w:t>.</w:t>
      </w:r>
    </w:p>
    <w:p w14:paraId="0E6CE8C1" w14:textId="36F3E76B" w:rsidR="00A607BE" w:rsidRPr="00DB3CFB" w:rsidRDefault="00A607BE" w:rsidP="00A607BE">
      <w:pPr>
        <w:jc w:val="center"/>
        <w:rPr>
          <w:b/>
          <w:bCs/>
          <w:i/>
          <w:iCs/>
        </w:rPr>
      </w:pPr>
      <w:r w:rsidRPr="00DB3CFB">
        <w:rPr>
          <w:b/>
          <w:bCs/>
          <w:i/>
          <w:iCs/>
        </w:rPr>
        <w:t>Povjerenstvo za dodjelu potpora male vrijednosti otočnim poslodavcima za pokretanje gospodarskih aktivnosti i očuvanje radnih mjesta</w:t>
      </w:r>
    </w:p>
    <w:p w14:paraId="0329F47B" w14:textId="77777777" w:rsidR="00A607BE" w:rsidRDefault="00A607BE" w:rsidP="00A607BE">
      <w:pPr>
        <w:jc w:val="center"/>
        <w:rPr>
          <w:b/>
          <w:bCs/>
        </w:rPr>
      </w:pPr>
    </w:p>
    <w:p w14:paraId="7B94C748" w14:textId="544023F2" w:rsidR="00A607BE" w:rsidRDefault="00A607BE" w:rsidP="00A607BE">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sidRPr="00F57F10">
        <w:rPr>
          <w:rFonts w:ascii="Times New Roman" w:eastAsia="Times New Roman" w:hAnsi="Times New Roman" w:cs="Times New Roman"/>
          <w:sz w:val="24"/>
          <w:szCs w:val="24"/>
          <w:lang w:eastAsia="hr-HR"/>
        </w:rPr>
        <w:t xml:space="preserve">Radi ostvarivanja prava na potpore i dodjelu potpora korisnicima potpora Ministarstvo osniva </w:t>
      </w:r>
      <w:bookmarkStart w:id="9" w:name="_Hlk155261154"/>
      <w:r w:rsidRPr="00F57F10">
        <w:rPr>
          <w:rFonts w:ascii="Times New Roman" w:eastAsia="Times New Roman" w:hAnsi="Times New Roman" w:cs="Times New Roman"/>
          <w:sz w:val="24"/>
          <w:szCs w:val="24"/>
          <w:lang w:eastAsia="hr-HR"/>
        </w:rPr>
        <w:t>Povjerenstvo</w:t>
      </w:r>
      <w:r w:rsidR="008F3D15">
        <w:rPr>
          <w:rFonts w:ascii="Times New Roman" w:eastAsia="Times New Roman" w:hAnsi="Times New Roman" w:cs="Times New Roman"/>
          <w:sz w:val="24"/>
          <w:szCs w:val="24"/>
          <w:lang w:eastAsia="hr-HR"/>
        </w:rPr>
        <w:t xml:space="preserve"> </w:t>
      </w:r>
      <w:r w:rsidR="008F3D15" w:rsidRPr="008F3D15">
        <w:rPr>
          <w:rFonts w:ascii="Times New Roman" w:eastAsia="Times New Roman" w:hAnsi="Times New Roman" w:cs="Times New Roman"/>
          <w:sz w:val="24"/>
          <w:szCs w:val="24"/>
          <w:lang w:eastAsia="hr-HR"/>
        </w:rPr>
        <w:t>za dodjelu potpora male vrijednosti otočnim poslodavcima za pokretanje gospodarskih aktivnosti i očuvanje radnih mjesta</w:t>
      </w:r>
      <w:r w:rsidR="008F3D15">
        <w:rPr>
          <w:rFonts w:ascii="Times New Roman" w:eastAsia="Times New Roman" w:hAnsi="Times New Roman" w:cs="Times New Roman"/>
          <w:sz w:val="24"/>
          <w:szCs w:val="24"/>
          <w:lang w:eastAsia="hr-HR"/>
        </w:rPr>
        <w:t xml:space="preserve"> (</w:t>
      </w:r>
      <w:r w:rsidR="008F3D15" w:rsidRPr="008F3D15">
        <w:rPr>
          <w:rFonts w:ascii="Times New Roman" w:eastAsia="Times New Roman" w:hAnsi="Times New Roman" w:cs="Times New Roman"/>
          <w:sz w:val="24"/>
          <w:szCs w:val="24"/>
          <w:lang w:eastAsia="hr-HR"/>
        </w:rPr>
        <w:t xml:space="preserve">u daljnjem tekstu: </w:t>
      </w:r>
      <w:r w:rsidR="008F3D15">
        <w:rPr>
          <w:rFonts w:ascii="Times New Roman" w:eastAsia="Times New Roman" w:hAnsi="Times New Roman" w:cs="Times New Roman"/>
          <w:sz w:val="24"/>
          <w:szCs w:val="24"/>
          <w:lang w:eastAsia="hr-HR"/>
        </w:rPr>
        <w:t>Povjerenstvo</w:t>
      </w:r>
      <w:r w:rsidR="008F3D15" w:rsidRPr="008F3D1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bookmarkEnd w:id="9"/>
    <w:p w14:paraId="15AE02A2" w14:textId="77777777" w:rsidR="00A607BE" w:rsidRPr="00F57F10" w:rsidRDefault="00A607BE" w:rsidP="00A607BE">
      <w:pPr>
        <w:pStyle w:val="ListParagraph"/>
        <w:spacing w:after="0" w:line="240" w:lineRule="auto"/>
        <w:ind w:left="405"/>
        <w:jc w:val="both"/>
        <w:rPr>
          <w:rFonts w:ascii="Times New Roman" w:eastAsia="Times New Roman" w:hAnsi="Times New Roman" w:cs="Times New Roman"/>
          <w:sz w:val="24"/>
          <w:szCs w:val="24"/>
          <w:lang w:eastAsia="hr-HR"/>
        </w:rPr>
      </w:pPr>
    </w:p>
    <w:p w14:paraId="4FA7B36D" w14:textId="48414EAC" w:rsidR="00A607BE" w:rsidRDefault="00A607BE" w:rsidP="00A607BE">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Povjerenstvo imenuje ministar regionaln</w:t>
      </w:r>
      <w:r w:rsidR="008F3D15">
        <w:rPr>
          <w:rFonts w:ascii="Times New Roman" w:eastAsia="Times New Roman" w:hAnsi="Times New Roman" w:cs="Times New Roman"/>
          <w:sz w:val="24"/>
          <w:szCs w:val="24"/>
          <w:lang w:eastAsia="hr-HR"/>
        </w:rPr>
        <w:t>oga</w:t>
      </w:r>
      <w:r>
        <w:rPr>
          <w:rFonts w:ascii="Times New Roman" w:eastAsia="Times New Roman" w:hAnsi="Times New Roman" w:cs="Times New Roman"/>
          <w:sz w:val="24"/>
          <w:szCs w:val="24"/>
          <w:lang w:eastAsia="hr-HR"/>
        </w:rPr>
        <w:t xml:space="preserve"> razvoj</w:t>
      </w:r>
      <w:r w:rsidR="008F3D15">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i fondov</w:t>
      </w:r>
      <w:r w:rsidR="008F3D15">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Europske unije</w:t>
      </w:r>
      <w:r w:rsidR="008F3D15">
        <w:rPr>
          <w:rFonts w:ascii="Times New Roman" w:eastAsia="Times New Roman" w:hAnsi="Times New Roman" w:cs="Times New Roman"/>
          <w:sz w:val="24"/>
          <w:szCs w:val="24"/>
          <w:lang w:eastAsia="hr-HR"/>
        </w:rPr>
        <w:t xml:space="preserve"> </w:t>
      </w:r>
      <w:r w:rsidR="008F3D15" w:rsidRPr="008F3D15">
        <w:rPr>
          <w:rFonts w:ascii="Times New Roman" w:eastAsia="Times New Roman" w:hAnsi="Times New Roman" w:cs="Times New Roman"/>
          <w:sz w:val="24"/>
          <w:szCs w:val="24"/>
          <w:lang w:eastAsia="hr-HR"/>
        </w:rPr>
        <w:t xml:space="preserve">(u daljnjem tekstu: </w:t>
      </w:r>
      <w:r w:rsidR="008F3D15">
        <w:rPr>
          <w:rFonts w:ascii="Times New Roman" w:eastAsia="Times New Roman" w:hAnsi="Times New Roman" w:cs="Times New Roman"/>
          <w:sz w:val="24"/>
          <w:szCs w:val="24"/>
          <w:lang w:eastAsia="hr-HR"/>
        </w:rPr>
        <w:t>ministar)</w:t>
      </w:r>
      <w:r>
        <w:rPr>
          <w:rFonts w:ascii="Times New Roman" w:eastAsia="Times New Roman" w:hAnsi="Times New Roman" w:cs="Times New Roman"/>
          <w:sz w:val="24"/>
          <w:szCs w:val="24"/>
          <w:lang w:eastAsia="hr-HR"/>
        </w:rPr>
        <w:t xml:space="preserve"> i sastoji se od 5 članova.</w:t>
      </w:r>
    </w:p>
    <w:p w14:paraId="6F9B4DBD" w14:textId="77777777" w:rsidR="00A607BE" w:rsidRDefault="00A607BE" w:rsidP="00A607BE">
      <w:pPr>
        <w:pStyle w:val="ListParagraph"/>
        <w:spacing w:after="0" w:line="240" w:lineRule="auto"/>
        <w:ind w:left="405"/>
        <w:jc w:val="both"/>
        <w:rPr>
          <w:rFonts w:ascii="Times New Roman" w:eastAsia="Times New Roman" w:hAnsi="Times New Roman" w:cs="Times New Roman"/>
          <w:sz w:val="24"/>
          <w:szCs w:val="24"/>
          <w:lang w:eastAsia="hr-HR"/>
        </w:rPr>
      </w:pPr>
    </w:p>
    <w:p w14:paraId="68EDCD09" w14:textId="77777777" w:rsidR="00187C3D" w:rsidRDefault="00A607BE" w:rsidP="00A607BE">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sidRPr="000903E9">
        <w:rPr>
          <w:rFonts w:ascii="Times New Roman" w:eastAsia="Times New Roman" w:hAnsi="Times New Roman" w:cs="Times New Roman"/>
          <w:sz w:val="24"/>
          <w:szCs w:val="24"/>
          <w:lang w:eastAsia="hr-HR"/>
        </w:rPr>
        <w:t>Povjerenstvo donosi prijedlog zbirne liste otočnih poslodavaca</w:t>
      </w:r>
      <w:r w:rsidR="008F3D15">
        <w:rPr>
          <w:rFonts w:ascii="Times New Roman" w:eastAsia="Times New Roman" w:hAnsi="Times New Roman" w:cs="Times New Roman"/>
          <w:sz w:val="24"/>
          <w:szCs w:val="24"/>
          <w:lang w:eastAsia="hr-HR"/>
        </w:rPr>
        <w:t xml:space="preserve"> -</w:t>
      </w:r>
      <w:r w:rsidRPr="000903E9">
        <w:rPr>
          <w:rFonts w:ascii="Times New Roman" w:eastAsia="Times New Roman" w:hAnsi="Times New Roman" w:cs="Times New Roman"/>
          <w:sz w:val="24"/>
          <w:szCs w:val="24"/>
          <w:lang w:eastAsia="hr-HR"/>
        </w:rPr>
        <w:t xml:space="preserve"> podnositelja zahtjeva kojima se predlažu dodijeliti potpore male vrijednosti, </w:t>
      </w:r>
      <w:r w:rsidR="009C2B16">
        <w:rPr>
          <w:rFonts w:ascii="Times New Roman" w:eastAsia="Times New Roman" w:hAnsi="Times New Roman" w:cs="Times New Roman"/>
          <w:sz w:val="24"/>
          <w:szCs w:val="24"/>
          <w:lang w:eastAsia="hr-HR"/>
        </w:rPr>
        <w:t xml:space="preserve">te </w:t>
      </w:r>
      <w:r w:rsidRPr="000903E9">
        <w:rPr>
          <w:rFonts w:ascii="Times New Roman" w:eastAsia="Times New Roman" w:hAnsi="Times New Roman" w:cs="Times New Roman"/>
          <w:sz w:val="24"/>
          <w:szCs w:val="24"/>
          <w:lang w:eastAsia="hr-HR"/>
        </w:rPr>
        <w:t>zbirnu listu otočnih poslodavaca koji ne ispunjavaju uvjete za dodjelu potpora male vrijednosti po ovom Programu i Javnom pozivu.</w:t>
      </w:r>
      <w:r w:rsidR="00263CCA">
        <w:rPr>
          <w:rFonts w:ascii="Times New Roman" w:eastAsia="Times New Roman" w:hAnsi="Times New Roman" w:cs="Times New Roman"/>
          <w:sz w:val="24"/>
          <w:szCs w:val="24"/>
          <w:lang w:eastAsia="hr-HR"/>
        </w:rPr>
        <w:t xml:space="preserve"> </w:t>
      </w:r>
    </w:p>
    <w:p w14:paraId="05DFB209" w14:textId="77777777" w:rsidR="00187C3D" w:rsidRPr="005C7E8B" w:rsidRDefault="00187C3D" w:rsidP="005C7E8B">
      <w:pPr>
        <w:pStyle w:val="ListParagraph"/>
        <w:rPr>
          <w:rFonts w:ascii="Times New Roman" w:eastAsia="Times New Roman" w:hAnsi="Times New Roman" w:cs="Times New Roman"/>
          <w:sz w:val="24"/>
          <w:szCs w:val="24"/>
          <w:lang w:eastAsia="hr-HR"/>
        </w:rPr>
      </w:pPr>
    </w:p>
    <w:p w14:paraId="34023024" w14:textId="3EBD7D22" w:rsidR="00A607BE" w:rsidRPr="000903E9" w:rsidRDefault="00A607BE" w:rsidP="00A607BE">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sidRPr="000903E9">
        <w:rPr>
          <w:rFonts w:ascii="Times New Roman" w:eastAsia="Times New Roman" w:hAnsi="Times New Roman" w:cs="Times New Roman"/>
          <w:sz w:val="24"/>
          <w:szCs w:val="24"/>
          <w:lang w:eastAsia="hr-HR"/>
        </w:rPr>
        <w:t>Ako ukupan iznos traženih sredstava po Javnom pozivu premaši iznos ukupno raspoloživih financijskih sredstava</w:t>
      </w:r>
      <w:r w:rsidR="001E4AEF">
        <w:rPr>
          <w:rFonts w:ascii="Times New Roman" w:eastAsia="Times New Roman" w:hAnsi="Times New Roman" w:cs="Times New Roman"/>
          <w:sz w:val="24"/>
          <w:szCs w:val="24"/>
          <w:lang w:eastAsia="hr-HR"/>
        </w:rPr>
        <w:t xml:space="preserve"> iz čl. 15. stavka 1. ovog Programa, </w:t>
      </w:r>
      <w:r w:rsidRPr="000903E9">
        <w:rPr>
          <w:rFonts w:ascii="Times New Roman" w:eastAsia="Times New Roman" w:hAnsi="Times New Roman" w:cs="Times New Roman"/>
          <w:sz w:val="24"/>
          <w:szCs w:val="24"/>
          <w:lang w:eastAsia="hr-HR"/>
        </w:rPr>
        <w:t xml:space="preserve">Povjerenstvo predlaže ministru korektivne faktore u skladu s ukupno raspoloživim financijskim sredstvima. </w:t>
      </w:r>
    </w:p>
    <w:p w14:paraId="52FD9EE2" w14:textId="77777777" w:rsidR="00A607BE" w:rsidRDefault="00A607BE" w:rsidP="00A607BE">
      <w:pPr>
        <w:pStyle w:val="ListParagraph"/>
        <w:rPr>
          <w:rFonts w:ascii="Times New Roman" w:eastAsia="Times New Roman" w:hAnsi="Times New Roman" w:cs="Times New Roman"/>
          <w:sz w:val="24"/>
          <w:szCs w:val="24"/>
          <w:lang w:eastAsia="hr-HR"/>
        </w:rPr>
      </w:pPr>
    </w:p>
    <w:p w14:paraId="66C51AB7" w14:textId="5C375338" w:rsidR="00A607BE" w:rsidRDefault="00A607BE" w:rsidP="00A607BE">
      <w:pPr>
        <w:pStyle w:val="ListParagraph"/>
        <w:numPr>
          <w:ilvl w:val="0"/>
          <w:numId w:val="1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Povjerenstvo dostavlja prijedlog zbirne liste iz stavka 3. ovog članka Ministarstvu, koje donosi rješenja u upravnom postupku, te iste dostavlja korisnicima potpora.</w:t>
      </w:r>
    </w:p>
    <w:p w14:paraId="329EDDC9" w14:textId="77777777" w:rsidR="00A607BE" w:rsidRPr="0007616D" w:rsidRDefault="00A607BE" w:rsidP="00A607BE">
      <w:pPr>
        <w:jc w:val="both"/>
      </w:pPr>
    </w:p>
    <w:p w14:paraId="13AF32CD" w14:textId="56F28426"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Članak 1</w:t>
      </w:r>
      <w:r w:rsidR="00263CCA">
        <w:rPr>
          <w:rFonts w:ascii="Times New Roman" w:hAnsi="Times New Roman" w:cs="Times New Roman"/>
          <w:b/>
          <w:bCs/>
          <w:color w:val="auto"/>
          <w:sz w:val="24"/>
          <w:szCs w:val="24"/>
        </w:rPr>
        <w:t>5</w:t>
      </w:r>
      <w:r>
        <w:rPr>
          <w:rFonts w:ascii="Times New Roman" w:hAnsi="Times New Roman" w:cs="Times New Roman"/>
          <w:b/>
          <w:bCs/>
          <w:color w:val="auto"/>
          <w:sz w:val="24"/>
          <w:szCs w:val="24"/>
        </w:rPr>
        <w:t>.</w:t>
      </w:r>
    </w:p>
    <w:p w14:paraId="433CA097" w14:textId="1056C0B3" w:rsidR="00A607BE" w:rsidRDefault="00766B1F" w:rsidP="00A607BE">
      <w:pPr>
        <w:jc w:val="center"/>
        <w:rPr>
          <w:b/>
          <w:bCs/>
          <w:i/>
          <w:iCs/>
        </w:rPr>
      </w:pPr>
      <w:r w:rsidRPr="00766B1F">
        <w:rPr>
          <w:b/>
          <w:bCs/>
          <w:i/>
          <w:iCs/>
        </w:rPr>
        <w:t>Završne odredbe</w:t>
      </w:r>
    </w:p>
    <w:p w14:paraId="793EF1DF" w14:textId="77777777" w:rsidR="00766B1F" w:rsidRPr="00766B1F" w:rsidRDefault="00766B1F" w:rsidP="00A607BE">
      <w:pPr>
        <w:jc w:val="center"/>
        <w:rPr>
          <w:b/>
          <w:bCs/>
          <w:i/>
          <w:iCs/>
        </w:rPr>
      </w:pPr>
    </w:p>
    <w:p w14:paraId="07E98A97" w14:textId="094ADAAB" w:rsidR="00A607BE" w:rsidRDefault="00A607BE" w:rsidP="00A607BE">
      <w:pPr>
        <w:pStyle w:val="NormalWeb"/>
        <w:numPr>
          <w:ilvl w:val="0"/>
          <w:numId w:val="14"/>
        </w:numPr>
        <w:spacing w:before="0" w:beforeAutospacing="0" w:after="0" w:afterAutospacing="0"/>
        <w:jc w:val="both"/>
      </w:pPr>
      <w:r>
        <w:lastRenderedPageBreak/>
        <w:t>Sredstva raspoloživa za provođenje ovoga Programa, osiguravaju se u državnom proračunu Republike Hrvatske na razdjelu 061 - Ministarstva regionalnog</w:t>
      </w:r>
      <w:r w:rsidR="001533EF">
        <w:t>a</w:t>
      </w:r>
      <w:r>
        <w:t xml:space="preserve"> razvoja i fondova Europske unije, glavi 06105 - Ministarstvo regionalnog</w:t>
      </w:r>
      <w:r w:rsidR="001533EF">
        <w:t>a</w:t>
      </w:r>
      <w:r>
        <w:t xml:space="preserve"> razvoja i fondova Europske unije, programu 2904 - Održivi razvoj Jadranskih otoka, aktivnosti A570356 - Poticanje otočnog gospodarstva.</w:t>
      </w:r>
    </w:p>
    <w:p w14:paraId="25766C25" w14:textId="77777777" w:rsidR="00A607BE" w:rsidRDefault="00A607BE" w:rsidP="00A607BE">
      <w:pPr>
        <w:pStyle w:val="NormalWeb"/>
        <w:spacing w:before="0" w:beforeAutospacing="0" w:after="0" w:afterAutospacing="0"/>
        <w:ind w:left="390"/>
        <w:jc w:val="both"/>
      </w:pPr>
    </w:p>
    <w:p w14:paraId="4B1F7E24" w14:textId="2BDCE846" w:rsidR="00A607BE" w:rsidRDefault="00A607BE" w:rsidP="00A607BE">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Potpore se na temelju ovog Programa dodjeljuju jednokratno, jednom godišnje za obračunsko razdoblje </w:t>
      </w:r>
      <w:r w:rsidR="001E4AEF">
        <w:rPr>
          <w:rFonts w:ascii="Times New Roman" w:eastAsia="Times New Roman" w:hAnsi="Times New Roman" w:cs="Times New Roman"/>
          <w:sz w:val="24"/>
          <w:szCs w:val="24"/>
          <w:lang w:eastAsia="hr-HR"/>
        </w:rPr>
        <w:t xml:space="preserve">definirano javnim pozivom, </w:t>
      </w:r>
      <w:r>
        <w:rPr>
          <w:rFonts w:ascii="Times New Roman" w:eastAsia="Times New Roman" w:hAnsi="Times New Roman" w:cs="Times New Roman"/>
          <w:sz w:val="24"/>
          <w:szCs w:val="24"/>
          <w:lang w:eastAsia="hr-HR"/>
        </w:rPr>
        <w:t xml:space="preserve"> ovisno o mogućnostima i sukladno sredstvima</w:t>
      </w:r>
      <w:r w:rsidR="00A46F6E">
        <w:rPr>
          <w:rFonts w:ascii="Times New Roman" w:eastAsia="Times New Roman" w:hAnsi="Times New Roman" w:cs="Times New Roman"/>
          <w:sz w:val="24"/>
          <w:szCs w:val="24"/>
          <w:lang w:eastAsia="hr-HR"/>
        </w:rPr>
        <w:t xml:space="preserve"> </w:t>
      </w:r>
      <w:r w:rsidR="00A46F6E" w:rsidRPr="00A46F6E">
        <w:rPr>
          <w:rFonts w:ascii="Times New Roman" w:eastAsia="Times New Roman" w:hAnsi="Times New Roman" w:cs="Times New Roman"/>
          <w:sz w:val="24"/>
          <w:szCs w:val="24"/>
          <w:lang w:eastAsia="hr-HR"/>
        </w:rPr>
        <w:t>osigurani</w:t>
      </w:r>
      <w:r w:rsidR="00A46F6E">
        <w:rPr>
          <w:rFonts w:ascii="Times New Roman" w:eastAsia="Times New Roman" w:hAnsi="Times New Roman" w:cs="Times New Roman"/>
          <w:sz w:val="24"/>
          <w:szCs w:val="24"/>
          <w:lang w:eastAsia="hr-HR"/>
        </w:rPr>
        <w:t>m</w:t>
      </w:r>
      <w:r w:rsidR="00A46F6E" w:rsidRPr="00A46F6E">
        <w:rPr>
          <w:rFonts w:ascii="Times New Roman" w:eastAsia="Times New Roman" w:hAnsi="Times New Roman" w:cs="Times New Roman"/>
          <w:sz w:val="24"/>
          <w:szCs w:val="24"/>
          <w:lang w:eastAsia="hr-HR"/>
        </w:rPr>
        <w:t xml:space="preserve"> </w:t>
      </w:r>
      <w:r w:rsidR="00A46F6E">
        <w:rPr>
          <w:rFonts w:ascii="Times New Roman" w:eastAsia="Times New Roman" w:hAnsi="Times New Roman" w:cs="Times New Roman"/>
          <w:sz w:val="24"/>
          <w:szCs w:val="24"/>
          <w:lang w:eastAsia="hr-HR"/>
        </w:rPr>
        <w:t>u državnom proračunu</w:t>
      </w:r>
      <w:r w:rsidR="00187C3D">
        <w:rPr>
          <w:rFonts w:ascii="Times New Roman" w:eastAsia="Times New Roman" w:hAnsi="Times New Roman" w:cs="Times New Roman"/>
          <w:sz w:val="24"/>
          <w:szCs w:val="24"/>
          <w:lang w:eastAsia="hr-HR"/>
        </w:rPr>
        <w:t xml:space="preserve"> Republike Hrvatske</w:t>
      </w:r>
      <w:r w:rsidR="00A46F6E">
        <w:rPr>
          <w:rFonts w:ascii="Times New Roman" w:eastAsia="Times New Roman" w:hAnsi="Times New Roman" w:cs="Times New Roman"/>
          <w:sz w:val="24"/>
          <w:szCs w:val="24"/>
          <w:lang w:eastAsia="hr-HR"/>
        </w:rPr>
        <w:t>.</w:t>
      </w:r>
    </w:p>
    <w:p w14:paraId="1236F57C" w14:textId="77777777" w:rsidR="00A607BE" w:rsidRDefault="00A607BE" w:rsidP="00A607BE">
      <w:pPr>
        <w:pStyle w:val="ListParagraph"/>
        <w:spacing w:after="0" w:line="240" w:lineRule="auto"/>
        <w:ind w:left="390"/>
        <w:jc w:val="both"/>
        <w:rPr>
          <w:rFonts w:ascii="Times New Roman" w:eastAsia="Times New Roman" w:hAnsi="Times New Roman" w:cs="Times New Roman"/>
          <w:sz w:val="24"/>
          <w:szCs w:val="24"/>
          <w:lang w:eastAsia="hr-HR"/>
        </w:rPr>
      </w:pPr>
    </w:p>
    <w:p w14:paraId="617457AF" w14:textId="2259E2DF" w:rsidR="00A607BE" w:rsidRDefault="00A607BE" w:rsidP="00A607BE">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Ministarstvo</w:t>
      </w:r>
      <w:r w:rsidR="00187C3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 skladu</w:t>
      </w:r>
      <w:r w:rsidR="00DB3CFB">
        <w:rPr>
          <w:rFonts w:ascii="Times New Roman" w:eastAsia="Times New Roman" w:hAnsi="Times New Roman" w:cs="Times New Roman"/>
          <w:sz w:val="24"/>
          <w:szCs w:val="24"/>
          <w:lang w:eastAsia="hr-HR"/>
        </w:rPr>
        <w:t xml:space="preserve"> s člankom 6. Uredbe i</w:t>
      </w:r>
      <w:r>
        <w:rPr>
          <w:rFonts w:ascii="Times New Roman" w:eastAsia="Times New Roman" w:hAnsi="Times New Roman" w:cs="Times New Roman"/>
          <w:sz w:val="24"/>
          <w:szCs w:val="24"/>
          <w:lang w:eastAsia="hr-HR"/>
        </w:rPr>
        <w:t xml:space="preserve"> Zakonom o državnim potporama („Narodne novine“, br. 47/14 i 69/17)</w:t>
      </w:r>
      <w:r w:rsidR="00187C3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vodi evidenciju potpora male vrijednosti dodijeljenih na temelju ovog Programa te ih unosi u odgovarajući registar i dostavlja Ministarstvu financija.</w:t>
      </w:r>
    </w:p>
    <w:p w14:paraId="4754B2E9" w14:textId="77777777" w:rsidR="00A607BE" w:rsidRDefault="00A607BE" w:rsidP="00A607BE">
      <w:pPr>
        <w:jc w:val="both"/>
      </w:pPr>
    </w:p>
    <w:p w14:paraId="1760626C" w14:textId="7A115B15" w:rsidR="00A607BE" w:rsidRDefault="00A607BE" w:rsidP="00A607BE">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Podatke koji se odnose na potpore male vrijednosti iz ovog Programa</w:t>
      </w:r>
      <w:r w:rsidR="00187C3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Ministarstvo čuva 10 godina od datuma kada je dodijeljena posljednja pojedinačna potpora iz ovog Programa.</w:t>
      </w:r>
    </w:p>
    <w:p w14:paraId="67AC918A" w14:textId="77777777" w:rsidR="00A607BE" w:rsidRDefault="00A607BE" w:rsidP="00A607BE">
      <w:pPr>
        <w:pStyle w:val="ListParagraph"/>
        <w:spacing w:after="0" w:line="240" w:lineRule="auto"/>
        <w:ind w:left="390"/>
        <w:jc w:val="both"/>
        <w:rPr>
          <w:rFonts w:ascii="Times New Roman" w:eastAsia="Times New Roman" w:hAnsi="Times New Roman" w:cs="Times New Roman"/>
          <w:sz w:val="24"/>
          <w:szCs w:val="24"/>
          <w:lang w:eastAsia="hr-HR"/>
        </w:rPr>
      </w:pPr>
    </w:p>
    <w:p w14:paraId="62583FD6" w14:textId="7E41E486" w:rsidR="00A607BE" w:rsidRDefault="00A607BE" w:rsidP="00A607BE">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Članak 1</w:t>
      </w:r>
      <w:r w:rsidR="00263CCA">
        <w:rPr>
          <w:rFonts w:ascii="Times New Roman" w:hAnsi="Times New Roman" w:cs="Times New Roman"/>
          <w:b/>
          <w:bCs/>
          <w:color w:val="auto"/>
          <w:sz w:val="24"/>
          <w:szCs w:val="24"/>
        </w:rPr>
        <w:t>6</w:t>
      </w:r>
      <w:r>
        <w:rPr>
          <w:rFonts w:ascii="Times New Roman" w:hAnsi="Times New Roman" w:cs="Times New Roman"/>
          <w:b/>
          <w:bCs/>
          <w:color w:val="auto"/>
          <w:sz w:val="24"/>
          <w:szCs w:val="24"/>
        </w:rPr>
        <w:t>.</w:t>
      </w:r>
    </w:p>
    <w:p w14:paraId="6E95D360" w14:textId="77777777" w:rsidR="00A607BE" w:rsidRPr="0007616D" w:rsidRDefault="00A607BE" w:rsidP="00A607BE"/>
    <w:p w14:paraId="3C2A3382" w14:textId="5805D265" w:rsidR="00A607BE" w:rsidRPr="00AF0D93" w:rsidRDefault="00A607BE" w:rsidP="00AF0D93">
      <w:pPr>
        <w:jc w:val="both"/>
      </w:pPr>
      <w:r w:rsidRPr="00043F06">
        <w:t>Ovaj Program stupa na snagu danom donošenja te se objavljuje na mrežnim stranicama Ministarstva.</w:t>
      </w:r>
    </w:p>
    <w:p w14:paraId="3B8DEFE6" w14:textId="77777777" w:rsidR="00A607BE" w:rsidRPr="009025A7" w:rsidRDefault="00A607BE" w:rsidP="008850E1">
      <w:pPr>
        <w:rPr>
          <w:color w:val="000000"/>
        </w:rPr>
      </w:pPr>
    </w:p>
    <w:sectPr w:rsidR="00A607BE" w:rsidRPr="009025A7" w:rsidSect="00E80A15">
      <w:pgSz w:w="11906" w:h="16838" w:code="9"/>
      <w:pgMar w:top="1134" w:right="1418" w:bottom="1247" w:left="1418" w:header="113"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15AE0"/>
    <w:multiLevelType w:val="hybridMultilevel"/>
    <w:tmpl w:val="92D8F9A8"/>
    <w:lvl w:ilvl="0" w:tplc="97C62832">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00B3964"/>
    <w:multiLevelType w:val="hybridMultilevel"/>
    <w:tmpl w:val="232249E4"/>
    <w:lvl w:ilvl="0" w:tplc="1BA4D76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03A3432"/>
    <w:multiLevelType w:val="hybridMultilevel"/>
    <w:tmpl w:val="EE8ADF96"/>
    <w:lvl w:ilvl="0" w:tplc="940037B2">
      <w:start w:val="1"/>
      <w:numFmt w:val="decimal"/>
      <w:lvlText w:val="(%1)"/>
      <w:lvlJc w:val="left"/>
      <w:pPr>
        <w:ind w:left="360" w:hanging="360"/>
      </w:pPr>
      <w:rPr>
        <w:rFonts w:ascii="Times New Roman" w:hAnsi="Times New Roman" w:cs="Times New Roman"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B327945"/>
    <w:multiLevelType w:val="hybridMultilevel"/>
    <w:tmpl w:val="D62CF084"/>
    <w:lvl w:ilvl="0" w:tplc="041A0017">
      <w:start w:val="1"/>
      <w:numFmt w:val="lowerLetter"/>
      <w:lvlText w:val="%1)"/>
      <w:lvlJc w:val="left"/>
      <w:pPr>
        <w:ind w:left="720" w:hanging="360"/>
      </w:pPr>
    </w:lvl>
    <w:lvl w:ilvl="1" w:tplc="EF7E47D4">
      <w:start w:val="1"/>
      <w:numFmt w:val="lowerRoman"/>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072386"/>
    <w:multiLevelType w:val="hybridMultilevel"/>
    <w:tmpl w:val="28B61C26"/>
    <w:lvl w:ilvl="0" w:tplc="939A236C">
      <w:numFmt w:val="bullet"/>
      <w:lvlText w:val="-"/>
      <w:lvlJc w:val="left"/>
      <w:pPr>
        <w:ind w:left="720" w:hanging="360"/>
      </w:pPr>
      <w:rPr>
        <w:rFonts w:ascii="Times New Roman" w:eastAsia="Times New Roman" w:hAnsi="Times New Roman" w:cs="Times New Roman" w:hint="default"/>
      </w:rPr>
    </w:lvl>
    <w:lvl w:ilvl="1" w:tplc="041A0017">
      <w:start w:val="1"/>
      <w:numFmt w:val="lowerLetter"/>
      <w:lvlText w:val="%2)"/>
      <w:lvlJc w:val="left"/>
      <w:pPr>
        <w:ind w:left="1440" w:hanging="360"/>
      </w:pPr>
      <w:rPr>
        <w:rFonts w:hint="default"/>
      </w:rPr>
    </w:lvl>
    <w:lvl w:ilvl="2" w:tplc="939A236C">
      <w:numFmt w:val="bullet"/>
      <w:lvlText w:val="-"/>
      <w:lvlJc w:val="left"/>
      <w:pPr>
        <w:ind w:left="2160" w:hanging="360"/>
      </w:pPr>
      <w:rPr>
        <w:rFonts w:ascii="Times New Roman" w:eastAsia="Times New Roman" w:hAnsi="Times New Roman" w:cs="Times New Roman" w:hint="default"/>
      </w:rPr>
    </w:lvl>
    <w:lvl w:ilvl="3" w:tplc="2D7AF916">
      <w:start w:val="1"/>
      <w:numFmt w:val="decimal"/>
      <w:lvlText w:val="(%4)"/>
      <w:lvlJc w:val="left"/>
      <w:pPr>
        <w:ind w:left="2880" w:hanging="360"/>
      </w:pPr>
      <w:rPr>
        <w:rFont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C52C21"/>
    <w:multiLevelType w:val="hybridMultilevel"/>
    <w:tmpl w:val="47F266A2"/>
    <w:lvl w:ilvl="0" w:tplc="59DCD170">
      <w:start w:val="1"/>
      <w:numFmt w:val="decimal"/>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C26F10"/>
    <w:multiLevelType w:val="hybridMultilevel"/>
    <w:tmpl w:val="26FCFF4C"/>
    <w:lvl w:ilvl="0" w:tplc="AB601F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F112CE"/>
    <w:multiLevelType w:val="hybridMultilevel"/>
    <w:tmpl w:val="C83679E8"/>
    <w:lvl w:ilvl="0" w:tplc="90463DCE">
      <w:start w:val="1"/>
      <w:numFmt w:val="decimal"/>
      <w:lvlText w:val="(%1)"/>
      <w:lvlJc w:val="left"/>
      <w:pPr>
        <w:ind w:left="360" w:hanging="360"/>
      </w:pPr>
      <w:rPr>
        <w:rFonts w:hint="default"/>
        <w:b w:val="0"/>
      </w:rPr>
    </w:lvl>
    <w:lvl w:ilvl="1" w:tplc="A2E0093E">
      <w:start w:val="1"/>
      <w:numFmt w:val="lowerLetter"/>
      <w:lvlText w:val="(%2)"/>
      <w:lvlJc w:val="left"/>
      <w:pPr>
        <w:ind w:left="1080" w:hanging="360"/>
      </w:pPr>
      <w:rPr>
        <w:rFonts w:hint="default"/>
      </w:rPr>
    </w:lvl>
    <w:lvl w:ilvl="2" w:tplc="EF7E47D4">
      <w:start w:val="1"/>
      <w:numFmt w:val="lowerRoman"/>
      <w:lvlText w:val="%3."/>
      <w:lvlJc w:val="left"/>
      <w:pPr>
        <w:ind w:left="2340" w:hanging="72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BEC6CBE"/>
    <w:multiLevelType w:val="hybridMultilevel"/>
    <w:tmpl w:val="1324B5CA"/>
    <w:lvl w:ilvl="0" w:tplc="2BB2B56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3FF167F"/>
    <w:multiLevelType w:val="hybridMultilevel"/>
    <w:tmpl w:val="9AB495A0"/>
    <w:lvl w:ilvl="0" w:tplc="8BF6DAC8">
      <w:start w:val="1"/>
      <w:numFmt w:val="decimal"/>
      <w:lvlText w:val="(%1)"/>
      <w:lvlJc w:val="left"/>
      <w:pPr>
        <w:ind w:left="360" w:hanging="360"/>
      </w:pPr>
      <w:rPr>
        <w:rFonts w:hint="default"/>
        <w:b w:val="0"/>
        <w:bCs/>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60032065"/>
    <w:multiLevelType w:val="hybridMultilevel"/>
    <w:tmpl w:val="D4684ECC"/>
    <w:lvl w:ilvl="0" w:tplc="60AADAF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2E524CE"/>
    <w:multiLevelType w:val="hybridMultilevel"/>
    <w:tmpl w:val="394EC95E"/>
    <w:lvl w:ilvl="0" w:tplc="55AE898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703D17C7"/>
    <w:multiLevelType w:val="hybridMultilevel"/>
    <w:tmpl w:val="D0D074C8"/>
    <w:lvl w:ilvl="0" w:tplc="186C4D10">
      <w:start w:val="2"/>
      <w:numFmt w:val="decimal"/>
      <w:lvlText w:val="(%1)"/>
      <w:lvlJc w:val="left"/>
      <w:pPr>
        <w:ind w:left="360" w:hanging="360"/>
      </w:pPr>
      <w:rPr>
        <w:rFonts w:hint="default"/>
        <w:b w:val="0"/>
        <w:bCs/>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065026"/>
    <w:multiLevelType w:val="hybridMultilevel"/>
    <w:tmpl w:val="CF3263AA"/>
    <w:lvl w:ilvl="0" w:tplc="38B4B6BC">
      <w:start w:val="1"/>
      <w:numFmt w:val="decimal"/>
      <w:lvlText w:val="(%1)"/>
      <w:lvlJc w:val="left"/>
      <w:pPr>
        <w:ind w:left="405" w:hanging="405"/>
      </w:pPr>
      <w:rPr>
        <w:rFonts w:ascii="Times New Roman" w:hAnsi="Times New Roman" w:cs="Times New Roman"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9D65190"/>
    <w:multiLevelType w:val="hybridMultilevel"/>
    <w:tmpl w:val="7C8A3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AA67B79"/>
    <w:multiLevelType w:val="hybridMultilevel"/>
    <w:tmpl w:val="0DF61446"/>
    <w:lvl w:ilvl="0" w:tplc="B8D08D94">
      <w:start w:val="1"/>
      <w:numFmt w:val="decimal"/>
      <w:lvlText w:val="(%1)"/>
      <w:lvlJc w:val="left"/>
      <w:pPr>
        <w:ind w:left="390" w:hanging="390"/>
      </w:pPr>
      <w:rPr>
        <w:rFonts w:ascii="Times New Roman" w:hAnsi="Times New Roman" w:cs="Times New Roman"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648514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70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460476">
    <w:abstractNumId w:val="4"/>
    <w:lvlOverride w:ilvl="0"/>
    <w:lvlOverride w:ilvl="1">
      <w:startOverride w:val="1"/>
    </w:lvlOverride>
    <w:lvlOverride w:ilvl="2"/>
    <w:lvlOverride w:ilvl="3">
      <w:startOverride w:val="1"/>
    </w:lvlOverride>
    <w:lvlOverride w:ilvl="4"/>
    <w:lvlOverride w:ilvl="5"/>
    <w:lvlOverride w:ilvl="6"/>
    <w:lvlOverride w:ilvl="7"/>
    <w:lvlOverride w:ilvl="8"/>
  </w:num>
  <w:num w:numId="4" w16cid:durableId="2043479316">
    <w:abstractNumId w:val="14"/>
  </w:num>
  <w:num w:numId="5" w16cid:durableId="1922986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543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413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4133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379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8764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2969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5334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7733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26968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7672251">
    <w:abstractNumId w:val="10"/>
  </w:num>
  <w:num w:numId="16" w16cid:durableId="1317682114">
    <w:abstractNumId w:val="7"/>
  </w:num>
  <w:num w:numId="17" w16cid:durableId="241136301">
    <w:abstractNumId w:val="4"/>
  </w:num>
  <w:num w:numId="18" w16cid:durableId="601456303">
    <w:abstractNumId w:val="1"/>
  </w:num>
  <w:num w:numId="19" w16cid:durableId="1183934698">
    <w:abstractNumId w:val="3"/>
  </w:num>
  <w:num w:numId="20" w16cid:durableId="678775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562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4D"/>
    <w:rsid w:val="00022E97"/>
    <w:rsid w:val="000746E0"/>
    <w:rsid w:val="000B6459"/>
    <w:rsid w:val="001533EF"/>
    <w:rsid w:val="00161D7B"/>
    <w:rsid w:val="00163A60"/>
    <w:rsid w:val="00183587"/>
    <w:rsid w:val="00187C3D"/>
    <w:rsid w:val="00193B9C"/>
    <w:rsid w:val="001E4AEF"/>
    <w:rsid w:val="00257CCE"/>
    <w:rsid w:val="00263CCA"/>
    <w:rsid w:val="002F6404"/>
    <w:rsid w:val="00327B4D"/>
    <w:rsid w:val="003B4254"/>
    <w:rsid w:val="0045197E"/>
    <w:rsid w:val="004B2FA6"/>
    <w:rsid w:val="0051409C"/>
    <w:rsid w:val="0052640E"/>
    <w:rsid w:val="005670F2"/>
    <w:rsid w:val="005C7E8B"/>
    <w:rsid w:val="005F71CE"/>
    <w:rsid w:val="00705A2C"/>
    <w:rsid w:val="007140BC"/>
    <w:rsid w:val="00766B1F"/>
    <w:rsid w:val="00805E2C"/>
    <w:rsid w:val="00827D0E"/>
    <w:rsid w:val="008A4880"/>
    <w:rsid w:val="008F3D15"/>
    <w:rsid w:val="00905DC2"/>
    <w:rsid w:val="0098439C"/>
    <w:rsid w:val="009C2B16"/>
    <w:rsid w:val="009F010B"/>
    <w:rsid w:val="00A46F6E"/>
    <w:rsid w:val="00A607BE"/>
    <w:rsid w:val="00AF0D93"/>
    <w:rsid w:val="00B27F01"/>
    <w:rsid w:val="00B76C2C"/>
    <w:rsid w:val="00B8748E"/>
    <w:rsid w:val="00C21B94"/>
    <w:rsid w:val="00DB3CFB"/>
    <w:rsid w:val="00E80A15"/>
    <w:rsid w:val="00FA3733"/>
    <w:rsid w:val="00FD0E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DEFBF"/>
  <w15:docId w15:val="{9F783CCC-2427-4C34-83F4-2E1DFB90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607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607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607B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36AC"/>
    <w:pPr>
      <w:tabs>
        <w:tab w:val="center" w:pos="4513"/>
        <w:tab w:val="right" w:pos="9026"/>
      </w:tabs>
    </w:pPr>
  </w:style>
  <w:style w:type="character" w:customStyle="1" w:styleId="HeaderChar">
    <w:name w:val="Header Char"/>
    <w:link w:val="Header"/>
    <w:rsid w:val="00B136AC"/>
    <w:rPr>
      <w:sz w:val="24"/>
      <w:szCs w:val="24"/>
    </w:rPr>
  </w:style>
  <w:style w:type="paragraph" w:styleId="Footer">
    <w:name w:val="footer"/>
    <w:basedOn w:val="Normal"/>
    <w:link w:val="FooterChar"/>
    <w:rsid w:val="00B136AC"/>
    <w:pPr>
      <w:tabs>
        <w:tab w:val="center" w:pos="4513"/>
        <w:tab w:val="right" w:pos="9026"/>
      </w:tabs>
    </w:pPr>
  </w:style>
  <w:style w:type="character" w:customStyle="1" w:styleId="FooterChar">
    <w:name w:val="Footer Char"/>
    <w:link w:val="Footer"/>
    <w:rsid w:val="00B136AC"/>
    <w:rPr>
      <w:sz w:val="24"/>
      <w:szCs w:val="24"/>
    </w:rPr>
  </w:style>
  <w:style w:type="paragraph" w:styleId="BalloonText">
    <w:name w:val="Balloon Text"/>
    <w:basedOn w:val="Normal"/>
    <w:link w:val="BalloonTextChar"/>
    <w:rsid w:val="00B136AC"/>
    <w:rPr>
      <w:rFonts w:ascii="Segoe UI" w:hAnsi="Segoe UI" w:cs="Segoe UI"/>
      <w:sz w:val="18"/>
      <w:szCs w:val="18"/>
    </w:rPr>
  </w:style>
  <w:style w:type="character" w:customStyle="1" w:styleId="BalloonTextChar">
    <w:name w:val="Balloon Text Char"/>
    <w:link w:val="BalloonText"/>
    <w:rsid w:val="00B136AC"/>
    <w:rPr>
      <w:rFonts w:ascii="Segoe UI" w:hAnsi="Segoe UI" w:cs="Segoe UI"/>
      <w:sz w:val="18"/>
      <w:szCs w:val="18"/>
    </w:rPr>
  </w:style>
  <w:style w:type="character" w:customStyle="1" w:styleId="Heading1Char">
    <w:name w:val="Heading 1 Char"/>
    <w:basedOn w:val="DefaultParagraphFont"/>
    <w:link w:val="Heading1"/>
    <w:rsid w:val="00A607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607B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A607B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A607BE"/>
    <w:pPr>
      <w:spacing w:before="100" w:beforeAutospacing="1" w:after="100" w:afterAutospacing="1"/>
    </w:p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
    <w:basedOn w:val="Normal"/>
    <w:uiPriority w:val="99"/>
    <w:qFormat/>
    <w:rsid w:val="00A607BE"/>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A607BE"/>
    <w:rPr>
      <w:sz w:val="16"/>
      <w:szCs w:val="16"/>
    </w:rPr>
  </w:style>
  <w:style w:type="paragraph" w:styleId="CommentText">
    <w:name w:val="annotation text"/>
    <w:basedOn w:val="Normal"/>
    <w:link w:val="CommentTextChar"/>
    <w:rsid w:val="00C21B94"/>
    <w:rPr>
      <w:sz w:val="20"/>
      <w:szCs w:val="20"/>
    </w:rPr>
  </w:style>
  <w:style w:type="character" w:customStyle="1" w:styleId="CommentTextChar">
    <w:name w:val="Comment Text Char"/>
    <w:basedOn w:val="DefaultParagraphFont"/>
    <w:link w:val="CommentText"/>
    <w:rsid w:val="00C21B94"/>
  </w:style>
  <w:style w:type="paragraph" w:styleId="CommentSubject">
    <w:name w:val="annotation subject"/>
    <w:basedOn w:val="CommentText"/>
    <w:next w:val="CommentText"/>
    <w:link w:val="CommentSubjectChar"/>
    <w:rsid w:val="00C21B94"/>
    <w:rPr>
      <w:b/>
      <w:bCs/>
    </w:rPr>
  </w:style>
  <w:style w:type="character" w:customStyle="1" w:styleId="CommentSubjectChar">
    <w:name w:val="Comment Subject Char"/>
    <w:basedOn w:val="CommentTextChar"/>
    <w:link w:val="CommentSubject"/>
    <w:rsid w:val="00C21B94"/>
    <w:rPr>
      <w:b/>
      <w:bCs/>
    </w:rPr>
  </w:style>
  <w:style w:type="paragraph" w:styleId="Revision">
    <w:name w:val="Revision"/>
    <w:hidden/>
    <w:uiPriority w:val="99"/>
    <w:semiHidden/>
    <w:rsid w:val="00705A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A5A17AB3854748AB39EDACBB83456C" ma:contentTypeVersion="1" ma:contentTypeDescription="Create a new document." ma:contentTypeScope="" ma:versionID="905f6f3410ae56c71e0acf19bccba475">
  <xsd:schema xmlns:xsd="http://www.w3.org/2001/XMLSchema" xmlns:xs="http://www.w3.org/2001/XMLSchema" xmlns:p="http://schemas.microsoft.com/office/2006/metadata/properties" xmlns:ns2="a5471eda-c384-4b99-b2a1-b083ab2ecbd0" targetNamespace="http://schemas.microsoft.com/office/2006/metadata/properties" ma:root="true" ma:fieldsID="412205c12f009de87227ffed092e6982" ns2:_="">
    <xsd:import namespace="a5471eda-c384-4b99-b2a1-b083ab2ecbd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71eda-c384-4b99-b2a1-b083ab2ecb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DD492-9750-40CF-B650-E8CA13FC8B46}">
  <ds:schemaRefs>
    <ds:schemaRef ds:uri="http://schemas.microsoft.com/sharepoint/v3/contenttype/forms"/>
  </ds:schemaRefs>
</ds:datastoreItem>
</file>

<file path=customXml/itemProps2.xml><?xml version="1.0" encoding="utf-8"?>
<ds:datastoreItem xmlns:ds="http://schemas.openxmlformats.org/officeDocument/2006/customXml" ds:itemID="{5B55BC90-DF2B-4525-B87D-9B882166E602}">
  <ds:schemaRefs>
    <ds:schemaRef ds:uri="http://schemas.openxmlformats.org/officeDocument/2006/bibliography"/>
  </ds:schemaRefs>
</ds:datastoreItem>
</file>

<file path=customXml/itemProps3.xml><?xml version="1.0" encoding="utf-8"?>
<ds:datastoreItem xmlns:ds="http://schemas.openxmlformats.org/officeDocument/2006/customXml" ds:itemID="{0C8C8CB0-9779-4BA1-8CED-C980C2738D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8436D2-EDAD-4BE2-9D12-AB6D5BCC9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71eda-c384-4b99-b2a1-b083ab2ec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Predlozak</vt:lpstr>
    </vt:vector>
  </TitlesOfParts>
  <Company>RH-TDU</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Luka Krpan</dc:creator>
  <cp:lastModifiedBy>Vedran Klišanić</cp:lastModifiedBy>
  <cp:revision>6</cp:revision>
  <cp:lastPrinted>2024-01-17T08:33:00Z</cp:lastPrinted>
  <dcterms:created xsi:type="dcterms:W3CDTF">2024-01-19T08:13:00Z</dcterms:created>
  <dcterms:modified xsi:type="dcterms:W3CDTF">2024-03-12T09:24:00Z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0x01010096A5A17AB3854748AB39EDACBB83456C</vt:lpwstr>
  </property>
</Properties>
</file>