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10363"/>
      </w:tblGrid>
      <w:tr w:rsidR="00D0100E" w:rsidRPr="00F01753">
        <w:tblPrEx>
          <w:tblCellMar>
            <w:top w:w="0" w:type="dxa"/>
            <w:left w:w="0" w:type="dxa"/>
            <w:bottom w:w="0" w:type="dxa"/>
            <w:right w:w="0" w:type="dxa"/>
          </w:tblCellMar>
        </w:tblPrEx>
        <w:trPr>
          <w:trHeight w:val="628"/>
        </w:trPr>
        <w:tc>
          <w:tcPr>
            <w:tcW w:w="10363" w:type="dxa"/>
          </w:tcPr>
          <w:tbl>
            <w:tblPr>
              <w:tblW w:w="0" w:type="auto"/>
              <w:tblCellMar>
                <w:left w:w="0" w:type="dxa"/>
                <w:right w:w="0" w:type="dxa"/>
              </w:tblCellMar>
              <w:tblLook w:val="0000" w:firstRow="0" w:lastRow="0" w:firstColumn="0" w:lastColumn="0" w:noHBand="0" w:noVBand="0"/>
            </w:tblPr>
            <w:tblGrid>
              <w:gridCol w:w="10363"/>
            </w:tblGrid>
            <w:tr w:rsidR="00D0100E" w:rsidRPr="00F01753">
              <w:tblPrEx>
                <w:tblCellMar>
                  <w:top w:w="0" w:type="dxa"/>
                  <w:left w:w="0" w:type="dxa"/>
                  <w:bottom w:w="0" w:type="dxa"/>
                  <w:right w:w="0" w:type="dxa"/>
                </w:tblCellMar>
              </w:tblPrEx>
              <w:trPr>
                <w:trHeight w:val="550"/>
              </w:trPr>
              <w:tc>
                <w:tcPr>
                  <w:tcW w:w="10363" w:type="dxa"/>
                  <w:tcMar>
                    <w:top w:w="39" w:type="dxa"/>
                    <w:left w:w="39" w:type="dxa"/>
                    <w:bottom w:w="39" w:type="dxa"/>
                    <w:right w:w="39" w:type="dxa"/>
                  </w:tcMar>
                  <w:vAlign w:val="center"/>
                </w:tcPr>
                <w:p w:rsidR="00D0100E" w:rsidRPr="00F01753" w:rsidRDefault="00D0100E">
                  <w:pPr>
                    <w:jc w:val="center"/>
                    <w:rPr>
                      <w:lang w:val="hr-HR"/>
                    </w:rPr>
                  </w:pPr>
                  <w:bookmarkStart w:id="0" w:name="_GoBack"/>
                  <w:bookmarkEnd w:id="0"/>
                  <w:r w:rsidRPr="00F01753">
                    <w:rPr>
                      <w:rFonts w:ascii="Arial" w:eastAsia="Arial" w:hAnsi="Arial"/>
                      <w:color w:val="000000"/>
                      <w:sz w:val="36"/>
                      <w:lang w:val="hr-HR"/>
                    </w:rPr>
                    <w:t>Izvješće o provedenom savjetovanju - Savjetovanje s javnošću o Nacrtu prijedloga Uredbe o lukama i zimovnicima unutarnjih voda</w:t>
                  </w:r>
                </w:p>
              </w:tc>
            </w:tr>
          </w:tbl>
          <w:p w:rsidR="00D0100E" w:rsidRPr="00F01753" w:rsidRDefault="00D0100E">
            <w:pPr>
              <w:rPr>
                <w:lang w:val="hr-HR"/>
              </w:rPr>
            </w:pPr>
          </w:p>
        </w:tc>
      </w:tr>
      <w:tr w:rsidR="00D0100E" w:rsidRPr="00F01753">
        <w:tblPrEx>
          <w:tblCellMar>
            <w:top w:w="0" w:type="dxa"/>
            <w:left w:w="0" w:type="dxa"/>
            <w:bottom w:w="0" w:type="dxa"/>
            <w:right w:w="0" w:type="dxa"/>
          </w:tblCellMar>
        </w:tblPrEx>
        <w:trPr>
          <w:trHeight w:val="269"/>
        </w:trPr>
        <w:tc>
          <w:tcPr>
            <w:tcW w:w="10363" w:type="dxa"/>
          </w:tcPr>
          <w:p w:rsidR="00D0100E" w:rsidRPr="00F01753" w:rsidRDefault="00D0100E">
            <w:pPr>
              <w:pStyle w:val="EmptyLayoutCell"/>
              <w:rPr>
                <w:lang w:val="hr-HR"/>
              </w:rPr>
            </w:pPr>
          </w:p>
        </w:tc>
      </w:tr>
      <w:tr w:rsidR="00D0100E" w:rsidRPr="00F01753">
        <w:tblPrEx>
          <w:tblCellMar>
            <w:top w:w="0" w:type="dxa"/>
            <w:left w:w="0" w:type="dxa"/>
            <w:bottom w:w="0" w:type="dxa"/>
            <w:right w:w="0" w:type="dxa"/>
          </w:tblCellMar>
        </w:tblPrEx>
        <w:tc>
          <w:tcPr>
            <w:tcW w:w="10363" w:type="dxa"/>
          </w:tcPr>
          <w:tbl>
            <w:tblPr>
              <w:tblW w:w="0" w:type="auto"/>
              <w:tblCellMar>
                <w:left w:w="0" w:type="dxa"/>
                <w:right w:w="0" w:type="dxa"/>
              </w:tblCellMar>
              <w:tblLook w:val="0000" w:firstRow="0" w:lastRow="0" w:firstColumn="0" w:lastColumn="0" w:noHBand="0" w:noVBand="0"/>
            </w:tblPr>
            <w:tblGrid>
              <w:gridCol w:w="992"/>
              <w:gridCol w:w="1339"/>
              <w:gridCol w:w="1858"/>
              <w:gridCol w:w="2393"/>
              <w:gridCol w:w="1517"/>
              <w:gridCol w:w="2246"/>
            </w:tblGrid>
            <w:tr w:rsidR="00D0100E" w:rsidRPr="00F01753">
              <w:tblPrEx>
                <w:tblCellMar>
                  <w:top w:w="0" w:type="dxa"/>
                  <w:left w:w="0" w:type="dxa"/>
                  <w:bottom w:w="0" w:type="dxa"/>
                  <w:right w:w="0" w:type="dxa"/>
                </w:tblCellMar>
              </w:tblPrEx>
              <w:trPr>
                <w:trHeight w:val="312"/>
              </w:trPr>
              <w:tc>
                <w:tcPr>
                  <w:tcW w:w="9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Redni broj</w:t>
                  </w:r>
                </w:p>
              </w:tc>
              <w:tc>
                <w:tcPr>
                  <w:tcW w:w="134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Korisnik</w:t>
                  </w:r>
                </w:p>
              </w:tc>
              <w:tc>
                <w:tcPr>
                  <w:tcW w:w="18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Isječak</w:t>
                  </w:r>
                </w:p>
              </w:tc>
              <w:tc>
                <w:tcPr>
                  <w:tcW w:w="23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Komentar</w:t>
                  </w:r>
                </w:p>
              </w:tc>
              <w:tc>
                <w:tcPr>
                  <w:tcW w:w="15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Status odgovora</w:t>
                  </w:r>
                </w:p>
                <w:p w:rsidR="00D0100E" w:rsidRPr="00F01753" w:rsidRDefault="00D0100E">
                  <w:pPr>
                    <w:rPr>
                      <w:lang w:val="hr-HR"/>
                    </w:rPr>
                  </w:pPr>
                </w:p>
              </w:tc>
              <w:tc>
                <w:tcPr>
                  <w:tcW w:w="22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Odgovor</w:t>
                  </w:r>
                </w:p>
              </w:tc>
            </w:tr>
            <w:tr w:rsidR="00D0100E" w:rsidRPr="00F01753">
              <w:tblPrEx>
                <w:tblCellMar>
                  <w:top w:w="0" w:type="dxa"/>
                  <w:left w:w="0" w:type="dxa"/>
                  <w:bottom w:w="0" w:type="dxa"/>
                  <w:right w:w="0" w:type="dxa"/>
                </w:tblCellMar>
              </w:tblPrEx>
              <w:trPr>
                <w:trHeight w:val="312"/>
              </w:trPr>
              <w:tc>
                <w:tcPr>
                  <w:tcW w:w="9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jc w:val="right"/>
                    <w:rPr>
                      <w:lang w:val="hr-HR"/>
                    </w:rPr>
                  </w:pPr>
                  <w:r w:rsidRPr="00F01753">
                    <w:rPr>
                      <w:rFonts w:ascii="Arial" w:eastAsia="Arial" w:hAnsi="Arial"/>
                      <w:color w:val="000000"/>
                      <w:sz w:val="16"/>
                      <w:lang w:val="hr-HR"/>
                    </w:rPr>
                    <w:t>1</w:t>
                  </w:r>
                </w:p>
              </w:tc>
              <w:tc>
                <w:tcPr>
                  <w:tcW w:w="134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TIHANA KUKAVČIĆ</w:t>
                  </w:r>
                </w:p>
              </w:tc>
              <w:tc>
                <w:tcPr>
                  <w:tcW w:w="18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II. RAZVRSTAJ LUKA I PRISTANIŠTA,</w:t>
                  </w:r>
                  <w:r w:rsidRPr="00F01753">
                    <w:rPr>
                      <w:rFonts w:ascii="Arial" w:eastAsia="Arial" w:hAnsi="Arial"/>
                      <w:color w:val="000000"/>
                      <w:sz w:val="16"/>
                      <w:lang w:val="hr-HR"/>
                    </w:rPr>
                    <w:br/>
                    <w:t xml:space="preserve">Članak 12. </w:t>
                  </w:r>
                </w:p>
              </w:tc>
              <w:tc>
                <w:tcPr>
                  <w:tcW w:w="23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D0100E">
                  <w:pPr>
                    <w:rPr>
                      <w:lang w:val="hr-HR"/>
                    </w:rPr>
                  </w:pPr>
                  <w:r w:rsidRPr="00F01753">
                    <w:rPr>
                      <w:rFonts w:ascii="Arial" w:eastAsia="Arial" w:hAnsi="Arial"/>
                      <w:color w:val="000000"/>
                      <w:sz w:val="16"/>
                      <w:lang w:val="hr-HR"/>
                    </w:rPr>
                    <w:t>Članica Udruženja luka, brodara i pomorskih agencija HGK smatra da je u stavku 1. ovoga članka potrebno jasnije definirati da je uvjet otvaranja trgovačkog pristaništa za vlastite potrebe isključivo radi tereta koji nije namijenjen daljnjoj prodaji. Jer ako je namijenjeno daljnjoj prodaji, tada nije za vlastite potrebe stoga predlažu da isti glasi: "„(1) Trgovačko pristanište za vlastite potrebe može se otvoriti na određeni vremenski rok, a najdulje do isteka roka iz ugovora o zakupu vodnog dobra,  isključivo radi ukrcaja i/ili iskrcaja tereta namijenjenog izvođenju radova koji nisu u javnom interesu ili tereta koji nije namijenjen daljnjoj prodaji, pod uvjetom da ukrcaj i/ili iskrcaj tereta nije moguć u najbližoj luci ili je ona toliko udaljena da bi troškovi prijevoza tereta do luke doveli u pitanje isplativost ugovorenog posla.“</w:t>
                  </w:r>
                  <w:r w:rsidRPr="00F01753">
                    <w:rPr>
                      <w:rFonts w:ascii="Arial" w:eastAsia="Arial" w:hAnsi="Arial"/>
                      <w:color w:val="000000"/>
                      <w:sz w:val="16"/>
                      <w:lang w:val="hr-HR"/>
                    </w:rPr>
                    <w:br/>
                  </w:r>
                  <w:r w:rsidRPr="00F01753">
                    <w:rPr>
                      <w:rFonts w:ascii="Arial" w:eastAsia="Arial" w:hAnsi="Arial"/>
                      <w:color w:val="000000"/>
                      <w:sz w:val="16"/>
                      <w:lang w:val="hr-HR"/>
                    </w:rPr>
                    <w:br/>
                    <w:t>Također, vezano uz isti članak ističu kako se omogućavanjem otvaranja trgovačkih pristaništa, može potencijalno stvoriti nelojalna konkurencija lučkim operaterima, a i stavlja se u nepovoljniji položaj lučki koncesionar koji ima obvezu višemilijunskih ulaganja te u skladu s takvim obvezama formirati i cijene o čemu ovisi i njegova konkurentnost. Ovo osobito iz razloga što sama odredba navedenog članka kao razlog otvaranja takvog pristaništa navodi i isplativost ugovorenog posla, no ne i način kako će se takva ne/isplativost dokazivati.</w:t>
                  </w:r>
                </w:p>
              </w:tc>
              <w:tc>
                <w:tcPr>
                  <w:tcW w:w="15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100E" w:rsidRPr="00F01753" w:rsidRDefault="009114DF">
                  <w:pPr>
                    <w:rPr>
                      <w:lang w:val="hr-HR"/>
                    </w:rPr>
                  </w:pPr>
                  <w:r w:rsidRPr="00F01753">
                    <w:rPr>
                      <w:rFonts w:ascii="Arial" w:eastAsia="Arial" w:hAnsi="Arial"/>
                      <w:color w:val="000000"/>
                      <w:sz w:val="16"/>
                      <w:lang w:val="hr-HR"/>
                    </w:rPr>
                    <w:t>Prihvaćen</w:t>
                  </w:r>
                </w:p>
              </w:tc>
              <w:tc>
                <w:tcPr>
                  <w:tcW w:w="22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9114DF" w:rsidRPr="00F01753" w:rsidRDefault="009114DF" w:rsidP="009114DF">
                  <w:pPr>
                    <w:rPr>
                      <w:lang w:val="hr-HR"/>
                    </w:rPr>
                  </w:pPr>
                  <w:r w:rsidRPr="00F01753">
                    <w:rPr>
                      <w:lang w:val="hr-HR"/>
                    </w:rPr>
                    <w:t>Prihvaća se komentar u cijelosti</w:t>
                  </w:r>
                </w:p>
                <w:p w:rsidR="009114DF" w:rsidRPr="00F01753" w:rsidRDefault="009114DF" w:rsidP="009114DF">
                  <w:pPr>
                    <w:rPr>
                      <w:lang w:val="hr-HR"/>
                    </w:rPr>
                  </w:pPr>
                </w:p>
                <w:p w:rsidR="009114DF" w:rsidRPr="00F01753" w:rsidRDefault="009114DF" w:rsidP="009114DF">
                  <w:pPr>
                    <w:rPr>
                      <w:lang w:val="hr-HR"/>
                    </w:rPr>
                  </w:pPr>
                  <w:r w:rsidRPr="00F01753">
                    <w:rPr>
                      <w:lang w:val="hr-HR"/>
                    </w:rPr>
                    <w:t>Članak 12 stavak 1. mijenja se i glasi:</w:t>
                  </w:r>
                </w:p>
                <w:p w:rsidR="009114DF" w:rsidRPr="00F01753" w:rsidRDefault="009114DF" w:rsidP="009114DF">
                  <w:pPr>
                    <w:rPr>
                      <w:lang w:val="hr-HR"/>
                    </w:rPr>
                  </w:pPr>
                </w:p>
                <w:p w:rsidR="00D0100E" w:rsidRPr="00F01753" w:rsidRDefault="009114DF" w:rsidP="009114DF">
                  <w:pPr>
                    <w:rPr>
                      <w:lang w:val="hr-HR"/>
                    </w:rPr>
                  </w:pPr>
                  <w:r w:rsidRPr="00F01753">
                    <w:rPr>
                      <w:lang w:val="hr-HR"/>
                    </w:rPr>
                    <w:t>„ (1) Trgovačko pristanište za vlastite potrebe može se otvoriti na određeni vremenski rok, a najdulje do isteka roka iz ugovora o zakupu vodnog dobra,  isključivo radi ukrcaja i/ili iskrcaja tereta namijenjenog izvođenju radova koji nisu u javnom interesu ili tereta koji nije namijenjen daljnjoj prodaji, pod uvjetom da ukrcaj i/ili iskrcaj tereta nije moguć u najbližoj luci ili je ona toliko udaljena da bi troškovi prijevoza tereta do luke doveli u pitanje isplativost ugovorenog posla. “</w:t>
                  </w:r>
                </w:p>
              </w:tc>
            </w:tr>
          </w:tbl>
          <w:p w:rsidR="00D0100E" w:rsidRPr="00F01753" w:rsidRDefault="00D0100E">
            <w:pPr>
              <w:rPr>
                <w:lang w:val="hr-HR"/>
              </w:rPr>
            </w:pPr>
          </w:p>
        </w:tc>
      </w:tr>
      <w:tr w:rsidR="00D0100E" w:rsidRPr="00F01753">
        <w:tblPrEx>
          <w:tblCellMar>
            <w:top w:w="0" w:type="dxa"/>
            <w:left w:w="0" w:type="dxa"/>
            <w:bottom w:w="0" w:type="dxa"/>
            <w:right w:w="0" w:type="dxa"/>
          </w:tblCellMar>
        </w:tblPrEx>
        <w:trPr>
          <w:trHeight w:val="535"/>
        </w:trPr>
        <w:tc>
          <w:tcPr>
            <w:tcW w:w="10363" w:type="dxa"/>
          </w:tcPr>
          <w:p w:rsidR="00D0100E" w:rsidRPr="00F01753" w:rsidRDefault="00D0100E">
            <w:pPr>
              <w:pStyle w:val="EmptyLayoutCell"/>
              <w:rPr>
                <w:lang w:val="hr-HR"/>
              </w:rPr>
            </w:pPr>
          </w:p>
        </w:tc>
      </w:tr>
    </w:tbl>
    <w:p w:rsidR="00D0100E" w:rsidRPr="00F01753" w:rsidRDefault="00D0100E">
      <w:pPr>
        <w:rPr>
          <w:lang w:val="hr-HR"/>
        </w:rPr>
      </w:pPr>
    </w:p>
    <w:sectPr w:rsidR="00D0100E" w:rsidRPr="00F01753">
      <w:headerReference w:type="default" r:id="rId6"/>
      <w:footerReference w:type="default" r:id="rId7"/>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408" w:rsidRDefault="008C3408">
      <w:r>
        <w:separator/>
      </w:r>
    </w:p>
  </w:endnote>
  <w:endnote w:type="continuationSeparator" w:id="0">
    <w:p w:rsidR="008C3408" w:rsidRDefault="008C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4351"/>
      <w:gridCol w:w="1440"/>
      <w:gridCol w:w="4571"/>
    </w:tblGrid>
    <w:tr w:rsidR="00D0100E">
      <w:tblPrEx>
        <w:tblCellMar>
          <w:top w:w="0" w:type="dxa"/>
          <w:left w:w="0" w:type="dxa"/>
          <w:bottom w:w="0" w:type="dxa"/>
          <w:right w:w="0" w:type="dxa"/>
        </w:tblCellMar>
      </w:tblPrEx>
      <w:tc>
        <w:tcPr>
          <w:tcW w:w="4351" w:type="dxa"/>
        </w:tcPr>
        <w:p w:rsidR="00D0100E" w:rsidRDefault="00D0100E">
          <w:pPr>
            <w:pStyle w:val="EmptyLayoutCell"/>
          </w:pPr>
        </w:p>
      </w:tc>
      <w:tc>
        <w:tcPr>
          <w:tcW w:w="1440" w:type="dxa"/>
        </w:tcPr>
        <w:p w:rsidR="00D0100E" w:rsidRDefault="00D0100E">
          <w:pPr>
            <w:pStyle w:val="EmptyLayoutCell"/>
          </w:pPr>
        </w:p>
      </w:tc>
      <w:tc>
        <w:tcPr>
          <w:tcW w:w="4571" w:type="dxa"/>
        </w:tcPr>
        <w:p w:rsidR="00D0100E" w:rsidRDefault="00D0100E">
          <w:pPr>
            <w:pStyle w:val="EmptyLayoutCell"/>
          </w:pPr>
        </w:p>
      </w:tc>
    </w:tr>
    <w:tr w:rsidR="00D0100E">
      <w:tblPrEx>
        <w:tblCellMar>
          <w:top w:w="0" w:type="dxa"/>
          <w:left w:w="0" w:type="dxa"/>
          <w:bottom w:w="0" w:type="dxa"/>
          <w:right w:w="0" w:type="dxa"/>
        </w:tblCellMar>
      </w:tblPrEx>
      <w:tc>
        <w:tcPr>
          <w:tcW w:w="4351" w:type="dxa"/>
        </w:tcPr>
        <w:p w:rsidR="00D0100E" w:rsidRDefault="00D0100E">
          <w:pPr>
            <w:pStyle w:val="EmptyLayoutCell"/>
          </w:pPr>
        </w:p>
      </w:tc>
      <w:tc>
        <w:tcPr>
          <w:tcW w:w="1440" w:type="dxa"/>
        </w:tcPr>
        <w:tbl>
          <w:tblPr>
            <w:tblW w:w="0" w:type="auto"/>
            <w:tblCellMar>
              <w:left w:w="0" w:type="dxa"/>
              <w:right w:w="0" w:type="dxa"/>
            </w:tblCellMar>
            <w:tblLook w:val="0000" w:firstRow="0" w:lastRow="0" w:firstColumn="0" w:lastColumn="0" w:noHBand="0" w:noVBand="0"/>
          </w:tblPr>
          <w:tblGrid>
            <w:gridCol w:w="1440"/>
          </w:tblGrid>
          <w:tr w:rsidR="00D0100E">
            <w:tblPrEx>
              <w:tblCellMar>
                <w:top w:w="0" w:type="dxa"/>
                <w:left w:w="0" w:type="dxa"/>
                <w:bottom w:w="0" w:type="dxa"/>
                <w:right w:w="0" w:type="dxa"/>
              </w:tblCellMar>
            </w:tblPrEx>
            <w:trPr>
              <w:trHeight w:val="282"/>
            </w:trPr>
            <w:tc>
              <w:tcPr>
                <w:tcW w:w="1440" w:type="dxa"/>
                <w:tcMar>
                  <w:top w:w="39" w:type="dxa"/>
                  <w:left w:w="39" w:type="dxa"/>
                  <w:bottom w:w="39" w:type="dxa"/>
                  <w:right w:w="39" w:type="dxa"/>
                </w:tcMar>
              </w:tcPr>
              <w:p w:rsidR="00D0100E" w:rsidRDefault="00D0100E">
                <w:r>
                  <w:rPr>
                    <w:rFonts w:ascii="Arial" w:eastAsia="Arial" w:hAnsi="Arial"/>
                    <w:color w:val="000000"/>
                  </w:rPr>
                  <w:fldChar w:fldCharType="begin"/>
                </w:r>
                <w:r>
                  <w:rPr>
                    <w:rFonts w:ascii="Arial" w:eastAsia="Arial" w:hAnsi="Arial"/>
                    <w:color w:val="000000"/>
                  </w:rPr>
                  <w:instrText xml:space="preserve"> PAGE </w:instrText>
                </w:r>
                <w:r>
                  <w:rPr>
                    <w:rFonts w:ascii="Arial" w:eastAsia="Arial" w:hAnsi="Arial"/>
                    <w:color w:val="000000"/>
                  </w:rPr>
                  <w:fldChar w:fldCharType="separate"/>
                </w:r>
                <w:r w:rsidR="002C52C4">
                  <w:rPr>
                    <w:rFonts w:ascii="Arial" w:eastAsia="Arial" w:hAnsi="Arial"/>
                    <w:noProof/>
                    <w:color w:val="000000"/>
                  </w:rPr>
                  <w:t>1</w:t>
                </w:r>
                <w:r>
                  <w:rPr>
                    <w:rFonts w:ascii="Arial" w:eastAsia="Arial" w:hAnsi="Arial"/>
                    <w:color w:val="000000"/>
                  </w:rPr>
                  <w:fldChar w:fldCharType="end"/>
                </w:r>
                <w:r>
                  <w:rPr>
                    <w:rFonts w:ascii="Arial" w:eastAsia="Arial" w:hAnsi="Arial"/>
                    <w:color w:val="000000"/>
                  </w:rPr>
                  <w:t>\</w:t>
                </w:r>
                <w:r>
                  <w:rPr>
                    <w:rFonts w:ascii="Arial" w:eastAsia="Arial" w:hAnsi="Arial"/>
                    <w:color w:val="000000"/>
                  </w:rPr>
                  <w:fldChar w:fldCharType="begin"/>
                </w:r>
                <w:r>
                  <w:rPr>
                    <w:rFonts w:ascii="Arial" w:eastAsia="Arial" w:hAnsi="Arial"/>
                    <w:color w:val="000000"/>
                  </w:rPr>
                  <w:instrText xml:space="preserve"> NUMPAGES </w:instrText>
                </w:r>
                <w:r>
                  <w:rPr>
                    <w:rFonts w:ascii="Arial" w:eastAsia="Arial" w:hAnsi="Arial"/>
                    <w:color w:val="000000"/>
                  </w:rPr>
                  <w:fldChar w:fldCharType="separate"/>
                </w:r>
                <w:r w:rsidR="002C52C4">
                  <w:rPr>
                    <w:rFonts w:ascii="Arial" w:eastAsia="Arial" w:hAnsi="Arial"/>
                    <w:noProof/>
                    <w:color w:val="000000"/>
                  </w:rPr>
                  <w:t>1</w:t>
                </w:r>
                <w:r>
                  <w:rPr>
                    <w:rFonts w:ascii="Arial" w:eastAsia="Arial" w:hAnsi="Arial"/>
                    <w:color w:val="000000"/>
                  </w:rPr>
                  <w:fldChar w:fldCharType="end"/>
                </w:r>
              </w:p>
            </w:tc>
          </w:tr>
        </w:tbl>
        <w:p w:rsidR="00D0100E" w:rsidRDefault="00D0100E"/>
      </w:tc>
      <w:tc>
        <w:tcPr>
          <w:tcW w:w="4571" w:type="dxa"/>
        </w:tcPr>
        <w:p w:rsidR="00D0100E" w:rsidRDefault="00D0100E">
          <w:pPr>
            <w:pStyle w:val="EmptyLayoutCell"/>
          </w:pPr>
        </w:p>
      </w:tc>
    </w:tr>
    <w:tr w:rsidR="00D0100E">
      <w:tblPrEx>
        <w:tblCellMar>
          <w:top w:w="0" w:type="dxa"/>
          <w:left w:w="0" w:type="dxa"/>
          <w:bottom w:w="0" w:type="dxa"/>
          <w:right w:w="0" w:type="dxa"/>
        </w:tblCellMar>
      </w:tblPrEx>
      <w:tc>
        <w:tcPr>
          <w:tcW w:w="4351" w:type="dxa"/>
        </w:tcPr>
        <w:p w:rsidR="00D0100E" w:rsidRDefault="00D0100E">
          <w:pPr>
            <w:pStyle w:val="EmptyLayoutCell"/>
          </w:pPr>
        </w:p>
      </w:tc>
      <w:tc>
        <w:tcPr>
          <w:tcW w:w="1440" w:type="dxa"/>
        </w:tcPr>
        <w:p w:rsidR="00D0100E" w:rsidRDefault="00D0100E">
          <w:pPr>
            <w:pStyle w:val="EmptyLayoutCell"/>
          </w:pPr>
        </w:p>
      </w:tc>
      <w:tc>
        <w:tcPr>
          <w:tcW w:w="4571" w:type="dxa"/>
        </w:tcPr>
        <w:p w:rsidR="00D0100E" w:rsidRDefault="00D0100E">
          <w:pPr>
            <w:pStyle w:val="EmptyLayoutCell"/>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408" w:rsidRDefault="008C3408">
      <w:r>
        <w:separator/>
      </w:r>
    </w:p>
  </w:footnote>
  <w:footnote w:type="continuationSeparator" w:id="0">
    <w:p w:rsidR="008C3408" w:rsidRDefault="008C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4DF"/>
    <w:rsid w:val="002C52C4"/>
    <w:rsid w:val="008C3408"/>
    <w:rsid w:val="009114DF"/>
    <w:rsid w:val="00D0100E"/>
    <w:rsid w:val="00E446F9"/>
    <w:rsid w:val="00F017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096FD-B6D4-4BA9-B63F-B758C254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Zadanifontodlomka">
    <w:name w:val="Default Paragraph Font"/>
    <w:semiHidden/>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EConReport</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EConReport</dc:title>
  <dc:subject/>
  <dc:creator>David Radas</dc:creator>
  <cp:keywords/>
  <cp:lastModifiedBy>David Radas</cp:lastModifiedBy>
  <cp:revision>2</cp:revision>
  <dcterms:created xsi:type="dcterms:W3CDTF">2024-07-05T15:17:00Z</dcterms:created>
  <dcterms:modified xsi:type="dcterms:W3CDTF">2024-07-05T15:17:00Z</dcterms:modified>
</cp:coreProperties>
</file>