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5103"/>
      </w:tblGrid>
      <w:tr w:rsidR="00F14AE9" w:rsidRPr="00DA65D6" w14:paraId="3B4F415E" w14:textId="77777777" w:rsidTr="005178C1">
        <w:tc>
          <w:tcPr>
            <w:tcW w:w="9923" w:type="dxa"/>
            <w:gridSpan w:val="4"/>
            <w:shd w:val="clear" w:color="auto" w:fill="auto"/>
          </w:tcPr>
          <w:p w14:paraId="72AEE9E1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  <w:tr w:rsidR="00F14AE9" w:rsidRPr="00DA65D6" w14:paraId="253ADEDE" w14:textId="77777777" w:rsidTr="005178C1">
        <w:tc>
          <w:tcPr>
            <w:tcW w:w="9923" w:type="dxa"/>
            <w:gridSpan w:val="4"/>
            <w:shd w:val="clear" w:color="auto" w:fill="auto"/>
          </w:tcPr>
          <w:p w14:paraId="6A8B8AE3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5C1B35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OBRAZAC ZAKONODAVNIH AKTIVNOSTI</w:t>
            </w:r>
          </w:p>
          <w:p w14:paraId="168C7395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AE9" w:rsidRPr="00DA65D6" w14:paraId="75ADE74F" w14:textId="77777777" w:rsidTr="005178C1">
        <w:tc>
          <w:tcPr>
            <w:tcW w:w="851" w:type="dxa"/>
          </w:tcPr>
          <w:p w14:paraId="5E84A5EA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14:paraId="21DDF5D9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  <w:gridSpan w:val="2"/>
          </w:tcPr>
          <w:p w14:paraId="5B2D58A0" w14:textId="3CF69905" w:rsidR="00F14AE9" w:rsidRPr="00DA65D6" w:rsidRDefault="00F21DB4" w:rsidP="0051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regionalnoga razvoja i fondova EU</w:t>
            </w:r>
          </w:p>
        </w:tc>
      </w:tr>
      <w:tr w:rsidR="00F14AE9" w:rsidRPr="00DA65D6" w14:paraId="4E51694E" w14:textId="77777777" w:rsidTr="005178C1">
        <w:tc>
          <w:tcPr>
            <w:tcW w:w="851" w:type="dxa"/>
            <w:vAlign w:val="bottom"/>
          </w:tcPr>
          <w:p w14:paraId="2B8FC533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14:paraId="458D06F9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F14AE9" w:rsidRPr="00DA65D6" w14:paraId="7B62F181" w14:textId="77777777" w:rsidTr="005178C1">
        <w:tc>
          <w:tcPr>
            <w:tcW w:w="851" w:type="dxa"/>
          </w:tcPr>
          <w:p w14:paraId="2441AFE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07F24E1C" w14:textId="44F758D5" w:rsidR="00F14AE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6E1BB" w14:textId="66AE3502" w:rsidR="00F21DB4" w:rsidRPr="00731F2F" w:rsidRDefault="00F21DB4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2F">
              <w:rPr>
                <w:rFonts w:ascii="Times New Roman" w:hAnsi="Times New Roman" w:cs="Times New Roman"/>
                <w:sz w:val="24"/>
                <w:szCs w:val="24"/>
              </w:rPr>
              <w:t>Nacrt prijedloga</w:t>
            </w:r>
            <w:r w:rsidR="00DD2580" w:rsidRPr="00731F2F">
              <w:rPr>
                <w:rFonts w:ascii="Times New Roman" w:hAnsi="Times New Roman" w:cs="Times New Roman"/>
                <w:sz w:val="24"/>
                <w:szCs w:val="24"/>
              </w:rPr>
              <w:t xml:space="preserve"> Zakona o</w:t>
            </w:r>
            <w:r w:rsidRPr="0073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915" w:rsidRPr="00731F2F">
              <w:rPr>
                <w:rFonts w:ascii="Times New Roman" w:hAnsi="Times New Roman" w:cs="Times New Roman"/>
                <w:sz w:val="24"/>
                <w:szCs w:val="24"/>
              </w:rPr>
              <w:t>izmjena</w:t>
            </w:r>
            <w:r w:rsidR="00DD2580" w:rsidRPr="00731F2F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C85915" w:rsidRPr="00731F2F">
              <w:rPr>
                <w:rFonts w:ascii="Times New Roman" w:hAnsi="Times New Roman" w:cs="Times New Roman"/>
                <w:sz w:val="24"/>
                <w:szCs w:val="24"/>
              </w:rPr>
              <w:t xml:space="preserve"> i dopuna</w:t>
            </w:r>
            <w:r w:rsidR="00DD2580" w:rsidRPr="00731F2F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C85915" w:rsidRPr="0073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580" w:rsidRPr="00731F2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D2580" w:rsidRPr="00731F2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akona o institucionalnom okviru za korištenje fondova Europske unije u Republici Hrvatskoj</w:t>
            </w:r>
          </w:p>
        </w:tc>
        <w:tc>
          <w:tcPr>
            <w:tcW w:w="5103" w:type="dxa"/>
          </w:tcPr>
          <w:p w14:paraId="2E0E731D" w14:textId="7FCF1C19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  <w:r w:rsidR="00F21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1DB4">
              <w:rPr>
                <w:rFonts w:ascii="Times New Roman" w:hAnsi="Times New Roman" w:cs="Times New Roman"/>
                <w:sz w:val="24"/>
                <w:szCs w:val="24"/>
              </w:rPr>
              <w:t>. tromjesečje 2024. godine</w:t>
            </w:r>
          </w:p>
        </w:tc>
      </w:tr>
      <w:tr w:rsidR="00F14AE9" w:rsidRPr="00DA65D6" w14:paraId="40C59A38" w14:textId="77777777" w:rsidTr="005178C1">
        <w:tc>
          <w:tcPr>
            <w:tcW w:w="851" w:type="dxa"/>
          </w:tcPr>
          <w:p w14:paraId="1DD7D721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gridSpan w:val="2"/>
          </w:tcPr>
          <w:p w14:paraId="7C64CAC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1C5150E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590FF90D" w14:textId="77777777" w:rsidTr="005178C1">
        <w:tc>
          <w:tcPr>
            <w:tcW w:w="851" w:type="dxa"/>
          </w:tcPr>
          <w:p w14:paraId="77BA31E7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D1969C6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12FB9857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46636E66" w14:textId="77777777" w:rsidTr="005178C1">
        <w:tc>
          <w:tcPr>
            <w:tcW w:w="851" w:type="dxa"/>
          </w:tcPr>
          <w:p w14:paraId="54D25172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44C1D739" w14:textId="2C9A4BD0" w:rsidR="00F14AE9" w:rsidRDefault="001A2A02" w:rsidP="0061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Sukladno članku 4. stavku 6. važećeg </w:t>
            </w:r>
            <w:r w:rsidR="000C77B5" w:rsidRPr="000C77B5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Zakona o institucionalnom okviru za korištenje fondova Europske unije u Republici Hrvatskoj (Narodne novine, broj 116/21</w:t>
            </w:r>
            <w:r w:rsidR="000C77B5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, dalje u tekstu: Zakon</w:t>
            </w:r>
            <w:r w:rsidR="000C77B5" w:rsidRPr="000C77B5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)</w:t>
            </w:r>
            <w:r w:rsidR="000C77B5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tijelo državne uprave nadležno za poslove regionalnog</w:t>
            </w:r>
            <w:r w:rsidR="000C77B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razvoja i fondova </w:t>
            </w:r>
            <w:r w:rsidR="00731F2F">
              <w:rPr>
                <w:rFonts w:ascii="Times New Roman" w:hAnsi="Times New Roman" w:cs="Times New Roman"/>
                <w:sz w:val="24"/>
                <w:szCs w:val="24"/>
              </w:rPr>
              <w:t>Europske</w:t>
            </w:r>
            <w:r w:rsidR="00DD2580">
              <w:rPr>
                <w:rFonts w:ascii="Times New Roman" w:hAnsi="Times New Roman" w:cs="Times New Roman"/>
                <w:sz w:val="24"/>
                <w:szCs w:val="24"/>
              </w:rPr>
              <w:t xml:space="preserve"> unije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navedeno je kao programsko tijelo u Sustavu upravljanja i kontrole na Programu prekogranične suradnje Mađarska-Hrvatska</w:t>
            </w:r>
            <w:r w:rsidR="00DD2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isto je temeljem Provedbene odluke Europske komisije (C(2024)1989 od 21. ožujka 2024.g.  postalo Upravljačko tijelo na Programu prekogranične suradnje Mađarska-Hrvatska.</w:t>
            </w:r>
          </w:p>
          <w:p w14:paraId="70F1FB84" w14:textId="0DDA11AF" w:rsidR="004B007E" w:rsidRPr="00DD2580" w:rsidRDefault="00E94A31" w:rsidP="00731F2F">
            <w:pPr>
              <w:pStyle w:val="CommentText"/>
              <w:ind w:left="2"/>
              <w:jc w:val="both"/>
              <w:rPr>
                <w:sz w:val="24"/>
                <w:szCs w:val="24"/>
              </w:rPr>
            </w:pPr>
            <w:r w:rsidRPr="001F6A4C">
              <w:rPr>
                <w:sz w:val="24"/>
                <w:szCs w:val="24"/>
              </w:rPr>
              <w:t xml:space="preserve">Također, </w:t>
            </w:r>
            <w:r w:rsidR="000C77B5">
              <w:rPr>
                <w:sz w:val="24"/>
                <w:szCs w:val="24"/>
              </w:rPr>
              <w:t>predlaže se</w:t>
            </w:r>
            <w:r w:rsidRPr="001F6A4C">
              <w:rPr>
                <w:sz w:val="24"/>
                <w:szCs w:val="24"/>
              </w:rPr>
              <w:t xml:space="preserve"> izmjena s obzirom na promjenu naziva programa u financijskoj perspektivi 2021. – 2027. te </w:t>
            </w:r>
            <w:r w:rsidR="000C77B5">
              <w:rPr>
                <w:sz w:val="24"/>
                <w:szCs w:val="24"/>
              </w:rPr>
              <w:t>se usklađuje</w:t>
            </w:r>
            <w:r w:rsidR="004B007E" w:rsidRPr="004B007E">
              <w:rPr>
                <w:sz w:val="24"/>
                <w:szCs w:val="24"/>
              </w:rPr>
              <w:t xml:space="preserve"> terminologij</w:t>
            </w:r>
            <w:r w:rsidR="004B007E">
              <w:rPr>
                <w:sz w:val="24"/>
                <w:szCs w:val="24"/>
              </w:rPr>
              <w:t>a</w:t>
            </w:r>
            <w:r w:rsidR="004B007E" w:rsidRPr="004B007E">
              <w:rPr>
                <w:sz w:val="24"/>
                <w:szCs w:val="24"/>
              </w:rPr>
              <w:t xml:space="preserve"> s Uredbom  (EU) 2021/1059 Europskog parlamenta i Vijeća od 24. lipnja 2021. o posebnim odredbama za cilj „Europska teritorijalna suradnja (</w:t>
            </w:r>
            <w:proofErr w:type="spellStart"/>
            <w:r w:rsidR="004B007E" w:rsidRPr="004B007E">
              <w:rPr>
                <w:sz w:val="24"/>
                <w:szCs w:val="24"/>
              </w:rPr>
              <w:t>Interreg</w:t>
            </w:r>
            <w:proofErr w:type="spellEnd"/>
            <w:r w:rsidR="004B007E" w:rsidRPr="004B007E">
              <w:rPr>
                <w:sz w:val="24"/>
                <w:szCs w:val="24"/>
              </w:rPr>
              <w:t>)“ koji se podupire iz Europskog fonda za regionalni razvoj i iz instrumenta za financiranje vanjskog djelovanja</w:t>
            </w:r>
            <w:r w:rsidR="000C77B5">
              <w:rPr>
                <w:sz w:val="24"/>
                <w:szCs w:val="24"/>
              </w:rPr>
              <w:t>,</w:t>
            </w:r>
            <w:r w:rsidR="004B007E" w:rsidRPr="004B007E">
              <w:rPr>
                <w:sz w:val="24"/>
                <w:szCs w:val="24"/>
              </w:rPr>
              <w:t xml:space="preserve"> na način da </w:t>
            </w:r>
            <w:r w:rsidR="004B007E" w:rsidRPr="00731F2F">
              <w:rPr>
                <w:sz w:val="24"/>
                <w:szCs w:val="24"/>
              </w:rPr>
              <w:t>Jadransko jonski program transnacionalne suradnje</w:t>
            </w:r>
            <w:r w:rsidR="004B007E" w:rsidRPr="00DD2580">
              <w:rPr>
                <w:sz w:val="24"/>
                <w:szCs w:val="24"/>
              </w:rPr>
              <w:t xml:space="preserve"> postaje </w:t>
            </w:r>
            <w:r w:rsidR="004B007E" w:rsidRPr="00731F2F">
              <w:rPr>
                <w:sz w:val="24"/>
                <w:szCs w:val="24"/>
              </w:rPr>
              <w:t xml:space="preserve">Program transnacionalne suradnje IPA </w:t>
            </w:r>
            <w:proofErr w:type="spellStart"/>
            <w:r w:rsidR="004B007E" w:rsidRPr="00731F2F">
              <w:rPr>
                <w:sz w:val="24"/>
                <w:szCs w:val="24"/>
              </w:rPr>
              <w:t>Adrion</w:t>
            </w:r>
            <w:proofErr w:type="spellEnd"/>
            <w:r w:rsidR="004B007E" w:rsidRPr="00DD2580">
              <w:rPr>
                <w:sz w:val="24"/>
                <w:szCs w:val="24"/>
              </w:rPr>
              <w:t xml:space="preserve">. </w:t>
            </w:r>
          </w:p>
          <w:p w14:paraId="238B6792" w14:textId="0E4AE061" w:rsidR="00E94A31" w:rsidRPr="00DA65D6" w:rsidRDefault="00E94A31" w:rsidP="0061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61107C2" w14:textId="4B81F06B" w:rsidR="00F14AE9" w:rsidRPr="000C77B5" w:rsidRDefault="00B162F5" w:rsidP="0061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7B5">
              <w:rPr>
                <w:rFonts w:ascii="Times New Roman" w:hAnsi="Times New Roman" w:cs="Times New Roman"/>
                <w:sz w:val="24"/>
                <w:szCs w:val="24"/>
              </w:rPr>
              <w:t>Jačanje uloge Ministarstva regionalnoga razvoja i fondova E</w:t>
            </w:r>
            <w:r w:rsidR="00DD2580" w:rsidRPr="000C77B5">
              <w:rPr>
                <w:rFonts w:ascii="Times New Roman" w:hAnsi="Times New Roman" w:cs="Times New Roman"/>
                <w:sz w:val="24"/>
                <w:szCs w:val="24"/>
              </w:rPr>
              <w:t>uropske unije</w:t>
            </w:r>
            <w:r w:rsidRPr="000C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580" w:rsidRPr="000C77B5">
              <w:rPr>
                <w:rFonts w:ascii="Times New Roman" w:hAnsi="Times New Roman" w:cs="Times New Roman"/>
                <w:sz w:val="24"/>
                <w:szCs w:val="24"/>
              </w:rPr>
              <w:t xml:space="preserve">kao upravljačkog tijela </w:t>
            </w:r>
            <w:r w:rsidRPr="000C77B5">
              <w:rPr>
                <w:rFonts w:ascii="Times New Roman" w:hAnsi="Times New Roman" w:cs="Times New Roman"/>
                <w:sz w:val="24"/>
                <w:szCs w:val="24"/>
              </w:rPr>
              <w:t xml:space="preserve">na programima  Prekogranične suradnje Mađarska-Hrvatska </w:t>
            </w:r>
            <w:r w:rsidR="00DD2580" w:rsidRPr="000C77B5">
              <w:rPr>
                <w:rFonts w:ascii="Times New Roman" w:hAnsi="Times New Roman" w:cs="Times New Roman"/>
                <w:sz w:val="24"/>
                <w:szCs w:val="24"/>
              </w:rPr>
              <w:t>te terminološko usklađivanje s Uredbom  (EU) 2021/1059 Europskog parlamenta i Vijeća od 24. lipnja 2021.</w:t>
            </w:r>
          </w:p>
        </w:tc>
      </w:tr>
      <w:tr w:rsidR="00F14AE9" w:rsidRPr="00DA65D6" w14:paraId="0D8FA852" w14:textId="77777777" w:rsidTr="005178C1">
        <w:tc>
          <w:tcPr>
            <w:tcW w:w="851" w:type="dxa"/>
          </w:tcPr>
          <w:p w14:paraId="0CC022F7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F700315" w14:textId="423903D3" w:rsidR="00FF554E" w:rsidRDefault="00E94A31" w:rsidP="005718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33A9">
              <w:rPr>
                <w:rFonts w:ascii="Times New Roman" w:hAnsi="Times New Roman" w:cs="Times New Roman"/>
                <w:sz w:val="24"/>
                <w:szCs w:val="24"/>
              </w:rPr>
              <w:t>Člankom 72. stavkom 3. Uredbe 2021/1060 propisano da za fondove</w:t>
            </w:r>
            <w:r>
              <w:t xml:space="preserve"> </w:t>
            </w:r>
            <w:r w:rsidRPr="00E94A31">
              <w:rPr>
                <w:rFonts w:ascii="Times New Roman" w:hAnsi="Times New Roman" w:cs="Times New Roman"/>
                <w:sz w:val="24"/>
                <w:szCs w:val="24"/>
              </w:rPr>
              <w:t xml:space="preserve">Programa Fonda za unutarnju </w:t>
            </w:r>
            <w:r w:rsidRPr="00E94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sigurnost, Programa Fonda za azil, migracije i integraciju te Programa Fonda za integrirano upravljanje granicama, Instrumenta za financijsku potporu u području upravljanja granicama i vizne politike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33A9">
              <w:rPr>
                <w:rFonts w:ascii="Times New Roman" w:hAnsi="Times New Roman" w:cs="Times New Roman"/>
                <w:sz w:val="24"/>
                <w:szCs w:val="24"/>
              </w:rPr>
              <w:t xml:space="preserve">računovodstvenu funkciju izvršava Upravljačko tijelo ili je pod njegovom odgovornošću. </w:t>
            </w:r>
            <w:r w:rsidR="00DD2580">
              <w:rPr>
                <w:rFonts w:ascii="Times New Roman" w:hAnsi="Times New Roman" w:cs="Times New Roman"/>
                <w:sz w:val="24"/>
                <w:szCs w:val="24"/>
              </w:rPr>
              <w:t>Postojeće d</w:t>
            </w:r>
            <w:r w:rsidRPr="00CF33A9">
              <w:rPr>
                <w:rFonts w:ascii="Times New Roman" w:hAnsi="Times New Roman" w:cs="Times New Roman"/>
                <w:sz w:val="24"/>
                <w:szCs w:val="24"/>
              </w:rPr>
              <w:t xml:space="preserve">efiniranje Ministarstva financija kao Tijela nadležnog za računovodstvenu funkciju može dovesti do zablude vezano za nadležnost </w:t>
            </w:r>
            <w:r w:rsidR="00DD258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CF33A9">
              <w:rPr>
                <w:rFonts w:ascii="Times New Roman" w:hAnsi="Times New Roman" w:cs="Times New Roman"/>
                <w:sz w:val="24"/>
                <w:szCs w:val="24"/>
              </w:rPr>
              <w:t xml:space="preserve"> računovodstvenu funkciju. Navedeno je utvrdila i Agencija za reviziju sustava provedbe programa Europske unije u svojoj reviziji sustava upravljanja i kontrole </w:t>
            </w:r>
            <w:r w:rsidR="00FF554E">
              <w:rPr>
                <w:rFonts w:ascii="Times New Roman" w:hAnsi="Times New Roman" w:cs="Times New Roman"/>
                <w:sz w:val="24"/>
                <w:szCs w:val="24"/>
              </w:rPr>
              <w:t>te je dala</w:t>
            </w:r>
            <w:r w:rsidR="00DD2580">
              <w:rPr>
                <w:rFonts w:ascii="Times New Roman" w:hAnsi="Times New Roman" w:cs="Times New Roman"/>
                <w:sz w:val="24"/>
                <w:szCs w:val="24"/>
              </w:rPr>
              <w:t xml:space="preserve"> odgovarajuću</w:t>
            </w:r>
            <w:r w:rsidR="00FF554E">
              <w:rPr>
                <w:rFonts w:ascii="Times New Roman" w:hAnsi="Times New Roman" w:cs="Times New Roman"/>
                <w:sz w:val="24"/>
                <w:szCs w:val="24"/>
              </w:rPr>
              <w:t xml:space="preserve"> preporuku</w:t>
            </w:r>
            <w:r w:rsidRPr="00CF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54E">
              <w:rPr>
                <w:rFonts w:ascii="Times New Roman" w:hAnsi="Times New Roman" w:cs="Times New Roman"/>
                <w:sz w:val="24"/>
                <w:szCs w:val="24"/>
              </w:rPr>
              <w:t xml:space="preserve">za izmjenu </w:t>
            </w:r>
            <w:r w:rsidRPr="00CF33A9">
              <w:rPr>
                <w:rFonts w:ascii="Times New Roman" w:hAnsi="Times New Roman" w:cs="Times New Roman"/>
                <w:sz w:val="24"/>
                <w:szCs w:val="24"/>
              </w:rPr>
              <w:t>Zakona</w:t>
            </w:r>
            <w:r w:rsidR="00DD2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58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F33A9">
              <w:rPr>
                <w:rFonts w:ascii="Times New Roman" w:hAnsi="Times New Roman" w:cs="Times New Roman"/>
                <w:sz w:val="24"/>
                <w:szCs w:val="24"/>
              </w:rPr>
              <w:t xml:space="preserve">toga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će se izmjenom i dopunom Zakona </w:t>
            </w:r>
            <w:r w:rsidR="00FF554E">
              <w:rPr>
                <w:rFonts w:ascii="Times New Roman" w:hAnsi="Times New Roman" w:cs="Times New Roman"/>
                <w:sz w:val="24"/>
                <w:szCs w:val="24"/>
              </w:rPr>
              <w:t xml:space="preserve">za Ministarstvo financija </w:t>
            </w:r>
            <w:r w:rsidRPr="00CF33A9">
              <w:rPr>
                <w:rFonts w:ascii="Times New Roman" w:hAnsi="Times New Roman" w:cs="Times New Roman"/>
                <w:sz w:val="24"/>
                <w:szCs w:val="24"/>
              </w:rPr>
              <w:t>kori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stiti</w:t>
            </w:r>
            <w:r w:rsidRPr="00CF33A9">
              <w:rPr>
                <w:rFonts w:ascii="Times New Roman" w:hAnsi="Times New Roman" w:cs="Times New Roman"/>
                <w:sz w:val="24"/>
                <w:szCs w:val="24"/>
              </w:rPr>
              <w:t xml:space="preserve"> naziv Tijelo nadležno za financijsku funkciju</w:t>
            </w:r>
            <w:r w:rsidR="00FF554E">
              <w:rPr>
                <w:rFonts w:ascii="Times New Roman" w:hAnsi="Times New Roman" w:cs="Times New Roman"/>
                <w:sz w:val="24"/>
                <w:szCs w:val="24"/>
              </w:rPr>
              <w:t xml:space="preserve"> dok  </w:t>
            </w:r>
            <w:r w:rsidR="00FF554E" w:rsidRPr="00FF55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Upravljačko tijelo Ministarstv</w:t>
            </w:r>
            <w:r w:rsidR="00DD25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FF554E" w:rsidRPr="00FF55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unutarnjih poslova Republike Hrvatske</w:t>
            </w:r>
            <w:r w:rsidR="00DD25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FF554E" w:rsidRPr="00FF55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temeljem članka 72. stavka 3. Uredbe</w:t>
            </w:r>
            <w:r w:rsidR="00DD25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FF554E" w:rsidRPr="00FF55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izvršava računovodstvenu funkciju za programe koji primaju potporu iz fondova FUS, FAMI i BMVI</w:t>
            </w:r>
            <w:r w:rsidR="00FF55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420A182D" w14:textId="04F5E182" w:rsidR="00FF554E" w:rsidRPr="00DA65D6" w:rsidRDefault="00FF554E" w:rsidP="0057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103" w:type="dxa"/>
          </w:tcPr>
          <w:p w14:paraId="184E43E7" w14:textId="01E523A5" w:rsidR="00F14AE9" w:rsidRPr="00DA65D6" w:rsidRDefault="00FF554E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Uskla</w:t>
            </w:r>
            <w:r w:rsidR="00DD2580">
              <w:rPr>
                <w:rFonts w:ascii="Times New Roman" w:hAnsi="Times New Roman" w:cs="Times New Roman"/>
                <w:sz w:val="24"/>
                <w:szCs w:val="24"/>
              </w:rPr>
              <w:t>đivanje funkcije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Uredbom 2021/1060 i preporukom Agencije za reviziju sustava upravljanja i kontrole</w:t>
            </w:r>
          </w:p>
        </w:tc>
      </w:tr>
      <w:tr w:rsidR="00F14AE9" w:rsidRPr="00DA65D6" w14:paraId="5938FE25" w14:textId="77777777" w:rsidTr="005178C1">
        <w:tc>
          <w:tcPr>
            <w:tcW w:w="851" w:type="dxa"/>
          </w:tcPr>
          <w:p w14:paraId="3C44C39A" w14:textId="4C7610B9" w:rsidR="00F14AE9" w:rsidRPr="00DA65D6" w:rsidRDefault="00DD2580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  <w:gridSpan w:val="2"/>
          </w:tcPr>
          <w:p w14:paraId="3510C9F5" w14:textId="77777777" w:rsidR="00F14AE9" w:rsidRPr="00DA65D6" w:rsidRDefault="00F14AE9" w:rsidP="0057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60207BC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0F5E5A89" w14:textId="77777777" w:rsidTr="005178C1">
        <w:tc>
          <w:tcPr>
            <w:tcW w:w="851" w:type="dxa"/>
          </w:tcPr>
          <w:p w14:paraId="7A7AB98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E4177DA" w14:textId="73E456DE" w:rsidR="00F14AE9" w:rsidRDefault="00FF554E" w:rsidP="0057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članku 3. stavku 2.</w:t>
            </w:r>
            <w:r w:rsidR="000C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Zakona naveden</w:t>
            </w:r>
            <w:r w:rsidR="00890801">
              <w:rPr>
                <w:rFonts w:ascii="Times New Roman" w:hAnsi="Times New Roman" w:cs="Times New Roman"/>
                <w:sz w:val="24"/>
                <w:szCs w:val="24"/>
              </w:rPr>
              <w:t>i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6C435E" w14:textId="77777777" w:rsidR="00FF554E" w:rsidRDefault="00FF554E" w:rsidP="0057182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Operativni program Konkurentnost i kohezija 2021.-2027.</w:t>
            </w:r>
          </w:p>
          <w:p w14:paraId="711353E9" w14:textId="4FEEAFAB" w:rsidR="00213882" w:rsidRDefault="00FF554E" w:rsidP="0021388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Operativni program Učinkoviti ljudski potencijali 2021.-2027.</w:t>
            </w:r>
          </w:p>
          <w:p w14:paraId="067879D8" w14:textId="77777777" w:rsidR="00AA67D9" w:rsidRPr="00213882" w:rsidRDefault="00AA67D9" w:rsidP="00AA67D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78512" w14:textId="19E573CB" w:rsidR="00571822" w:rsidRDefault="00571822" w:rsidP="0057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F554E">
              <w:rPr>
                <w:rFonts w:ascii="Times New Roman" w:hAnsi="Times New Roman" w:cs="Times New Roman"/>
                <w:sz w:val="24"/>
                <w:szCs w:val="24"/>
              </w:rPr>
              <w:t>z razloga što je predmetni Zakon donesen prije usvajanja programa financijskog razdoblja 2021.-2027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0801">
              <w:rPr>
                <w:rFonts w:ascii="Times New Roman" w:hAnsi="Times New Roman" w:cs="Times New Roman"/>
                <w:sz w:val="24"/>
                <w:szCs w:val="24"/>
              </w:rPr>
              <w:t>te su</w:t>
            </w:r>
            <w:r w:rsidR="00FF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801">
              <w:rPr>
                <w:rFonts w:ascii="Times New Roman" w:hAnsi="Times New Roman" w:cs="Times New Roman"/>
                <w:sz w:val="24"/>
                <w:szCs w:val="24"/>
              </w:rPr>
              <w:t xml:space="preserve">spomenuti </w:t>
            </w:r>
            <w:r w:rsidR="00FF554E">
              <w:rPr>
                <w:rFonts w:ascii="Times New Roman" w:hAnsi="Times New Roman" w:cs="Times New Roman"/>
                <w:sz w:val="24"/>
                <w:szCs w:val="24"/>
              </w:rPr>
              <w:t>nazivi ostali isti kao i u financijsko</w:t>
            </w:r>
            <w:r w:rsidR="0089080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FF554E">
              <w:rPr>
                <w:rFonts w:ascii="Times New Roman" w:hAnsi="Times New Roman" w:cs="Times New Roman"/>
                <w:sz w:val="24"/>
                <w:szCs w:val="24"/>
              </w:rPr>
              <w:t xml:space="preserve"> perspektivi 2014.-2027..</w:t>
            </w:r>
          </w:p>
          <w:p w14:paraId="4A356150" w14:textId="1297F104" w:rsidR="00571822" w:rsidRDefault="00FF554E" w:rsidP="0057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</w:t>
            </w:r>
            <w:r w:rsidR="0089080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9080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dopun</w:t>
            </w:r>
            <w:r w:rsidR="000C77B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9080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Zakona </w:t>
            </w:r>
            <w:r w:rsidR="00890801">
              <w:rPr>
                <w:rFonts w:ascii="Times New Roman" w:hAnsi="Times New Roman" w:cs="Times New Roman"/>
                <w:sz w:val="24"/>
                <w:szCs w:val="24"/>
              </w:rPr>
              <w:t xml:space="preserve">terminološki će 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uskladit</w:t>
            </w:r>
            <w:r w:rsidR="0089080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C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822">
              <w:rPr>
                <w:rFonts w:ascii="Times New Roman" w:hAnsi="Times New Roman" w:cs="Times New Roman"/>
                <w:sz w:val="24"/>
                <w:szCs w:val="24"/>
              </w:rPr>
              <w:t xml:space="preserve">nazivi programa </w:t>
            </w:r>
            <w:r w:rsidR="00890801">
              <w:rPr>
                <w:rFonts w:ascii="Times New Roman" w:hAnsi="Times New Roman" w:cs="Times New Roman"/>
                <w:sz w:val="24"/>
                <w:szCs w:val="24"/>
              </w:rPr>
              <w:t xml:space="preserve">u navedenom članku i stavku </w:t>
            </w:r>
            <w:r w:rsidR="000C77B5">
              <w:rPr>
                <w:rFonts w:ascii="Times New Roman" w:hAnsi="Times New Roman" w:cs="Times New Roman"/>
                <w:sz w:val="24"/>
                <w:szCs w:val="24"/>
              </w:rPr>
              <w:t xml:space="preserve">Zakona </w:t>
            </w:r>
            <w:r w:rsidR="00571822">
              <w:rPr>
                <w:rFonts w:ascii="Times New Roman" w:hAnsi="Times New Roman" w:cs="Times New Roman"/>
                <w:sz w:val="24"/>
                <w:szCs w:val="24"/>
              </w:rPr>
              <w:t>sukladno usvojenim programima</w:t>
            </w:r>
            <w:r w:rsidR="00890801">
              <w:rPr>
                <w:rFonts w:ascii="Times New Roman" w:hAnsi="Times New Roman" w:cs="Times New Roman"/>
                <w:sz w:val="24"/>
                <w:szCs w:val="24"/>
              </w:rPr>
              <w:t xml:space="preserve"> te će isti glasiti</w:t>
            </w:r>
            <w:r w:rsidR="0057182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5D1FCE24" w14:textId="39FDFC8E" w:rsidR="00571822" w:rsidRPr="00571822" w:rsidRDefault="00571822" w:rsidP="005718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Program </w:t>
            </w:r>
            <w:r w:rsidR="0021388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71822">
              <w:rPr>
                <w:rFonts w:ascii="Times New Roman" w:hAnsi="Times New Roman" w:cs="Times New Roman"/>
                <w:sz w:val="24"/>
                <w:szCs w:val="24"/>
              </w:rPr>
              <w:t>onkurentnost i kohezija 2021.-2027.</w:t>
            </w:r>
          </w:p>
          <w:p w14:paraId="512BE241" w14:textId="16A0C31E" w:rsidR="00FF554E" w:rsidRPr="00571822" w:rsidRDefault="00571822" w:rsidP="005718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22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2138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71822">
              <w:rPr>
                <w:rFonts w:ascii="Times New Roman" w:hAnsi="Times New Roman" w:cs="Times New Roman"/>
                <w:sz w:val="24"/>
                <w:szCs w:val="24"/>
              </w:rPr>
              <w:t>činkoviti ljudski potencijali 2021.-2027.</w:t>
            </w:r>
            <w:r w:rsidR="00FF554E" w:rsidRPr="00571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1B93C7A2" w14:textId="25C828A3" w:rsidR="00F14AE9" w:rsidRPr="00DA65D6" w:rsidRDefault="00731F2F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 w:rsidR="00571822">
              <w:rPr>
                <w:rFonts w:ascii="Times New Roman" w:hAnsi="Times New Roman" w:cs="Times New Roman"/>
                <w:sz w:val="24"/>
                <w:szCs w:val="24"/>
              </w:rPr>
              <w:t xml:space="preserve">sklađivanje naziva programa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tekstu Zakona</w:t>
            </w:r>
            <w:r w:rsidR="00571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AE9" w:rsidRPr="00DA65D6" w14:paraId="02C6DFA1" w14:textId="77777777" w:rsidTr="005178C1">
        <w:tc>
          <w:tcPr>
            <w:tcW w:w="851" w:type="dxa"/>
          </w:tcPr>
          <w:p w14:paraId="31C3F497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14:paraId="458B0EE2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IZNIMKE OD POSTUPKA PROCJENE UČINAKA PROPISA</w:t>
            </w:r>
          </w:p>
        </w:tc>
      </w:tr>
      <w:tr w:rsidR="00F14AE9" w:rsidRPr="00DA65D6" w14:paraId="4FD76AD5" w14:textId="77777777" w:rsidTr="005178C1">
        <w:tc>
          <w:tcPr>
            <w:tcW w:w="851" w:type="dxa"/>
          </w:tcPr>
          <w:p w14:paraId="227DC9B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4EAFCA4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48F0902A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14:paraId="7AE4B5A1" w14:textId="77777777" w:rsidTr="005178C1">
        <w:tc>
          <w:tcPr>
            <w:tcW w:w="851" w:type="dxa"/>
          </w:tcPr>
          <w:p w14:paraId="162A437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gridSpan w:val="2"/>
          </w:tcPr>
          <w:p w14:paraId="6E6B477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4A2215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05803200" w14:textId="77777777" w:rsidTr="005178C1">
        <w:tc>
          <w:tcPr>
            <w:tcW w:w="851" w:type="dxa"/>
          </w:tcPr>
          <w:p w14:paraId="3318CAD7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92A5C91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492E04E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729CCAAF" w14:textId="77777777" w:rsidTr="005178C1">
        <w:tc>
          <w:tcPr>
            <w:tcW w:w="851" w:type="dxa"/>
          </w:tcPr>
          <w:p w14:paraId="220AD011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3DCDA2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A9793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4A37152E" w14:textId="77777777" w:rsidTr="005178C1">
        <w:tc>
          <w:tcPr>
            <w:tcW w:w="851" w:type="dxa"/>
          </w:tcPr>
          <w:p w14:paraId="04189E41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  <w:gridSpan w:val="2"/>
          </w:tcPr>
          <w:p w14:paraId="3F7BCEB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BB56D8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378CA858" w14:textId="77777777" w:rsidTr="005178C1">
        <w:tc>
          <w:tcPr>
            <w:tcW w:w="851" w:type="dxa"/>
          </w:tcPr>
          <w:p w14:paraId="3E345057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77FAF025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70DBB3C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04586687" w14:textId="77777777" w:rsidTr="005178C1">
        <w:tc>
          <w:tcPr>
            <w:tcW w:w="851" w:type="dxa"/>
          </w:tcPr>
          <w:p w14:paraId="2A2303B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C529C3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3E97F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104C86D9" w14:textId="77777777" w:rsidTr="005178C1">
        <w:tc>
          <w:tcPr>
            <w:tcW w:w="851" w:type="dxa"/>
          </w:tcPr>
          <w:p w14:paraId="4E61F852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  <w:gridSpan w:val="2"/>
          </w:tcPr>
          <w:p w14:paraId="1F80533C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05D86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28F91BB3" w14:textId="77777777" w:rsidTr="005178C1">
        <w:tc>
          <w:tcPr>
            <w:tcW w:w="851" w:type="dxa"/>
          </w:tcPr>
          <w:p w14:paraId="62DDDD9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748BC55F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311FB89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423FCF0C" w14:textId="77777777" w:rsidTr="005178C1">
        <w:tc>
          <w:tcPr>
            <w:tcW w:w="851" w:type="dxa"/>
          </w:tcPr>
          <w:p w14:paraId="77A86742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28E48E3" w14:textId="77777777" w:rsidR="00F14AE9" w:rsidRPr="00DA65D6" w:rsidRDefault="00F14AE9" w:rsidP="0051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8EF451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2E24C19A" w14:textId="77777777" w:rsidTr="005178C1">
        <w:tc>
          <w:tcPr>
            <w:tcW w:w="851" w:type="dxa"/>
          </w:tcPr>
          <w:p w14:paraId="24F6D082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3"/>
          </w:tcPr>
          <w:p w14:paraId="2BA9DA3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F14AE9" w:rsidRPr="00DA65D6" w14:paraId="0E7F9C50" w14:textId="77777777" w:rsidTr="005178C1">
        <w:tc>
          <w:tcPr>
            <w:tcW w:w="851" w:type="dxa"/>
          </w:tcPr>
          <w:p w14:paraId="5323FA13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14:paraId="263D8F88" w14:textId="77777777" w:rsidR="00F14AE9" w:rsidRPr="00DA65D6" w:rsidRDefault="00F14AE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</w:p>
          <w:p w14:paraId="22B82C13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</w:p>
        </w:tc>
      </w:tr>
      <w:tr w:rsidR="00F14AE9" w:rsidRPr="00DA65D6" w14:paraId="69F16463" w14:textId="77777777" w:rsidTr="005178C1">
        <w:tc>
          <w:tcPr>
            <w:tcW w:w="9923" w:type="dxa"/>
            <w:gridSpan w:val="4"/>
          </w:tcPr>
          <w:p w14:paraId="509C6082" w14:textId="77777777" w:rsidR="00F14AE9" w:rsidRPr="00DA65D6" w:rsidRDefault="00F14AE9" w:rsidP="005178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Uputa:</w:t>
            </w:r>
          </w:p>
          <w:p w14:paraId="1A2F44F4" w14:textId="77777777" w:rsidR="00F14AE9" w:rsidRPr="00DA65D6" w:rsidRDefault="00F14AE9" w:rsidP="00F14AE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1.: navesti naziv tijela državne uprave</w:t>
            </w:r>
          </w:p>
          <w:p w14:paraId="2275036F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14:paraId="7E11750A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14:paraId="7EC3F7EA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Točka 4. ovjera čelnika stručnog nositelja </w:t>
            </w:r>
          </w:p>
          <w:p w14:paraId="3F0AD2CE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1D45F9FC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akta strateškog planiranja ili reformske mjere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20940786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</w:tbl>
    <w:p w14:paraId="6CA51975" w14:textId="77777777"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9A3F52"/>
    <w:multiLevelType w:val="hybridMultilevel"/>
    <w:tmpl w:val="24BA45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930C2"/>
    <w:multiLevelType w:val="hybridMultilevel"/>
    <w:tmpl w:val="B64CF0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6971">
    <w:abstractNumId w:val="1"/>
  </w:num>
  <w:num w:numId="2" w16cid:durableId="264970372">
    <w:abstractNumId w:val="0"/>
  </w:num>
  <w:num w:numId="3" w16cid:durableId="1650359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E9"/>
    <w:rsid w:val="00050C2A"/>
    <w:rsid w:val="000905FC"/>
    <w:rsid w:val="000A17E4"/>
    <w:rsid w:val="000C77B5"/>
    <w:rsid w:val="001A2A02"/>
    <w:rsid w:val="00213882"/>
    <w:rsid w:val="00385977"/>
    <w:rsid w:val="003931FF"/>
    <w:rsid w:val="004B007E"/>
    <w:rsid w:val="00571822"/>
    <w:rsid w:val="00616F55"/>
    <w:rsid w:val="00731F2F"/>
    <w:rsid w:val="00733E48"/>
    <w:rsid w:val="00786440"/>
    <w:rsid w:val="00890801"/>
    <w:rsid w:val="00913529"/>
    <w:rsid w:val="00AA60BC"/>
    <w:rsid w:val="00AA67D9"/>
    <w:rsid w:val="00B162F5"/>
    <w:rsid w:val="00C0369E"/>
    <w:rsid w:val="00C85915"/>
    <w:rsid w:val="00DD2580"/>
    <w:rsid w:val="00E2116E"/>
    <w:rsid w:val="00E94A31"/>
    <w:rsid w:val="00F14AE9"/>
    <w:rsid w:val="00F21DB4"/>
    <w:rsid w:val="00F621D1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8887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TableGrid">
    <w:name w:val="Table Grid"/>
    <w:basedOn w:val="TableNormal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4B0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4B007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CommentReference">
    <w:name w:val="annotation reference"/>
    <w:semiHidden/>
    <w:rsid w:val="00FF554E"/>
    <w:rPr>
      <w:sz w:val="16"/>
      <w:szCs w:val="16"/>
    </w:rPr>
  </w:style>
  <w:style w:type="paragraph" w:styleId="Revision">
    <w:name w:val="Revision"/>
    <w:hidden/>
    <w:uiPriority w:val="99"/>
    <w:semiHidden/>
    <w:rsid w:val="00DD2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Iva Novoselac Miholić</cp:lastModifiedBy>
  <cp:revision>3</cp:revision>
  <dcterms:created xsi:type="dcterms:W3CDTF">2024-06-07T12:55:00Z</dcterms:created>
  <dcterms:modified xsi:type="dcterms:W3CDTF">2024-06-10T07:27:00Z</dcterms:modified>
</cp:coreProperties>
</file>