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3"/>
      </w:tblGrid>
      <w:tr w:rsidR="007E6980" w:rsidRPr="009E3DF4">
        <w:trPr>
          <w:trHeight w:val="628"/>
        </w:trPr>
        <w:tc>
          <w:tcPr>
            <w:tcW w:w="103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E6980" w:rsidRPr="009E3DF4">
              <w:trPr>
                <w:trHeight w:val="550"/>
              </w:trPr>
              <w:tc>
                <w:tcPr>
                  <w:tcW w:w="103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E6980" w:rsidRPr="009E3DF4" w:rsidRDefault="007E6980">
                  <w:pPr>
                    <w:jc w:val="center"/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36"/>
                      <w:lang w:val="hr-HR"/>
                    </w:rPr>
                    <w:t>Izvješće o provedenom savjetovanju - Savjetovanje s javnošću o Nacrtu prijedloga zakona o izmjenama i dopunama Zakona o željeznici</w:t>
                  </w:r>
                </w:p>
              </w:tc>
            </w:tr>
          </w:tbl>
          <w:p w:rsidR="007E6980" w:rsidRPr="009E3DF4" w:rsidRDefault="007E6980">
            <w:pPr>
              <w:rPr>
                <w:lang w:val="hr-HR"/>
              </w:rPr>
            </w:pPr>
          </w:p>
        </w:tc>
      </w:tr>
      <w:tr w:rsidR="007E6980" w:rsidRPr="009E3DF4">
        <w:trPr>
          <w:trHeight w:val="269"/>
        </w:trPr>
        <w:tc>
          <w:tcPr>
            <w:tcW w:w="10363" w:type="dxa"/>
          </w:tcPr>
          <w:p w:rsidR="007E6980" w:rsidRPr="009E3DF4" w:rsidRDefault="007E6980">
            <w:pPr>
              <w:pStyle w:val="EmptyLayoutCell"/>
              <w:rPr>
                <w:lang w:val="hr-HR"/>
              </w:rPr>
            </w:pPr>
          </w:p>
        </w:tc>
      </w:tr>
      <w:tr w:rsidR="007E6980" w:rsidRPr="009E3DF4">
        <w:tc>
          <w:tcPr>
            <w:tcW w:w="103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1339"/>
              <w:gridCol w:w="1857"/>
              <w:gridCol w:w="2393"/>
              <w:gridCol w:w="1517"/>
              <w:gridCol w:w="2247"/>
            </w:tblGrid>
            <w:tr w:rsidR="007E6980" w:rsidRPr="009E3DF4">
              <w:trPr>
                <w:trHeight w:val="312"/>
              </w:trPr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Redni broj</w:t>
                  </w:r>
                </w:p>
              </w:tc>
              <w:tc>
                <w:tcPr>
                  <w:tcW w:w="13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Korisnik</w:t>
                  </w:r>
                </w:p>
              </w:tc>
              <w:tc>
                <w:tcPr>
                  <w:tcW w:w="1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Isječak</w:t>
                  </w:r>
                </w:p>
              </w:tc>
              <w:tc>
                <w:tcPr>
                  <w:tcW w:w="2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Komentar</w:t>
                  </w:r>
                </w:p>
              </w:tc>
              <w:tc>
                <w:tcPr>
                  <w:tcW w:w="1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Status odgovora</w:t>
                  </w:r>
                </w:p>
                <w:p w:rsidR="007E6980" w:rsidRPr="009E3DF4" w:rsidRDefault="007E6980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Odgovor</w:t>
                  </w:r>
                </w:p>
              </w:tc>
            </w:tr>
            <w:tr w:rsidR="007E6980" w:rsidRPr="009E3DF4">
              <w:trPr>
                <w:trHeight w:val="312"/>
              </w:trPr>
              <w:tc>
                <w:tcPr>
                  <w:tcW w:w="9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jc w:val="right"/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1</w:t>
                  </w:r>
                </w:p>
              </w:tc>
              <w:tc>
                <w:tcPr>
                  <w:tcW w:w="13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ZRINKA ČANAKI ZAIĆ</w:t>
                  </w:r>
                </w:p>
              </w:tc>
              <w:tc>
                <w:tcPr>
                  <w:tcW w:w="18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PRIJEDLOG ZAKONA O IZMJENAMA I DOPUNAMA ZAKONA O ŽELJEZNICI,</w:t>
                  </w: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br/>
                    <w:t>Članak 6.</w:t>
                  </w:r>
                </w:p>
              </w:tc>
              <w:tc>
                <w:tcPr>
                  <w:tcW w:w="2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7E698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U Službenom vjesniku Europske unije objavljena je Uredba (EU) 2024/1679 od 13. lipnja 2024. o smjernicama Unije za razvoj transeuropske prometne mreže, izmjeni Uredbe (EU) 2021/1153 i Uredbe (EU) br. 913/2010 te stavljanju izvan snage Uredbe (EU) br. 1315/2013 koja stupa na snagu 18. srpnja 2024. godine.</w:t>
                  </w: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br/>
                    <w:t>S obzirom na izravni učinak navedene Uredbe trebalo bi izmijeniti cijeli čl. 70., a ne samo brisati st. 7.</w:t>
                  </w: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br/>
                    <w:t xml:space="preserve">Navedena Uredba osim pojma „osnovna mreža“ uvodi pojam „proširena osnovna mreža“, proširuje TEN-T mrežu u RH, a željezničke teretne koridore prema Uredbi 913/2010 integrira u europske prometne koridore. S obzirom na navedeno, treba redefinirati postojeću podjelu željezničkih pruga na međunarodne, regionalne i lokalne pruge te definirati druge kriterije za određivanje pripadnosti pojedinih pruga. Npr. lokalna pruga L213 </w:t>
                  </w:r>
                  <w:proofErr w:type="spellStart"/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>Lupoglav</w:t>
                  </w:r>
                  <w:proofErr w:type="spellEnd"/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 xml:space="preserve"> – Raša od 18. srpnja 2024. postaje dio sveobuhvatne mreže te bi po postojećem kriteriju trebala biti međunarodna pruga (ostale pruge za međunarodni promet). Po redefiniranju kriterija – Vlada RH treba donijeti novu Uredbu o razvrstavanju željezničkih pruga.</w:t>
                  </w:r>
                </w:p>
              </w:tc>
              <w:tc>
                <w:tcPr>
                  <w:tcW w:w="1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443990">
                  <w:pPr>
                    <w:rPr>
                      <w:lang w:val="hr-HR"/>
                    </w:rPr>
                  </w:pPr>
                  <w:r w:rsidRPr="009E3DF4">
                    <w:rPr>
                      <w:rFonts w:eastAsia="Arial"/>
                      <w:color w:val="000000"/>
                      <w:sz w:val="16"/>
                      <w:lang w:val="hr-HR"/>
                    </w:rPr>
                    <w:t xml:space="preserve">    Prihvaća se</w:t>
                  </w:r>
                </w:p>
              </w:tc>
              <w:tc>
                <w:tcPr>
                  <w:tcW w:w="2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6980" w:rsidRPr="009E3DF4" w:rsidRDefault="006713F5">
                  <w:pPr>
                    <w:rPr>
                      <w:lang w:val="hr-HR"/>
                    </w:rPr>
                  </w:pPr>
                  <w:r w:rsidRPr="006713F5">
                    <w:rPr>
                      <w:lang w:val="hr-HR"/>
                    </w:rPr>
                    <w:t>U članku 6. Nacrta prijedloga zakona kojim se mijenja članak 70. važećeg zakona potrebno je redefinirati  postojeću podjelu željezničkih pruga na međunarodne, regionalne i lokalne pruge te definirati kriterije za određivanje pripadnosti pojedinih pruga obzirom na izravan učinak Uredbe (EU) 2024/1679 od 13. lipnja 2024. o smjernicama Unije za razvoj transeuropske prometne mreže, izmjeni Uredbe (EU) 2021/1153 i Uredbe (EU) br. 913/2010 te stavljanju izvan snage Uredbe (EU) br. 1315/2013, koja je stupila na snagu 18. srpnja 2024. godine. Navedena Uredba osim pojma „osnovna mreža“ uvodi pojam „proširena osnovna mreža“, proširuje TEN-T mrežu u RH, a željezničke teretne koridore prema Uredbi 913/2010 integrira u europske prometne koridore.</w:t>
                  </w:r>
                  <w:bookmarkStart w:id="0" w:name="_GoBack"/>
                  <w:bookmarkEnd w:id="0"/>
                </w:p>
              </w:tc>
            </w:tr>
          </w:tbl>
          <w:p w:rsidR="007E6980" w:rsidRPr="009E3DF4" w:rsidRDefault="007E6980">
            <w:pPr>
              <w:rPr>
                <w:lang w:val="hr-HR"/>
              </w:rPr>
            </w:pPr>
          </w:p>
        </w:tc>
      </w:tr>
      <w:tr w:rsidR="007E6980" w:rsidRPr="009E3DF4">
        <w:trPr>
          <w:trHeight w:val="535"/>
        </w:trPr>
        <w:tc>
          <w:tcPr>
            <w:tcW w:w="10363" w:type="dxa"/>
          </w:tcPr>
          <w:p w:rsidR="007E6980" w:rsidRPr="009E3DF4" w:rsidRDefault="007E6980">
            <w:pPr>
              <w:pStyle w:val="EmptyLayoutCell"/>
              <w:rPr>
                <w:lang w:val="hr-HR"/>
              </w:rPr>
            </w:pPr>
          </w:p>
        </w:tc>
      </w:tr>
    </w:tbl>
    <w:p w:rsidR="007E6980" w:rsidRPr="009E3DF4" w:rsidRDefault="007E6980">
      <w:pPr>
        <w:rPr>
          <w:lang w:val="hr-HR"/>
        </w:rPr>
      </w:pPr>
    </w:p>
    <w:sectPr w:rsidR="007E6980" w:rsidRPr="009E3DF4">
      <w:headerReference w:type="default" r:id="rId7"/>
      <w:footerReference w:type="default" r:id="rId8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FD" w:rsidRDefault="00B476FD">
      <w:r>
        <w:separator/>
      </w:r>
    </w:p>
  </w:endnote>
  <w:endnote w:type="continuationSeparator" w:id="0">
    <w:p w:rsidR="00B476FD" w:rsidRDefault="00B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51"/>
      <w:gridCol w:w="1440"/>
      <w:gridCol w:w="4571"/>
    </w:tblGrid>
    <w:tr w:rsidR="007E6980">
      <w:tc>
        <w:tcPr>
          <w:tcW w:w="4351" w:type="dxa"/>
        </w:tcPr>
        <w:p w:rsidR="007E6980" w:rsidRDefault="007E6980">
          <w:pPr>
            <w:pStyle w:val="EmptyLayoutCell"/>
          </w:pPr>
        </w:p>
      </w:tc>
      <w:tc>
        <w:tcPr>
          <w:tcW w:w="1440" w:type="dxa"/>
        </w:tcPr>
        <w:p w:rsidR="007E6980" w:rsidRDefault="007E6980">
          <w:pPr>
            <w:pStyle w:val="EmptyLayoutCell"/>
          </w:pPr>
        </w:p>
      </w:tc>
      <w:tc>
        <w:tcPr>
          <w:tcW w:w="4571" w:type="dxa"/>
        </w:tcPr>
        <w:p w:rsidR="007E6980" w:rsidRDefault="007E6980">
          <w:pPr>
            <w:pStyle w:val="EmptyLayoutCell"/>
          </w:pPr>
        </w:p>
      </w:tc>
    </w:tr>
    <w:tr w:rsidR="007E6980">
      <w:tc>
        <w:tcPr>
          <w:tcW w:w="4351" w:type="dxa"/>
        </w:tcPr>
        <w:p w:rsidR="007E6980" w:rsidRDefault="007E6980">
          <w:pPr>
            <w:pStyle w:val="EmptyLayoutCell"/>
          </w:pPr>
        </w:p>
      </w:tc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40"/>
          </w:tblGrid>
          <w:tr w:rsidR="007E6980">
            <w:trPr>
              <w:trHeight w:val="282"/>
            </w:trPr>
            <w:tc>
              <w:tcPr>
                <w:tcW w:w="144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E6980" w:rsidRDefault="007E6980"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6713F5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\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6713F5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E6980" w:rsidRDefault="007E6980"/>
      </w:tc>
      <w:tc>
        <w:tcPr>
          <w:tcW w:w="4571" w:type="dxa"/>
        </w:tcPr>
        <w:p w:rsidR="007E6980" w:rsidRDefault="007E6980">
          <w:pPr>
            <w:pStyle w:val="EmptyLayoutCell"/>
          </w:pPr>
        </w:p>
      </w:tc>
    </w:tr>
    <w:tr w:rsidR="007E6980">
      <w:tc>
        <w:tcPr>
          <w:tcW w:w="4351" w:type="dxa"/>
        </w:tcPr>
        <w:p w:rsidR="007E6980" w:rsidRDefault="007E6980">
          <w:pPr>
            <w:pStyle w:val="EmptyLayoutCell"/>
          </w:pPr>
        </w:p>
      </w:tc>
      <w:tc>
        <w:tcPr>
          <w:tcW w:w="1440" w:type="dxa"/>
        </w:tcPr>
        <w:p w:rsidR="007E6980" w:rsidRDefault="007E6980">
          <w:pPr>
            <w:pStyle w:val="EmptyLayoutCell"/>
          </w:pPr>
        </w:p>
      </w:tc>
      <w:tc>
        <w:tcPr>
          <w:tcW w:w="4571" w:type="dxa"/>
        </w:tcPr>
        <w:p w:rsidR="007E6980" w:rsidRDefault="007E6980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FD" w:rsidRDefault="00B476FD">
      <w:r>
        <w:separator/>
      </w:r>
    </w:p>
  </w:footnote>
  <w:footnote w:type="continuationSeparator" w:id="0">
    <w:p w:rsidR="00B476FD" w:rsidRDefault="00B4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50" w:rsidRDefault="0051491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90"/>
    <w:rsid w:val="00430850"/>
    <w:rsid w:val="00443990"/>
    <w:rsid w:val="0051491E"/>
    <w:rsid w:val="006713F5"/>
    <w:rsid w:val="007E6980"/>
    <w:rsid w:val="009E3DF4"/>
    <w:rsid w:val="00A17D09"/>
    <w:rsid w:val="00B476FD"/>
    <w:rsid w:val="00D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EA2D6-17BD-4867-80B2-0B1C83F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DB48-5290-4AD7-8CD0-7208C3D4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EConReport</vt:lpstr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EConReport</dc:title>
  <dc:subject/>
  <dc:creator>Tomislav Židov</dc:creator>
  <cp:keywords/>
  <cp:lastModifiedBy>David Radas</cp:lastModifiedBy>
  <cp:revision>4</cp:revision>
  <dcterms:created xsi:type="dcterms:W3CDTF">2024-08-07T08:01:00Z</dcterms:created>
  <dcterms:modified xsi:type="dcterms:W3CDTF">2024-08-07T08:33:00Z</dcterms:modified>
</cp:coreProperties>
</file>