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2C" w:rsidRPr="00891333" w:rsidRDefault="005A4A2B" w:rsidP="00891333">
      <w:pPr>
        <w:pStyle w:val="Title"/>
        <w:jc w:val="both"/>
        <w:rPr>
          <w:rFonts w:ascii="Times New Roman" w:hAnsi="Times New Roman" w:cs="Times New Roman"/>
          <w:sz w:val="32"/>
          <w:szCs w:val="32"/>
        </w:rPr>
      </w:pPr>
      <w:r w:rsidRPr="00891333">
        <w:rPr>
          <w:rStyle w:val="defaultparagraphfont0"/>
          <w:rFonts w:ascii="Times New Roman" w:hAnsi="Times New Roman" w:cs="Times New Roman"/>
          <w:sz w:val="32"/>
          <w:szCs w:val="32"/>
        </w:rPr>
        <w:t>Na temelju članka 74. stavka 5. Zakona o plovidbi i lukama unutarnjih voda („Narodne novine“ broj 144/21) te članka 38. stavka 3. Zakona o sustavu državne uprave („Narodne novine“, broj 66/19, 155/23) ministar mora, prometa i infrastrukture, uz prethodnu suglasnost ministra vanjskih i europskih poslova, donosi</w:t>
      </w:r>
    </w:p>
    <w:p w:rsidR="00D3052C" w:rsidRPr="00891333" w:rsidRDefault="00D3052C" w:rsidP="00891333">
      <w:pPr>
        <w:pStyle w:val="Title"/>
        <w:jc w:val="center"/>
        <w:rPr>
          <w:rFonts w:ascii="Times New Roman" w:hAnsi="Times New Roman" w:cs="Times New Roman"/>
        </w:rPr>
      </w:pPr>
    </w:p>
    <w:p w:rsidR="00D3052C" w:rsidRPr="00891333" w:rsidRDefault="005A4A2B" w:rsidP="00891333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  <w:r w:rsidRPr="00891333">
        <w:rPr>
          <w:rStyle w:val="defaultparagraphfont-000003"/>
          <w:rFonts w:ascii="Times New Roman" w:hAnsi="Times New Roman" w:cs="Times New Roman"/>
          <w:bCs/>
          <w:sz w:val="52"/>
          <w:szCs w:val="52"/>
        </w:rPr>
        <w:t>PRAVILNIK</w:t>
      </w:r>
      <w:r w:rsidR="00891333">
        <w:rPr>
          <w:rFonts w:ascii="Times New Roman" w:hAnsi="Times New Roman" w:cs="Times New Roman"/>
          <w:sz w:val="52"/>
          <w:szCs w:val="52"/>
        </w:rPr>
        <w:t xml:space="preserve"> </w:t>
      </w:r>
      <w:r w:rsidRPr="00891333">
        <w:rPr>
          <w:rStyle w:val="defaultparagraphfont-000003"/>
          <w:rFonts w:ascii="Times New Roman" w:hAnsi="Times New Roman" w:cs="Times New Roman"/>
          <w:bCs/>
          <w:sz w:val="52"/>
          <w:szCs w:val="52"/>
        </w:rPr>
        <w:t>O IZMJENAMA I DOPUNAMA PRA</w:t>
      </w:r>
      <w:bookmarkStart w:id="0" w:name="_GoBack"/>
      <w:bookmarkEnd w:id="0"/>
      <w:r w:rsidRPr="00891333">
        <w:rPr>
          <w:rStyle w:val="defaultparagraphfont-000003"/>
          <w:rFonts w:ascii="Times New Roman" w:hAnsi="Times New Roman" w:cs="Times New Roman"/>
          <w:bCs/>
          <w:sz w:val="52"/>
          <w:szCs w:val="52"/>
        </w:rPr>
        <w:t>VILNIKA O POSADI PLOVILA I PLUTAJUĆIH OBJEKATA UNUTARNJE PLOVIDBE</w:t>
      </w:r>
    </w:p>
    <w:p w:rsidR="00D3052C" w:rsidRDefault="005A4A2B">
      <w:pPr>
        <w:pStyle w:val="Normal1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1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1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1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1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1.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06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Članak 16. Pravilnika o posadi plovila i plutajućih objekata unutarnje plovidbe („Narodne novine“, broj 116/22) mijenja se i glasi: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10"/>
        </w:rPr>
        <w:t> </w:t>
      </w:r>
      <w:r>
        <w:t xml:space="preserve"> </w:t>
      </w:r>
    </w:p>
    <w:p w:rsidR="00D3052C" w:rsidRDefault="005A4A2B">
      <w:pPr>
        <w:pStyle w:val="normal-000011"/>
      </w:pPr>
      <w:r>
        <w:rPr>
          <w:rStyle w:val="defaultparagraphfont-000008"/>
        </w:rPr>
        <w:t>„Članak 16.</w:t>
      </w:r>
      <w:r>
        <w:t xml:space="preserve"> </w:t>
      </w:r>
    </w:p>
    <w:p w:rsidR="00D3052C" w:rsidRDefault="005A4A2B">
      <w:pPr>
        <w:pStyle w:val="normal-000012"/>
      </w:pPr>
      <w:r>
        <w:rPr>
          <w:rStyle w:val="defaultparagraphfont-000013"/>
        </w:rPr>
        <w:t xml:space="preserve">(1) Svjedodžbu o stručnoj osposobljenosti </w:t>
      </w:r>
      <w:r>
        <w:rPr>
          <w:rStyle w:val="defaultparagraphfont-000008"/>
        </w:rPr>
        <w:t xml:space="preserve">za obavljanje poslova </w:t>
      </w:r>
      <w:proofErr w:type="spellStart"/>
      <w:r>
        <w:rPr>
          <w:rStyle w:val="defaultparagraphfont-000014"/>
          <w:b/>
          <w:bCs/>
        </w:rPr>
        <w:t>brodovođe</w:t>
      </w:r>
      <w:proofErr w:type="spellEnd"/>
      <w:r>
        <w:rPr>
          <w:rStyle w:val="defaultparagraphfont-000014"/>
        </w:rPr>
        <w:t xml:space="preserve"> </w:t>
      </w:r>
      <w:r>
        <w:rPr>
          <w:rStyle w:val="defaultparagraphfont-000008"/>
        </w:rPr>
        <w:t>stječe osoba koja:</w:t>
      </w:r>
      <w:r>
        <w:t xml:space="preserve"> </w:t>
      </w:r>
    </w:p>
    <w:p w:rsidR="00D3052C" w:rsidRDefault="005A4A2B">
      <w:pPr>
        <w:pStyle w:val="normal-000015"/>
      </w:pPr>
      <w:r>
        <w:rPr>
          <w:rStyle w:val="defaultparagraphfont-000008"/>
        </w:rPr>
        <w:t>a)-ima najmanje 18 godina života</w:t>
      </w:r>
      <w:r>
        <w:t xml:space="preserve"> </w:t>
      </w:r>
    </w:p>
    <w:p w:rsidR="00D3052C" w:rsidRDefault="005A4A2B">
      <w:pPr>
        <w:pStyle w:val="000018"/>
      </w:pPr>
      <w:r>
        <w:rPr>
          <w:rStyle w:val="000019"/>
        </w:rPr>
        <w:t>-</w:t>
      </w:r>
      <w:r>
        <w:t xml:space="preserve"> </w:t>
      </w:r>
      <w:r>
        <w:rPr>
          <w:rStyle w:val="defaultparagraphfont-000008"/>
        </w:rPr>
        <w:t>je završila posebnu izobrazbu u skladu sa programom iz Priloga I.C.2</w:t>
      </w:r>
      <w:r>
        <w:t xml:space="preserve"> </w:t>
      </w:r>
      <w:r>
        <w:rPr>
          <w:rStyle w:val="defaultparagraphfont-000008"/>
        </w:rPr>
        <w:t>ovoga Pravilnika</w:t>
      </w:r>
      <w:r>
        <w:t xml:space="preserve"> </w:t>
      </w:r>
    </w:p>
    <w:p w:rsidR="00D3052C" w:rsidRDefault="005A4A2B">
      <w:pPr>
        <w:pStyle w:val="000018"/>
      </w:pPr>
      <w:r>
        <w:rPr>
          <w:rStyle w:val="000019"/>
        </w:rPr>
        <w:t>-</w:t>
      </w:r>
      <w:r>
        <w:t xml:space="preserve"> </w:t>
      </w:r>
      <w:r>
        <w:rPr>
          <w:rStyle w:val="defaultparagraphfont-000008"/>
        </w:rPr>
        <w:t xml:space="preserve">posjeduje svjedodžbu o dopunskoj osposobljenosti za </w:t>
      </w:r>
      <w:proofErr w:type="spellStart"/>
      <w:r>
        <w:rPr>
          <w:rStyle w:val="defaultparagraphfont-000008"/>
        </w:rPr>
        <w:t>radiooperatera</w:t>
      </w:r>
      <w:proofErr w:type="spellEnd"/>
      <w:r>
        <w:rPr>
          <w:rStyle w:val="defaultparagraphfont-000008"/>
        </w:rPr>
        <w:t xml:space="preserve"> </w:t>
      </w:r>
    </w:p>
    <w:p w:rsidR="00D3052C" w:rsidRDefault="005A4A2B">
      <w:pPr>
        <w:pStyle w:val="000018"/>
      </w:pPr>
      <w:r>
        <w:rPr>
          <w:rStyle w:val="000019"/>
        </w:rPr>
        <w:lastRenderedPageBreak/>
        <w:t>-</w:t>
      </w:r>
      <w:r>
        <w:t xml:space="preserve"> </w:t>
      </w:r>
      <w:r>
        <w:rPr>
          <w:rStyle w:val="defaultparagraphfont-000008"/>
        </w:rPr>
        <w:t>ima najmanje 360 dana plovidbene službe u službi palube</w:t>
      </w:r>
      <w:r>
        <w:t xml:space="preserve"> </w:t>
      </w:r>
    </w:p>
    <w:p w:rsidR="00D3052C" w:rsidRDefault="005A4A2B">
      <w:pPr>
        <w:pStyle w:val="000018"/>
      </w:pPr>
      <w:r>
        <w:rPr>
          <w:rStyle w:val="000019"/>
        </w:rPr>
        <w:t>-</w:t>
      </w:r>
      <w:r>
        <w:t xml:space="preserve"> </w:t>
      </w:r>
      <w:r>
        <w:rPr>
          <w:rStyle w:val="defaultparagraphfont-000008"/>
        </w:rPr>
        <w:t>udovoljava propisanim zdravstvenim uvjetima</w:t>
      </w:r>
      <w:r>
        <w:t xml:space="preserve"> </w:t>
      </w:r>
    </w:p>
    <w:p w:rsidR="00D3052C" w:rsidRDefault="005A4A2B">
      <w:pPr>
        <w:pStyle w:val="000018"/>
      </w:pPr>
      <w:r>
        <w:rPr>
          <w:rStyle w:val="000019"/>
        </w:rPr>
        <w:t>-</w:t>
      </w:r>
      <w:r>
        <w:t xml:space="preserve"> </w:t>
      </w:r>
      <w:r>
        <w:rPr>
          <w:rStyle w:val="defaultparagraphfont-000008"/>
        </w:rPr>
        <w:t>položi ispit sukladno programu iz Priloga II.C.2</w:t>
      </w:r>
      <w:r>
        <w:t xml:space="preserve"> </w:t>
      </w:r>
      <w:r>
        <w:rPr>
          <w:rStyle w:val="defaultparagraphfont-000008"/>
        </w:rPr>
        <w:t>ovoga Pravilnika</w:t>
      </w:r>
      <w:r>
        <w:t xml:space="preserve"> </w:t>
      </w:r>
    </w:p>
    <w:p w:rsidR="00D3052C" w:rsidRDefault="005A4A2B">
      <w:pPr>
        <w:pStyle w:val="normal-000021"/>
      </w:pPr>
      <w:r>
        <w:rPr>
          <w:rStyle w:val="defaultparagraphfont-000008"/>
        </w:rPr>
        <w:t>ili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 xml:space="preserve">b)-posjeduje svjedodžbu o dopunskoj osposobljenosti za </w:t>
      </w:r>
      <w:proofErr w:type="spellStart"/>
      <w:r>
        <w:rPr>
          <w:rStyle w:val="defaultparagraphfont-000008"/>
        </w:rPr>
        <w:t>radiooperatera</w:t>
      </w:r>
      <w:proofErr w:type="spellEnd"/>
      <w:r>
        <w:t xml:space="preserve"> </w:t>
      </w:r>
    </w:p>
    <w:p w:rsidR="00D3052C" w:rsidRDefault="005A4A2B">
      <w:pPr>
        <w:pStyle w:val="normal-000023"/>
      </w:pPr>
      <w:r>
        <w:rPr>
          <w:rStyle w:val="defaultparagraphfont-000008"/>
        </w:rPr>
        <w:t>-ima najmanje 90 dana plovidbene službe u svojstvu vođe palube ili kormilara</w:t>
      </w:r>
      <w:r>
        <w:t xml:space="preserve"> </w:t>
      </w:r>
    </w:p>
    <w:p w:rsidR="00D3052C" w:rsidRDefault="005A4A2B">
      <w:pPr>
        <w:pStyle w:val="normal-000023"/>
      </w:pPr>
      <w:r>
        <w:rPr>
          <w:rStyle w:val="defaultparagraphfont-000008"/>
        </w:rPr>
        <w:t>-udovoljava propisanim zdravstvenim uvjetima.</w:t>
      </w:r>
      <w:r>
        <w:t xml:space="preserve"> </w:t>
      </w:r>
    </w:p>
    <w:p w:rsidR="00D3052C" w:rsidRDefault="005A4A2B">
      <w:pPr>
        <w:pStyle w:val="normal-000024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24"/>
      </w:pPr>
      <w:r>
        <w:rPr>
          <w:rStyle w:val="defaultparagraphfont-000008"/>
        </w:rPr>
        <w:t>(2) Iznimno od odredbe stavka 1. ovoga članka, svjedodžbu</w:t>
      </w:r>
      <w:r>
        <w:t xml:space="preserve"> </w:t>
      </w:r>
      <w:r>
        <w:rPr>
          <w:rStyle w:val="defaultparagraphfont-000008"/>
        </w:rPr>
        <w:t>iz stavka 1. ovoga članka može steći i pomorac koji:</w:t>
      </w:r>
      <w:r>
        <w:t xml:space="preserve"> </w:t>
      </w:r>
    </w:p>
    <w:p w:rsidR="00D3052C" w:rsidRDefault="005A4A2B">
      <w:pPr>
        <w:pStyle w:val="normal-000025"/>
      </w:pPr>
      <w:r>
        <w:rPr>
          <w:rStyle w:val="defaultparagraphfont-000008"/>
        </w:rPr>
        <w:t>-posjeduje svjedodžbu iz članka 42. ovoga Pravilnika</w:t>
      </w:r>
      <w:r>
        <w:t xml:space="preserve"> </w:t>
      </w:r>
    </w:p>
    <w:p w:rsidR="00D3052C" w:rsidRDefault="005A4A2B">
      <w:pPr>
        <w:pStyle w:val="normal-000025"/>
      </w:pPr>
      <w:r>
        <w:rPr>
          <w:rStyle w:val="defaultparagraphfont-000008"/>
        </w:rPr>
        <w:t>-posjeduje svjedodžbu iz članka 44. stavka 1. ovoga Pravilnika</w:t>
      </w:r>
      <w:r>
        <w:t xml:space="preserve"> </w:t>
      </w:r>
    </w:p>
    <w:p w:rsidR="00D3052C" w:rsidRDefault="005A4A2B">
      <w:pPr>
        <w:pStyle w:val="normal-000025"/>
      </w:pPr>
      <w:r>
        <w:rPr>
          <w:rStyle w:val="defaultparagraphfont-000008"/>
        </w:rPr>
        <w:t>-položi ispit sukladno programu iz Priloga II.C.2 ovoga Pravilnika.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(3) Svjedodžba iz stavka 1. ovog članka ima valjanost bez vremenskog ograničenja.“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2.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Članak 42. mijenja se i glasi: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„Članak 42.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Za ishođenje svjedodžbi iz članka 16. ovoga Pravilnika priznaju se slijedeće svjedodžbe o osposobljenosti u pomorstvu: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t>a)</w:t>
      </w:r>
      <w:r>
        <w:t xml:space="preserve"> </w:t>
      </w:r>
      <w:r>
        <w:rPr>
          <w:rStyle w:val="defaultparagraphfont-000008"/>
        </w:rPr>
        <w:t>zapovjednika broda od 3.000 BT ili većeg (STCW II/2, točke 1-2)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t>b)</w:t>
      </w:r>
      <w:r>
        <w:t xml:space="preserve"> </w:t>
      </w:r>
      <w:r>
        <w:rPr>
          <w:rStyle w:val="defaultparagraphfont-000008"/>
        </w:rPr>
        <w:t>prvog časnika palube na brodu od 3.000 BT ili većem (STCW II/2, točke 1-2)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t>c)</w:t>
      </w:r>
      <w:r>
        <w:t xml:space="preserve"> </w:t>
      </w:r>
      <w:r>
        <w:rPr>
          <w:rStyle w:val="defaultparagraphfont-000008"/>
        </w:rPr>
        <w:t>zapovjednika broda do 3.000 BT (STCW II/2, točke 3-4)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lastRenderedPageBreak/>
        <w:t>d)</w:t>
      </w:r>
      <w:r>
        <w:t xml:space="preserve"> </w:t>
      </w:r>
      <w:r>
        <w:rPr>
          <w:rStyle w:val="defaultparagraphfont-000008"/>
        </w:rPr>
        <w:t>prvog časnika palube na brodu do 3.000 BT (STCW II/2, točke 3-4)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t>e)</w:t>
      </w:r>
      <w:r>
        <w:t xml:space="preserve"> </w:t>
      </w:r>
      <w:r>
        <w:rPr>
          <w:rStyle w:val="defaultparagraphfont-000008"/>
        </w:rPr>
        <w:t>časnika plovidbene straže na brodu od 500 BT ili većem (STCW II/1)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t>f)</w:t>
      </w:r>
      <w:r>
        <w:t xml:space="preserve"> </w:t>
      </w:r>
      <w:r>
        <w:rPr>
          <w:rStyle w:val="defaultparagraphfont-000008"/>
        </w:rPr>
        <w:t>zapovjednika broda do 500 BT u priobalnoj plovidbi (STCW II/3, točke 5-6)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t>g)</w:t>
      </w:r>
      <w:r>
        <w:t xml:space="preserve"> </w:t>
      </w:r>
      <w:r>
        <w:rPr>
          <w:rStyle w:val="defaultparagraphfont-000008"/>
        </w:rPr>
        <w:t>časnika plovidbene straže na brodu do 500 BT u priobalnoj plovidbi (STCW II/3, točke 3-4)</w:t>
      </w:r>
      <w:r>
        <w:t xml:space="preserve"> </w:t>
      </w:r>
    </w:p>
    <w:p w:rsidR="00D3052C" w:rsidRDefault="005A4A2B">
      <w:pPr>
        <w:pStyle w:val="000026"/>
      </w:pPr>
      <w:r>
        <w:rPr>
          <w:rStyle w:val="000027"/>
        </w:rPr>
        <w:t>h)</w:t>
      </w:r>
      <w:r>
        <w:t xml:space="preserve"> </w:t>
      </w:r>
      <w:r>
        <w:rPr>
          <w:rStyle w:val="defaultparagraphfont-000008"/>
        </w:rPr>
        <w:t>zapovjednika broda do 200 BT u nacionalnoj plovidbi (HR II/2).“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3.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06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U članku 63. stavak 6. se briše, a dosadašnji stavci 7., 8. i 9. postaju stavci 6., 7. i 8.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4.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06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U članku 96. iza stavka 7. dodaje se novi stavak 8. koji glasi: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 xml:space="preserve">„(8) Na putničkim brodovima bez kabina u nacionalnoj plovidbi na plovnim putevima koji nisu plovni putevi Unije za razine 1. i 2. umjesto zapovjednika smije biti ukrcana osoba s svjedodžbom </w:t>
      </w:r>
      <w:proofErr w:type="spellStart"/>
      <w:r>
        <w:rPr>
          <w:rStyle w:val="defaultparagraphfont-000008"/>
        </w:rPr>
        <w:t>brodovođe</w:t>
      </w:r>
      <w:proofErr w:type="spellEnd"/>
      <w:r>
        <w:rPr>
          <w:rStyle w:val="defaultparagraphfont-000008"/>
        </w:rPr>
        <w:t>.“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5.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11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Prilog I.C.2 mijenja se i glasi: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31"/>
      </w:pPr>
      <w:r>
        <w:rPr>
          <w:rStyle w:val="defaultparagraphfont-000032"/>
          <w:b/>
          <w:bCs/>
        </w:rPr>
        <w:lastRenderedPageBreak/>
        <w:t>“PRILOG I.C.2 – BRODOVOĐA</w:t>
      </w:r>
      <w:r>
        <w:rPr>
          <w:rStyle w:val="defaultparagraphfont-000032"/>
        </w:rPr>
        <w:t xml:space="preserve"> </w:t>
      </w:r>
    </w:p>
    <w:p w:rsidR="00631716" w:rsidRDefault="00631716" w:rsidP="00631716">
      <w:pPr>
        <w:spacing w:after="0" w:line="240" w:lineRule="auto"/>
      </w:pPr>
    </w:p>
    <w:p w:rsidR="00631716" w:rsidRDefault="00631716" w:rsidP="00631716">
      <w:pPr>
        <w:spacing w:after="0" w:line="240" w:lineRule="auto"/>
      </w:pPr>
      <w:r w:rsidRPr="007D1527">
        <w:drawing>
          <wp:inline distT="0" distB="0" distL="0" distR="0" wp14:anchorId="63AA906B" wp14:editId="21734C30">
            <wp:extent cx="5730240" cy="672084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16" w:rsidRDefault="00631716" w:rsidP="00631716">
      <w:pPr>
        <w:spacing w:after="0" w:line="240" w:lineRule="auto"/>
      </w:pPr>
      <w:r w:rsidRPr="007D1527">
        <w:lastRenderedPageBreak/>
        <w:drawing>
          <wp:inline distT="0" distB="0" distL="0" distR="0" wp14:anchorId="5F3E95D1" wp14:editId="7F065E98">
            <wp:extent cx="5730240" cy="510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16" w:rsidRDefault="00631716" w:rsidP="00631716">
      <w:pPr>
        <w:spacing w:after="0" w:line="240" w:lineRule="auto"/>
      </w:pPr>
      <w:r w:rsidRPr="007D1527">
        <w:drawing>
          <wp:inline distT="0" distB="0" distL="0" distR="0" wp14:anchorId="3267EE19" wp14:editId="5825F8BE">
            <wp:extent cx="5730240" cy="37261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16" w:rsidRDefault="00631716" w:rsidP="00631716">
      <w:pPr>
        <w:spacing w:after="0" w:line="240" w:lineRule="auto"/>
      </w:pPr>
      <w:r w:rsidRPr="007D1527">
        <w:lastRenderedPageBreak/>
        <w:drawing>
          <wp:inline distT="0" distB="0" distL="0" distR="0" wp14:anchorId="43C46BB0" wp14:editId="61641088">
            <wp:extent cx="5730240" cy="45796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16" w:rsidRDefault="00631716" w:rsidP="00631716">
      <w:pPr>
        <w:spacing w:after="0" w:line="240" w:lineRule="auto"/>
      </w:pPr>
    </w:p>
    <w:p w:rsidR="00631716" w:rsidRDefault="00631716" w:rsidP="00631716">
      <w:pPr>
        <w:spacing w:after="0" w:line="240" w:lineRule="auto"/>
      </w:pPr>
    </w:p>
    <w:p w:rsidR="00631716" w:rsidRDefault="00631716" w:rsidP="00631716">
      <w:pPr>
        <w:spacing w:after="0" w:line="240" w:lineRule="auto"/>
      </w:pPr>
      <w:r w:rsidRPr="002334B9">
        <w:lastRenderedPageBreak/>
        <w:drawing>
          <wp:inline distT="0" distB="0" distL="0" distR="0" wp14:anchorId="56DB2A31" wp14:editId="30EE6C26">
            <wp:extent cx="5730240" cy="8130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16" w:rsidRDefault="00631716" w:rsidP="00631716">
      <w:pPr>
        <w:spacing w:after="0" w:line="240" w:lineRule="auto"/>
      </w:pPr>
      <w:r w:rsidRPr="002334B9">
        <w:lastRenderedPageBreak/>
        <w:drawing>
          <wp:inline distT="0" distB="0" distL="0" distR="0" wp14:anchorId="45B7B92F" wp14:editId="34480F93">
            <wp:extent cx="5730240" cy="563118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2C" w:rsidRDefault="00D3052C">
      <w:pPr>
        <w:pStyle w:val="normal-000033"/>
      </w:pP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6.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06"/>
      </w:pPr>
      <w:r>
        <w:rPr>
          <w:rStyle w:val="000035"/>
          <w:b/>
          <w:bCs/>
        </w:rPr>
        <w:t> </w:t>
      </w:r>
      <w:r>
        <w:rPr>
          <w:rStyle w:val="000035"/>
        </w:rP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Prilog I.C.3 se briše.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lastRenderedPageBreak/>
        <w:t>Članak 7.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06"/>
      </w:pPr>
      <w:r>
        <w:rPr>
          <w:rStyle w:val="000035"/>
          <w:b/>
          <w:bCs/>
        </w:rPr>
        <w:t> </w:t>
      </w:r>
      <w:r>
        <w:rPr>
          <w:rStyle w:val="000035"/>
        </w:rP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 xml:space="preserve">(1) Prilog II.C.2 mijenja se i glasi: </w:t>
      </w:r>
    </w:p>
    <w:p w:rsidR="00D3052C" w:rsidRDefault="005A4A2B">
      <w:pPr>
        <w:pStyle w:val="normal-000036"/>
      </w:pPr>
      <w:r>
        <w:rPr>
          <w:rStyle w:val="defaultparagraphfont-000008"/>
        </w:rPr>
        <w:t xml:space="preserve">„II.C.2 – </w:t>
      </w:r>
      <w:proofErr w:type="spellStart"/>
      <w:r>
        <w:rPr>
          <w:rStyle w:val="defaultparagraphfont-000008"/>
        </w:rPr>
        <w:t>Brodovođa</w:t>
      </w:r>
      <w:proofErr w:type="spellEnd"/>
      <w:r>
        <w:t xml:space="preserve"> </w:t>
      </w:r>
    </w:p>
    <w:p w:rsidR="00D3052C" w:rsidRDefault="005A4A2B">
      <w:pPr>
        <w:pStyle w:val="normal-000036"/>
      </w:pPr>
      <w:r>
        <w:rPr>
          <w:rStyle w:val="defaultparagraphfont-000008"/>
        </w:rPr>
        <w:t>Ispitna pitanja sukladno programu iz Priloga I.C.2 ovog Pravilnika.</w:t>
      </w:r>
      <w:r>
        <w:t xml:space="preserve"> </w:t>
      </w:r>
    </w:p>
    <w:p w:rsidR="00D3052C" w:rsidRDefault="005A4A2B">
      <w:pPr>
        <w:pStyle w:val="normal-000036"/>
      </w:pPr>
      <w:r>
        <w:rPr>
          <w:rStyle w:val="defaultparagraphfont-000008"/>
        </w:rPr>
        <w:t>Vrsta ispita</w:t>
      </w:r>
      <w:r>
        <w:t xml:space="preserve"> </w:t>
      </w:r>
      <w:r>
        <w:rPr>
          <w:rStyle w:val="defaultparagraphfont-000008"/>
        </w:rPr>
        <w:t>i prag prolaznosti:</w:t>
      </w:r>
      <w:r>
        <w:t xml:space="preserve"> </w:t>
      </w:r>
    </w:p>
    <w:p w:rsidR="00D3052C" w:rsidRDefault="005A4A2B">
      <w:pPr>
        <w:pStyle w:val="normal-000036"/>
      </w:pPr>
      <w:r>
        <w:rPr>
          <w:rStyle w:val="defaultparagraphfont-000008"/>
        </w:rPr>
        <w:t>računalni ispit – prag prolaznosti 80%</w:t>
      </w:r>
      <w:r>
        <w:t xml:space="preserve"> </w:t>
      </w:r>
    </w:p>
    <w:p w:rsidR="00D3052C" w:rsidRDefault="005A4A2B">
      <w:pPr>
        <w:pStyle w:val="normal-000036"/>
      </w:pPr>
      <w:r>
        <w:rPr>
          <w:rStyle w:val="defaultparagraphfont-000008"/>
        </w:rPr>
        <w:t>pismeni ispit – prag prolaznosti 80%</w:t>
      </w:r>
      <w:r>
        <w:t xml:space="preserve"> </w:t>
      </w:r>
    </w:p>
    <w:p w:rsidR="00D3052C" w:rsidRDefault="005A4A2B">
      <w:pPr>
        <w:pStyle w:val="normal-000036"/>
      </w:pPr>
      <w:r>
        <w:rPr>
          <w:rStyle w:val="defaultparagraphfont-000008"/>
        </w:rPr>
        <w:t>usmeni ispit – prag prolaznosti 80%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(2) Prilog II.C.3 se briše.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Fonts w:eastAsia="Times New Roman"/>
        </w:rPr>
        <w:t> </w:t>
      </w:r>
      <w:r>
        <w:rPr>
          <w:rStyle w:val="defaultparagraphfont-000005"/>
          <w:rFonts w:eastAsia="Times New Roman"/>
        </w:rPr>
        <w:t>Članak 8.</w:t>
      </w:r>
    </w:p>
    <w:p w:rsidR="00D3052C" w:rsidRDefault="005A4A2B">
      <w:pPr>
        <w:pStyle w:val="normal-000006"/>
      </w:pPr>
      <w:r>
        <w:rPr>
          <w:rStyle w:val="000035"/>
          <w:b/>
          <w:bCs/>
        </w:rPr>
        <w:t> </w:t>
      </w:r>
      <w:r>
        <w:rPr>
          <w:rStyle w:val="000035"/>
        </w:rP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 xml:space="preserve">Prilog III.B.2 se briše.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9.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21"/>
      </w:pPr>
      <w:r>
        <w:rPr>
          <w:rStyle w:val="000035"/>
          <w:b/>
          <w:bCs/>
        </w:rPr>
        <w:t> </w:t>
      </w:r>
      <w:r>
        <w:rPr>
          <w:rStyle w:val="000035"/>
        </w:rP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(1) U Prilogu VI: Pravilnika, dijelu „Osnovna osposobljenost“ dodaje se novi redak „Kormilar“ sa iznosom naknade 100,00 EUR.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(2) U Prilogu VI. Pravilnika, dijelu „Osnovna osposobljenost – nacionalna“ naziv naknade „</w:t>
      </w:r>
      <w:proofErr w:type="spellStart"/>
      <w:r>
        <w:rPr>
          <w:rStyle w:val="defaultparagraphfont-000008"/>
        </w:rPr>
        <w:t>Brodovođa</w:t>
      </w:r>
      <w:proofErr w:type="spellEnd"/>
      <w:r>
        <w:rPr>
          <w:rStyle w:val="defaultparagraphfont-000008"/>
        </w:rPr>
        <w:t xml:space="preserve"> – teorijski ispit“ mijenja se u „</w:t>
      </w:r>
      <w:proofErr w:type="spellStart"/>
      <w:r>
        <w:rPr>
          <w:rStyle w:val="defaultparagraphfont-000008"/>
        </w:rPr>
        <w:t>Brodovođa</w:t>
      </w:r>
      <w:proofErr w:type="spellEnd"/>
      <w:r>
        <w:rPr>
          <w:rStyle w:val="defaultparagraphfont-000008"/>
        </w:rPr>
        <w:t>“.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04"/>
        </w:rPr>
        <w:lastRenderedPageBreak/>
        <w:t> 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(3) U Prilogu VI. Pravilnika, dijelu „Osnovna osposobljenost – nacionalna“ briše se redak koji propisuje naknadu „</w:t>
      </w:r>
      <w:proofErr w:type="spellStart"/>
      <w:r>
        <w:rPr>
          <w:rStyle w:val="defaultparagraphfont-000008"/>
        </w:rPr>
        <w:t>Brodovođa</w:t>
      </w:r>
      <w:proofErr w:type="spellEnd"/>
      <w:r>
        <w:rPr>
          <w:rStyle w:val="defaultparagraphfont-000008"/>
        </w:rPr>
        <w:t xml:space="preserve"> – praktični ispit“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(4) U Prilogu VI. Pravilnika, dijelu „Osnovna osposobljenost – nacionalna“ briše se redak koji propisuje naknadu „</w:t>
      </w:r>
      <w:proofErr w:type="spellStart"/>
      <w:r>
        <w:rPr>
          <w:rStyle w:val="defaultparagraphfont-000008"/>
        </w:rPr>
        <w:t>Brodovođa</w:t>
      </w:r>
      <w:proofErr w:type="spellEnd"/>
      <w:r>
        <w:rPr>
          <w:rStyle w:val="defaultparagraphfont-000008"/>
        </w:rPr>
        <w:t xml:space="preserve"> – prekvalifikacijska pomorskog zapovjednika – teorijski ispit“.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(5) U Prilogu VI. Pravilnika, dijelu „Dopunska osposobljenost“ dodaje se novi redak: „</w:t>
      </w:r>
      <w:proofErr w:type="spellStart"/>
      <w:r>
        <w:rPr>
          <w:rStyle w:val="defaultparagraphfont-000008"/>
        </w:rPr>
        <w:t>Radiooperater</w:t>
      </w:r>
      <w:proofErr w:type="spellEnd"/>
      <w:r>
        <w:rPr>
          <w:rStyle w:val="defaultparagraphfont-000008"/>
        </w:rPr>
        <w:t>“ sa iznosom naknade 100,00 EUR.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(6) U Prilogu VI. Pravilnika, dijelu „Obrasci“ brišu se redci: „Svjedodžba zapovjednika, stručnjaka za putničku plovidbu i stručnjaka za ukapljeni prirodni plin, radiotelefonija – fizička“ i „Svjedodžba o osposobljenosti i brodarska knjižica“.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(7) U Prilogu VI. Pravilnika, dijelu „Obrasci“ dodaje se novi redak: „Upis svjedodžbi u brodarsku knjižicu“ sa iznosom naknade 10,00 EUR.</w:t>
      </w:r>
      <w:r>
        <w:t xml:space="preserve"> </w:t>
      </w:r>
    </w:p>
    <w:p w:rsidR="00D3052C" w:rsidRDefault="005A4A2B">
      <w:pPr>
        <w:pStyle w:val="normal-000009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9"/>
      </w:pPr>
      <w:r>
        <w:rPr>
          <w:rStyle w:val="defaultparagraphfont-000008"/>
        </w:rPr>
        <w:t>(8) U Prilogu VI. Pravilnika, dijelu „Popravni ispiti“ briše se redak koji propisuje naknadu „</w:t>
      </w:r>
      <w:proofErr w:type="spellStart"/>
      <w:r>
        <w:rPr>
          <w:rStyle w:val="defaultparagraphfont-000008"/>
        </w:rPr>
        <w:t>Brodovođa</w:t>
      </w:r>
      <w:proofErr w:type="spellEnd"/>
      <w:r>
        <w:rPr>
          <w:rStyle w:val="defaultparagraphfont-000008"/>
        </w:rPr>
        <w:t xml:space="preserve"> – prekvalifikacijska pomorskog zapovjednika“.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Heading1"/>
        <w:rPr>
          <w:rFonts w:eastAsia="Times New Roman"/>
        </w:rPr>
      </w:pPr>
      <w:r>
        <w:rPr>
          <w:rStyle w:val="defaultparagraphfont-000005"/>
          <w:rFonts w:eastAsia="Times New Roman"/>
        </w:rPr>
        <w:t>Članak 10.</w:t>
      </w:r>
      <w:r>
        <w:rPr>
          <w:rFonts w:eastAsia="Times New Roman"/>
        </w:rPr>
        <w:t xml:space="preserve"> </w:t>
      </w:r>
    </w:p>
    <w:p w:rsidR="00D3052C" w:rsidRDefault="005A4A2B">
      <w:pPr>
        <w:pStyle w:val="normal-000006"/>
      </w:pPr>
      <w:r>
        <w:rPr>
          <w:rStyle w:val="000035"/>
          <w:b/>
          <w:bCs/>
        </w:rPr>
        <w:t> </w:t>
      </w:r>
      <w:r>
        <w:rPr>
          <w:rStyle w:val="000035"/>
        </w:rP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>Ovaj Pravilnik stupa na snagu osmoga dana od dana objave u „Narodnim novinama” osim članka 65. koji stupa na snagu 1. siječnja 2026. godine.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07"/>
      </w:pPr>
      <w:r>
        <w:rPr>
          <w:rStyle w:val="defaultparagraphfont-000008"/>
        </w:rPr>
        <w:t xml:space="preserve">Klasa: </w:t>
      </w:r>
    </w:p>
    <w:p w:rsidR="00D3052C" w:rsidRDefault="005A4A2B">
      <w:pPr>
        <w:pStyle w:val="normal-000007"/>
      </w:pPr>
      <w:proofErr w:type="spellStart"/>
      <w:r>
        <w:rPr>
          <w:rStyle w:val="defaultparagraphfont-000008"/>
        </w:rPr>
        <w:lastRenderedPageBreak/>
        <w:t>Urbroj</w:t>
      </w:r>
      <w:proofErr w:type="spellEnd"/>
      <w:r>
        <w:rPr>
          <w:rStyle w:val="defaultparagraphfont-000008"/>
        </w:rPr>
        <w:t xml:space="preserve">: </w:t>
      </w:r>
    </w:p>
    <w:p w:rsidR="00D3052C" w:rsidRDefault="005A4A2B">
      <w:pPr>
        <w:pStyle w:val="normal-000007"/>
      </w:pPr>
      <w:r>
        <w:rPr>
          <w:rStyle w:val="defaultparagraphfont-000008"/>
        </w:rPr>
        <w:t xml:space="preserve">Zagreb, </w:t>
      </w:r>
    </w:p>
    <w:p w:rsidR="00D3052C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p w:rsidR="00D3052C" w:rsidRDefault="005A4A2B">
      <w:pPr>
        <w:pStyle w:val="normal-000038"/>
      </w:pPr>
      <w:r>
        <w:rPr>
          <w:rStyle w:val="defaultparagraphfont-000008"/>
        </w:rPr>
        <w:t>Ministar</w:t>
      </w:r>
      <w:r>
        <w:t xml:space="preserve"> </w:t>
      </w:r>
    </w:p>
    <w:p w:rsidR="00D3052C" w:rsidRDefault="005A4A2B">
      <w:pPr>
        <w:pStyle w:val="normal-000038"/>
      </w:pPr>
      <w:r>
        <w:rPr>
          <w:rStyle w:val="defaultparagraphfont-000014"/>
          <w:b/>
          <w:bCs/>
        </w:rPr>
        <w:t>Oleg Butković</w:t>
      </w:r>
      <w:r>
        <w:rPr>
          <w:rStyle w:val="defaultparagraphfont-000014"/>
        </w:rPr>
        <w:t xml:space="preserve"> </w:t>
      </w:r>
    </w:p>
    <w:p w:rsidR="005A4A2B" w:rsidRDefault="005A4A2B">
      <w:pPr>
        <w:pStyle w:val="normal-000007"/>
      </w:pPr>
      <w:r>
        <w:rPr>
          <w:rStyle w:val="000004"/>
        </w:rPr>
        <w:t> </w:t>
      </w:r>
      <w:r>
        <w:t xml:space="preserve"> </w:t>
      </w:r>
    </w:p>
    <w:sectPr w:rsidR="005A4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46D"/>
    <w:multiLevelType w:val="hybridMultilevel"/>
    <w:tmpl w:val="E9E4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1F11"/>
    <w:multiLevelType w:val="hybridMultilevel"/>
    <w:tmpl w:val="07B63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32FE"/>
    <w:multiLevelType w:val="hybridMultilevel"/>
    <w:tmpl w:val="E8025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50BE"/>
    <w:multiLevelType w:val="hybridMultilevel"/>
    <w:tmpl w:val="99A28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CC"/>
    <w:multiLevelType w:val="hybridMultilevel"/>
    <w:tmpl w:val="BFB4C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EDC"/>
    <w:multiLevelType w:val="hybridMultilevel"/>
    <w:tmpl w:val="D1589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D"/>
    <w:rsid w:val="004D1D60"/>
    <w:rsid w:val="00580507"/>
    <w:rsid w:val="005A4A2B"/>
    <w:rsid w:val="00631716"/>
    <w:rsid w:val="0080362D"/>
    <w:rsid w:val="00823A6A"/>
    <w:rsid w:val="00891333"/>
    <w:rsid w:val="00D3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1195B-CC84-43F5-AD39-D214A97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paragraphfont0">
    <w:name w:val="defaultparagraphfont"/>
    <w:basedOn w:val="DefaultParagraphFont"/>
  </w:style>
  <w:style w:type="paragraph" w:customStyle="1" w:styleId="title-000000">
    <w:name w:val="title-000000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01">
    <w:name w:val="000001"/>
    <w:basedOn w:val="DefaultParagraphFont"/>
  </w:style>
  <w:style w:type="paragraph" w:customStyle="1" w:styleId="title-000002">
    <w:name w:val="title-00000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paragraphfont-000003">
    <w:name w:val="defaultparagraphfont-000003"/>
    <w:basedOn w:val="DefaultParagraphFont"/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04">
    <w:name w:val="000004"/>
    <w:basedOn w:val="DefaultParagraphFont"/>
  </w:style>
  <w:style w:type="character" w:customStyle="1" w:styleId="defaultparagraphfont-000005">
    <w:name w:val="defaultparagraphfont-000005"/>
    <w:basedOn w:val="DefaultParagraphFont"/>
  </w:style>
  <w:style w:type="paragraph" w:customStyle="1" w:styleId="normal-000006">
    <w:name w:val="normal-00000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07">
    <w:name w:val="normal-000007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paragraphfont-000008">
    <w:name w:val="defaultparagraphfont-000008"/>
    <w:basedOn w:val="DefaultParagraphFont"/>
  </w:style>
  <w:style w:type="paragraph" w:customStyle="1" w:styleId="normal-000009">
    <w:name w:val="normal-000009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10">
    <w:name w:val="000010"/>
    <w:basedOn w:val="DefaultParagraphFont"/>
  </w:style>
  <w:style w:type="paragraph" w:customStyle="1" w:styleId="normal-000011">
    <w:name w:val="normal-00001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12">
    <w:name w:val="normal-00001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paragraphfont-000013">
    <w:name w:val="defaultparagraphfont-000013"/>
    <w:basedOn w:val="DefaultParagraphFont"/>
  </w:style>
  <w:style w:type="character" w:customStyle="1" w:styleId="defaultparagraphfont-000014">
    <w:name w:val="defaultparagraphfont-000014"/>
    <w:basedOn w:val="DefaultParagraphFont"/>
  </w:style>
  <w:style w:type="paragraph" w:customStyle="1" w:styleId="normal-000015">
    <w:name w:val="normal-00001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0018">
    <w:name w:val="000018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19">
    <w:name w:val="000019"/>
    <w:basedOn w:val="DefaultParagraphFont"/>
  </w:style>
  <w:style w:type="paragraph" w:customStyle="1" w:styleId="normal-000021">
    <w:name w:val="normal-00002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23">
    <w:name w:val="normal-000023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24">
    <w:name w:val="normal-000024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25">
    <w:name w:val="normal-00002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0026">
    <w:name w:val="00002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27">
    <w:name w:val="000027"/>
    <w:basedOn w:val="DefaultParagraphFont"/>
  </w:style>
  <w:style w:type="paragraph" w:customStyle="1" w:styleId="normal-000031">
    <w:name w:val="normal-00003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paragraphfont-000032">
    <w:name w:val="defaultparagraphfont-000032"/>
    <w:basedOn w:val="DefaultParagraphFont"/>
  </w:style>
  <w:style w:type="paragraph" w:customStyle="1" w:styleId="normal-000033">
    <w:name w:val="normal-000033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35">
    <w:name w:val="000035"/>
    <w:basedOn w:val="DefaultParagraphFont"/>
  </w:style>
  <w:style w:type="paragraph" w:customStyle="1" w:styleId="normal-000036">
    <w:name w:val="normal-00003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38">
    <w:name w:val="normal-000038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23A6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23A6A"/>
    <w:rPr>
      <w:rFonts w:ascii="Calibri" w:eastAsia="Calibri" w:hAnsi="Calibri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91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Radas</dc:creator>
  <cp:lastModifiedBy>David Radas</cp:lastModifiedBy>
  <cp:revision>5</cp:revision>
  <dcterms:created xsi:type="dcterms:W3CDTF">2024-08-07T11:38:00Z</dcterms:created>
  <dcterms:modified xsi:type="dcterms:W3CDTF">2024-08-07T12:30:00Z</dcterms:modified>
</cp:coreProperties>
</file>