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091A1" w14:textId="08B0F6E7" w:rsidR="00CA5751" w:rsidRPr="00CA5751" w:rsidRDefault="00CA5751" w:rsidP="00CA5751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3235"/>
        <w:gridCol w:w="76"/>
        <w:gridCol w:w="6384"/>
      </w:tblGrid>
      <w:tr w:rsidR="00CA5751" w:rsidRPr="00CA5751" w14:paraId="6963FB77" w14:textId="77777777" w:rsidTr="00CA5751"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FB51E" w14:textId="77777777" w:rsidR="00CA5751" w:rsidRPr="00CA5751" w:rsidRDefault="00CA5751" w:rsidP="00CA57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PRILOG 1.:</w:t>
            </w:r>
          </w:p>
        </w:tc>
      </w:tr>
      <w:tr w:rsidR="00CA5751" w:rsidRPr="00CA5751" w14:paraId="5A512F70" w14:textId="77777777" w:rsidTr="00CA5751"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2ED95" w14:textId="77777777" w:rsidR="00CA5751" w:rsidRPr="00CA5751" w:rsidRDefault="00CA5751" w:rsidP="00CA57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OBRAZAC ZAKONODAVNIH AKTIVNOSTI</w:t>
            </w:r>
          </w:p>
        </w:tc>
      </w:tr>
      <w:tr w:rsidR="00CA5751" w:rsidRPr="00CA5751" w14:paraId="09F7BD2D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5D25F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47BED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STRUČNI NOSITELJ:</w:t>
            </w:r>
          </w:p>
        </w:tc>
        <w:tc>
          <w:tcPr>
            <w:tcW w:w="6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2FEDA" w14:textId="6AA24D75" w:rsidR="00CA5751" w:rsidRPr="00AC68F2" w:rsidRDefault="00AC68F2" w:rsidP="00CA575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ED416B">
              <w:rPr>
                <w:rFonts w:ascii="Minion Pro" w:eastAsia="Times New Roman" w:hAnsi="Minion Pro" w:cs="Times New Roman"/>
                <w:b/>
                <w:bCs/>
                <w:lang w:eastAsia="hr-HR"/>
              </w:rPr>
              <w:t>MINISTARSTVO PRAVOSUĐA</w:t>
            </w:r>
            <w:r w:rsidR="00D82945">
              <w:rPr>
                <w:rFonts w:ascii="Minion Pro" w:eastAsia="Times New Roman" w:hAnsi="Minion Pro" w:cs="Times New Roman"/>
                <w:b/>
                <w:bCs/>
                <w:lang w:eastAsia="hr-HR"/>
              </w:rPr>
              <w:t>,</w:t>
            </w:r>
            <w:r w:rsidRPr="00ED416B">
              <w:rPr>
                <w:rFonts w:ascii="Minion Pro" w:eastAsia="Times New Roman" w:hAnsi="Minion Pro" w:cs="Times New Roman"/>
                <w:b/>
                <w:bCs/>
                <w:lang w:eastAsia="hr-HR"/>
              </w:rPr>
              <w:t xml:space="preserve"> UPRAVE</w:t>
            </w:r>
            <w:r w:rsidR="00D82945">
              <w:rPr>
                <w:rFonts w:ascii="Minion Pro" w:eastAsia="Times New Roman" w:hAnsi="Minion Pro" w:cs="Times New Roman"/>
                <w:b/>
                <w:bCs/>
                <w:lang w:eastAsia="hr-HR"/>
              </w:rPr>
              <w:t xml:space="preserve"> I DIGITALNE TRANSFORMACIJE</w:t>
            </w:r>
          </w:p>
        </w:tc>
      </w:tr>
      <w:tr w:rsidR="00CA5751" w:rsidRPr="00CA5751" w14:paraId="00E84545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121DF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9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D162C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POSTUPAK PROCJENE UČINAKA PROPISA</w:t>
            </w:r>
          </w:p>
        </w:tc>
      </w:tr>
      <w:tr w:rsidR="00CA5751" w:rsidRPr="00CA5751" w14:paraId="34393C6F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61B26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Redni broj: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C5DDA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nacrta prijedloga zakona: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92B91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Upućivanje u proceduru Vlade Republike Hrvatske:</w:t>
            </w:r>
          </w:p>
        </w:tc>
      </w:tr>
      <w:tr w:rsidR="00CA5751" w:rsidRPr="00CA5751" w14:paraId="6E05965F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0313D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2.1.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DAC81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FA54F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A5751" w:rsidRPr="00CA5751" w14:paraId="2FD4C646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6B012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7DA297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364F5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CA5751" w:rsidRPr="00CA5751" w14:paraId="0BDECC7F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C738E9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DEEF14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6A118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CA5751" w:rsidRPr="00CA5751" w14:paraId="071192A1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7CF24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2.2.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2A253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A0292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A5751" w:rsidRPr="00CA5751" w14:paraId="57A93EE1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2DA11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4A520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FAC7F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CA5751" w:rsidRPr="00CA5751" w14:paraId="43EC7BBE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E272A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13F89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F5D56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CA5751" w:rsidRPr="00CA5751" w14:paraId="70CC1FEB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3F725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2.3.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D3F73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B80608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A5751" w:rsidRPr="00CA5751" w14:paraId="3D25EF88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1715B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69AFC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470BD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CA5751" w:rsidRPr="00CA5751" w14:paraId="2B8D62CC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30B52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63D9A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61DAE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CA5751" w:rsidRPr="00CA5751" w14:paraId="4D452DBE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3E3A1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9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10882F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IZNIMKE OD POSTUPKA PROCJENE UČINAKA PROPISA</w:t>
            </w:r>
          </w:p>
        </w:tc>
      </w:tr>
      <w:tr w:rsidR="00CA5751" w:rsidRPr="00CA5751" w14:paraId="54BF262E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8B47A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Redni broj: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0A015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nacrta prijedloga zakona: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A37E4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Upućivanje u proceduru Vlade Republike Hrvatske:</w:t>
            </w:r>
          </w:p>
        </w:tc>
      </w:tr>
      <w:tr w:rsidR="00CA5751" w:rsidRPr="00CA5751" w14:paraId="4E3D922B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89265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3.1.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04CE" w14:textId="5006041D" w:rsidR="00CA5751" w:rsidRPr="00ED416B" w:rsidRDefault="00AC68F2" w:rsidP="00CA575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 xml:space="preserve">Nacrt konačnog prijedloga zakona o izmjeni Zakona o potvrđivanju Konvencije za zaštitu ljudskih prava i </w:t>
            </w:r>
            <w:r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lastRenderedPageBreak/>
              <w:t>temeljnih sloboda i Protokola br. 1., 4., 6., 7. i 11. uz Konvenciju za zaštitu ljudskih prava i temeljnih sloboda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6440F" w14:textId="4461FA44" w:rsidR="00CA5751" w:rsidRPr="00ED416B" w:rsidRDefault="00AC68F2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416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II. tromjesečje 2024.</w:t>
            </w:r>
          </w:p>
        </w:tc>
      </w:tr>
      <w:tr w:rsidR="00CA5751" w:rsidRPr="00CA5751" w14:paraId="16FF3140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D6798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1C0DB5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6AA47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CA5751" w:rsidRPr="00CA5751" w14:paraId="15EFE91D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1145A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ECFC5" w14:textId="29EA9130" w:rsidR="00CA5751" w:rsidRPr="00ED416B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D416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0C600B" w:rsidRPr="00ED416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Hrvatski sabor je 17. listopada 1997. donio Zakon o potvrđivanju Konvencije za zaštitu ljudskih prava i temeljnih sloboda i Protokola br. 1., 4., 6., 7. i 11. uz Konvenciju za zaštitu ljudskih prava i temeljnih sloboda. Člankom 4. tog Zakona utvrđeno je da Republika Hrvatska stavlja rezervu glede održavanja javne rasprave zajamčene člankom 6</w:t>
            </w:r>
            <w:r w:rsidR="00D82945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0C600B" w:rsidRPr="00ED416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stavkom 1. Konvencije, pozivajući se na odredbu članka 34.  stavka 1. tadašnjeg Zakona o uprav</w:t>
            </w:r>
            <w:r w:rsidR="00D82945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</w:t>
            </w:r>
            <w:r w:rsidR="000C600B" w:rsidRPr="00ED416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im sporovima koja je glasila: „O upravnim sporovima sud rješava u nejavnoj sjednici“. U skladu s navedenom odredbom Zakona</w:t>
            </w:r>
            <w:r w:rsidR="00C352C1" w:rsidRPr="00ED416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, RH je prilikom polagan</w:t>
            </w:r>
            <w:r w:rsidR="00AA2249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j</w:t>
            </w:r>
            <w:r w:rsidR="00C352C1" w:rsidRPr="00ED416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a isprave o ratifikaciji Konvencije, 5. studenoga 1997. godine, kod glavnog tajnika Vijeća Europe kao depozitara, stavila rezervu.</w:t>
            </w:r>
          </w:p>
          <w:p w14:paraId="55984793" w14:textId="2E998038" w:rsidR="00C352C1" w:rsidRPr="00ED416B" w:rsidRDefault="00C352C1" w:rsidP="00CA575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>Nadalje, Zakonom o upravnim sporovima, koji je Hrvatski sabor donio 29.</w:t>
            </w:r>
            <w:r w:rsidR="00D82945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 xml:space="preserve"> </w:t>
            </w:r>
            <w:r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>siječnja 2010. godine, u postupku usklađivanja s pravnom stečevinom Europske unije, a koji je stupi</w:t>
            </w:r>
            <w:r w:rsidR="00D82945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>o</w:t>
            </w:r>
            <w:r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 xml:space="preserve"> na snagu 1. siječnja 2012., uklonjeni su razlozi zbog kojih je RH stavila rezervu, budući da je upravo usklađivanjem nacionalnog zakonodavstva s Konvencijom, uvedena javna rasprava u upravnom sporu.</w:t>
            </w:r>
          </w:p>
          <w:p w14:paraId="7992D8CB" w14:textId="5392BCC1" w:rsidR="00185E4C" w:rsidRPr="00ED416B" w:rsidRDefault="00185E4C" w:rsidP="00CA575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 xml:space="preserve">Stoga se Prijedlogom ovog zakona predlaže izmijeniti članak 4. Zakona o potvrđivanju Konvencije u kojem je sadržana spomenuta rezerva, na način da će Republike Hrvatska u cijelosti </w:t>
            </w:r>
            <w:r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lastRenderedPageBreak/>
              <w:t xml:space="preserve">povući rezervu sadržanu u tom članku te će o tome uputiti obavijest Glavnom tajniku Vijeća Europe. </w:t>
            </w:r>
            <w:r w:rsidR="005E6C68"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 xml:space="preserve">Izmjena spomenute odredbe pretpostavka je kako bi Republika Hrvatska mogla </w:t>
            </w:r>
            <w:r w:rsidR="00CD7398"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>uputiti Glavnom tajniku Vijeća Europe obavijest o povlačenju rezerve.</w:t>
            </w:r>
          </w:p>
          <w:p w14:paraId="4546B210" w14:textId="20258E48" w:rsidR="00185E4C" w:rsidRPr="00ED416B" w:rsidRDefault="00185E4C" w:rsidP="00CA575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ED416B"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8EBF2" w14:textId="6B7247E8" w:rsidR="00CD7398" w:rsidRPr="00ED416B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3E36D3">
              <w:rPr>
                <w:rFonts w:ascii="Minion Pro" w:eastAsia="Times New Roman" w:hAnsi="Minion Pro" w:cs="Times New Roman"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 </w:t>
            </w:r>
            <w:r w:rsidR="005E6C68" w:rsidRPr="00ED416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Cilj donošenja zakona je povlačenje rezerve </w:t>
            </w:r>
            <w:r w:rsidR="00CD7398" w:rsidRPr="00ED416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koju je Republika Hrvatska stavila prilikom polaganje svoje isprave o ratifikaciji Konvencije, glede održavanja javne rasprave zajamčene člankom 6. stavkom 1. Konvencije.</w:t>
            </w:r>
          </w:p>
          <w:p w14:paraId="4F836B69" w14:textId="77777777" w:rsidR="00CD7398" w:rsidRPr="003E36D3" w:rsidRDefault="00CD7398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4429E2D5" w14:textId="1A3D8CDD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CA5751" w:rsidRPr="00CA5751" w14:paraId="39E82020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EA7F2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3.2.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DC169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1B275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A5751" w:rsidRPr="00CA5751" w14:paraId="13E8342A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53B94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B48F9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B58BD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CA5751" w:rsidRPr="00CA5751" w14:paraId="00D96F52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5D924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82886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76C7A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CA5751" w:rsidRPr="00CA5751" w14:paraId="67E690D1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05EF4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3.3.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77908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AE456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A5751" w:rsidRPr="00CA5751" w14:paraId="7D0076FE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E94C2" w14:textId="77777777" w:rsidR="00CA5751" w:rsidRPr="00CA5751" w:rsidRDefault="00CA5751" w:rsidP="00C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D84C8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BD03C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CA5751" w:rsidRPr="00CA5751" w14:paraId="224E604F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1EF61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90E85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EB339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CA5751" w:rsidRPr="00CA5751" w14:paraId="0B67B6EC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17EEE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9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F4E33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OVJERA ČELNIKA STRUČNOG NOSITELJA</w:t>
            </w:r>
          </w:p>
        </w:tc>
      </w:tr>
      <w:tr w:rsidR="00CA5751" w:rsidRPr="00CA5751" w14:paraId="145FE181" w14:textId="77777777" w:rsidTr="00CA5751"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13EA6" w14:textId="77777777" w:rsidR="00CA5751" w:rsidRPr="00CA5751" w:rsidRDefault="00CA5751" w:rsidP="00CA57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9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D21A5" w14:textId="41BACAEA" w:rsidR="00CA5751" w:rsidRPr="00CA5751" w:rsidRDefault="00CA5751" w:rsidP="00CA5751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Potpis:</w:t>
            </w:r>
            <w:r w:rsidR="00ED416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8294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Damir </w:t>
            </w:r>
            <w:proofErr w:type="spellStart"/>
            <w:r w:rsidR="00D8294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Habijan</w:t>
            </w:r>
            <w:proofErr w:type="spellEnd"/>
          </w:p>
          <w:p w14:paraId="0E70B1C1" w14:textId="6E5681FD" w:rsidR="00CA5751" w:rsidRPr="00CA5751" w:rsidRDefault="00CA5751" w:rsidP="00CA5751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Datum:</w:t>
            </w:r>
            <w:r w:rsidR="00ED416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8294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21. 5</w:t>
            </w:r>
            <w:r w:rsidR="00ED416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2024.</w:t>
            </w:r>
          </w:p>
        </w:tc>
      </w:tr>
      <w:tr w:rsidR="00CA5751" w:rsidRPr="00CA5751" w14:paraId="035FB5F1" w14:textId="77777777" w:rsidTr="00CA5751"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AC1AB" w14:textId="77777777" w:rsidR="00CA5751" w:rsidRPr="00CA5751" w:rsidRDefault="00CA5751" w:rsidP="00CA57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Uputa:</w:t>
            </w:r>
          </w:p>
          <w:p w14:paraId="5DC4929D" w14:textId="77777777" w:rsidR="00CA5751" w:rsidRPr="00CA5751" w:rsidRDefault="00CA5751" w:rsidP="00CA57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Točka 1.: navesti naziv tijela državne uprave</w:t>
            </w:r>
          </w:p>
          <w:p w14:paraId="5939748A" w14:textId="77777777" w:rsidR="00CA5751" w:rsidRPr="00CA5751" w:rsidRDefault="00CA5751" w:rsidP="00CA57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    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0C38B45E" w14:textId="77777777" w:rsidR="00CA5751" w:rsidRPr="00CA5751" w:rsidRDefault="00CA5751" w:rsidP="00CA57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    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766C32A4" w14:textId="77777777" w:rsidR="00CA5751" w:rsidRPr="00CA5751" w:rsidRDefault="00CA5751" w:rsidP="00CA57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Točka 4. ovjera čelnika stručnog nositelja</w:t>
            </w:r>
          </w:p>
          <w:p w14:paraId="2FDFBC22" w14:textId="77777777" w:rsidR="00CA5751" w:rsidRPr="00CA5751" w:rsidRDefault="00CA5751" w:rsidP="00CA57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Nacrti prijedloga zakona koji se planiraju za usklađivanje s pravnom stečevinom Europske unije označavaju se oznakom »(EU)«</w:t>
            </w:r>
          </w:p>
          <w:p w14:paraId="35413640" w14:textId="77777777" w:rsidR="00CA5751" w:rsidRPr="00CA5751" w:rsidRDefault="00CA5751" w:rsidP="00CA57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    Nacrti prijedloga zakona koji su dio programa rada Vlade Republike Hrvatske, drugog akta strateškog planiranja ili reformske mjere označavaju se oznakom »(RM)«</w:t>
            </w:r>
          </w:p>
          <w:p w14:paraId="21CAFD2F" w14:textId="77777777" w:rsidR="00CA5751" w:rsidRPr="00CA5751" w:rsidRDefault="00CA5751" w:rsidP="00CA57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575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Za svaki novi nacrt prijedloga zakona dodaje se odgovarajući broj novih redova u tablici prema zadanom predlošku</w:t>
            </w:r>
          </w:p>
        </w:tc>
      </w:tr>
    </w:tbl>
    <w:p w14:paraId="505F57CA" w14:textId="48384382" w:rsidR="00A00D99" w:rsidRPr="00D82945" w:rsidRDefault="00CA5751" w:rsidP="00D82945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</w:pPr>
      <w:r w:rsidRPr="00CA5751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  <w:bookmarkStart w:id="0" w:name="_GoBack"/>
      <w:bookmarkEnd w:id="0"/>
    </w:p>
    <w:sectPr w:rsidR="00A00D99" w:rsidRPr="00D82945" w:rsidSect="00CA57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51"/>
    <w:rsid w:val="0002710F"/>
    <w:rsid w:val="000C600B"/>
    <w:rsid w:val="00185E4C"/>
    <w:rsid w:val="0034549E"/>
    <w:rsid w:val="003E36D3"/>
    <w:rsid w:val="004C6396"/>
    <w:rsid w:val="005E6C68"/>
    <w:rsid w:val="00A00D99"/>
    <w:rsid w:val="00AA2249"/>
    <w:rsid w:val="00AC68F2"/>
    <w:rsid w:val="00C352C1"/>
    <w:rsid w:val="00CA5751"/>
    <w:rsid w:val="00CD7398"/>
    <w:rsid w:val="00D26B8B"/>
    <w:rsid w:val="00D82945"/>
    <w:rsid w:val="00ED416B"/>
    <w:rsid w:val="00F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86C0"/>
  <w15:chartTrackingRefBased/>
  <w15:docId w15:val="{63DC7AC2-D774-41E5-A3DB-129AC67D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Jurinjak</dc:creator>
  <cp:keywords/>
  <dc:description/>
  <cp:lastModifiedBy>Tamara Poljarević</cp:lastModifiedBy>
  <cp:revision>4</cp:revision>
  <cp:lastPrinted>2024-03-20T14:44:00Z</cp:lastPrinted>
  <dcterms:created xsi:type="dcterms:W3CDTF">2024-08-07T09:52:00Z</dcterms:created>
  <dcterms:modified xsi:type="dcterms:W3CDTF">2024-08-07T10:37:00Z</dcterms:modified>
</cp:coreProperties>
</file>