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5F256F" w:rsidRPr="00DA65D6" w:rsidTr="00793DF0">
        <w:tc>
          <w:tcPr>
            <w:tcW w:w="9923" w:type="dxa"/>
            <w:gridSpan w:val="4"/>
            <w:shd w:val="clear" w:color="auto" w:fill="auto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5F256F" w:rsidRPr="00DA65D6" w:rsidTr="00793DF0">
        <w:tc>
          <w:tcPr>
            <w:tcW w:w="9923" w:type="dxa"/>
            <w:gridSpan w:val="4"/>
            <w:shd w:val="clear" w:color="auto" w:fill="auto"/>
          </w:tcPr>
          <w:p w:rsidR="005F256F" w:rsidRPr="00DA65D6" w:rsidRDefault="005F256F" w:rsidP="00793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56F" w:rsidRPr="00DA65D6" w:rsidRDefault="005F256F" w:rsidP="00793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:rsidR="005F256F" w:rsidRPr="00DA65D6" w:rsidRDefault="005F256F" w:rsidP="00793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56F" w:rsidRPr="00DA65D6" w:rsidTr="00793DF0">
        <w:tc>
          <w:tcPr>
            <w:tcW w:w="851" w:type="dxa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:rsidR="005F256F" w:rsidRPr="00DA65D6" w:rsidRDefault="005F256F" w:rsidP="00793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Ministarstvo mora, prometa i infrastrukture</w:t>
            </w:r>
          </w:p>
        </w:tc>
      </w:tr>
      <w:tr w:rsidR="005F256F" w:rsidRPr="00DA65D6" w:rsidTr="00793DF0">
        <w:tc>
          <w:tcPr>
            <w:tcW w:w="851" w:type="dxa"/>
            <w:vAlign w:val="bottom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5F256F" w:rsidRPr="00DA65D6" w:rsidTr="00793DF0">
        <w:tc>
          <w:tcPr>
            <w:tcW w:w="851" w:type="dxa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:rsidR="005F256F" w:rsidRDefault="005F256F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  <w:p w:rsidR="005F256F" w:rsidRPr="00DA65D6" w:rsidRDefault="005F256F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5F256F" w:rsidRPr="00DA65D6" w:rsidTr="00793DF0">
        <w:tc>
          <w:tcPr>
            <w:tcW w:w="851" w:type="dxa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:rsidR="005F256F" w:rsidRPr="00D0238D" w:rsidRDefault="005F256F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38D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elektroničkim komunikacijama (EU)</w:t>
            </w:r>
          </w:p>
        </w:tc>
        <w:tc>
          <w:tcPr>
            <w:tcW w:w="5103" w:type="dxa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tromjesečje</w:t>
            </w:r>
            <w:r w:rsidR="0018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56F" w:rsidRPr="00DA65D6" w:rsidTr="00793DF0">
        <w:tc>
          <w:tcPr>
            <w:tcW w:w="851" w:type="dxa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5F256F" w:rsidRPr="00DA65D6" w:rsidRDefault="005F256F" w:rsidP="00793D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5F256F" w:rsidRPr="00DA65D6" w:rsidTr="00793DF0">
        <w:tc>
          <w:tcPr>
            <w:tcW w:w="851" w:type="dxa"/>
          </w:tcPr>
          <w:p w:rsidR="005F256F" w:rsidRPr="00DA65D6" w:rsidRDefault="005F256F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5F256F" w:rsidRDefault="005F256F" w:rsidP="00793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Zakon se predlaže radi osiguranja provedbe Uredbe </w:t>
            </w:r>
            <w:r w:rsidRPr="00DC7C30">
              <w:rPr>
                <w:rFonts w:ascii="Times New Roman" w:hAnsi="Times New Roman" w:cs="Times New Roman"/>
                <w:sz w:val="24"/>
                <w:szCs w:val="24"/>
              </w:rPr>
              <w:t xml:space="preserve">(EU) 2024/1309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Europskog parlamenta i Vijeća </w:t>
            </w:r>
            <w:r w:rsidRPr="00DC7C30">
              <w:rPr>
                <w:rFonts w:ascii="Times New Roman" w:hAnsi="Times New Roman" w:cs="Times New Roman"/>
                <w:sz w:val="24"/>
                <w:szCs w:val="24"/>
              </w:rPr>
              <w:t>od 29. travnja 2024. o mjerama za smanjenje troškova postavljanja gigabitnih elektroničkih komunikacijskih mreža, izmjeni Uredbe (EU) 2015/2120 i stavljanju izvan snage Direktive 2014/61/EU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tzv. </w:t>
            </w:r>
            <w:r w:rsidRPr="00DC7C30">
              <w:rPr>
                <w:rFonts w:ascii="Times New Roman" w:hAnsi="Times New Roman" w:cs="Times New Roman"/>
                <w:sz w:val="24"/>
                <w:szCs w:val="24"/>
              </w:rPr>
              <w:t>Akt o gigabitnoj infrastrukturi)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Zakonom se također stavlja izvan snage Zakon o mjerama za smanjenje troškova </w:t>
            </w:r>
            <w:r w:rsidRPr="005C6BB1">
              <w:rPr>
                <w:rFonts w:ascii="Times New Roman" w:hAnsi="Times New Roman" w:cs="Times New Roman"/>
                <w:sz w:val="24"/>
                <w:szCs w:val="24"/>
              </w:rPr>
              <w:t>postavljanja elektroničkih komunikacijskih mreža velikih brzina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(Narodne novine, br. 121/16.) budući da će predmetna materija biti uređena ovim Zakonom. </w:t>
            </w:r>
            <w:r w:rsidRPr="007D2C34">
              <w:rPr>
                <w:rFonts w:ascii="Times New Roman" w:hAnsi="Times New Roman" w:cs="Times New Roman"/>
                <w:sz w:val="24"/>
                <w:szCs w:val="24"/>
              </w:rPr>
              <w:t xml:space="preserve">Ovim Zakonom ujedno će se izmijeniti i dopuniti  pojedine prekršajne odredbe s obzirom na visinu propisanih sankcija, odredbe u vezi s uvjetima pružanja pristupa i prednosti u uporabi elektroničkih komunikacijskih usluga te  usklađivanje odredaba s propisom iz područja </w:t>
            </w:r>
            <w:proofErr w:type="spellStart"/>
            <w:r w:rsidRPr="007D2C34"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 w:rsidRPr="007D2C34">
              <w:rPr>
                <w:rFonts w:ascii="Times New Roman" w:hAnsi="Times New Roman" w:cs="Times New Roman"/>
                <w:sz w:val="24"/>
                <w:szCs w:val="24"/>
              </w:rPr>
              <w:t xml:space="preserve"> sigurnosti.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56F" w:rsidRPr="00DA65D6" w:rsidRDefault="005F256F" w:rsidP="00793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5F256F" w:rsidRPr="00DA65D6" w:rsidRDefault="005F256F" w:rsidP="00793D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koji se u području elektroničkih komunikacija žele postići donošenjem ovog Zakona, a kroz osiguranje provedbe Uredbe su pojednostavljenje i ubrzavanje</w:t>
            </w:r>
            <w:r w:rsidRPr="00DC7C30">
              <w:rPr>
                <w:rFonts w:ascii="Times New Roman" w:hAnsi="Times New Roman" w:cs="Times New Roman"/>
                <w:sz w:val="24"/>
                <w:szCs w:val="24"/>
              </w:rPr>
              <w:t xml:space="preserve"> uvođenje mreža velikih brzina, kao što su svjetlovodne i 5G mreže, kako bi se ostvaril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ciljevi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povezivosti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unutar Unije.  </w:t>
            </w:r>
            <w:r w:rsidRPr="00DC7C30">
              <w:rPr>
                <w:rFonts w:ascii="Times New Roman" w:hAnsi="Times New Roman" w:cs="Times New Roman"/>
                <w:sz w:val="24"/>
                <w:szCs w:val="24"/>
              </w:rPr>
              <w:t>Ujedno se novim zakonodavnim okvirom namjerava smanjiti nepotrebno visoke troškove postavljanja mreža velikog kapaciteta, a koji su djelomično uzrokovani postupcima izdavanja dozvola, osigurati pravnu sigurnost i transparentnost za sve uključene gospodarske subjekte te omogućiti učinkovito planiranje za operatore javnih elektroničkih komunikacijskih mreža.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2C34">
              <w:rPr>
                <w:rFonts w:ascii="Times New Roman" w:hAnsi="Times New Roman" w:cs="Times New Roman"/>
                <w:sz w:val="24"/>
                <w:szCs w:val="24"/>
              </w:rPr>
              <w:t xml:space="preserve">Zakonom se također želi postići usklađivanje sa mjerodavnim propisom iz područja </w:t>
            </w:r>
            <w:proofErr w:type="spellStart"/>
            <w:r w:rsidRPr="007D2C34">
              <w:rPr>
                <w:rFonts w:ascii="Times New Roman" w:hAnsi="Times New Roman" w:cs="Times New Roman"/>
                <w:sz w:val="24"/>
                <w:szCs w:val="24"/>
              </w:rPr>
              <w:t>kibernetičke</w:t>
            </w:r>
            <w:proofErr w:type="spellEnd"/>
            <w:r w:rsidRPr="007D2C34">
              <w:rPr>
                <w:rFonts w:ascii="Times New Roman" w:hAnsi="Times New Roman" w:cs="Times New Roman"/>
                <w:sz w:val="24"/>
                <w:szCs w:val="24"/>
              </w:rPr>
              <w:t xml:space="preserve"> sigurnosti te uskladiti visinu propisanih sankcija u dijelu prekršajnih odredaba.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256F" w:rsidRPr="00DA65D6" w:rsidTr="00793DF0">
        <w:tc>
          <w:tcPr>
            <w:tcW w:w="851" w:type="dxa"/>
          </w:tcPr>
          <w:p w:rsidR="005F256F" w:rsidRPr="00D0238D" w:rsidRDefault="007603AD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38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gridSpan w:val="2"/>
          </w:tcPr>
          <w:p w:rsidR="005F256F" w:rsidRPr="00D0238D" w:rsidRDefault="007603AD" w:rsidP="00793DF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238D">
              <w:rPr>
                <w:rFonts w:ascii="Times New Roman" w:hAnsi="Times New Roman" w:cs="Times New Roman"/>
                <w:sz w:val="24"/>
                <w:szCs w:val="24"/>
              </w:rPr>
              <w:t>Zakon o izmjenama i dopunama Zakona o radnom vremenu, obveznim odmorima mobilnih radnika i uređajima za bilježenje u cestovnom prijevozu</w:t>
            </w:r>
          </w:p>
        </w:tc>
        <w:tc>
          <w:tcPr>
            <w:tcW w:w="5103" w:type="dxa"/>
          </w:tcPr>
          <w:p w:rsidR="005F256F" w:rsidRPr="00DA65D6" w:rsidRDefault="007603AD" w:rsidP="0079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 tromjesečje</w:t>
            </w:r>
          </w:p>
        </w:tc>
      </w:tr>
      <w:tr w:rsidR="007603AD" w:rsidRPr="00DA65D6" w:rsidTr="00793DF0">
        <w:tc>
          <w:tcPr>
            <w:tcW w:w="851" w:type="dxa"/>
          </w:tcPr>
          <w:p w:rsidR="007603AD" w:rsidRDefault="007603AD" w:rsidP="0076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7603AD" w:rsidRPr="00DA65D6" w:rsidRDefault="007603AD" w:rsidP="007603A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7603AD" w:rsidRPr="00DA65D6" w:rsidRDefault="007603AD" w:rsidP="0076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7603AD" w:rsidRPr="00DA65D6" w:rsidTr="00793DF0">
        <w:tc>
          <w:tcPr>
            <w:tcW w:w="851" w:type="dxa"/>
          </w:tcPr>
          <w:p w:rsidR="007603AD" w:rsidRDefault="007603AD" w:rsidP="007603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7603AD" w:rsidRDefault="007603AD" w:rsidP="0076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Zakonsko uređenje u pogledu adresata obveze ugradnje i korištenja tahografa ne odgovara u potpunosti sadašnjim zahtjevima u cestovnom prometu. Zbog uvođenja tahografa nove generacije potrebno je adekvatno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izmijeniti poslove radionice te uvjete za dobivanje dozvole.</w:t>
            </w:r>
          </w:p>
          <w:p w:rsidR="007603AD" w:rsidRPr="00DA65D6" w:rsidRDefault="007603AD" w:rsidP="0076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Zbog specifičnosti pojedinih grana u cestovnom prijevozu potrebno je revidirati i izmijeniti određene odredbe u pogledu radnih vremena mobilnih radnika.</w:t>
            </w:r>
          </w:p>
        </w:tc>
        <w:tc>
          <w:tcPr>
            <w:tcW w:w="5103" w:type="dxa"/>
          </w:tcPr>
          <w:p w:rsidR="007603AD" w:rsidRDefault="007603AD" w:rsidP="0076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Određeni adresati biti će izuzeti od obveze ugradnje i korištenja tahografa. </w:t>
            </w:r>
          </w:p>
          <w:p w:rsidR="007603AD" w:rsidRDefault="007603AD" w:rsidP="0076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Poslovi radionice te uvjeti za dobivanje dozvole biti će jasnije određeni s obzirom na vrstu tahografa.</w:t>
            </w:r>
          </w:p>
          <w:p w:rsidR="007603AD" w:rsidRDefault="007603AD" w:rsidP="007603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Radno vrijeme mobilnih radnika u pojedinim granama cestovnog prijevoza biti će usklađena njihovim specifičnim potrebama.</w:t>
            </w:r>
          </w:p>
          <w:p w:rsidR="007603AD" w:rsidRPr="00DA65D6" w:rsidRDefault="007603AD" w:rsidP="00760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68AB" w:rsidRPr="00DA65D6" w:rsidTr="00793DF0">
        <w:tc>
          <w:tcPr>
            <w:tcW w:w="851" w:type="dxa"/>
          </w:tcPr>
          <w:p w:rsidR="00AD68AB" w:rsidRPr="00D0238D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969" w:type="dxa"/>
            <w:gridSpan w:val="2"/>
          </w:tcPr>
          <w:p w:rsidR="00AD68AB" w:rsidRPr="00D0238D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38D">
              <w:rPr>
                <w:rFonts w:ascii="Times New Roman" w:hAnsi="Times New Roman" w:cs="Times New Roman"/>
                <w:sz w:val="24"/>
                <w:szCs w:val="24"/>
              </w:rPr>
              <w:t>Zakon o inspekciji cestovnog prometa i cesta</w:t>
            </w:r>
          </w:p>
        </w:tc>
        <w:tc>
          <w:tcPr>
            <w:tcW w:w="5103" w:type="dxa"/>
          </w:tcPr>
          <w:p w:rsidR="00AD68AB" w:rsidRPr="00DA65D6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</w:p>
        </w:tc>
      </w:tr>
      <w:tr w:rsidR="00AD68AB" w:rsidRPr="00DA65D6" w:rsidTr="00793DF0">
        <w:tc>
          <w:tcPr>
            <w:tcW w:w="851" w:type="dxa"/>
          </w:tcPr>
          <w:p w:rsidR="00AD68AB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D68AB" w:rsidRPr="00DA65D6" w:rsidRDefault="00AD68AB" w:rsidP="00AD6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AD68AB" w:rsidRPr="00DA65D6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AD68AB" w:rsidRPr="00DA65D6" w:rsidTr="00793DF0">
        <w:tc>
          <w:tcPr>
            <w:tcW w:w="851" w:type="dxa"/>
          </w:tcPr>
          <w:p w:rsidR="00AD68AB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D68AB" w:rsidRPr="00FD337E" w:rsidRDefault="00AD68AB" w:rsidP="00AD6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E">
              <w:rPr>
                <w:rFonts w:ascii="Times New Roman" w:hAnsi="Times New Roman" w:cs="Times New Roman"/>
                <w:sz w:val="24"/>
                <w:szCs w:val="24"/>
              </w:rPr>
              <w:t xml:space="preserve">Važeći Zakon o inspekciji cestovnog prometa i cesta (u daljnjem tekstu Zakon) je donesen 2014. god. i imao je dvije izmjene, a posljednja je bila 2022.god. zbog uvođenja eura. </w:t>
            </w:r>
          </w:p>
          <w:p w:rsidR="00AD68AB" w:rsidRPr="00FD337E" w:rsidRDefault="00AD68AB" w:rsidP="00AD6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E">
              <w:rPr>
                <w:rFonts w:ascii="Times New Roman" w:hAnsi="Times New Roman" w:cs="Times New Roman"/>
                <w:sz w:val="24"/>
                <w:szCs w:val="24"/>
              </w:rPr>
              <w:t>Pojedine odredbe Zakona više ne odgovaraju stvarnom stanju i potrebama vršenja inspekcijskih  nadzora niti su u skladu s tehnološkim razvojem. S tim u vezi potrebno je donijeti novi Zakon koji će dinamičnije i efektivnije uređivati obavljanje inspekcijskog nadzora.</w:t>
            </w:r>
          </w:p>
          <w:p w:rsidR="00AD68AB" w:rsidRPr="00FD337E" w:rsidRDefault="00AD68AB" w:rsidP="00AD6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E">
              <w:rPr>
                <w:rFonts w:ascii="Times New Roman" w:hAnsi="Times New Roman" w:cs="Times New Roman"/>
                <w:sz w:val="24"/>
                <w:szCs w:val="24"/>
              </w:rPr>
              <w:t>Izrada nacrta prijedloga novog Zakona potrebna je prvenstveno zbog:</w:t>
            </w:r>
          </w:p>
          <w:p w:rsidR="00AD68AB" w:rsidRPr="00FD337E" w:rsidRDefault="00AD68AB" w:rsidP="00AD68A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E">
              <w:rPr>
                <w:rFonts w:ascii="Times New Roman" w:hAnsi="Times New Roman" w:cs="Times New Roman"/>
                <w:sz w:val="24"/>
                <w:szCs w:val="24"/>
              </w:rPr>
              <w:t>ažuriranja naziva pojedinih tijela državne uprave i pojedinih stručnih pojmova;</w:t>
            </w:r>
          </w:p>
          <w:p w:rsidR="00AD68AB" w:rsidRPr="00FD337E" w:rsidRDefault="00AD68AB" w:rsidP="00AD68A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E">
              <w:rPr>
                <w:rFonts w:ascii="Times New Roman" w:hAnsi="Times New Roman" w:cs="Times New Roman"/>
                <w:sz w:val="24"/>
                <w:szCs w:val="24"/>
              </w:rPr>
              <w:t>definiranja pojedinih pojmova koje stari Zakon ne poznaje;</w:t>
            </w:r>
          </w:p>
          <w:p w:rsidR="00AD68AB" w:rsidRPr="00FD337E" w:rsidRDefault="00AD68AB" w:rsidP="00AD68A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E">
              <w:rPr>
                <w:rFonts w:ascii="Times New Roman" w:hAnsi="Times New Roman" w:cs="Times New Roman"/>
                <w:sz w:val="24"/>
                <w:szCs w:val="24"/>
              </w:rPr>
              <w:t>propisivanja prekršajnih odredaba vezanih uz inspekcijske nadzore;</w:t>
            </w:r>
          </w:p>
          <w:p w:rsidR="00AD68AB" w:rsidRPr="00FD337E" w:rsidRDefault="00AD68AB" w:rsidP="00AD68AB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E">
              <w:rPr>
                <w:rFonts w:ascii="Times New Roman" w:hAnsi="Times New Roman" w:cs="Times New Roman"/>
                <w:sz w:val="24"/>
                <w:szCs w:val="24"/>
              </w:rPr>
              <w:t>osiguravanja djelotvornih mjera za provođenje rješenja izdanih od strane inspektora;</w:t>
            </w:r>
          </w:p>
          <w:p w:rsidR="00AD68AB" w:rsidRPr="00DA65D6" w:rsidRDefault="00AD68AB" w:rsidP="00AD6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E">
              <w:rPr>
                <w:rFonts w:ascii="Times New Roman" w:hAnsi="Times New Roman" w:cs="Times New Roman"/>
                <w:sz w:val="24"/>
                <w:szCs w:val="24"/>
              </w:rPr>
              <w:t>bolje zaštite inspektora od strane sudionika u nadzoru, kao i zaštite od mogućih tužbi pokrenutih zbog postupanja tijekom nadzora</w:t>
            </w:r>
          </w:p>
        </w:tc>
        <w:tc>
          <w:tcPr>
            <w:tcW w:w="5103" w:type="dxa"/>
          </w:tcPr>
          <w:p w:rsidR="00AD68AB" w:rsidRPr="00FD337E" w:rsidRDefault="00AD68AB" w:rsidP="00AD6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E">
              <w:rPr>
                <w:rFonts w:ascii="Times New Roman" w:hAnsi="Times New Roman" w:cs="Times New Roman"/>
                <w:sz w:val="24"/>
                <w:szCs w:val="24"/>
              </w:rPr>
              <w:t>Osnovni cilj novog Zakona je bolje i učinkovitije urediti poslove inspekcije cestovnog prometa i cesta.</w:t>
            </w:r>
          </w:p>
          <w:p w:rsidR="00AD68AB" w:rsidRPr="00FD337E" w:rsidRDefault="00AD68AB" w:rsidP="00AD6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37E">
              <w:rPr>
                <w:rFonts w:ascii="Times New Roman" w:hAnsi="Times New Roman" w:cs="Times New Roman"/>
                <w:sz w:val="24"/>
                <w:szCs w:val="24"/>
              </w:rPr>
              <w:t xml:space="preserve">Novim Zakonom se namjerava na adekvatan i konkretan način definirati radnje koje se poduzimaju tijekom inspekcijskih nadzora, te postići da </w:t>
            </w:r>
            <w:proofErr w:type="spellStart"/>
            <w:r w:rsidRPr="00FD337E">
              <w:rPr>
                <w:rFonts w:ascii="Times New Roman" w:hAnsi="Times New Roman" w:cs="Times New Roman"/>
                <w:sz w:val="24"/>
                <w:szCs w:val="24"/>
              </w:rPr>
              <w:t>postupovne</w:t>
            </w:r>
            <w:proofErr w:type="spellEnd"/>
            <w:r w:rsidRPr="00FD337E">
              <w:rPr>
                <w:rFonts w:ascii="Times New Roman" w:hAnsi="Times New Roman" w:cs="Times New Roman"/>
                <w:sz w:val="24"/>
                <w:szCs w:val="24"/>
              </w:rPr>
              <w:t xml:space="preserve"> radnje budu u funkciji što efikasnijeg nadzora, kako bi se inspektorima omogućilo da u što većoj mjeri mogu izvršiti sve potrebne radnje, bilo osobno ili uz asistenciju  drugih tijela ili trgovačkih društava. Pored ostalog prioritet je zaštita ugleda i digniteta inspektora kao i njihova pravna sigurnost.   </w:t>
            </w:r>
          </w:p>
          <w:p w:rsidR="00AD68AB" w:rsidRPr="00DA65D6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68AB" w:rsidRPr="00DA65D6" w:rsidTr="00793DF0">
        <w:tc>
          <w:tcPr>
            <w:tcW w:w="851" w:type="dxa"/>
          </w:tcPr>
          <w:p w:rsidR="00AD68AB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969" w:type="dxa"/>
            <w:gridSpan w:val="2"/>
          </w:tcPr>
          <w:p w:rsidR="00AD68AB" w:rsidRPr="00AD68AB" w:rsidRDefault="00AD68AB" w:rsidP="00AD68A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238D">
              <w:rPr>
                <w:rFonts w:ascii="Times New Roman" w:hAnsi="Times New Roman" w:cs="Times New Roman"/>
                <w:sz w:val="24"/>
                <w:szCs w:val="24"/>
              </w:rPr>
              <w:t xml:space="preserve">Zakon o sigurnosti i </w:t>
            </w:r>
            <w:proofErr w:type="spellStart"/>
            <w:r w:rsidRPr="00D0238D">
              <w:rPr>
                <w:rFonts w:ascii="Times New Roman" w:hAnsi="Times New Roman" w:cs="Times New Roman"/>
                <w:sz w:val="24"/>
                <w:szCs w:val="24"/>
              </w:rPr>
              <w:t>interoperabilnosti</w:t>
            </w:r>
            <w:proofErr w:type="spellEnd"/>
            <w:r w:rsidRPr="00D0238D">
              <w:rPr>
                <w:rFonts w:ascii="Times New Roman" w:hAnsi="Times New Roman" w:cs="Times New Roman"/>
                <w:sz w:val="24"/>
                <w:szCs w:val="24"/>
              </w:rPr>
              <w:t xml:space="preserve"> željezničkog sustava (EU)</w:t>
            </w:r>
          </w:p>
        </w:tc>
        <w:tc>
          <w:tcPr>
            <w:tcW w:w="5103" w:type="dxa"/>
          </w:tcPr>
          <w:p w:rsidR="00AD68AB" w:rsidRPr="00DA65D6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</w:p>
        </w:tc>
      </w:tr>
      <w:tr w:rsidR="00AD68AB" w:rsidRPr="00DA65D6" w:rsidTr="00793DF0">
        <w:tc>
          <w:tcPr>
            <w:tcW w:w="851" w:type="dxa"/>
          </w:tcPr>
          <w:p w:rsidR="00AD68AB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D68AB" w:rsidRPr="00DA65D6" w:rsidRDefault="00AD68AB" w:rsidP="00AD6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AD68AB" w:rsidRPr="00DA65D6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AD68AB" w:rsidRPr="00DA65D6" w:rsidTr="00793DF0">
        <w:tc>
          <w:tcPr>
            <w:tcW w:w="851" w:type="dxa"/>
          </w:tcPr>
          <w:p w:rsidR="00AD68AB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D68AB" w:rsidRPr="00DA65D6" w:rsidRDefault="00AD68AB" w:rsidP="00AD6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Usklađivanje s pravnom stečevinom Europske unije.</w:t>
            </w:r>
          </w:p>
        </w:tc>
        <w:tc>
          <w:tcPr>
            <w:tcW w:w="5103" w:type="dxa"/>
          </w:tcPr>
          <w:p w:rsidR="00AD68AB" w:rsidRPr="00DA65D6" w:rsidRDefault="00AD68AB" w:rsidP="00AD6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0478B">
              <w:rPr>
                <w:rFonts w:ascii="Times New Roman" w:hAnsi="Times New Roman" w:cs="Times New Roman"/>
                <w:sz w:val="24"/>
                <w:szCs w:val="24"/>
              </w:rPr>
              <w:t>sklađivanje s pravnom stečevinom Europske unije u procesu 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šćenja nacionalnih pravila, koje</w:t>
            </w:r>
            <w:r w:rsidRPr="00A0478B">
              <w:rPr>
                <w:rFonts w:ascii="Times New Roman" w:hAnsi="Times New Roman" w:cs="Times New Roman"/>
                <w:sz w:val="24"/>
                <w:szCs w:val="24"/>
              </w:rPr>
              <w:t xml:space="preserve"> se provodi u suradnji s Agencijo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Europske unije za željeznice, radi </w:t>
            </w:r>
            <w:r w:rsidRPr="00A0478B">
              <w:rPr>
                <w:rFonts w:ascii="Times New Roman" w:hAnsi="Times New Roman" w:cs="Times New Roman"/>
                <w:sz w:val="24"/>
                <w:szCs w:val="24"/>
              </w:rPr>
              <w:t xml:space="preserve">postizanja tehničke usklađenosti, </w:t>
            </w:r>
            <w:r w:rsidRPr="00A047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poboljšanja i razvoja usluga željezničk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 prijevoza u Europskoj u</w:t>
            </w:r>
            <w:r w:rsidRPr="00A0478B">
              <w:rPr>
                <w:rFonts w:ascii="Times New Roman" w:hAnsi="Times New Roman" w:cs="Times New Roman"/>
                <w:sz w:val="24"/>
                <w:szCs w:val="24"/>
              </w:rPr>
              <w:t>niji i s trećim zemljama te dovršetka jedinstvenog europskog željezničkog prostora</w:t>
            </w:r>
          </w:p>
        </w:tc>
      </w:tr>
      <w:tr w:rsidR="00AD68AB" w:rsidRPr="00DA65D6" w:rsidTr="00793DF0">
        <w:tc>
          <w:tcPr>
            <w:tcW w:w="851" w:type="dxa"/>
          </w:tcPr>
          <w:p w:rsidR="00AD68AB" w:rsidRPr="00D0238D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3969" w:type="dxa"/>
            <w:gridSpan w:val="2"/>
          </w:tcPr>
          <w:p w:rsidR="00AD68AB" w:rsidRPr="00D0238D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38D">
              <w:rPr>
                <w:rFonts w:ascii="Times New Roman" w:hAnsi="Times New Roman" w:cs="Times New Roman"/>
                <w:sz w:val="24"/>
                <w:szCs w:val="24"/>
              </w:rPr>
              <w:t>Zakon o ugovorima o prijevozu u željezničkom prometu (EU)</w:t>
            </w:r>
          </w:p>
        </w:tc>
        <w:tc>
          <w:tcPr>
            <w:tcW w:w="5103" w:type="dxa"/>
          </w:tcPr>
          <w:p w:rsidR="00AD68AB" w:rsidRPr="00DA65D6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 tromjesečje</w:t>
            </w:r>
          </w:p>
        </w:tc>
      </w:tr>
      <w:tr w:rsidR="00AD68AB" w:rsidRPr="00DA65D6" w:rsidTr="00793DF0">
        <w:tc>
          <w:tcPr>
            <w:tcW w:w="851" w:type="dxa"/>
          </w:tcPr>
          <w:p w:rsidR="00AD68AB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AD68AB" w:rsidRPr="00DA65D6" w:rsidRDefault="00AD68AB" w:rsidP="00AD68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AD68AB" w:rsidRPr="00DA65D6" w:rsidRDefault="00AD68AB" w:rsidP="00AD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71C58" w:rsidRPr="00DA65D6" w:rsidTr="00793DF0">
        <w:tc>
          <w:tcPr>
            <w:tcW w:w="851" w:type="dxa"/>
          </w:tcPr>
          <w:p w:rsidR="00F71C58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Usklađivanje s pravnom stečevinom Europske unije i nacionalnim zakonodavstvom.</w:t>
            </w:r>
          </w:p>
        </w:tc>
        <w:tc>
          <w:tcPr>
            <w:tcW w:w="5103" w:type="dxa"/>
          </w:tcPr>
          <w:p w:rsidR="00F71C58" w:rsidRPr="00DA65D6" w:rsidRDefault="00F71C58" w:rsidP="00F71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F8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Usklađivanje s pravnom stečevinom Europske unije radi 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rješavanja</w:t>
            </w:r>
            <w:r w:rsidRPr="00FA4F8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međusobni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h odnosa</w:t>
            </w:r>
            <w:r w:rsidRPr="00FA4F83"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odgovornosti željezničkih prijevoznika te upravitelja infrastrukture i željezničkih prijevoznika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 xml:space="preserve"> te </w:t>
            </w:r>
            <w:r w:rsidRPr="00FA4F83">
              <w:rPr>
                <w:rFonts w:ascii="Times New Roman" w:eastAsia="Calibri" w:hAnsi="Times New Roman" w:cs="Times New Roman"/>
                <w:sz w:val="24"/>
                <w:lang w:eastAsia="hr-HR"/>
              </w:rPr>
              <w:t>elektronički prijenos regulatornih informacija o prijevozu robe između gospodarsk</w:t>
            </w:r>
            <w:r>
              <w:rPr>
                <w:rFonts w:ascii="Times New Roman" w:eastAsia="Calibri" w:hAnsi="Times New Roman" w:cs="Times New Roman"/>
                <w:sz w:val="24"/>
                <w:lang w:eastAsia="hr-HR"/>
              </w:rPr>
              <w:t>ih subjekata i nadležnih tijela.</w:t>
            </w:r>
          </w:p>
        </w:tc>
      </w:tr>
      <w:tr w:rsidR="00F71C58" w:rsidRPr="00DA65D6" w:rsidTr="00793DF0">
        <w:tc>
          <w:tcPr>
            <w:tcW w:w="851" w:type="dxa"/>
          </w:tcPr>
          <w:p w:rsidR="00F71C58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71C58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71C58" w:rsidRPr="00FA4F83" w:rsidRDefault="00F71C58" w:rsidP="00F71C58">
            <w:pPr>
              <w:jc w:val="both"/>
              <w:rPr>
                <w:rFonts w:ascii="Times New Roman" w:eastAsia="Calibri" w:hAnsi="Times New Roman" w:cs="Times New Roman"/>
                <w:sz w:val="24"/>
                <w:lang w:eastAsia="hr-HR"/>
              </w:rPr>
            </w:pPr>
          </w:p>
        </w:tc>
      </w:tr>
      <w:tr w:rsidR="00F71C58" w:rsidRPr="00DA65D6" w:rsidTr="00793DF0">
        <w:tc>
          <w:tcPr>
            <w:tcW w:w="851" w:type="dxa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F71C58" w:rsidRPr="00DA65D6" w:rsidTr="00793DF0">
        <w:tc>
          <w:tcPr>
            <w:tcW w:w="851" w:type="dxa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F71C58" w:rsidRPr="00DA65D6" w:rsidTr="00793DF0">
        <w:tc>
          <w:tcPr>
            <w:tcW w:w="851" w:type="dxa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:rsidR="00F71C58" w:rsidRPr="0018749A" w:rsidRDefault="00F71C58" w:rsidP="00F71C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238D">
              <w:rPr>
                <w:rFonts w:ascii="Times New Roman" w:hAnsi="Times New Roman" w:cs="Times New Roman"/>
                <w:sz w:val="24"/>
                <w:szCs w:val="24"/>
              </w:rPr>
              <w:t>Zakon o infrastrukturi za alternativna goriva</w:t>
            </w:r>
            <w:r w:rsidR="00A654C6" w:rsidRPr="00D02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r w:rsidR="00A654C6" w:rsidRPr="00D21632">
              <w:rPr>
                <w:rFonts w:ascii="Times New Roman" w:hAnsi="Times New Roman" w:cs="Times New Roman"/>
                <w:sz w:val="24"/>
                <w:szCs w:val="24"/>
              </w:rPr>
              <w:t>(EU)</w:t>
            </w:r>
            <w:bookmarkEnd w:id="0"/>
          </w:p>
        </w:tc>
        <w:tc>
          <w:tcPr>
            <w:tcW w:w="5103" w:type="dxa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 tromjesečje</w:t>
            </w:r>
          </w:p>
        </w:tc>
      </w:tr>
      <w:tr w:rsidR="00F71C58" w:rsidRPr="00DA65D6" w:rsidTr="00793DF0">
        <w:tc>
          <w:tcPr>
            <w:tcW w:w="851" w:type="dxa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71C58" w:rsidRPr="00DA65D6" w:rsidRDefault="00F71C58" w:rsidP="00F71C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F71C58" w:rsidRPr="00DA65D6" w:rsidTr="00793DF0">
        <w:tc>
          <w:tcPr>
            <w:tcW w:w="851" w:type="dxa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71C58" w:rsidRPr="009D10C1" w:rsidRDefault="00F71C58" w:rsidP="00F71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0C1">
              <w:rPr>
                <w:rFonts w:ascii="Times New Roman" w:eastAsia="Calibri" w:hAnsi="Times New Roman" w:cs="Times New Roman"/>
                <w:sz w:val="24"/>
                <w:szCs w:val="24"/>
              </w:rPr>
              <w:t>Ovim Zakonom osigurava se provedba Uredbe (EU) 2023/1804 Europskog parlamenta i Vijeća od 13. rujna 2023. o uvođenju infrastrukture za alternativna goriva i stavlja se izvan snage Direktiva 2014/94/EU.</w:t>
            </w:r>
          </w:p>
        </w:tc>
        <w:tc>
          <w:tcPr>
            <w:tcW w:w="5103" w:type="dxa"/>
          </w:tcPr>
          <w:p w:rsidR="00F71C58" w:rsidRPr="009D10C1" w:rsidRDefault="00F71C58" w:rsidP="00F71C58">
            <w:pPr>
              <w:spacing w:after="160"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0C1">
              <w:rPr>
                <w:rFonts w:ascii="Times New Roman" w:eastAsia="Calibri" w:hAnsi="Times New Roman" w:cs="Times New Roman"/>
                <w:sz w:val="24"/>
                <w:szCs w:val="24"/>
              </w:rPr>
              <w:t>Cilj Zakona je provedba Uredbe (EU) 2023/1804 Europskog parlamenta i Vijeća od 13. rujna 2023. o uvođenju infrastrukture za alternativna goriva i stavljanju izvan snage Direktive 2014/94/EU.</w:t>
            </w:r>
            <w:r w:rsidRPr="009D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71C58" w:rsidRPr="00D0238D" w:rsidRDefault="00F71C58" w:rsidP="00D0238D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0C1">
              <w:rPr>
                <w:rFonts w:ascii="Times New Roman" w:eastAsia="Calibri" w:hAnsi="Times New Roman" w:cs="Times New Roman"/>
                <w:sz w:val="24"/>
                <w:szCs w:val="24"/>
              </w:rPr>
              <w:t>Ovom se Uredbom utvrđuju obvezni nacionalni ciljevi koji vode do uvođenja dostatne infrastrukture za alternativna goriva u Uniji za cestovna vozila, vlakove, plovila i zrakoplove u mirovanju. Njome se utvrđuju zajedničke tehničke specifikacije i zahtjevi za informacije za korisnike, pružanje podataka i zahtjevi za plaćanje povezani s infrastrukturom za alternativna goriva.</w:t>
            </w:r>
          </w:p>
          <w:p w:rsidR="00F71C58" w:rsidRPr="009D10C1" w:rsidRDefault="00F71C58" w:rsidP="00F71C58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0C1">
              <w:rPr>
                <w:rFonts w:ascii="Times New Roman" w:eastAsia="Calibri" w:hAnsi="Times New Roman" w:cs="Times New Roman"/>
                <w:sz w:val="24"/>
                <w:szCs w:val="24"/>
              </w:rPr>
              <w:t>Ovom se Uredbom utvrđuju i pravila za nacionalne okvire politika iz članka 14. koje trebaju donijeti države članice, uključujući pravila za uvođenje infrastrukture za alternativna goriva</w:t>
            </w:r>
          </w:p>
          <w:p w:rsidR="00F71C58" w:rsidRPr="009D10C1" w:rsidRDefault="00F71C58" w:rsidP="00F71C58">
            <w:pPr>
              <w:shd w:val="clear" w:color="auto" w:fill="FFFFFF"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1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Ovom se Uredbom uspostavlja mehanizam izvješćivanja kako bi se potaknula suradnja i osiguralo dobro praćenje napretka. Mehanizam izvješćivanja ima oblik strukturiranog, transparentnog i iterativnog postupka koji se odvija između Komisije i država članica u svrhu finalizacije nacionalnih okvira politike, uzimajući u obzir postojeće lokalne i regionalne strategije za uvođenje infrastrukture za alternativna goriva, i njihove naknadne provedbe te odgovarajućeg </w:t>
            </w:r>
            <w:r w:rsidRPr="009D10C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djelovanja Komisije za potporu usklađenom i bržem uvođenju infrastrukture za alternativna goriva u državama članicama.</w:t>
            </w:r>
          </w:p>
          <w:p w:rsidR="00F71C58" w:rsidRDefault="00F71C58" w:rsidP="00F71C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1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Zakonom se utvrđuju i nositelji provedbe pojedinih mjera, kao i način izvršavanja obveze međunarodnog izvješćivanja o tim mjerama i prekršajne odredbe</w:t>
            </w:r>
          </w:p>
          <w:p w:rsidR="00D0238D" w:rsidRPr="009D10C1" w:rsidRDefault="00D0238D" w:rsidP="00F71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C58" w:rsidRPr="00DA65D6" w:rsidTr="00793DF0">
        <w:tc>
          <w:tcPr>
            <w:tcW w:w="851" w:type="dxa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9072" w:type="dxa"/>
            <w:gridSpan w:val="3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F71C58" w:rsidRPr="00DA65D6" w:rsidTr="00793DF0">
        <w:tc>
          <w:tcPr>
            <w:tcW w:w="851" w:type="dxa"/>
          </w:tcPr>
          <w:p w:rsidR="00F71C58" w:rsidRPr="00DA65D6" w:rsidRDefault="00F71C58" w:rsidP="00F71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:rsidR="00F71C58" w:rsidRDefault="00F71C58" w:rsidP="00F71C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potpredsjednik Vlade i ministar</w:t>
            </w:r>
          </w:p>
          <w:p w:rsidR="00F71C58" w:rsidRDefault="00F71C58" w:rsidP="00F71C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Oleg Butković</w:t>
            </w:r>
          </w:p>
          <w:p w:rsidR="00F71C58" w:rsidRPr="00DA65D6" w:rsidRDefault="00F71C58" w:rsidP="00F71C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1C58" w:rsidRDefault="00F71C58" w:rsidP="00F71C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26. kolovoza 2024. godine</w:t>
            </w:r>
          </w:p>
          <w:p w:rsidR="00F71C58" w:rsidRDefault="00F71C58" w:rsidP="00F71C5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71C58" w:rsidRPr="00DA65D6" w:rsidRDefault="00F71C58" w:rsidP="00F71C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1C58" w:rsidRPr="00DA65D6" w:rsidTr="00793DF0">
        <w:tc>
          <w:tcPr>
            <w:tcW w:w="9923" w:type="dxa"/>
            <w:gridSpan w:val="4"/>
          </w:tcPr>
          <w:p w:rsidR="00F71C58" w:rsidRPr="00DA65D6" w:rsidRDefault="00F71C58" w:rsidP="00F71C5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:rsidR="00F71C58" w:rsidRPr="00DA65D6" w:rsidRDefault="00F71C58" w:rsidP="00F71C5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:rsidR="00F71C58" w:rsidRPr="00DA65D6" w:rsidRDefault="00F71C58" w:rsidP="00F71C5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:rsidR="00F71C58" w:rsidRPr="00DA65D6" w:rsidRDefault="00F71C58" w:rsidP="00F71C5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:rsidR="00F71C58" w:rsidRPr="00DA65D6" w:rsidRDefault="00F71C58" w:rsidP="00F71C5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:rsidR="00F71C58" w:rsidRPr="00DA65D6" w:rsidRDefault="00F71C58" w:rsidP="00F71C5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:rsidR="00F71C58" w:rsidRPr="00DA65D6" w:rsidRDefault="00F71C58" w:rsidP="00F71C5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DA65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:rsidR="00F71C58" w:rsidRPr="00DA65D6" w:rsidRDefault="00F71C58" w:rsidP="00F71C58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5D6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:rsidR="005F256F" w:rsidRDefault="005F256F" w:rsidP="005F256F"/>
    <w:p w:rsidR="00DF5092" w:rsidRDefault="00DF5092"/>
    <w:sectPr w:rsidR="00DF5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53064"/>
    <w:multiLevelType w:val="hybridMultilevel"/>
    <w:tmpl w:val="5B565E4E"/>
    <w:lvl w:ilvl="0" w:tplc="C66A765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6F"/>
    <w:rsid w:val="00006AC1"/>
    <w:rsid w:val="00071355"/>
    <w:rsid w:val="0018749A"/>
    <w:rsid w:val="005F256F"/>
    <w:rsid w:val="007603AD"/>
    <w:rsid w:val="00A654C6"/>
    <w:rsid w:val="00AD68AB"/>
    <w:rsid w:val="00D0238D"/>
    <w:rsid w:val="00D21632"/>
    <w:rsid w:val="00DF5092"/>
    <w:rsid w:val="00F7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A9DF2-F9CD-4075-BD21-420349EE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56F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6F"/>
    <w:pPr>
      <w:ind w:left="720"/>
      <w:contextualSpacing/>
    </w:pPr>
  </w:style>
  <w:style w:type="table" w:styleId="TableGrid">
    <w:name w:val="Table Grid"/>
    <w:basedOn w:val="TableNormal"/>
    <w:uiPriority w:val="39"/>
    <w:rsid w:val="005F256F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Požeglić</dc:creator>
  <cp:keywords/>
  <dc:description/>
  <cp:lastModifiedBy>Ivana Požeglić</cp:lastModifiedBy>
  <cp:revision>10</cp:revision>
  <dcterms:created xsi:type="dcterms:W3CDTF">2024-08-26T06:22:00Z</dcterms:created>
  <dcterms:modified xsi:type="dcterms:W3CDTF">2024-08-27T10:47:00Z</dcterms:modified>
</cp:coreProperties>
</file>