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44B0" w14:textId="77777777" w:rsidR="002256A6" w:rsidRPr="002256A6" w:rsidRDefault="002256A6" w:rsidP="002256A6"/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E33DE9" w:rsidRPr="00E33DE9" w14:paraId="6C705C94" w14:textId="77777777" w:rsidTr="003C5672">
        <w:tc>
          <w:tcPr>
            <w:tcW w:w="9923" w:type="dxa"/>
            <w:gridSpan w:val="5"/>
            <w:shd w:val="clear" w:color="auto" w:fill="auto"/>
          </w:tcPr>
          <w:p w14:paraId="7822DC75" w14:textId="77777777" w:rsidR="00FB4F83" w:rsidRPr="00E33DE9" w:rsidRDefault="00FB4F83" w:rsidP="003C5672">
            <w:pPr>
              <w:rPr>
                <w:b/>
              </w:rPr>
            </w:pPr>
            <w:bookmarkStart w:id="0" w:name="_Hlk157685030"/>
            <w:r w:rsidRPr="00E33DE9">
              <w:rPr>
                <w:b/>
              </w:rPr>
              <w:t>PRILOG 4.:</w:t>
            </w:r>
          </w:p>
        </w:tc>
      </w:tr>
      <w:tr w:rsidR="00E33DE9" w:rsidRPr="00E33DE9" w14:paraId="6B7C3EBE" w14:textId="77777777" w:rsidTr="003C5672">
        <w:tc>
          <w:tcPr>
            <w:tcW w:w="9923" w:type="dxa"/>
            <w:gridSpan w:val="5"/>
            <w:shd w:val="clear" w:color="auto" w:fill="auto"/>
          </w:tcPr>
          <w:p w14:paraId="2D9C7F25" w14:textId="77777777" w:rsidR="00FB4F83" w:rsidRPr="00E33DE9" w:rsidRDefault="00FB4F83" w:rsidP="003C5672">
            <w:pPr>
              <w:jc w:val="center"/>
              <w:rPr>
                <w:b/>
              </w:rPr>
            </w:pPr>
          </w:p>
          <w:p w14:paraId="67C67F23" w14:textId="77777777" w:rsidR="00FB4F83" w:rsidRPr="00E33DE9" w:rsidRDefault="00FB4F83" w:rsidP="003C5672">
            <w:pPr>
              <w:jc w:val="center"/>
              <w:rPr>
                <w:b/>
              </w:rPr>
            </w:pPr>
            <w:r w:rsidRPr="00E33DE9">
              <w:rPr>
                <w:b/>
              </w:rPr>
              <w:t>OBRAZAC ISKAZA O PROCJENI UČINAKA PROPISA</w:t>
            </w:r>
          </w:p>
          <w:p w14:paraId="4508539B" w14:textId="77777777" w:rsidR="00FB4F83" w:rsidRPr="00E33DE9" w:rsidRDefault="00FB4F83" w:rsidP="003C5672">
            <w:pPr>
              <w:jc w:val="center"/>
              <w:rPr>
                <w:b/>
              </w:rPr>
            </w:pPr>
          </w:p>
        </w:tc>
      </w:tr>
      <w:tr w:rsidR="00E33DE9" w:rsidRPr="00E33DE9" w14:paraId="2476DCD2" w14:textId="77777777" w:rsidTr="003C5672">
        <w:tc>
          <w:tcPr>
            <w:tcW w:w="850" w:type="dxa"/>
          </w:tcPr>
          <w:p w14:paraId="187FEC46" w14:textId="77777777" w:rsidR="00FB4F83" w:rsidRPr="00E33DE9" w:rsidRDefault="00FB4F83" w:rsidP="003C5672">
            <w:pPr>
              <w:rPr>
                <w:b/>
              </w:rPr>
            </w:pPr>
            <w:r w:rsidRPr="00E33DE9">
              <w:rPr>
                <w:b/>
              </w:rPr>
              <w:t>1.</w:t>
            </w:r>
          </w:p>
        </w:tc>
        <w:tc>
          <w:tcPr>
            <w:tcW w:w="9073" w:type="dxa"/>
            <w:gridSpan w:val="4"/>
          </w:tcPr>
          <w:p w14:paraId="7E97E69C" w14:textId="77777777" w:rsidR="00FB4F83" w:rsidRPr="00E33DE9" w:rsidRDefault="00FB4F83" w:rsidP="003C5672">
            <w:pPr>
              <w:rPr>
                <w:b/>
              </w:rPr>
            </w:pPr>
            <w:r w:rsidRPr="00E33DE9">
              <w:rPr>
                <w:b/>
              </w:rPr>
              <w:t>OPĆE INFORMACIJE</w:t>
            </w:r>
          </w:p>
        </w:tc>
      </w:tr>
      <w:tr w:rsidR="00E33DE9" w:rsidRPr="00E33DE9" w14:paraId="54BD13CA" w14:textId="77777777" w:rsidTr="003C5672">
        <w:tc>
          <w:tcPr>
            <w:tcW w:w="850" w:type="dxa"/>
          </w:tcPr>
          <w:p w14:paraId="7F02185C" w14:textId="77777777" w:rsidR="00FB4F83" w:rsidRPr="00E33DE9" w:rsidRDefault="00FB4F83" w:rsidP="003C5672">
            <w:r w:rsidRPr="00E33DE9">
              <w:t>1.1.</w:t>
            </w:r>
          </w:p>
        </w:tc>
        <w:tc>
          <w:tcPr>
            <w:tcW w:w="2694" w:type="dxa"/>
          </w:tcPr>
          <w:p w14:paraId="0E6D8AD8" w14:textId="77777777" w:rsidR="00FB4F83" w:rsidRPr="00E33DE9" w:rsidRDefault="00FB4F83" w:rsidP="003C5672">
            <w:r w:rsidRPr="00E33DE9"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B74390B" w14:textId="7CE53CFF" w:rsidR="00FB4F83" w:rsidRPr="00E33DE9" w:rsidRDefault="00D64744" w:rsidP="003C5672">
            <w:r w:rsidRPr="00E33DE9">
              <w:t>Ministarstvo financija</w:t>
            </w:r>
          </w:p>
        </w:tc>
      </w:tr>
      <w:tr w:rsidR="00E33DE9" w:rsidRPr="00E33DE9" w14:paraId="19BB89AF" w14:textId="77777777" w:rsidTr="003C5672">
        <w:tc>
          <w:tcPr>
            <w:tcW w:w="850" w:type="dxa"/>
          </w:tcPr>
          <w:p w14:paraId="74AD2072" w14:textId="77777777" w:rsidR="00FB4F83" w:rsidRPr="00E33DE9" w:rsidRDefault="00FB4F83" w:rsidP="003C5672">
            <w:r w:rsidRPr="00E33DE9">
              <w:t>1.2.</w:t>
            </w:r>
          </w:p>
        </w:tc>
        <w:tc>
          <w:tcPr>
            <w:tcW w:w="2694" w:type="dxa"/>
          </w:tcPr>
          <w:p w14:paraId="30C29D1E" w14:textId="77777777" w:rsidR="00FB4F83" w:rsidRPr="00E33DE9" w:rsidRDefault="00FB4F83" w:rsidP="003C5672">
            <w:r w:rsidRPr="00E33DE9"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5124A5C" w14:textId="49541B6E" w:rsidR="00FB4F83" w:rsidRPr="00E33DE9" w:rsidRDefault="00A0506F" w:rsidP="003C5672">
            <w:r w:rsidRPr="00E33DE9">
              <w:t>Nacrt prijedloga zakona o izmjen</w:t>
            </w:r>
            <w:r w:rsidR="007C51FF" w:rsidRPr="00E33DE9">
              <w:t>ama i dopunama</w:t>
            </w:r>
            <w:r w:rsidRPr="00E33DE9">
              <w:t xml:space="preserve"> Zakona o porezu na </w:t>
            </w:r>
            <w:r w:rsidR="007C51FF" w:rsidRPr="00E33DE9">
              <w:t>dohodak</w:t>
            </w:r>
          </w:p>
        </w:tc>
      </w:tr>
      <w:tr w:rsidR="00E33DE9" w:rsidRPr="00E33DE9" w14:paraId="641E11A2" w14:textId="77777777" w:rsidTr="003C5672">
        <w:tc>
          <w:tcPr>
            <w:tcW w:w="850" w:type="dxa"/>
          </w:tcPr>
          <w:p w14:paraId="4A9DC562" w14:textId="77777777" w:rsidR="00FB4F83" w:rsidRPr="00E33DE9" w:rsidRDefault="00FB4F83" w:rsidP="003C5672">
            <w:r w:rsidRPr="00E33DE9">
              <w:t>1.3.</w:t>
            </w:r>
          </w:p>
        </w:tc>
        <w:tc>
          <w:tcPr>
            <w:tcW w:w="2694" w:type="dxa"/>
          </w:tcPr>
          <w:p w14:paraId="21AA0D08" w14:textId="77777777" w:rsidR="00FB4F83" w:rsidRPr="00E33DE9" w:rsidRDefault="00FB4F83" w:rsidP="003C5672">
            <w:r w:rsidRPr="00E33DE9"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3C2A9E0" w14:textId="77777777" w:rsidR="00FB4F83" w:rsidRPr="00E33DE9" w:rsidRDefault="00FB4F83" w:rsidP="003C5672">
            <w:r w:rsidRPr="00E33DE9">
              <w:t>Da/Ne:</w:t>
            </w:r>
          </w:p>
          <w:p w14:paraId="2DFBB22B" w14:textId="25480422" w:rsidR="00FB4F83" w:rsidRPr="00E33DE9" w:rsidRDefault="00D64744" w:rsidP="003C5672">
            <w:r w:rsidRPr="00E33DE9">
              <w:t>Ne</w:t>
            </w:r>
          </w:p>
        </w:tc>
        <w:tc>
          <w:tcPr>
            <w:tcW w:w="4819" w:type="dxa"/>
            <w:shd w:val="clear" w:color="auto" w:fill="auto"/>
          </w:tcPr>
          <w:p w14:paraId="2BEEF383" w14:textId="77777777" w:rsidR="00FB4F83" w:rsidRPr="00E33DE9" w:rsidRDefault="00FB4F83" w:rsidP="003C5672">
            <w:r w:rsidRPr="00E33DE9">
              <w:t>Naziv akta:</w:t>
            </w:r>
          </w:p>
          <w:p w14:paraId="0900C4E8" w14:textId="77777777" w:rsidR="00FB4F83" w:rsidRPr="00E33DE9" w:rsidRDefault="00FB4F83" w:rsidP="003C5672"/>
          <w:p w14:paraId="7D8EA35D" w14:textId="77777777" w:rsidR="00FB4F83" w:rsidRPr="00E33DE9" w:rsidRDefault="00FB4F83" w:rsidP="003C5672">
            <w:r w:rsidRPr="00E33DE9">
              <w:t>Opis mjere:</w:t>
            </w:r>
          </w:p>
        </w:tc>
      </w:tr>
      <w:tr w:rsidR="00E33DE9" w:rsidRPr="00E33DE9" w14:paraId="4F750B0A" w14:textId="77777777" w:rsidTr="003C5672">
        <w:tc>
          <w:tcPr>
            <w:tcW w:w="850" w:type="dxa"/>
          </w:tcPr>
          <w:p w14:paraId="70974E96" w14:textId="77777777" w:rsidR="00FB4F83" w:rsidRPr="00E33DE9" w:rsidRDefault="00FB4F83" w:rsidP="003C5672">
            <w:r w:rsidRPr="00E33DE9">
              <w:t>1.4.</w:t>
            </w:r>
          </w:p>
        </w:tc>
        <w:tc>
          <w:tcPr>
            <w:tcW w:w="2694" w:type="dxa"/>
          </w:tcPr>
          <w:p w14:paraId="77AECF6B" w14:textId="77777777" w:rsidR="00FB4F83" w:rsidRPr="00E33DE9" w:rsidRDefault="00FB4F83" w:rsidP="003C5672">
            <w:r w:rsidRPr="00E33DE9"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085830B0" w14:textId="77777777" w:rsidR="00FB4F83" w:rsidRPr="00E33DE9" w:rsidRDefault="00FB4F83" w:rsidP="003C5672">
            <w:r w:rsidRPr="00E33DE9">
              <w:t>Da/Ne:</w:t>
            </w:r>
          </w:p>
          <w:p w14:paraId="3A508A4F" w14:textId="42CED40A" w:rsidR="00FB4F83" w:rsidRPr="00E33DE9" w:rsidRDefault="00D64744" w:rsidP="003C5672">
            <w:r w:rsidRPr="00E33DE9">
              <w:t>Ne</w:t>
            </w:r>
          </w:p>
        </w:tc>
        <w:tc>
          <w:tcPr>
            <w:tcW w:w="4819" w:type="dxa"/>
            <w:shd w:val="clear" w:color="auto" w:fill="auto"/>
          </w:tcPr>
          <w:p w14:paraId="3ED6BF48" w14:textId="77777777" w:rsidR="00FB4F83" w:rsidRPr="00E33DE9" w:rsidRDefault="00FB4F83" w:rsidP="003C5672">
            <w:r w:rsidRPr="00E33DE9">
              <w:t>Naziv pravne stečevine:</w:t>
            </w:r>
          </w:p>
        </w:tc>
      </w:tr>
      <w:tr w:rsidR="00E33DE9" w:rsidRPr="00E33DE9" w14:paraId="41FD0BCF" w14:textId="77777777" w:rsidTr="003C5672">
        <w:trPr>
          <w:trHeight w:val="319"/>
        </w:trPr>
        <w:tc>
          <w:tcPr>
            <w:tcW w:w="850" w:type="dxa"/>
          </w:tcPr>
          <w:p w14:paraId="14FCA430" w14:textId="77777777" w:rsidR="00FB4F83" w:rsidRPr="00E33DE9" w:rsidRDefault="00FB4F83" w:rsidP="003C5672">
            <w:pPr>
              <w:rPr>
                <w:b/>
              </w:rPr>
            </w:pPr>
            <w:r w:rsidRPr="00E33DE9">
              <w:rPr>
                <w:b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3B338188" w14:textId="77777777" w:rsidR="00FB4F83" w:rsidRPr="00E33DE9" w:rsidRDefault="00FB4F83" w:rsidP="003C5672">
            <w:pPr>
              <w:jc w:val="both"/>
              <w:rPr>
                <w:b/>
              </w:rPr>
            </w:pPr>
            <w:r w:rsidRPr="00E33DE9">
              <w:rPr>
                <w:b/>
              </w:rPr>
              <w:t>UTVRĐIVANJE PROBLEMA</w:t>
            </w:r>
          </w:p>
        </w:tc>
      </w:tr>
      <w:tr w:rsidR="00E33DE9" w:rsidRPr="00E33DE9" w14:paraId="2780EB2C" w14:textId="77777777" w:rsidTr="003C5672">
        <w:trPr>
          <w:trHeight w:val="410"/>
        </w:trPr>
        <w:tc>
          <w:tcPr>
            <w:tcW w:w="850" w:type="dxa"/>
          </w:tcPr>
          <w:p w14:paraId="23BAD007" w14:textId="77777777" w:rsidR="00FB4F83" w:rsidRPr="00E33DE9" w:rsidRDefault="00FB4F83" w:rsidP="003C5672">
            <w:pPr>
              <w:jc w:val="both"/>
            </w:pPr>
            <w:r w:rsidRPr="00E33DE9">
              <w:t>2.1.</w:t>
            </w:r>
          </w:p>
        </w:tc>
        <w:tc>
          <w:tcPr>
            <w:tcW w:w="9073" w:type="dxa"/>
            <w:gridSpan w:val="4"/>
          </w:tcPr>
          <w:p w14:paraId="71A8CA51" w14:textId="5A0A7C5B" w:rsidR="00167542" w:rsidRPr="00D70EAA" w:rsidRDefault="00CD70A6" w:rsidP="00CB7924">
            <w:pPr>
              <w:jc w:val="both"/>
              <w:rPr>
                <w:bCs/>
                <w:kern w:val="2"/>
                <w:szCs w:val="24"/>
                <w14:ligatures w14:val="standardContextual"/>
              </w:rPr>
            </w:pPr>
            <w:r w:rsidRPr="00E33DE9">
              <w:rPr>
                <w:bCs/>
                <w:szCs w:val="24"/>
                <w:lang w:eastAsia="en-US"/>
              </w:rPr>
              <w:t>Nakon ulaska Republike Hrvatske u Europsku uniju sredinom 2013. godine zabilježen je nagli porast broja iseljenih osoba i to radno sposobnog stanovništva. Kontinuirani trend negativnog demografskog kretanja, smanjenje broja stanovnika</w:t>
            </w:r>
            <w:r w:rsidR="00167542">
              <w:rPr>
                <w:bCs/>
                <w:szCs w:val="24"/>
                <w:lang w:eastAsia="en-US"/>
              </w:rPr>
              <w:t>,</w:t>
            </w:r>
            <w:r w:rsidRPr="00E33DE9">
              <w:rPr>
                <w:bCs/>
                <w:szCs w:val="24"/>
                <w:lang w:eastAsia="en-US"/>
              </w:rPr>
              <w:t xml:space="preserve"> starenje stanovništva</w:t>
            </w:r>
            <w:r w:rsidR="00D70EAA">
              <w:rPr>
                <w:bCs/>
                <w:szCs w:val="24"/>
                <w:lang w:eastAsia="en-US"/>
              </w:rPr>
              <w:t>,</w:t>
            </w:r>
            <w:r w:rsidRPr="00E33DE9">
              <w:rPr>
                <w:bCs/>
                <w:szCs w:val="24"/>
                <w:lang w:eastAsia="en-US"/>
              </w:rPr>
              <w:t xml:space="preserve"> </w:t>
            </w:r>
            <w:r w:rsidR="00167542" w:rsidRPr="00A71431">
              <w:rPr>
                <w:bCs/>
                <w:kern w:val="2"/>
                <w:szCs w:val="24"/>
                <w14:ligatures w14:val="standardContextual"/>
              </w:rPr>
              <w:t>pad nataliteta</w:t>
            </w:r>
            <w:r w:rsidR="00167542" w:rsidRPr="00E53DFD">
              <w:rPr>
                <w:bCs/>
                <w:kern w:val="2"/>
                <w:szCs w:val="24"/>
                <w14:ligatures w14:val="standardContextual"/>
              </w:rPr>
              <w:t xml:space="preserve"> i</w:t>
            </w:r>
            <w:r w:rsidR="00167542" w:rsidRPr="00A71431">
              <w:rPr>
                <w:bCs/>
                <w:kern w:val="2"/>
                <w:szCs w:val="24"/>
                <w14:ligatures w14:val="standardContextual"/>
              </w:rPr>
              <w:t xml:space="preserve"> iseljavanje</w:t>
            </w:r>
            <w:r w:rsidR="00167542" w:rsidRPr="00E33DE9">
              <w:rPr>
                <w:bCs/>
                <w:szCs w:val="24"/>
                <w:lang w:eastAsia="en-US"/>
              </w:rPr>
              <w:t xml:space="preserve"> </w:t>
            </w:r>
            <w:r w:rsidRPr="00E33DE9">
              <w:rPr>
                <w:bCs/>
                <w:szCs w:val="24"/>
                <w:lang w:eastAsia="en-US"/>
              </w:rPr>
              <w:t>posredno negativno utječe na gospodarski i društveni razvoj Republike Hrvatske. Stoga je potrebno pronaći načine, između ostalih, i kroz mjere fiskalne politike, za jačanjem demografske slike zemlje i stvaranjem poticajnog okruženja za zapošljavanje i trajni povratak iseljenih hrvatskih državljana u Republici Hrvatskoj, a sve kako bi Republika Hrvatska postala kvalitetnije i poželjnije mjesto za život.</w:t>
            </w:r>
            <w:bookmarkStart w:id="1" w:name="_Hlk176343950"/>
            <w:r w:rsidR="00167542">
              <w:rPr>
                <w:bCs/>
                <w:szCs w:val="24"/>
                <w:lang w:eastAsia="en-US"/>
              </w:rPr>
              <w:t xml:space="preserve"> </w:t>
            </w:r>
          </w:p>
          <w:bookmarkEnd w:id="1"/>
          <w:p w14:paraId="02718447" w14:textId="7F6E42A4" w:rsidR="00CD70A6" w:rsidRPr="00E33DE9" w:rsidRDefault="00CD70A6" w:rsidP="006A0639">
            <w:pPr>
              <w:jc w:val="both"/>
              <w:rPr>
                <w:bCs/>
                <w:szCs w:val="24"/>
                <w:lang w:eastAsia="en-US"/>
              </w:rPr>
            </w:pPr>
          </w:p>
          <w:p w14:paraId="75C4B7FD" w14:textId="0BCF1221" w:rsidR="00CD70A6" w:rsidRPr="00760C68" w:rsidRDefault="00F61988" w:rsidP="00CD70A6">
            <w:pPr>
              <w:jc w:val="both"/>
              <w:rPr>
                <w:bCs/>
                <w:szCs w:val="24"/>
              </w:rPr>
            </w:pPr>
            <w:r w:rsidRPr="00E33DE9">
              <w:rPr>
                <w:bCs/>
                <w:szCs w:val="24"/>
                <w:lang w:eastAsia="en-US"/>
              </w:rPr>
              <w:t>Nadalje</w:t>
            </w:r>
            <w:r w:rsidR="00CD70A6" w:rsidRPr="00E33DE9">
              <w:rPr>
                <w:bCs/>
                <w:szCs w:val="24"/>
                <w:lang w:eastAsia="en-US"/>
              </w:rPr>
              <w:t xml:space="preserve">, </w:t>
            </w:r>
            <w:r w:rsidRPr="00E33DE9">
              <w:rPr>
                <w:bCs/>
                <w:szCs w:val="24"/>
                <w:lang w:eastAsia="en-US"/>
              </w:rPr>
              <w:t>s obzirom</w:t>
            </w:r>
            <w:r w:rsidR="00EE41F3" w:rsidRPr="00E33DE9">
              <w:rPr>
                <w:bCs/>
                <w:szCs w:val="24"/>
                <w:lang w:eastAsia="en-US"/>
              </w:rPr>
              <w:t xml:space="preserve"> da </w:t>
            </w:r>
            <w:r w:rsidR="00CD70A6" w:rsidRPr="00E33DE9">
              <w:rPr>
                <w:bCs/>
                <w:szCs w:val="24"/>
                <w:lang w:eastAsia="en-US"/>
              </w:rPr>
              <w:t>utjecaj inflacije na raspoloživi dohodak građana Republike Hrvatske i dalje opterećuje dohodak građana u okviru trenutno propisanih neoporezivih dijelova dohotka</w:t>
            </w:r>
            <w:r w:rsidR="00E008DA" w:rsidRPr="00760C68">
              <w:rPr>
                <w:bCs/>
                <w:szCs w:val="24"/>
                <w:lang w:eastAsia="en-US"/>
              </w:rPr>
              <w:t>, porezne osnovice za primjenu više stope poreza na dohodak kao i raspona za utvrđivanje više i niže stope poreza na dohodak</w:t>
            </w:r>
            <w:r w:rsidR="00EE41F3" w:rsidRPr="00760C68">
              <w:rPr>
                <w:bCs/>
                <w:szCs w:val="24"/>
                <w:lang w:eastAsia="en-US"/>
              </w:rPr>
              <w:t xml:space="preserve">, </w:t>
            </w:r>
            <w:r w:rsidR="00CD70A6" w:rsidRPr="00760C68">
              <w:rPr>
                <w:bCs/>
                <w:szCs w:val="24"/>
                <w:lang w:eastAsia="en-US"/>
              </w:rPr>
              <w:t xml:space="preserve">ukazala </w:t>
            </w:r>
            <w:r w:rsidR="00EE41F3" w:rsidRPr="00760C68">
              <w:rPr>
                <w:bCs/>
                <w:szCs w:val="24"/>
                <w:lang w:eastAsia="en-US"/>
              </w:rPr>
              <w:t xml:space="preserve">se </w:t>
            </w:r>
            <w:r w:rsidR="00CD70A6" w:rsidRPr="00760C68">
              <w:rPr>
                <w:bCs/>
                <w:szCs w:val="24"/>
                <w:lang w:eastAsia="en-US"/>
              </w:rPr>
              <w:t xml:space="preserve">potreba za dodatnim poreznim rasterećenjem. </w:t>
            </w:r>
          </w:p>
          <w:p w14:paraId="440AA62D" w14:textId="16D35827" w:rsidR="006A0639" w:rsidRPr="00760C68" w:rsidRDefault="006A0639" w:rsidP="00185A55">
            <w:pPr>
              <w:jc w:val="both"/>
              <w:rPr>
                <w:szCs w:val="24"/>
              </w:rPr>
            </w:pPr>
          </w:p>
          <w:p w14:paraId="66C0DC4A" w14:textId="77F29393" w:rsidR="00760C68" w:rsidRPr="00DE7E4F" w:rsidRDefault="00E6756A" w:rsidP="00227969">
            <w:pPr>
              <w:jc w:val="both"/>
              <w:rPr>
                <w:szCs w:val="24"/>
              </w:rPr>
            </w:pPr>
            <w:r w:rsidRPr="00760C68">
              <w:rPr>
                <w:szCs w:val="24"/>
                <w:lang w:eastAsia="en-US"/>
              </w:rPr>
              <w:t>Budući da je turizam u Republici Hrvatskoj prostorno neravnomjerno razvijen, posebice u kontinentalnom dijelu zemlje, što dovodi do stvaranja nepravednog tretiranja u oporezivanju fizičkih osoba koje ostvaruju primitke od iznajmljivanja stanova, soba i postelja putnicima i turistima i organiziranja kampova u odnosu na stupanj turističke razvijenosti jedinica lokalne samouprave, uočena je potreba za stvaranjem pravednijeg poreznog sustava u oporezivanju istih odnosno iznalaženje rješenja kojim bi se primici koje fizičke osobe ostvaruju po osnovi iznajmljivanja stanova, soba i postelja putnicima i turistima i organiziranja kampova  oporezivali ovisno o stupnju turističke razvijenosti jedinica lokalne samouprave.</w:t>
            </w:r>
            <w:r w:rsidR="00760C68" w:rsidRPr="00760C68">
              <w:rPr>
                <w:szCs w:val="24"/>
              </w:rPr>
              <w:t xml:space="preserve"> S druge strane zbog potrebe za poticajnim mjerama kojima će se omogućiti </w:t>
            </w:r>
            <w:proofErr w:type="spellStart"/>
            <w:r w:rsidR="00760C68" w:rsidRPr="00760C68">
              <w:rPr>
                <w:szCs w:val="24"/>
              </w:rPr>
              <w:t>priuštivo</w:t>
            </w:r>
            <w:proofErr w:type="spellEnd"/>
            <w:r w:rsidR="00760C68" w:rsidRPr="00760C68">
              <w:rPr>
                <w:szCs w:val="24"/>
              </w:rPr>
              <w:t xml:space="preserve"> stanovanje </w:t>
            </w:r>
            <w:r w:rsidR="00760C68" w:rsidRPr="00DE7E4F">
              <w:rPr>
                <w:szCs w:val="24"/>
              </w:rPr>
              <w:t xml:space="preserve">te </w:t>
            </w:r>
            <w:r w:rsidR="00760C68">
              <w:rPr>
                <w:szCs w:val="24"/>
              </w:rPr>
              <w:t xml:space="preserve">omogućilo </w:t>
            </w:r>
            <w:r w:rsidR="00760C68" w:rsidRPr="00DE7E4F">
              <w:rPr>
                <w:szCs w:val="24"/>
              </w:rPr>
              <w:t xml:space="preserve">stvaranje stabilnih stambenih uvjeta za obitelji i zaposlene osobito u područjima s izraženom </w:t>
            </w:r>
            <w:proofErr w:type="spellStart"/>
            <w:r w:rsidR="00760C68" w:rsidRPr="00DE7E4F">
              <w:rPr>
                <w:szCs w:val="24"/>
              </w:rPr>
              <w:t>sezonalnošću</w:t>
            </w:r>
            <w:proofErr w:type="spellEnd"/>
            <w:r w:rsidR="00760C68" w:rsidRPr="00DE7E4F">
              <w:rPr>
                <w:szCs w:val="24"/>
              </w:rPr>
              <w:t xml:space="preserve"> najma, potrebna je promjena u tom dijelu.</w:t>
            </w:r>
          </w:p>
          <w:p w14:paraId="7D64C486" w14:textId="77777777" w:rsidR="00E6756A" w:rsidRPr="00E6756A" w:rsidRDefault="00E6756A" w:rsidP="00E6756A">
            <w:pPr>
              <w:spacing w:line="259" w:lineRule="auto"/>
              <w:jc w:val="both"/>
              <w:rPr>
                <w:color w:val="FF0000"/>
                <w:szCs w:val="24"/>
                <w:lang w:eastAsia="en-US"/>
              </w:rPr>
            </w:pPr>
          </w:p>
          <w:p w14:paraId="28498E51" w14:textId="53E70E6A" w:rsidR="006F1228" w:rsidRPr="00E33DE9" w:rsidRDefault="009367D5" w:rsidP="00CB02D2">
            <w:pPr>
              <w:spacing w:line="259" w:lineRule="auto"/>
              <w:jc w:val="both"/>
              <w:rPr>
                <w:szCs w:val="24"/>
              </w:rPr>
            </w:pPr>
            <w:r w:rsidRPr="00E6756A">
              <w:rPr>
                <w:szCs w:val="24"/>
              </w:rPr>
              <w:t>Uz navedeno</w:t>
            </w:r>
            <w:r w:rsidRPr="00E33DE9">
              <w:rPr>
                <w:szCs w:val="24"/>
              </w:rPr>
              <w:t>,</w:t>
            </w:r>
            <w:r w:rsidR="00C167CD" w:rsidRPr="00E33DE9">
              <w:rPr>
                <w:szCs w:val="24"/>
              </w:rPr>
              <w:t xml:space="preserve"> p</w:t>
            </w:r>
            <w:r w:rsidR="0022489B" w:rsidRPr="00E33DE9">
              <w:rPr>
                <w:szCs w:val="24"/>
              </w:rPr>
              <w:t xml:space="preserve">ripadnost poreza na dohodak koji je ostvaren po osnovi </w:t>
            </w:r>
            <w:r w:rsidR="0080795F" w:rsidRPr="008C6DFF">
              <w:rPr>
                <w:szCs w:val="24"/>
              </w:rPr>
              <w:t>iznajmljivanja stanova, soba i postelja putnicima i turistima i organiziranja kampova</w:t>
            </w:r>
            <w:r w:rsidR="0022489B" w:rsidRPr="00E33DE9">
              <w:rPr>
                <w:szCs w:val="24"/>
              </w:rPr>
              <w:t xml:space="preserve">, a koji se utvrđuje u paušalnom iznosu, određena je prema mjestu gdje se nekretnina odnosno smještajna jedinica </w:t>
            </w:r>
            <w:r w:rsidR="0022489B" w:rsidRPr="00E33DE9">
              <w:rPr>
                <w:szCs w:val="24"/>
              </w:rPr>
              <w:lastRenderedPageBreak/>
              <w:t>nalazi dok se pripadnost poreza na dohodak po osnovi najma i zakupa nekretnina prema trenutnim propisima određuje prema prebivalištu poreznog obveznika</w:t>
            </w:r>
            <w:r w:rsidR="00CB02D2" w:rsidRPr="00E33DE9">
              <w:t xml:space="preserve"> </w:t>
            </w:r>
            <w:r w:rsidR="00CB02D2" w:rsidRPr="00E33DE9">
              <w:rPr>
                <w:szCs w:val="24"/>
              </w:rPr>
              <w:t>te uzevši u obzir činjenicu da se pri pružanju usluga po obje osnove koriste resursi jedinica lokalne samouprave, ukazala se potreba i za izmjenom propisa u tom dijelu</w:t>
            </w:r>
            <w:r w:rsidR="0022489B" w:rsidRPr="00E33DE9">
              <w:rPr>
                <w:szCs w:val="24"/>
              </w:rPr>
              <w:t xml:space="preserve">. </w:t>
            </w:r>
            <w:r w:rsidR="00CB02D2" w:rsidRPr="00E33DE9">
              <w:rPr>
                <w:szCs w:val="24"/>
              </w:rPr>
              <w:t>Naime, upravo ulaganjima jedinica lokalne samouprave u poslovnu i turističku infrastrukturu stvaraju se preduvjeti za kvalitetniji razvoj pojedinog područja što omogućuje ostvarivanje viših primitaka građana po osnovi najma i zakupa nekretnina na njihovom području bez obzira na prebivalište građana, a time i posljedično jačanja prihoda od poreza na dohodak jedinica lokalne samouprave po toj osnovi s obzirom da se nekretnine nalaze na njihovom području.</w:t>
            </w:r>
          </w:p>
          <w:p w14:paraId="0A15EBF7" w14:textId="77777777" w:rsidR="006F1228" w:rsidRPr="00E33DE9" w:rsidRDefault="006F1228" w:rsidP="00185A55">
            <w:pPr>
              <w:jc w:val="both"/>
              <w:rPr>
                <w:szCs w:val="24"/>
              </w:rPr>
            </w:pPr>
          </w:p>
          <w:p w14:paraId="144CE4A7" w14:textId="17602A80" w:rsidR="00F61988" w:rsidRPr="00DF1AF1" w:rsidRDefault="0022489B" w:rsidP="00185A55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Nadalje, prema trenutn</w:t>
            </w:r>
            <w:r w:rsidR="009367D5" w:rsidRPr="00E33DE9">
              <w:rPr>
                <w:szCs w:val="24"/>
              </w:rPr>
              <w:t>o važećim propisima</w:t>
            </w:r>
            <w:r w:rsidR="006975BC" w:rsidRPr="00E33DE9">
              <w:rPr>
                <w:szCs w:val="24"/>
              </w:rPr>
              <w:t>,</w:t>
            </w:r>
            <w:r w:rsidRPr="00E33DE9">
              <w:rPr>
                <w:szCs w:val="24"/>
              </w:rPr>
              <w:t xml:space="preserve"> porez na dohodak od otuđenja nekretnina i imovinskih prava utvrđuje se nastankom dvije situacije: otuđenjem nekretnine ili imovinskog prava u roku kraćem od </w:t>
            </w:r>
            <w:r w:rsidR="00DF1AF1">
              <w:rPr>
                <w:szCs w:val="24"/>
              </w:rPr>
              <w:t>dvije</w:t>
            </w:r>
            <w:r w:rsidRPr="00E33DE9">
              <w:rPr>
                <w:szCs w:val="24"/>
              </w:rPr>
              <w:t xml:space="preserve"> godine od dana nabave i otuđenjem više od tri nekretnine ili imovinskih prava iste vrste u razdoblju od pet godina od dana njihovog stjecanja</w:t>
            </w:r>
            <w:r w:rsidR="009367D5" w:rsidRPr="00E33DE9">
              <w:rPr>
                <w:szCs w:val="24"/>
              </w:rPr>
              <w:t xml:space="preserve"> </w:t>
            </w:r>
            <w:r w:rsidRPr="00E33DE9">
              <w:rPr>
                <w:szCs w:val="24"/>
              </w:rPr>
              <w:t xml:space="preserve">te sukladno tome dio poreznih obveznika (koji ostvaruju dohodak po toj osnovi) nije obuhvaćen oporezivanjem. </w:t>
            </w:r>
            <w:r w:rsidR="009367D5" w:rsidRPr="00E33DE9">
              <w:rPr>
                <w:szCs w:val="24"/>
              </w:rPr>
              <w:t xml:space="preserve">Primjena različitih pravila </w:t>
            </w:r>
            <w:r w:rsidR="006975BC" w:rsidRPr="00E33DE9">
              <w:rPr>
                <w:szCs w:val="24"/>
              </w:rPr>
              <w:t xml:space="preserve">pri utvrđivanju porezne obveze i oslobođenju od porezne obveze </w:t>
            </w:r>
            <w:r w:rsidR="009367D5" w:rsidRPr="00E33DE9">
              <w:rPr>
                <w:szCs w:val="24"/>
              </w:rPr>
              <w:t>z</w:t>
            </w:r>
            <w:r w:rsidRPr="00E33DE9">
              <w:rPr>
                <w:szCs w:val="24"/>
              </w:rPr>
              <w:t>a svaku od navedenih situacija usložnjava sustav oporezivanja i utvrđivanja porezne obveze</w:t>
            </w:r>
            <w:r w:rsidR="001461F2" w:rsidRPr="00E33DE9">
              <w:t xml:space="preserve"> </w:t>
            </w:r>
            <w:r w:rsidR="001461F2" w:rsidRPr="00E33DE9">
              <w:rPr>
                <w:szCs w:val="24"/>
              </w:rPr>
              <w:t>i primjenu oslobođenja</w:t>
            </w:r>
            <w:r w:rsidRPr="00E33DE9">
              <w:rPr>
                <w:szCs w:val="24"/>
              </w:rPr>
              <w:t xml:space="preserve">. </w:t>
            </w:r>
            <w:r w:rsidR="00AD69B0" w:rsidRPr="00DF1AF1">
              <w:rPr>
                <w:szCs w:val="24"/>
              </w:rPr>
              <w:t>Također</w:t>
            </w:r>
            <w:r w:rsidR="00F61988" w:rsidRPr="00DF1AF1">
              <w:rPr>
                <w:szCs w:val="24"/>
              </w:rPr>
              <w:t xml:space="preserve">, </w:t>
            </w:r>
            <w:r w:rsidR="00AD69B0" w:rsidRPr="00DF1AF1">
              <w:rPr>
                <w:szCs w:val="24"/>
              </w:rPr>
              <w:t xml:space="preserve">kod dohotka od otuđenja nekretnina </w:t>
            </w:r>
            <w:r w:rsidR="003C5A10" w:rsidRPr="00DF1AF1">
              <w:rPr>
                <w:szCs w:val="24"/>
              </w:rPr>
              <w:t>pri</w:t>
            </w:r>
            <w:r w:rsidR="00AD69B0" w:rsidRPr="00DF1AF1">
              <w:rPr>
                <w:szCs w:val="24"/>
              </w:rPr>
              <w:t xml:space="preserve"> utvrđivanj</w:t>
            </w:r>
            <w:r w:rsidR="003C5A10" w:rsidRPr="00DF1AF1">
              <w:rPr>
                <w:szCs w:val="24"/>
              </w:rPr>
              <w:t>u</w:t>
            </w:r>
            <w:r w:rsidR="00AD69B0" w:rsidRPr="00DF1AF1">
              <w:rPr>
                <w:szCs w:val="24"/>
              </w:rPr>
              <w:t xml:space="preserve"> porezne obveze u slučaju izgradnje</w:t>
            </w:r>
            <w:r w:rsidR="0086170F" w:rsidRPr="00DF1AF1">
              <w:rPr>
                <w:szCs w:val="24"/>
                <w:lang w:eastAsia="en-US"/>
              </w:rPr>
              <w:t>, rekonstrukcije, promjene oblika i namjene nekretnine</w:t>
            </w:r>
            <w:r w:rsidR="00AD69B0" w:rsidRPr="00DF1AF1">
              <w:rPr>
                <w:szCs w:val="24"/>
              </w:rPr>
              <w:t xml:space="preserve"> utvrđivanje </w:t>
            </w:r>
            <w:r w:rsidR="00F61988" w:rsidRPr="00DF1AF1">
              <w:rPr>
                <w:szCs w:val="24"/>
              </w:rPr>
              <w:t>dan</w:t>
            </w:r>
            <w:r w:rsidR="00AD69B0" w:rsidRPr="00DF1AF1">
              <w:rPr>
                <w:szCs w:val="24"/>
              </w:rPr>
              <w:t>a</w:t>
            </w:r>
            <w:r w:rsidR="00F61988" w:rsidRPr="00DF1AF1">
              <w:rPr>
                <w:szCs w:val="24"/>
              </w:rPr>
              <w:t xml:space="preserve"> </w:t>
            </w:r>
            <w:r w:rsidR="0075768C" w:rsidRPr="00DF1AF1">
              <w:rPr>
                <w:szCs w:val="24"/>
              </w:rPr>
              <w:t xml:space="preserve">nabave (dan </w:t>
            </w:r>
            <w:r w:rsidR="00F61988" w:rsidRPr="00DF1AF1">
              <w:rPr>
                <w:szCs w:val="24"/>
              </w:rPr>
              <w:t>kada je nekretnina osposobljena za upotrebu</w:t>
            </w:r>
            <w:r w:rsidR="0075768C" w:rsidRPr="00DF1AF1">
              <w:rPr>
                <w:szCs w:val="24"/>
              </w:rPr>
              <w:t>)</w:t>
            </w:r>
            <w:r w:rsidR="00F61988" w:rsidRPr="00DF1AF1">
              <w:rPr>
                <w:szCs w:val="24"/>
              </w:rPr>
              <w:t xml:space="preserve"> </w:t>
            </w:r>
            <w:r w:rsidR="00AD69B0" w:rsidRPr="00DF1AF1">
              <w:rPr>
                <w:szCs w:val="24"/>
              </w:rPr>
              <w:t>propisano je podzakonskim aktom, a radi pravne sigurnosti i jasnoće potrebno je isto propisati zakonom.</w:t>
            </w:r>
          </w:p>
          <w:p w14:paraId="50CB6F7D" w14:textId="1D24CB93" w:rsidR="00FB4F83" w:rsidRPr="00E33DE9" w:rsidRDefault="00D64744" w:rsidP="00B64A33">
            <w:pPr>
              <w:jc w:val="both"/>
              <w:rPr>
                <w:iCs/>
              </w:rPr>
            </w:pPr>
            <w:r w:rsidRPr="00E33DE9">
              <w:rPr>
                <w:szCs w:val="24"/>
              </w:rPr>
              <w:t xml:space="preserve"> </w:t>
            </w:r>
          </w:p>
        </w:tc>
      </w:tr>
      <w:tr w:rsidR="00E33DE9" w:rsidRPr="00E33DE9" w14:paraId="3E83FCC2" w14:textId="77777777" w:rsidTr="003C5672">
        <w:trPr>
          <w:trHeight w:val="384"/>
        </w:trPr>
        <w:tc>
          <w:tcPr>
            <w:tcW w:w="850" w:type="dxa"/>
          </w:tcPr>
          <w:p w14:paraId="17CACBE2" w14:textId="77777777" w:rsidR="00FB4F83" w:rsidRPr="00E33DE9" w:rsidRDefault="00FB4F83" w:rsidP="003C5672">
            <w:pPr>
              <w:jc w:val="both"/>
            </w:pPr>
            <w:r w:rsidRPr="00E33DE9">
              <w:lastRenderedPageBreak/>
              <w:t>2.2.</w:t>
            </w:r>
          </w:p>
        </w:tc>
        <w:tc>
          <w:tcPr>
            <w:tcW w:w="9073" w:type="dxa"/>
            <w:gridSpan w:val="4"/>
          </w:tcPr>
          <w:p w14:paraId="59FC48DC" w14:textId="77777777" w:rsidR="00FB4F83" w:rsidRPr="00E33DE9" w:rsidRDefault="00FB4F83" w:rsidP="003C5672">
            <w:pPr>
              <w:jc w:val="both"/>
            </w:pPr>
            <w:r w:rsidRPr="00E33DE9">
              <w:t>Izvor podataka:</w:t>
            </w:r>
          </w:p>
        </w:tc>
      </w:tr>
      <w:tr w:rsidR="00E33DE9" w:rsidRPr="00E33DE9" w14:paraId="2D86FC85" w14:textId="77777777" w:rsidTr="003C5672">
        <w:trPr>
          <w:trHeight w:val="384"/>
        </w:trPr>
        <w:tc>
          <w:tcPr>
            <w:tcW w:w="850" w:type="dxa"/>
          </w:tcPr>
          <w:p w14:paraId="68847A56" w14:textId="77777777" w:rsidR="00FB4F83" w:rsidRPr="00E33DE9" w:rsidRDefault="00FB4F83" w:rsidP="003C5672">
            <w:pPr>
              <w:jc w:val="both"/>
              <w:rPr>
                <w:b/>
              </w:rPr>
            </w:pPr>
          </w:p>
        </w:tc>
        <w:tc>
          <w:tcPr>
            <w:tcW w:w="9073" w:type="dxa"/>
            <w:gridSpan w:val="4"/>
          </w:tcPr>
          <w:p w14:paraId="2EBFA2AE" w14:textId="4C8A1267" w:rsidR="00B64A33" w:rsidRPr="00E33DE9" w:rsidRDefault="00B64A33" w:rsidP="00B64A33">
            <w:pPr>
              <w:jc w:val="both"/>
              <w:rPr>
                <w:rFonts w:eastAsia="Times New Roman"/>
                <w:szCs w:val="24"/>
              </w:rPr>
            </w:pPr>
            <w:r w:rsidRPr="00E33DE9">
              <w:rPr>
                <w:rFonts w:eastAsia="Times New Roman"/>
                <w:szCs w:val="24"/>
              </w:rPr>
              <w:t>Zako</w:t>
            </w:r>
            <w:r w:rsidR="00850915" w:rsidRPr="00E33DE9">
              <w:rPr>
                <w:rFonts w:eastAsia="Times New Roman"/>
                <w:szCs w:val="24"/>
              </w:rPr>
              <w:t xml:space="preserve">n </w:t>
            </w:r>
            <w:r w:rsidRPr="00E33DE9">
              <w:rPr>
                <w:rFonts w:eastAsia="Times New Roman"/>
                <w:szCs w:val="24"/>
              </w:rPr>
              <w:t xml:space="preserve">o porezu na </w:t>
            </w:r>
            <w:r w:rsidR="001B1052" w:rsidRPr="00E33DE9">
              <w:rPr>
                <w:rFonts w:eastAsia="Times New Roman"/>
                <w:szCs w:val="24"/>
              </w:rPr>
              <w:t>dohodak</w:t>
            </w:r>
            <w:r w:rsidRPr="00E33DE9">
              <w:rPr>
                <w:rFonts w:eastAsia="Times New Roman"/>
                <w:szCs w:val="24"/>
              </w:rPr>
              <w:t xml:space="preserve"> („Narodne novine“</w:t>
            </w:r>
            <w:r w:rsidR="001461F2" w:rsidRPr="00E33DE9">
              <w:rPr>
                <w:rFonts w:eastAsia="Times New Roman"/>
                <w:szCs w:val="24"/>
              </w:rPr>
              <w:t>,</w:t>
            </w:r>
            <w:r w:rsidRPr="00E33DE9">
              <w:rPr>
                <w:rFonts w:eastAsia="Times New Roman"/>
                <w:szCs w:val="24"/>
              </w:rPr>
              <w:t xml:space="preserve"> br. </w:t>
            </w:r>
            <w:r w:rsidR="001B1052" w:rsidRPr="00E33DE9">
              <w:rPr>
                <w:rFonts w:eastAsia="Times New Roman"/>
                <w:szCs w:val="24"/>
              </w:rPr>
              <w:t>115/16., 106/18., 121/19., 32/20., 138/20., 151/22.</w:t>
            </w:r>
            <w:r w:rsidR="00850915" w:rsidRPr="00E33DE9">
              <w:rPr>
                <w:rFonts w:eastAsia="Times New Roman"/>
                <w:szCs w:val="24"/>
              </w:rPr>
              <w:t xml:space="preserve"> i</w:t>
            </w:r>
            <w:r w:rsidR="001B1052" w:rsidRPr="00E33DE9">
              <w:rPr>
                <w:rFonts w:eastAsia="Times New Roman"/>
                <w:szCs w:val="24"/>
              </w:rPr>
              <w:t xml:space="preserve"> 114/23</w:t>
            </w:r>
            <w:r w:rsidRPr="00E33DE9">
              <w:rPr>
                <w:rFonts w:eastAsia="Times New Roman"/>
                <w:szCs w:val="24"/>
              </w:rPr>
              <w:t xml:space="preserve">.) </w:t>
            </w:r>
          </w:p>
          <w:p w14:paraId="3D56299B" w14:textId="6AF3273E" w:rsidR="00A0506F" w:rsidRPr="00E33DE9" w:rsidRDefault="00A0506F" w:rsidP="008F3ACE">
            <w:pPr>
              <w:rPr>
                <w:szCs w:val="24"/>
              </w:rPr>
            </w:pPr>
          </w:p>
        </w:tc>
      </w:tr>
      <w:tr w:rsidR="00E33DE9" w:rsidRPr="00E33DE9" w14:paraId="0BC9DC54" w14:textId="77777777" w:rsidTr="003C5672">
        <w:trPr>
          <w:trHeight w:val="384"/>
        </w:trPr>
        <w:tc>
          <w:tcPr>
            <w:tcW w:w="850" w:type="dxa"/>
          </w:tcPr>
          <w:p w14:paraId="3E79D6CA" w14:textId="77777777" w:rsidR="00FB4F83" w:rsidRPr="00E33DE9" w:rsidRDefault="00FB4F83" w:rsidP="003C5672">
            <w:pPr>
              <w:jc w:val="both"/>
              <w:rPr>
                <w:b/>
              </w:rPr>
            </w:pPr>
            <w:r w:rsidRPr="00E33DE9">
              <w:rPr>
                <w:b/>
              </w:rPr>
              <w:t>3.</w:t>
            </w:r>
          </w:p>
        </w:tc>
        <w:tc>
          <w:tcPr>
            <w:tcW w:w="9073" w:type="dxa"/>
            <w:gridSpan w:val="4"/>
          </w:tcPr>
          <w:p w14:paraId="6331E277" w14:textId="77777777" w:rsidR="00FB4F83" w:rsidRPr="00E33DE9" w:rsidRDefault="00FB4F83" w:rsidP="003C5672">
            <w:pPr>
              <w:jc w:val="both"/>
              <w:rPr>
                <w:b/>
              </w:rPr>
            </w:pPr>
            <w:r w:rsidRPr="00E33DE9">
              <w:rPr>
                <w:b/>
              </w:rPr>
              <w:t>UTVRĐIVANJE POSEBNOG CILJA</w:t>
            </w:r>
          </w:p>
        </w:tc>
      </w:tr>
      <w:tr w:rsidR="00E33DE9" w:rsidRPr="00E33DE9" w14:paraId="17A6BD11" w14:textId="77777777" w:rsidTr="003C5672">
        <w:trPr>
          <w:trHeight w:val="384"/>
        </w:trPr>
        <w:tc>
          <w:tcPr>
            <w:tcW w:w="850" w:type="dxa"/>
          </w:tcPr>
          <w:p w14:paraId="5A1647F9" w14:textId="77777777" w:rsidR="00FB4F83" w:rsidRPr="00E33DE9" w:rsidRDefault="00FB4F83" w:rsidP="003C5672">
            <w:pPr>
              <w:jc w:val="both"/>
              <w:rPr>
                <w:bCs/>
              </w:rPr>
            </w:pPr>
            <w:r w:rsidRPr="00E33DE9">
              <w:rPr>
                <w:bCs/>
              </w:rPr>
              <w:t>3.1.</w:t>
            </w:r>
          </w:p>
        </w:tc>
        <w:tc>
          <w:tcPr>
            <w:tcW w:w="9073" w:type="dxa"/>
            <w:gridSpan w:val="4"/>
          </w:tcPr>
          <w:p w14:paraId="23D403E9" w14:textId="77777777" w:rsidR="00FB4F83" w:rsidRPr="00E33DE9" w:rsidRDefault="00FB4F83" w:rsidP="003C5672">
            <w:pPr>
              <w:jc w:val="both"/>
            </w:pPr>
            <w:r w:rsidRPr="00E33DE9">
              <w:t>Opis posebnog cilja</w:t>
            </w:r>
          </w:p>
        </w:tc>
      </w:tr>
      <w:tr w:rsidR="00E33DE9" w:rsidRPr="00E33DE9" w14:paraId="241532C7" w14:textId="77777777" w:rsidTr="003C5672">
        <w:trPr>
          <w:trHeight w:val="384"/>
        </w:trPr>
        <w:tc>
          <w:tcPr>
            <w:tcW w:w="850" w:type="dxa"/>
          </w:tcPr>
          <w:p w14:paraId="72AFEA39" w14:textId="77777777" w:rsidR="00FB4F83" w:rsidRPr="00E33DE9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  <w:gridSpan w:val="4"/>
          </w:tcPr>
          <w:p w14:paraId="03FB80BE" w14:textId="1B7698CD" w:rsidR="00443821" w:rsidRPr="00E33DE9" w:rsidRDefault="00443821" w:rsidP="00443821">
            <w:pPr>
              <w:shd w:val="clear" w:color="auto" w:fill="FFFFFF"/>
              <w:jc w:val="both"/>
              <w:rPr>
                <w:bCs/>
                <w:szCs w:val="24"/>
                <w:lang w:eastAsia="en-US"/>
              </w:rPr>
            </w:pPr>
            <w:r w:rsidRPr="00E33DE9">
              <w:rPr>
                <w:bCs/>
                <w:szCs w:val="24"/>
                <w:lang w:eastAsia="en-US"/>
              </w:rPr>
              <w:t xml:space="preserve">Kako bi se potaknuo povratak hrvatskih </w:t>
            </w:r>
            <w:r w:rsidR="007763BD" w:rsidRPr="00E33DE9">
              <w:rPr>
                <w:bCs/>
                <w:szCs w:val="24"/>
                <w:lang w:eastAsia="en-US"/>
              </w:rPr>
              <w:t xml:space="preserve">iseljenika </w:t>
            </w:r>
            <w:r w:rsidR="000162F7" w:rsidRPr="00E33DE9">
              <w:rPr>
                <w:szCs w:val="24"/>
              </w:rPr>
              <w:t>iz</w:t>
            </w:r>
            <w:r w:rsidR="008446A3" w:rsidRPr="00E33DE9">
              <w:rPr>
                <w:szCs w:val="24"/>
              </w:rPr>
              <w:t xml:space="preserve"> prekomorsk</w:t>
            </w:r>
            <w:r w:rsidR="000162F7" w:rsidRPr="00E33DE9">
              <w:rPr>
                <w:szCs w:val="24"/>
              </w:rPr>
              <w:t>ih</w:t>
            </w:r>
            <w:r w:rsidR="008446A3" w:rsidRPr="00E33DE9">
              <w:rPr>
                <w:szCs w:val="24"/>
              </w:rPr>
              <w:t xml:space="preserve"> i europsk</w:t>
            </w:r>
            <w:r w:rsidR="000162F7" w:rsidRPr="00E33DE9">
              <w:rPr>
                <w:szCs w:val="24"/>
              </w:rPr>
              <w:t>ih</w:t>
            </w:r>
            <w:r w:rsidR="008446A3" w:rsidRPr="00E33DE9">
              <w:rPr>
                <w:szCs w:val="24"/>
              </w:rPr>
              <w:t xml:space="preserve"> držav</w:t>
            </w:r>
            <w:r w:rsidR="000162F7" w:rsidRPr="00E33DE9">
              <w:rPr>
                <w:szCs w:val="24"/>
              </w:rPr>
              <w:t>a</w:t>
            </w:r>
            <w:r w:rsidR="007763BD" w:rsidRPr="00E33DE9">
              <w:rPr>
                <w:szCs w:val="24"/>
              </w:rPr>
              <w:t>, državljana Republike Hrvatske</w:t>
            </w:r>
            <w:r w:rsidR="008446A3" w:rsidRPr="00E33DE9">
              <w:rPr>
                <w:bCs/>
                <w:szCs w:val="24"/>
                <w:lang w:eastAsia="en-US"/>
              </w:rPr>
              <w:t xml:space="preserve"> </w:t>
            </w:r>
            <w:r w:rsidRPr="00E33DE9">
              <w:rPr>
                <w:bCs/>
                <w:szCs w:val="24"/>
                <w:lang w:eastAsia="en-US"/>
              </w:rPr>
              <w:t xml:space="preserve">koji su neprekidno boravili u inozemstvu najmanje dvije godine te kako bi ih se motiviralo i ohrabrilo na zapošljavanje u Republici Hrvatskoj, predlaže se propisati oslobođenje od plaćanja poreza na dohodak kojeg isti ostvare od nesamostalnog rada - plaće na razdoblje od pet godina. </w:t>
            </w:r>
          </w:p>
          <w:p w14:paraId="78132B52" w14:textId="77777777" w:rsidR="00443821" w:rsidRPr="00E33DE9" w:rsidRDefault="00443821" w:rsidP="007F02B1">
            <w:pPr>
              <w:jc w:val="both"/>
              <w:rPr>
                <w:szCs w:val="24"/>
              </w:rPr>
            </w:pPr>
          </w:p>
          <w:p w14:paraId="5023C6BB" w14:textId="34A1EC06" w:rsidR="003D04AF" w:rsidRPr="00E33DE9" w:rsidRDefault="00F75AEC" w:rsidP="007F02B1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Radi p</w:t>
            </w:r>
            <w:r w:rsidR="00765EEB" w:rsidRPr="00E33DE9">
              <w:rPr>
                <w:szCs w:val="24"/>
              </w:rPr>
              <w:t>ovećanj</w:t>
            </w:r>
            <w:r w:rsidRPr="00E33DE9">
              <w:rPr>
                <w:szCs w:val="24"/>
              </w:rPr>
              <w:t>a</w:t>
            </w:r>
            <w:r w:rsidR="00765EEB" w:rsidRPr="00E33DE9">
              <w:rPr>
                <w:szCs w:val="24"/>
              </w:rPr>
              <w:t xml:space="preserve"> raspoloživog dohotka </w:t>
            </w:r>
            <w:r w:rsidR="00F633B5" w:rsidRPr="00E33DE9">
              <w:rPr>
                <w:szCs w:val="24"/>
              </w:rPr>
              <w:t xml:space="preserve">građana </w:t>
            </w:r>
            <w:r w:rsidR="00AC382E" w:rsidRPr="00E33DE9">
              <w:rPr>
                <w:szCs w:val="24"/>
              </w:rPr>
              <w:t>predlaže se</w:t>
            </w:r>
            <w:r w:rsidR="00765EEB" w:rsidRPr="00E33DE9">
              <w:rPr>
                <w:szCs w:val="24"/>
              </w:rPr>
              <w:t xml:space="preserve"> </w:t>
            </w:r>
            <w:r w:rsidR="00F633B5" w:rsidRPr="00E33DE9">
              <w:rPr>
                <w:szCs w:val="24"/>
              </w:rPr>
              <w:t xml:space="preserve">povećanje iznosa osnovnog osobnog odbitka, iznosa osobnog odbitka za uzdržavane članove i </w:t>
            </w:r>
            <w:r w:rsidR="00F633B5" w:rsidRPr="00760C68">
              <w:rPr>
                <w:szCs w:val="24"/>
              </w:rPr>
              <w:t>invalidnost</w:t>
            </w:r>
            <w:r w:rsidR="000A4713" w:rsidRPr="00760C68">
              <w:rPr>
                <w:szCs w:val="24"/>
              </w:rPr>
              <w:t>,</w:t>
            </w:r>
            <w:r w:rsidR="00765EEB" w:rsidRPr="00760C68">
              <w:rPr>
                <w:szCs w:val="24"/>
              </w:rPr>
              <w:t xml:space="preserve"> </w:t>
            </w:r>
            <w:r w:rsidR="00F633B5" w:rsidRPr="00760C68">
              <w:rPr>
                <w:szCs w:val="24"/>
              </w:rPr>
              <w:t xml:space="preserve">povećanje </w:t>
            </w:r>
            <w:r w:rsidR="000E76CF" w:rsidRPr="00760C68">
              <w:rPr>
                <w:szCs w:val="24"/>
              </w:rPr>
              <w:t xml:space="preserve">iznosa </w:t>
            </w:r>
            <w:r w:rsidR="00C54743" w:rsidRPr="00760C68">
              <w:rPr>
                <w:szCs w:val="24"/>
              </w:rPr>
              <w:t>porezne osnovice na koju se primjenjuje</w:t>
            </w:r>
            <w:r w:rsidR="00F859E3" w:rsidRPr="00760C68">
              <w:rPr>
                <w:szCs w:val="24"/>
              </w:rPr>
              <w:t xml:space="preserve"> </w:t>
            </w:r>
            <w:r w:rsidR="00C54743" w:rsidRPr="00760C68">
              <w:rPr>
                <w:szCs w:val="24"/>
              </w:rPr>
              <w:t>viša</w:t>
            </w:r>
            <w:r w:rsidR="003C5A10" w:rsidRPr="00760C68">
              <w:rPr>
                <w:szCs w:val="24"/>
              </w:rPr>
              <w:t xml:space="preserve"> </w:t>
            </w:r>
            <w:r w:rsidR="00F633B5" w:rsidRPr="00760C68">
              <w:rPr>
                <w:szCs w:val="24"/>
              </w:rPr>
              <w:t>stop</w:t>
            </w:r>
            <w:r w:rsidR="00C54743" w:rsidRPr="00760C68">
              <w:rPr>
                <w:szCs w:val="24"/>
              </w:rPr>
              <w:t>a</w:t>
            </w:r>
            <w:r w:rsidR="00F633B5" w:rsidRPr="00760C68">
              <w:rPr>
                <w:szCs w:val="24"/>
              </w:rPr>
              <w:t xml:space="preserve"> poreza na dohodak</w:t>
            </w:r>
            <w:r w:rsidR="000A4713" w:rsidRPr="00760C68">
              <w:rPr>
                <w:szCs w:val="24"/>
              </w:rPr>
              <w:t xml:space="preserve"> te </w:t>
            </w:r>
            <w:r w:rsidR="00020303" w:rsidRPr="00760C68">
              <w:rPr>
                <w:szCs w:val="24"/>
              </w:rPr>
              <w:t>smanjenje gornje granice u rasponima za nižu i višu stopu godišnjeg poreza na dohodak</w:t>
            </w:r>
            <w:r w:rsidR="00F633B5" w:rsidRPr="00760C68">
              <w:rPr>
                <w:szCs w:val="24"/>
              </w:rPr>
              <w:t xml:space="preserve">. </w:t>
            </w:r>
            <w:r w:rsidR="00E43FF6" w:rsidRPr="00760C68">
              <w:rPr>
                <w:szCs w:val="24"/>
              </w:rPr>
              <w:t xml:space="preserve"> </w:t>
            </w:r>
            <w:r w:rsidR="00AC382E" w:rsidRPr="00760C68">
              <w:rPr>
                <w:szCs w:val="24"/>
              </w:rPr>
              <w:t xml:space="preserve">Isto će ujedno doprinijeti stvaranju povoljnijih uvjeta za poslodavce da zadrže stručnu radnu </w:t>
            </w:r>
            <w:r w:rsidR="00AC382E" w:rsidRPr="00E33DE9">
              <w:rPr>
                <w:szCs w:val="24"/>
              </w:rPr>
              <w:t>snagu u Republici Hrvatskoj.</w:t>
            </w:r>
          </w:p>
          <w:p w14:paraId="20474A9A" w14:textId="77777777" w:rsidR="006975BC" w:rsidRPr="00E33DE9" w:rsidRDefault="006975BC" w:rsidP="007F02B1">
            <w:pPr>
              <w:jc w:val="both"/>
              <w:rPr>
                <w:szCs w:val="24"/>
              </w:rPr>
            </w:pPr>
          </w:p>
          <w:p w14:paraId="2FDEF246" w14:textId="7537C648" w:rsidR="00A36D57" w:rsidRPr="00760C68" w:rsidRDefault="0033194D" w:rsidP="00A36D57">
            <w:pPr>
              <w:jc w:val="both"/>
              <w:rPr>
                <w:szCs w:val="24"/>
              </w:rPr>
            </w:pPr>
            <w:r w:rsidRPr="00760C68">
              <w:rPr>
                <w:szCs w:val="24"/>
              </w:rPr>
              <w:t xml:space="preserve">S ciljem postizanja veće pravednosti u oporezivanju </w:t>
            </w:r>
            <w:r w:rsidR="00020303" w:rsidRPr="00760C68">
              <w:rPr>
                <w:szCs w:val="24"/>
              </w:rPr>
              <w:t xml:space="preserve">dohotka od iznajmljivanja stanova, soba i postelja putnicima i turistima i organiziranja kampova </w:t>
            </w:r>
            <w:r w:rsidR="00760C68" w:rsidRPr="00760C68">
              <w:rPr>
                <w:szCs w:val="24"/>
              </w:rPr>
              <w:t xml:space="preserve">te omogućavanja stvaranja stabilnih stambenih uvjeta za obitelji i zaposlene osobito u područjima s izraženom </w:t>
            </w:r>
            <w:proofErr w:type="spellStart"/>
            <w:r w:rsidR="00760C68" w:rsidRPr="00760C68">
              <w:rPr>
                <w:szCs w:val="24"/>
              </w:rPr>
              <w:t>sezonalnošću</w:t>
            </w:r>
            <w:proofErr w:type="spellEnd"/>
            <w:r w:rsidR="00760C68" w:rsidRPr="00760C68">
              <w:rPr>
                <w:szCs w:val="24"/>
              </w:rPr>
              <w:t xml:space="preserve"> najma, </w:t>
            </w:r>
            <w:r w:rsidR="00020303" w:rsidRPr="00760C68">
              <w:rPr>
                <w:szCs w:val="24"/>
                <w:lang w:eastAsia="en-US"/>
              </w:rPr>
              <w:t>predlažu se nove granice iznosa paušalnog poreza po krevetu odnosno smještajnoj jedinici raspisane po kategorijama utvrđenima prema indeksu turističke razvijenosti lokalne samouprave</w:t>
            </w:r>
            <w:r w:rsidR="00A36D57" w:rsidRPr="00760C68">
              <w:rPr>
                <w:szCs w:val="24"/>
              </w:rPr>
              <w:t>.</w:t>
            </w:r>
          </w:p>
          <w:p w14:paraId="77E20B38" w14:textId="17013A3A" w:rsidR="00B6232A" w:rsidRPr="00E33DE9" w:rsidRDefault="00B6232A" w:rsidP="007F02B1">
            <w:pPr>
              <w:jc w:val="both"/>
              <w:rPr>
                <w:szCs w:val="24"/>
              </w:rPr>
            </w:pPr>
          </w:p>
          <w:p w14:paraId="6C068167" w14:textId="1F207DF1" w:rsidR="003D04AF" w:rsidRPr="00E33DE9" w:rsidRDefault="0086170F" w:rsidP="007F02B1">
            <w:pPr>
              <w:jc w:val="both"/>
              <w:rPr>
                <w:szCs w:val="24"/>
              </w:rPr>
            </w:pPr>
            <w:r w:rsidRPr="00DF1AF1">
              <w:rPr>
                <w:szCs w:val="24"/>
              </w:rPr>
              <w:t>Također, z</w:t>
            </w:r>
            <w:r w:rsidR="003D04AF" w:rsidRPr="00DF1AF1">
              <w:rPr>
                <w:szCs w:val="24"/>
              </w:rPr>
              <w:t>bog</w:t>
            </w:r>
            <w:r w:rsidR="007F02B1" w:rsidRPr="00DF1AF1">
              <w:rPr>
                <w:szCs w:val="24"/>
              </w:rPr>
              <w:t xml:space="preserve"> pravednije raspodj</w:t>
            </w:r>
            <w:r w:rsidR="003D04AF" w:rsidRPr="00DF1AF1">
              <w:rPr>
                <w:szCs w:val="24"/>
              </w:rPr>
              <w:t>ele</w:t>
            </w:r>
            <w:r w:rsidR="007F02B1" w:rsidRPr="00DF1AF1">
              <w:rPr>
                <w:szCs w:val="24"/>
              </w:rPr>
              <w:t xml:space="preserve"> prihod</w:t>
            </w:r>
            <w:r w:rsidR="003D04AF" w:rsidRPr="00DF1AF1">
              <w:rPr>
                <w:szCs w:val="24"/>
              </w:rPr>
              <w:t>a</w:t>
            </w:r>
            <w:r w:rsidR="007F02B1" w:rsidRPr="00DF1AF1">
              <w:rPr>
                <w:szCs w:val="24"/>
              </w:rPr>
              <w:t xml:space="preserve"> ostvareni</w:t>
            </w:r>
            <w:r w:rsidR="003D04AF" w:rsidRPr="00DF1AF1">
              <w:rPr>
                <w:szCs w:val="24"/>
              </w:rPr>
              <w:t>h</w:t>
            </w:r>
            <w:r w:rsidR="007F02B1" w:rsidRPr="00DF1AF1">
              <w:rPr>
                <w:szCs w:val="24"/>
              </w:rPr>
              <w:t xml:space="preserve"> od iznajmljivanja nekretnina, a </w:t>
            </w:r>
            <w:r w:rsidR="00F633B5" w:rsidRPr="00DF1AF1">
              <w:rPr>
                <w:szCs w:val="24"/>
              </w:rPr>
              <w:t xml:space="preserve">budući da se pri pružanju usluga po </w:t>
            </w:r>
            <w:r w:rsidR="007F02B1" w:rsidRPr="00DF1AF1">
              <w:rPr>
                <w:szCs w:val="24"/>
              </w:rPr>
              <w:t xml:space="preserve">osnovi stambenog/poslovnog i turističkog najma </w:t>
            </w:r>
            <w:r w:rsidR="00F633B5" w:rsidRPr="00DF1AF1">
              <w:rPr>
                <w:szCs w:val="24"/>
              </w:rPr>
              <w:t>koriste resursi jedinica lokalne i područne</w:t>
            </w:r>
            <w:r w:rsidR="00B80772" w:rsidRPr="00DF1AF1">
              <w:rPr>
                <w:szCs w:val="24"/>
              </w:rPr>
              <w:t xml:space="preserve"> (regionalne)</w:t>
            </w:r>
            <w:r w:rsidR="00F633B5" w:rsidRPr="00DF1AF1">
              <w:rPr>
                <w:szCs w:val="24"/>
              </w:rPr>
              <w:t xml:space="preserve"> samouprave</w:t>
            </w:r>
            <w:r w:rsidR="0093182D" w:rsidRPr="00DF1AF1">
              <w:rPr>
                <w:szCs w:val="24"/>
              </w:rPr>
              <w:t xml:space="preserve"> kojoj nekretnina pripada</w:t>
            </w:r>
            <w:r w:rsidR="00F633B5" w:rsidRPr="00DF1AF1">
              <w:rPr>
                <w:szCs w:val="24"/>
              </w:rPr>
              <w:t xml:space="preserve">, </w:t>
            </w:r>
            <w:r w:rsidR="009F6F8A" w:rsidRPr="00DF1AF1">
              <w:rPr>
                <w:szCs w:val="24"/>
              </w:rPr>
              <w:t>predlaže se</w:t>
            </w:r>
            <w:r w:rsidR="00AC382E" w:rsidRPr="00DF1AF1">
              <w:rPr>
                <w:szCs w:val="24"/>
              </w:rPr>
              <w:t xml:space="preserve"> </w:t>
            </w:r>
            <w:r w:rsidR="00F633B5" w:rsidRPr="00E33DE9">
              <w:rPr>
                <w:szCs w:val="24"/>
              </w:rPr>
              <w:t>izjednač</w:t>
            </w:r>
            <w:r w:rsidR="007F02B1" w:rsidRPr="00E33DE9">
              <w:rPr>
                <w:szCs w:val="24"/>
              </w:rPr>
              <w:t>i</w:t>
            </w:r>
            <w:r w:rsidR="003D04AF" w:rsidRPr="00E33DE9">
              <w:rPr>
                <w:szCs w:val="24"/>
              </w:rPr>
              <w:t>ti</w:t>
            </w:r>
            <w:r w:rsidR="00F633B5" w:rsidRPr="00E33DE9">
              <w:rPr>
                <w:szCs w:val="24"/>
              </w:rPr>
              <w:t xml:space="preserve"> pripadnost prihoda poreza na dohodak po osnovi najma</w:t>
            </w:r>
            <w:r w:rsidR="009F6F8A">
              <w:rPr>
                <w:szCs w:val="24"/>
              </w:rPr>
              <w:t xml:space="preserve"> i </w:t>
            </w:r>
            <w:r w:rsidR="00F633B5" w:rsidRPr="00E33DE9">
              <w:rPr>
                <w:szCs w:val="24"/>
              </w:rPr>
              <w:t xml:space="preserve">zakupa nekretnina s pripadnosti prihoda poreza na dohodak po osnovi obavljanja djelatnosti </w:t>
            </w:r>
            <w:r w:rsidR="0080795F" w:rsidRPr="0080795F">
              <w:rPr>
                <w:szCs w:val="24"/>
              </w:rPr>
              <w:t xml:space="preserve">iznajmljivanja stanova, soba i postelja putnicima i turistima i organiziranja kampova </w:t>
            </w:r>
            <w:r w:rsidR="0093182D" w:rsidRPr="00E33DE9">
              <w:rPr>
                <w:szCs w:val="24"/>
              </w:rPr>
              <w:t xml:space="preserve">na način </w:t>
            </w:r>
            <w:r w:rsidR="00491485" w:rsidRPr="00E33DE9">
              <w:rPr>
                <w:szCs w:val="24"/>
              </w:rPr>
              <w:t xml:space="preserve">da svi prihodi ostvareni s naslova iznajmljivanja nekretnina budu prihodi jedinice lokalne </w:t>
            </w:r>
            <w:r w:rsidR="00491485" w:rsidRPr="00995E43">
              <w:rPr>
                <w:szCs w:val="24"/>
              </w:rPr>
              <w:t xml:space="preserve">i područne </w:t>
            </w:r>
            <w:r w:rsidR="00B80772" w:rsidRPr="00995E43">
              <w:rPr>
                <w:szCs w:val="24"/>
              </w:rPr>
              <w:t>(regionalne)</w:t>
            </w:r>
            <w:r w:rsidR="00B80772" w:rsidRPr="00E33DE9">
              <w:rPr>
                <w:szCs w:val="24"/>
              </w:rPr>
              <w:t xml:space="preserve"> </w:t>
            </w:r>
            <w:r w:rsidR="00491485" w:rsidRPr="00E33DE9">
              <w:rPr>
                <w:szCs w:val="24"/>
              </w:rPr>
              <w:t>samouprave kojoj nekretnina pripada</w:t>
            </w:r>
            <w:r w:rsidR="00F633B5" w:rsidRPr="00E33DE9">
              <w:rPr>
                <w:szCs w:val="24"/>
              </w:rPr>
              <w:t xml:space="preserve">. </w:t>
            </w:r>
          </w:p>
          <w:p w14:paraId="0606F2A8" w14:textId="77777777" w:rsidR="003D04AF" w:rsidRPr="00E33DE9" w:rsidRDefault="003D04AF" w:rsidP="007F02B1">
            <w:pPr>
              <w:jc w:val="both"/>
              <w:rPr>
                <w:szCs w:val="24"/>
              </w:rPr>
            </w:pPr>
          </w:p>
          <w:p w14:paraId="61B97D9F" w14:textId="2BAB2009" w:rsidR="003C5A10" w:rsidRPr="00E33DE9" w:rsidRDefault="003D04AF" w:rsidP="00227969">
            <w:pPr>
              <w:spacing w:after="240"/>
              <w:jc w:val="both"/>
              <w:rPr>
                <w:szCs w:val="24"/>
              </w:rPr>
            </w:pPr>
            <w:r w:rsidRPr="002C457D">
              <w:rPr>
                <w:szCs w:val="24"/>
              </w:rPr>
              <w:t>Kako bi se</w:t>
            </w:r>
            <w:r w:rsidR="00F633B5" w:rsidRPr="002C457D">
              <w:rPr>
                <w:szCs w:val="24"/>
              </w:rPr>
              <w:t xml:space="preserve"> </w:t>
            </w:r>
            <w:r w:rsidR="00AA14F6" w:rsidRPr="002C457D">
              <w:rPr>
                <w:szCs w:val="24"/>
              </w:rPr>
              <w:t xml:space="preserve">otklonile nejasnoće u provedbi odredbi </w:t>
            </w:r>
            <w:r w:rsidR="001019FF" w:rsidRPr="002C457D">
              <w:rPr>
                <w:szCs w:val="24"/>
              </w:rPr>
              <w:t>vezanih za</w:t>
            </w:r>
            <w:r w:rsidR="00AA14F6" w:rsidRPr="002C457D">
              <w:rPr>
                <w:szCs w:val="24"/>
              </w:rPr>
              <w:t xml:space="preserve"> utvrđivanje porezne obveze po osnovi </w:t>
            </w:r>
            <w:r w:rsidR="001019FF" w:rsidRPr="002C457D">
              <w:rPr>
                <w:szCs w:val="24"/>
              </w:rPr>
              <w:t xml:space="preserve">ostvarenog dohotka od </w:t>
            </w:r>
            <w:r w:rsidR="00AA14F6" w:rsidRPr="002C457D">
              <w:rPr>
                <w:szCs w:val="24"/>
              </w:rPr>
              <w:t xml:space="preserve">otuđenja nekretnina te proširio obuhvat transakcija </w:t>
            </w:r>
            <w:r w:rsidR="001019FF" w:rsidRPr="002C457D">
              <w:rPr>
                <w:szCs w:val="24"/>
              </w:rPr>
              <w:t xml:space="preserve">ostvarenog dohotka </w:t>
            </w:r>
            <w:r w:rsidR="00AA14F6" w:rsidRPr="002C457D">
              <w:rPr>
                <w:szCs w:val="24"/>
              </w:rPr>
              <w:t>po osnovi otuđenja nekretnina koje su trenutno izvan oporezivanja</w:t>
            </w:r>
            <w:r w:rsidR="00ED16EA" w:rsidRPr="002C457D">
              <w:rPr>
                <w:szCs w:val="24"/>
              </w:rPr>
              <w:t xml:space="preserve"> potrebno je izmijeniti odredbe u </w:t>
            </w:r>
            <w:r w:rsidR="009F6F8A" w:rsidRPr="002C457D">
              <w:rPr>
                <w:szCs w:val="24"/>
              </w:rPr>
              <w:t>z</w:t>
            </w:r>
            <w:r w:rsidR="00ED16EA" w:rsidRPr="002C457D">
              <w:rPr>
                <w:szCs w:val="24"/>
              </w:rPr>
              <w:t xml:space="preserve">akonu. </w:t>
            </w:r>
            <w:r w:rsidR="0077238B" w:rsidRPr="002C457D">
              <w:rPr>
                <w:szCs w:val="24"/>
              </w:rPr>
              <w:t>R</w:t>
            </w:r>
            <w:r w:rsidR="00ED16EA" w:rsidRPr="002C457D">
              <w:rPr>
                <w:szCs w:val="24"/>
              </w:rPr>
              <w:t xml:space="preserve">adi postizanja veće pravednosti u oporezivanju </w:t>
            </w:r>
            <w:r w:rsidR="00D60F06" w:rsidRPr="002C457D">
              <w:rPr>
                <w:szCs w:val="24"/>
              </w:rPr>
              <w:t xml:space="preserve">potrebno je </w:t>
            </w:r>
            <w:r w:rsidR="00F633B5" w:rsidRPr="002C457D">
              <w:rPr>
                <w:szCs w:val="24"/>
              </w:rPr>
              <w:t xml:space="preserve">izjednačiti pravila za utvrđivanje porezne obveze </w:t>
            </w:r>
            <w:r w:rsidR="00AA14F6" w:rsidRPr="002C457D">
              <w:rPr>
                <w:szCs w:val="24"/>
              </w:rPr>
              <w:t>kod dohotka od otuđenja nekretnina ili imovinskih prava otuđenih u roku kraćem od dvije godine od dana nabave i dohotka od otuđenja više od tri nekretnine ili imovinskog prava iste vrste u razdoblju od pet godina od dana njihovog stjecanja</w:t>
            </w:r>
            <w:r w:rsidR="00D60F06" w:rsidRPr="002C457D">
              <w:rPr>
                <w:szCs w:val="24"/>
              </w:rPr>
              <w:t>.</w:t>
            </w:r>
            <w:r w:rsidR="003C5A10" w:rsidRPr="002C457D">
              <w:rPr>
                <w:szCs w:val="24"/>
              </w:rPr>
              <w:t xml:space="preserve"> Također, </w:t>
            </w:r>
            <w:r w:rsidR="00FA179E" w:rsidRPr="002C457D">
              <w:rPr>
                <w:szCs w:val="24"/>
              </w:rPr>
              <w:t xml:space="preserve">radi pravne sigurnosti i jasnoće potrebno je u zakonu dodatno </w:t>
            </w:r>
            <w:proofErr w:type="spellStart"/>
            <w:r w:rsidR="00FA179E" w:rsidRPr="002C457D">
              <w:rPr>
                <w:szCs w:val="24"/>
              </w:rPr>
              <w:t>nomotehnički</w:t>
            </w:r>
            <w:proofErr w:type="spellEnd"/>
            <w:r w:rsidR="00FA179E" w:rsidRPr="002C457D">
              <w:rPr>
                <w:szCs w:val="24"/>
              </w:rPr>
              <w:t xml:space="preserve"> urediti odredbu </w:t>
            </w:r>
            <w:r w:rsidR="003C5A10" w:rsidRPr="002C457D">
              <w:rPr>
                <w:szCs w:val="24"/>
              </w:rPr>
              <w:t>vezan</w:t>
            </w:r>
            <w:r w:rsidR="00FA179E" w:rsidRPr="002C457D">
              <w:rPr>
                <w:szCs w:val="24"/>
              </w:rPr>
              <w:t>u</w:t>
            </w:r>
            <w:r w:rsidR="003C5A10" w:rsidRPr="002C457D">
              <w:rPr>
                <w:szCs w:val="24"/>
              </w:rPr>
              <w:t xml:space="preserve"> </w:t>
            </w:r>
            <w:r w:rsidR="001019FF" w:rsidRPr="002C457D">
              <w:rPr>
                <w:szCs w:val="24"/>
              </w:rPr>
              <w:t xml:space="preserve">za </w:t>
            </w:r>
            <w:r w:rsidR="003C5A10" w:rsidRPr="002C457D">
              <w:rPr>
                <w:szCs w:val="24"/>
              </w:rPr>
              <w:t>utvrđivanj</w:t>
            </w:r>
            <w:r w:rsidR="001019FF" w:rsidRPr="002C457D">
              <w:rPr>
                <w:szCs w:val="24"/>
              </w:rPr>
              <w:t>e</w:t>
            </w:r>
            <w:r w:rsidR="003C5A10" w:rsidRPr="002C457D">
              <w:rPr>
                <w:szCs w:val="24"/>
              </w:rPr>
              <w:t xml:space="preserve"> dana </w:t>
            </w:r>
            <w:r w:rsidR="0075768C" w:rsidRPr="002C457D">
              <w:rPr>
                <w:szCs w:val="24"/>
              </w:rPr>
              <w:t>nabave</w:t>
            </w:r>
            <w:r w:rsidR="002C457D" w:rsidRPr="002C457D">
              <w:rPr>
                <w:szCs w:val="24"/>
              </w:rPr>
              <w:t xml:space="preserve"> </w:t>
            </w:r>
            <w:r w:rsidR="00ED16EA" w:rsidRPr="002C457D">
              <w:rPr>
                <w:szCs w:val="24"/>
              </w:rPr>
              <w:t xml:space="preserve">nekretnine </w:t>
            </w:r>
            <w:r w:rsidR="00060E8B" w:rsidRPr="002C457D">
              <w:rPr>
                <w:szCs w:val="24"/>
              </w:rPr>
              <w:t>u slučaju izgradnje</w:t>
            </w:r>
            <w:r w:rsidR="00FA179E" w:rsidRPr="002C457D">
              <w:rPr>
                <w:szCs w:val="24"/>
                <w:lang w:eastAsia="en-US"/>
              </w:rPr>
              <w:t>, rekonstrukcije, promjene oblika i namjene nekretnine.</w:t>
            </w:r>
            <w:r w:rsidR="00FA179E" w:rsidRPr="002C457D">
              <w:rPr>
                <w:szCs w:val="24"/>
              </w:rPr>
              <w:t xml:space="preserve"> </w:t>
            </w:r>
          </w:p>
        </w:tc>
      </w:tr>
      <w:tr w:rsidR="00E33DE9" w:rsidRPr="00E33DE9" w14:paraId="3542C8D9" w14:textId="77777777" w:rsidTr="003C5672">
        <w:trPr>
          <w:trHeight w:val="384"/>
        </w:trPr>
        <w:tc>
          <w:tcPr>
            <w:tcW w:w="850" w:type="dxa"/>
          </w:tcPr>
          <w:p w14:paraId="5C49B2FD" w14:textId="77777777" w:rsidR="00FB4F83" w:rsidRPr="00E33DE9" w:rsidRDefault="00FB4F83" w:rsidP="003C5672">
            <w:pPr>
              <w:jc w:val="both"/>
              <w:rPr>
                <w:bCs/>
              </w:rPr>
            </w:pPr>
            <w:r w:rsidRPr="00E33DE9">
              <w:rPr>
                <w:bCs/>
              </w:rPr>
              <w:lastRenderedPageBreak/>
              <w:t>3.2.</w:t>
            </w:r>
          </w:p>
        </w:tc>
        <w:tc>
          <w:tcPr>
            <w:tcW w:w="9073" w:type="dxa"/>
            <w:gridSpan w:val="4"/>
          </w:tcPr>
          <w:p w14:paraId="126484AE" w14:textId="77777777" w:rsidR="00FB4F83" w:rsidRPr="00E33DE9" w:rsidRDefault="00FB4F83" w:rsidP="003C5672">
            <w:pPr>
              <w:jc w:val="both"/>
            </w:pPr>
            <w:r w:rsidRPr="00E33DE9">
              <w:t>Opis svrhe propisa</w:t>
            </w:r>
          </w:p>
        </w:tc>
      </w:tr>
      <w:tr w:rsidR="00E33DE9" w:rsidRPr="00E33DE9" w14:paraId="10BB975D" w14:textId="77777777" w:rsidTr="003C5672">
        <w:trPr>
          <w:trHeight w:val="384"/>
        </w:trPr>
        <w:tc>
          <w:tcPr>
            <w:tcW w:w="850" w:type="dxa"/>
          </w:tcPr>
          <w:p w14:paraId="5E200B2A" w14:textId="77777777" w:rsidR="00FB4F83" w:rsidRPr="00E33DE9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  <w:gridSpan w:val="4"/>
          </w:tcPr>
          <w:p w14:paraId="0E5C269D" w14:textId="0BA5BA2D" w:rsidR="005D4D21" w:rsidRDefault="00D60F06" w:rsidP="00227969">
            <w:pPr>
              <w:spacing w:after="240"/>
              <w:contextualSpacing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 xml:space="preserve">Potaknuti </w:t>
            </w:r>
            <w:r w:rsidR="007763BD" w:rsidRPr="00E33DE9">
              <w:rPr>
                <w:bCs/>
                <w:szCs w:val="24"/>
                <w:lang w:eastAsia="en-US"/>
              </w:rPr>
              <w:t xml:space="preserve">povratak hrvatskih iseljenika </w:t>
            </w:r>
            <w:r w:rsidR="007763BD" w:rsidRPr="00E33DE9">
              <w:rPr>
                <w:szCs w:val="24"/>
              </w:rPr>
              <w:t xml:space="preserve">iz prekomorskih i europskih država, </w:t>
            </w:r>
            <w:r w:rsidR="007763BD" w:rsidRPr="0065581D">
              <w:rPr>
                <w:szCs w:val="24"/>
              </w:rPr>
              <w:t>državljana Republike Hrvatske</w:t>
            </w:r>
            <w:r w:rsidRPr="00E33DE9">
              <w:rPr>
                <w:szCs w:val="24"/>
              </w:rPr>
              <w:t xml:space="preserve"> u Republiku Hrvatsku propisivanjem oslobođenja od plaćanja poreza na dohodak od nesamostalnog rada - plaću </w:t>
            </w:r>
            <w:r w:rsidR="005D4D21" w:rsidRPr="0065581D">
              <w:rPr>
                <w:szCs w:val="24"/>
              </w:rPr>
              <w:t>te</w:t>
            </w:r>
            <w:r w:rsidRPr="00E33DE9">
              <w:rPr>
                <w:szCs w:val="24"/>
              </w:rPr>
              <w:t xml:space="preserve"> s</w:t>
            </w:r>
            <w:r w:rsidR="00F633B5" w:rsidRPr="00E33DE9">
              <w:rPr>
                <w:szCs w:val="24"/>
              </w:rPr>
              <w:t>manj</w:t>
            </w:r>
            <w:r w:rsidR="00275ADF" w:rsidRPr="00E33DE9">
              <w:rPr>
                <w:szCs w:val="24"/>
              </w:rPr>
              <w:t>iti</w:t>
            </w:r>
            <w:r w:rsidR="00F633B5" w:rsidRPr="00E33DE9">
              <w:rPr>
                <w:szCs w:val="24"/>
              </w:rPr>
              <w:t xml:space="preserve"> porezno opterećenj</w:t>
            </w:r>
            <w:r w:rsidR="00275ADF" w:rsidRPr="00E33DE9">
              <w:rPr>
                <w:szCs w:val="24"/>
              </w:rPr>
              <w:t>e</w:t>
            </w:r>
            <w:r w:rsidR="00CD254C" w:rsidRPr="00E33DE9">
              <w:rPr>
                <w:szCs w:val="24"/>
              </w:rPr>
              <w:t xml:space="preserve"> fizičkih osoba kako bi se povećao njihov</w:t>
            </w:r>
            <w:r w:rsidR="00F633B5" w:rsidRPr="00E33DE9">
              <w:rPr>
                <w:szCs w:val="24"/>
              </w:rPr>
              <w:t xml:space="preserve"> raspoloživ</w:t>
            </w:r>
            <w:r w:rsidR="00CD254C" w:rsidRPr="00E33DE9">
              <w:rPr>
                <w:szCs w:val="24"/>
              </w:rPr>
              <w:t>i dohodak</w:t>
            </w:r>
            <w:r w:rsidR="00424C51" w:rsidRPr="00E33DE9">
              <w:rPr>
                <w:szCs w:val="24"/>
              </w:rPr>
              <w:t>.</w:t>
            </w:r>
            <w:r w:rsidR="00104047" w:rsidRPr="00E33DE9">
              <w:rPr>
                <w:szCs w:val="24"/>
              </w:rPr>
              <w:t xml:space="preserve"> </w:t>
            </w:r>
          </w:p>
          <w:p w14:paraId="31C39432" w14:textId="77777777" w:rsidR="00227969" w:rsidRDefault="00227969" w:rsidP="00227969">
            <w:pPr>
              <w:spacing w:after="240"/>
              <w:contextualSpacing/>
              <w:jc w:val="both"/>
              <w:rPr>
                <w:szCs w:val="24"/>
              </w:rPr>
            </w:pPr>
          </w:p>
          <w:p w14:paraId="0180ED6E" w14:textId="117E34FD" w:rsidR="005D4D21" w:rsidRPr="003E2CE6" w:rsidRDefault="00424C51" w:rsidP="00227969">
            <w:pPr>
              <w:spacing w:before="240"/>
              <w:contextualSpacing/>
              <w:jc w:val="both"/>
              <w:rPr>
                <w:szCs w:val="24"/>
              </w:rPr>
            </w:pPr>
            <w:r w:rsidRPr="003E2CE6">
              <w:rPr>
                <w:szCs w:val="24"/>
              </w:rPr>
              <w:t>Potaknuti</w:t>
            </w:r>
            <w:r w:rsidR="00F633B5" w:rsidRPr="003E2CE6">
              <w:rPr>
                <w:szCs w:val="24"/>
              </w:rPr>
              <w:t xml:space="preserve"> već</w:t>
            </w:r>
            <w:r w:rsidR="00104047" w:rsidRPr="003E2CE6">
              <w:rPr>
                <w:szCs w:val="24"/>
              </w:rPr>
              <w:t>u</w:t>
            </w:r>
            <w:r w:rsidR="00F633B5" w:rsidRPr="003E2CE6">
              <w:rPr>
                <w:szCs w:val="24"/>
              </w:rPr>
              <w:t xml:space="preserve"> pravednost u oporezivanju </w:t>
            </w:r>
            <w:r w:rsidRPr="003E2CE6">
              <w:rPr>
                <w:szCs w:val="24"/>
              </w:rPr>
              <w:t>uređenjem poreznog tretmana primitaka ostvarenih od iznajmljivanja</w:t>
            </w:r>
            <w:r w:rsidR="00FA4A8C" w:rsidRPr="003E2CE6">
              <w:rPr>
                <w:szCs w:val="24"/>
              </w:rPr>
              <w:t xml:space="preserve"> stanova, soba i postelja putnicima i turistima i organiziranja kampova</w:t>
            </w:r>
            <w:r w:rsidRPr="003E2CE6">
              <w:rPr>
                <w:szCs w:val="24"/>
              </w:rPr>
              <w:t xml:space="preserve"> ovisno </w:t>
            </w:r>
            <w:r w:rsidRPr="00020303">
              <w:rPr>
                <w:szCs w:val="24"/>
              </w:rPr>
              <w:t xml:space="preserve">o </w:t>
            </w:r>
            <w:r w:rsidR="00020303" w:rsidRPr="00760C68">
              <w:rPr>
                <w:szCs w:val="24"/>
                <w:lang w:eastAsia="en-US"/>
              </w:rPr>
              <w:t>stupnju razvijenosti jedinica lokalne samouprave</w:t>
            </w:r>
            <w:r w:rsidR="00020303" w:rsidRPr="00760C68">
              <w:rPr>
                <w:rFonts w:ascii="Calibri" w:hAnsi="Calibri"/>
                <w:szCs w:val="24"/>
                <w:lang w:val="en-US" w:eastAsia="en-US"/>
              </w:rPr>
              <w:t xml:space="preserve"> </w:t>
            </w:r>
            <w:r w:rsidR="00020303" w:rsidRPr="00760C68">
              <w:rPr>
                <w:szCs w:val="24"/>
                <w:lang w:eastAsia="en-US"/>
              </w:rPr>
              <w:t>prema indeksu turističke razvijenosti</w:t>
            </w:r>
            <w:r w:rsidR="00020303" w:rsidRPr="00760C68">
              <w:rPr>
                <w:szCs w:val="24"/>
              </w:rPr>
              <w:t xml:space="preserve"> </w:t>
            </w:r>
            <w:r w:rsidRPr="00760C68">
              <w:rPr>
                <w:szCs w:val="24"/>
              </w:rPr>
              <w:t>te pravednije</w:t>
            </w:r>
            <w:r w:rsidRPr="00760C68">
              <w:t xml:space="preserve"> raspodijeliti porezni teret izjednačavanjem pripadnosti prihoda poreza na dohoda</w:t>
            </w:r>
            <w:r w:rsidRPr="003E2CE6">
              <w:t>k po osnovi najma</w:t>
            </w:r>
            <w:r w:rsidR="005D4D21" w:rsidRPr="003E2CE6">
              <w:t xml:space="preserve"> i </w:t>
            </w:r>
            <w:r w:rsidRPr="003E2CE6">
              <w:t xml:space="preserve">zakupa nekretnina s prihodima ostvarenima po osnovi </w:t>
            </w:r>
            <w:r w:rsidR="00FA4A8C" w:rsidRPr="003E2CE6">
              <w:rPr>
                <w:szCs w:val="24"/>
              </w:rPr>
              <w:t>iznajmljivanja stanova, soba i postelja putnicima i turistima i organiziranja kampova</w:t>
            </w:r>
            <w:r w:rsidR="00E43FF6" w:rsidRPr="003E2CE6">
              <w:rPr>
                <w:szCs w:val="24"/>
              </w:rPr>
              <w:t>.</w:t>
            </w:r>
            <w:r w:rsidR="00F633B5" w:rsidRPr="003E2CE6">
              <w:rPr>
                <w:szCs w:val="24"/>
              </w:rPr>
              <w:t xml:space="preserve"> </w:t>
            </w:r>
          </w:p>
          <w:p w14:paraId="156FFA49" w14:textId="77777777" w:rsidR="00227969" w:rsidRDefault="00227969" w:rsidP="003C5672">
            <w:pPr>
              <w:contextualSpacing/>
              <w:jc w:val="both"/>
              <w:rPr>
                <w:szCs w:val="24"/>
              </w:rPr>
            </w:pPr>
          </w:p>
          <w:p w14:paraId="4BA52406" w14:textId="77777777" w:rsidR="003C5A10" w:rsidRDefault="003E2CE6" w:rsidP="00227969">
            <w:pPr>
              <w:spacing w:before="240" w:after="24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Izjednačiti pravila </w:t>
            </w:r>
            <w:r w:rsidR="00F633B5" w:rsidRPr="00E33DE9">
              <w:rPr>
                <w:szCs w:val="24"/>
              </w:rPr>
              <w:t>pri utvrđivanju poreza na dohodak po osnovi otuđenja nekretnina i imovinskih prava</w:t>
            </w:r>
            <w:r w:rsidR="00E43FF6" w:rsidRPr="00E33DE9">
              <w:rPr>
                <w:szCs w:val="24"/>
              </w:rPr>
              <w:t xml:space="preserve"> kako bi se otklonile nejasnoće u provedbi odredbi kojima je isto uređeno.</w:t>
            </w:r>
          </w:p>
          <w:p w14:paraId="0E593E66" w14:textId="03E17480" w:rsidR="00227969" w:rsidRPr="00E33DE9" w:rsidRDefault="00227969" w:rsidP="00227969">
            <w:pPr>
              <w:spacing w:before="240" w:after="240"/>
              <w:contextualSpacing/>
              <w:jc w:val="both"/>
              <w:rPr>
                <w:szCs w:val="24"/>
              </w:rPr>
            </w:pPr>
          </w:p>
        </w:tc>
      </w:tr>
      <w:tr w:rsidR="00E33DE9" w:rsidRPr="00E33DE9" w14:paraId="32C820A0" w14:textId="77777777" w:rsidTr="003C5672">
        <w:trPr>
          <w:trHeight w:val="384"/>
        </w:trPr>
        <w:tc>
          <w:tcPr>
            <w:tcW w:w="850" w:type="dxa"/>
          </w:tcPr>
          <w:p w14:paraId="07AA8921" w14:textId="77777777" w:rsidR="00FB4F83" w:rsidRPr="00E33DE9" w:rsidRDefault="00FB4F83" w:rsidP="003C5672">
            <w:pPr>
              <w:jc w:val="both"/>
              <w:rPr>
                <w:bCs/>
              </w:rPr>
            </w:pPr>
            <w:r w:rsidRPr="00E33DE9">
              <w:rPr>
                <w:bCs/>
              </w:rPr>
              <w:t>3.3.</w:t>
            </w:r>
          </w:p>
        </w:tc>
        <w:tc>
          <w:tcPr>
            <w:tcW w:w="9073" w:type="dxa"/>
            <w:gridSpan w:val="4"/>
          </w:tcPr>
          <w:p w14:paraId="345B6F43" w14:textId="77777777" w:rsidR="00FB4F83" w:rsidRPr="00E33DE9" w:rsidRDefault="00FB4F83" w:rsidP="003C5672">
            <w:pPr>
              <w:contextualSpacing/>
              <w:jc w:val="both"/>
            </w:pPr>
            <w:r w:rsidRPr="00E33DE9">
              <w:t xml:space="preserve">Razmotrena druga moguća normativna i </w:t>
            </w:r>
            <w:proofErr w:type="spellStart"/>
            <w:r w:rsidRPr="00E33DE9">
              <w:t>nenormativna</w:t>
            </w:r>
            <w:proofErr w:type="spellEnd"/>
            <w:r w:rsidRPr="00E33DE9">
              <w:t xml:space="preserve"> rješenja</w:t>
            </w:r>
          </w:p>
        </w:tc>
      </w:tr>
      <w:tr w:rsidR="00E33DE9" w:rsidRPr="00E33DE9" w14:paraId="0161F278" w14:textId="77777777" w:rsidTr="003C5672">
        <w:trPr>
          <w:trHeight w:val="384"/>
        </w:trPr>
        <w:tc>
          <w:tcPr>
            <w:tcW w:w="850" w:type="dxa"/>
          </w:tcPr>
          <w:p w14:paraId="4298784F" w14:textId="77777777" w:rsidR="00FB4F83" w:rsidRPr="00E33DE9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  <w:gridSpan w:val="4"/>
          </w:tcPr>
          <w:p w14:paraId="14AA36AB" w14:textId="77777777" w:rsidR="00FB4F83" w:rsidRPr="00E33DE9" w:rsidRDefault="00F7078B" w:rsidP="003C5672">
            <w:pPr>
              <w:contextualSpacing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Cilj koji se želi postići ostvaruje se isključivo normativnim rješenjem, budući da je potrebno mijenjati odredbe</w:t>
            </w:r>
            <w:r w:rsidR="004C1485" w:rsidRPr="00E33DE9">
              <w:rPr>
                <w:szCs w:val="24"/>
              </w:rPr>
              <w:t xml:space="preserve"> propisa</w:t>
            </w:r>
            <w:r w:rsidRPr="00E33DE9">
              <w:rPr>
                <w:szCs w:val="24"/>
              </w:rPr>
              <w:t xml:space="preserve">. Navedeni ishod nije moguće postići </w:t>
            </w:r>
            <w:proofErr w:type="spellStart"/>
            <w:r w:rsidRPr="00E33DE9">
              <w:rPr>
                <w:szCs w:val="24"/>
              </w:rPr>
              <w:t>nenormativnim</w:t>
            </w:r>
            <w:proofErr w:type="spellEnd"/>
            <w:r w:rsidRPr="00E33DE9">
              <w:rPr>
                <w:szCs w:val="24"/>
              </w:rPr>
              <w:t xml:space="preserve"> rješenjem.</w:t>
            </w:r>
          </w:p>
          <w:p w14:paraId="6E4C54E6" w14:textId="70806B2B" w:rsidR="003C5A10" w:rsidRPr="00E33DE9" w:rsidRDefault="003C5A10" w:rsidP="003C5672">
            <w:pPr>
              <w:contextualSpacing/>
              <w:jc w:val="both"/>
              <w:rPr>
                <w:szCs w:val="24"/>
              </w:rPr>
            </w:pPr>
          </w:p>
        </w:tc>
      </w:tr>
      <w:tr w:rsidR="00E33DE9" w:rsidRPr="00E33DE9" w14:paraId="57FC52A3" w14:textId="77777777" w:rsidTr="003C5672">
        <w:trPr>
          <w:trHeight w:val="384"/>
        </w:trPr>
        <w:tc>
          <w:tcPr>
            <w:tcW w:w="850" w:type="dxa"/>
          </w:tcPr>
          <w:p w14:paraId="259FA343" w14:textId="77777777" w:rsidR="00FB4F83" w:rsidRPr="00E33DE9" w:rsidRDefault="00FB4F83" w:rsidP="003C5672">
            <w:pPr>
              <w:jc w:val="both"/>
              <w:rPr>
                <w:bCs/>
              </w:rPr>
            </w:pPr>
            <w:r w:rsidRPr="00E33DE9">
              <w:rPr>
                <w:bCs/>
              </w:rPr>
              <w:t>3.4.</w:t>
            </w:r>
          </w:p>
        </w:tc>
        <w:tc>
          <w:tcPr>
            <w:tcW w:w="9073" w:type="dxa"/>
            <w:gridSpan w:val="4"/>
          </w:tcPr>
          <w:p w14:paraId="7847079F" w14:textId="77777777" w:rsidR="00FB4F83" w:rsidRPr="00E33DE9" w:rsidRDefault="00FB4F83" w:rsidP="003C5672">
            <w:pPr>
              <w:contextualSpacing/>
              <w:jc w:val="both"/>
              <w:rPr>
                <w:iCs/>
                <w:szCs w:val="24"/>
              </w:rPr>
            </w:pPr>
            <w:r w:rsidRPr="00E33DE9">
              <w:rPr>
                <w:bCs/>
                <w:szCs w:val="24"/>
              </w:rPr>
              <w:t>Izvor podataka:</w:t>
            </w:r>
          </w:p>
        </w:tc>
      </w:tr>
      <w:tr w:rsidR="00E33DE9" w:rsidRPr="00E33DE9" w14:paraId="58C123E7" w14:textId="77777777" w:rsidTr="003C5672">
        <w:trPr>
          <w:trHeight w:val="384"/>
        </w:trPr>
        <w:tc>
          <w:tcPr>
            <w:tcW w:w="850" w:type="dxa"/>
          </w:tcPr>
          <w:p w14:paraId="05FB20CB" w14:textId="77777777" w:rsidR="00FB4F83" w:rsidRPr="00E33DE9" w:rsidRDefault="00FB4F83" w:rsidP="003C5672">
            <w:pPr>
              <w:jc w:val="both"/>
              <w:rPr>
                <w:bCs/>
              </w:rPr>
            </w:pPr>
          </w:p>
        </w:tc>
        <w:tc>
          <w:tcPr>
            <w:tcW w:w="9073" w:type="dxa"/>
            <w:gridSpan w:val="4"/>
          </w:tcPr>
          <w:p w14:paraId="0E25BC9A" w14:textId="373072BC" w:rsidR="00FB4F83" w:rsidRPr="00E33DE9" w:rsidRDefault="00FB4F83" w:rsidP="003C5672">
            <w:pPr>
              <w:contextualSpacing/>
              <w:jc w:val="both"/>
              <w:rPr>
                <w:iCs/>
                <w:szCs w:val="24"/>
              </w:rPr>
            </w:pPr>
          </w:p>
        </w:tc>
      </w:tr>
      <w:tr w:rsidR="00E33DE9" w:rsidRPr="00E33DE9" w14:paraId="3A7EB30D" w14:textId="77777777" w:rsidTr="003C5672">
        <w:trPr>
          <w:trHeight w:val="384"/>
        </w:trPr>
        <w:tc>
          <w:tcPr>
            <w:tcW w:w="850" w:type="dxa"/>
          </w:tcPr>
          <w:p w14:paraId="6EDA889D" w14:textId="77777777" w:rsidR="00FB4F83" w:rsidRPr="00E33DE9" w:rsidRDefault="00FB4F83" w:rsidP="003C5672">
            <w:pPr>
              <w:jc w:val="both"/>
            </w:pPr>
            <w:r w:rsidRPr="00E33DE9">
              <w:rPr>
                <w:b/>
              </w:rPr>
              <w:t>4.</w:t>
            </w:r>
          </w:p>
        </w:tc>
        <w:tc>
          <w:tcPr>
            <w:tcW w:w="9073" w:type="dxa"/>
            <w:gridSpan w:val="4"/>
          </w:tcPr>
          <w:p w14:paraId="50B7E951" w14:textId="77777777" w:rsidR="00FB4F83" w:rsidRPr="00E33DE9" w:rsidRDefault="00FB4F83" w:rsidP="003C5672">
            <w:pPr>
              <w:jc w:val="both"/>
            </w:pPr>
            <w:r w:rsidRPr="00E33DE9">
              <w:rPr>
                <w:b/>
              </w:rPr>
              <w:t xml:space="preserve">UTVRĐIVANJE UČINAKA I ADRESATA </w:t>
            </w:r>
          </w:p>
        </w:tc>
      </w:tr>
      <w:tr w:rsidR="00E33DE9" w:rsidRPr="00E33DE9" w14:paraId="6C3C96DE" w14:textId="77777777" w:rsidTr="003C5672">
        <w:trPr>
          <w:trHeight w:val="608"/>
        </w:trPr>
        <w:tc>
          <w:tcPr>
            <w:tcW w:w="850" w:type="dxa"/>
          </w:tcPr>
          <w:p w14:paraId="29A7BF68" w14:textId="77777777" w:rsidR="00FB4F83" w:rsidRPr="00E33DE9" w:rsidRDefault="00FB4F83" w:rsidP="003C5672">
            <w:pPr>
              <w:jc w:val="both"/>
            </w:pPr>
            <w:r w:rsidRPr="00E33DE9">
              <w:t>4.1.</w:t>
            </w:r>
          </w:p>
        </w:tc>
        <w:tc>
          <w:tcPr>
            <w:tcW w:w="9073" w:type="dxa"/>
            <w:gridSpan w:val="4"/>
          </w:tcPr>
          <w:p w14:paraId="2366CFC6" w14:textId="77777777" w:rsidR="00FB4F83" w:rsidRPr="00E33DE9" w:rsidRDefault="00FB4F83" w:rsidP="003C5672">
            <w:pPr>
              <w:jc w:val="both"/>
            </w:pPr>
            <w:r w:rsidRPr="00E33DE9">
              <w:t>Posebni cilj:</w:t>
            </w:r>
          </w:p>
          <w:p w14:paraId="05A0B728" w14:textId="050C06C8" w:rsidR="00D60F06" w:rsidRPr="00E33DE9" w:rsidRDefault="00EE40E6" w:rsidP="00EE40E6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 xml:space="preserve">1. </w:t>
            </w:r>
            <w:r w:rsidR="00D60F06" w:rsidRPr="00E33DE9">
              <w:rPr>
                <w:szCs w:val="24"/>
              </w:rPr>
              <w:t xml:space="preserve">Potaknuti </w:t>
            </w:r>
            <w:r w:rsidR="007763BD" w:rsidRPr="00E33DE9">
              <w:rPr>
                <w:bCs/>
                <w:szCs w:val="24"/>
                <w:lang w:eastAsia="en-US"/>
              </w:rPr>
              <w:t xml:space="preserve">povratak hrvatskih iseljenika </w:t>
            </w:r>
            <w:r w:rsidR="007763BD" w:rsidRPr="00E33DE9">
              <w:rPr>
                <w:szCs w:val="24"/>
              </w:rPr>
              <w:t>iz prekomorskih i europskih država, državljana Republike Hrvatske</w:t>
            </w:r>
            <w:r w:rsidR="007763BD" w:rsidRPr="00E33DE9">
              <w:rPr>
                <w:bCs/>
                <w:szCs w:val="24"/>
                <w:lang w:eastAsia="en-US"/>
              </w:rPr>
              <w:t xml:space="preserve"> </w:t>
            </w:r>
            <w:r w:rsidR="00060E8B" w:rsidRPr="00E33DE9">
              <w:rPr>
                <w:bCs/>
                <w:szCs w:val="24"/>
                <w:lang w:eastAsia="en-US"/>
              </w:rPr>
              <w:t>koji su neprekidno boravili u inozemstvu najmanje dvije godine</w:t>
            </w:r>
            <w:r w:rsidR="00060E8B" w:rsidRPr="00E33DE9">
              <w:rPr>
                <w:szCs w:val="24"/>
              </w:rPr>
              <w:t xml:space="preserve">, </w:t>
            </w:r>
            <w:r w:rsidR="00D60F06" w:rsidRPr="00E33DE9">
              <w:rPr>
                <w:szCs w:val="24"/>
              </w:rPr>
              <w:t xml:space="preserve">na način da ih se oslobodi od plaćanja poreza na dohodak po osnovi nesamostalnog rada </w:t>
            </w:r>
            <w:r w:rsidR="00F859E3" w:rsidRPr="00E33DE9">
              <w:rPr>
                <w:szCs w:val="24"/>
              </w:rPr>
              <w:t>–</w:t>
            </w:r>
            <w:r w:rsidR="00D60F06" w:rsidRPr="00E33DE9">
              <w:rPr>
                <w:szCs w:val="24"/>
              </w:rPr>
              <w:t xml:space="preserve"> plaće</w:t>
            </w:r>
            <w:r w:rsidR="00F859E3" w:rsidRPr="00E33DE9">
              <w:rPr>
                <w:szCs w:val="24"/>
              </w:rPr>
              <w:t>.</w:t>
            </w:r>
            <w:r w:rsidR="00D60F06" w:rsidRPr="00E33DE9">
              <w:rPr>
                <w:szCs w:val="24"/>
              </w:rPr>
              <w:t xml:space="preserve"> </w:t>
            </w:r>
          </w:p>
          <w:p w14:paraId="50EE9D63" w14:textId="6BA88813" w:rsidR="00EE40E6" w:rsidRPr="00760C68" w:rsidRDefault="00D60F06" w:rsidP="00EE40E6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lastRenderedPageBreak/>
              <w:t>2.</w:t>
            </w:r>
            <w:r w:rsidR="00206AC2" w:rsidRPr="00E33DE9">
              <w:rPr>
                <w:szCs w:val="24"/>
              </w:rPr>
              <w:t xml:space="preserve"> </w:t>
            </w:r>
            <w:r w:rsidR="00EE40E6" w:rsidRPr="00E33DE9">
              <w:rPr>
                <w:szCs w:val="24"/>
              </w:rPr>
              <w:t>Povećati raspoloživi dohodak poreznih obveznika kroz povećanje iznosa osnovnog osobnog odbitka, osobnog odbitka za uzdržavane članove i invalidnost</w:t>
            </w:r>
            <w:r w:rsidR="008C06BE">
              <w:rPr>
                <w:szCs w:val="24"/>
              </w:rPr>
              <w:t>,</w:t>
            </w:r>
            <w:r w:rsidR="00EE40E6" w:rsidRPr="00E33DE9">
              <w:rPr>
                <w:szCs w:val="24"/>
              </w:rPr>
              <w:t xml:space="preserve"> kroz povećanje </w:t>
            </w:r>
            <w:r w:rsidR="000E76CF">
              <w:rPr>
                <w:szCs w:val="24"/>
              </w:rPr>
              <w:t xml:space="preserve">iznosa </w:t>
            </w:r>
            <w:r w:rsidR="00C54743" w:rsidRPr="00E33DE9">
              <w:rPr>
                <w:szCs w:val="24"/>
              </w:rPr>
              <w:t>porezne osnovice na koju se primjenjuje</w:t>
            </w:r>
            <w:r w:rsidR="00F859E3" w:rsidRPr="00E33DE9">
              <w:rPr>
                <w:szCs w:val="24"/>
              </w:rPr>
              <w:t xml:space="preserve"> </w:t>
            </w:r>
            <w:r w:rsidR="00C54743" w:rsidRPr="00E33DE9">
              <w:rPr>
                <w:szCs w:val="24"/>
              </w:rPr>
              <w:t>viša</w:t>
            </w:r>
            <w:r w:rsidR="00F859E3" w:rsidRPr="00E33DE9">
              <w:rPr>
                <w:szCs w:val="24"/>
              </w:rPr>
              <w:t xml:space="preserve"> </w:t>
            </w:r>
            <w:r w:rsidR="00EE40E6" w:rsidRPr="00E33DE9">
              <w:rPr>
                <w:szCs w:val="24"/>
              </w:rPr>
              <w:t>stop</w:t>
            </w:r>
            <w:r w:rsidR="00C54743" w:rsidRPr="00E33DE9">
              <w:rPr>
                <w:szCs w:val="24"/>
              </w:rPr>
              <w:t>a</w:t>
            </w:r>
            <w:r w:rsidR="00EE40E6" w:rsidRPr="00E33DE9">
              <w:rPr>
                <w:szCs w:val="24"/>
              </w:rPr>
              <w:t xml:space="preserve"> poreza na dohodak</w:t>
            </w:r>
            <w:r w:rsidR="008C06BE">
              <w:t xml:space="preserve"> </w:t>
            </w:r>
            <w:r w:rsidR="008C06BE" w:rsidRPr="00760C68">
              <w:rPr>
                <w:szCs w:val="24"/>
              </w:rPr>
              <w:t>te kroz smanjenje gornje granice u rasponima za nižu i višu stopu godišnjeg poreza na dohodak</w:t>
            </w:r>
            <w:r w:rsidR="00EE40E6" w:rsidRPr="00760C68">
              <w:rPr>
                <w:szCs w:val="24"/>
              </w:rPr>
              <w:t>.</w:t>
            </w:r>
          </w:p>
          <w:p w14:paraId="6950FEAD" w14:textId="48F19B17" w:rsidR="00EE40E6" w:rsidRPr="00760C68" w:rsidRDefault="00D60F06" w:rsidP="00EE40E6">
            <w:pPr>
              <w:jc w:val="both"/>
              <w:rPr>
                <w:szCs w:val="24"/>
              </w:rPr>
            </w:pPr>
            <w:r w:rsidRPr="00760C68">
              <w:rPr>
                <w:szCs w:val="24"/>
              </w:rPr>
              <w:t>3</w:t>
            </w:r>
            <w:r w:rsidR="00EE40E6" w:rsidRPr="00760C68">
              <w:rPr>
                <w:szCs w:val="24"/>
              </w:rPr>
              <w:t xml:space="preserve">. Postići veću pravednost u oporezivanju primitaka ostvarenih od </w:t>
            </w:r>
            <w:r w:rsidR="0080795F" w:rsidRPr="00760C68">
              <w:rPr>
                <w:szCs w:val="24"/>
              </w:rPr>
              <w:t xml:space="preserve">iznajmljivanja stanova, soba i postelja putnicima i turistima i organiziranja kampova </w:t>
            </w:r>
            <w:r w:rsidR="00421F2A" w:rsidRPr="00760C68">
              <w:rPr>
                <w:szCs w:val="24"/>
              </w:rPr>
              <w:t>sukladno stupnju razvijenosti jedinica lokalne samouprave prema indeksu turističke razvijenosti</w:t>
            </w:r>
            <w:r w:rsidR="009D4F64" w:rsidRPr="00760C68">
              <w:rPr>
                <w:szCs w:val="24"/>
              </w:rPr>
              <w:t>.</w:t>
            </w:r>
          </w:p>
          <w:p w14:paraId="63472C74" w14:textId="7E4BB011" w:rsidR="00EE40E6" w:rsidRPr="00E33DE9" w:rsidRDefault="00D60F06" w:rsidP="00EE40E6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4</w:t>
            </w:r>
            <w:r w:rsidR="00EE40E6" w:rsidRPr="00E33DE9">
              <w:rPr>
                <w:szCs w:val="24"/>
              </w:rPr>
              <w:t>.</w:t>
            </w:r>
            <w:r w:rsidR="00B75471" w:rsidRPr="00E33DE9">
              <w:rPr>
                <w:szCs w:val="24"/>
              </w:rPr>
              <w:t xml:space="preserve"> </w:t>
            </w:r>
            <w:r w:rsidR="00EE40E6" w:rsidRPr="00E33DE9">
              <w:rPr>
                <w:szCs w:val="24"/>
              </w:rPr>
              <w:t>Postići pravedniju raspodjelu prihoda ostvarenih od iznajmljivanja nekretnina izjednačavanjem pripadnosti prihoda poreza na dohodak po osnovi najma i zakupa nekretnina s prihodima ostvarenima po osnovi</w:t>
            </w:r>
            <w:r w:rsidR="00EE40E6" w:rsidRPr="003E2CE6">
              <w:rPr>
                <w:szCs w:val="24"/>
              </w:rPr>
              <w:t xml:space="preserve"> </w:t>
            </w:r>
            <w:r w:rsidR="00FA4A8C" w:rsidRPr="003E2CE6">
              <w:rPr>
                <w:szCs w:val="24"/>
              </w:rPr>
              <w:t>iznajmljivanja stanova, soba i postelja putnicima i turistima i organiziranja kampova</w:t>
            </w:r>
            <w:r w:rsidR="00EE40E6" w:rsidRPr="003E2CE6">
              <w:rPr>
                <w:szCs w:val="24"/>
              </w:rPr>
              <w:t xml:space="preserve">. </w:t>
            </w:r>
          </w:p>
          <w:p w14:paraId="17414BF2" w14:textId="3D487D1E" w:rsidR="00FB4F83" w:rsidRPr="00E33DE9" w:rsidRDefault="00D60F06" w:rsidP="00EE40E6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5</w:t>
            </w:r>
            <w:r w:rsidR="00EE40E6" w:rsidRPr="00E33DE9">
              <w:rPr>
                <w:szCs w:val="24"/>
              </w:rPr>
              <w:t>. Pojednostaviti sustav oporezivanja dohotka od otuđenja nekretnina</w:t>
            </w:r>
            <w:r w:rsidR="00EE40E6" w:rsidRPr="00E33DE9">
              <w:t xml:space="preserve"> </w:t>
            </w:r>
            <w:r w:rsidR="003E2CE6">
              <w:rPr>
                <w:szCs w:val="24"/>
              </w:rPr>
              <w:t>izjednačavanjem pravila</w:t>
            </w:r>
            <w:r w:rsidR="00EE40E6" w:rsidRPr="00E33DE9">
              <w:rPr>
                <w:szCs w:val="24"/>
              </w:rPr>
              <w:t xml:space="preserve"> pri utvrđivanju poreza na dohodak ostvarenog od otuđenja nekretnina i imovinskih prava u roku kraćem od </w:t>
            </w:r>
            <w:r w:rsidR="003E2CE6">
              <w:rPr>
                <w:szCs w:val="24"/>
              </w:rPr>
              <w:t>dvije</w:t>
            </w:r>
            <w:r w:rsidR="00EE40E6" w:rsidRPr="00E33DE9">
              <w:rPr>
                <w:szCs w:val="24"/>
              </w:rPr>
              <w:t xml:space="preserve"> godine od dana nabave i otuđenja više od tri nekretnine ili više od tri imovinska prava u razdoblju od pet godina od dana njihovog stjecanja</w:t>
            </w:r>
            <w:r w:rsidR="00EE40E6" w:rsidRPr="00E33DE9">
              <w:t xml:space="preserve"> </w:t>
            </w:r>
            <w:r w:rsidR="00EE40E6" w:rsidRPr="00E33DE9">
              <w:rPr>
                <w:szCs w:val="24"/>
              </w:rPr>
              <w:t>odnosno ujednačavanjem pravila za utvrđivanja porezne obveze i oslobođenja od porezne obveze u obje situacije.</w:t>
            </w:r>
          </w:p>
          <w:p w14:paraId="3A3DB459" w14:textId="0C9519D6" w:rsidR="00F859E3" w:rsidRPr="00E33DE9" w:rsidRDefault="00F859E3" w:rsidP="00EE40E6">
            <w:pPr>
              <w:jc w:val="both"/>
            </w:pPr>
          </w:p>
        </w:tc>
      </w:tr>
      <w:tr w:rsidR="00E33DE9" w:rsidRPr="00E33DE9" w14:paraId="6414F7A1" w14:textId="77777777" w:rsidTr="003C5672">
        <w:trPr>
          <w:trHeight w:val="335"/>
        </w:trPr>
        <w:tc>
          <w:tcPr>
            <w:tcW w:w="850" w:type="dxa"/>
          </w:tcPr>
          <w:p w14:paraId="6B74A900" w14:textId="77777777" w:rsidR="00FB4F83" w:rsidRPr="00E33DE9" w:rsidRDefault="00FB4F83" w:rsidP="003C5672">
            <w:pPr>
              <w:jc w:val="both"/>
            </w:pPr>
            <w:r w:rsidRPr="00E33DE9">
              <w:lastRenderedPageBreak/>
              <w:t>4.1.1.</w:t>
            </w:r>
          </w:p>
        </w:tc>
        <w:tc>
          <w:tcPr>
            <w:tcW w:w="4254" w:type="dxa"/>
            <w:gridSpan w:val="3"/>
          </w:tcPr>
          <w:p w14:paraId="758443A2" w14:textId="77777777" w:rsidR="00FB4F83" w:rsidRPr="00E33DE9" w:rsidRDefault="00FB4F83" w:rsidP="003C5672">
            <w:pPr>
              <w:jc w:val="both"/>
            </w:pPr>
            <w:r w:rsidRPr="00E33DE9">
              <w:t>Učinci na gospodarstvo:</w:t>
            </w:r>
          </w:p>
        </w:tc>
        <w:tc>
          <w:tcPr>
            <w:tcW w:w="4819" w:type="dxa"/>
          </w:tcPr>
          <w:p w14:paraId="6E238793" w14:textId="77777777" w:rsidR="00FB4F83" w:rsidRPr="00E33DE9" w:rsidRDefault="00FB4F83" w:rsidP="003C5672">
            <w:pPr>
              <w:jc w:val="both"/>
            </w:pPr>
            <w:r w:rsidRPr="00E33DE9">
              <w:t>Adresati:</w:t>
            </w:r>
          </w:p>
        </w:tc>
      </w:tr>
      <w:tr w:rsidR="00E33DE9" w:rsidRPr="00E33DE9" w14:paraId="2A024F9B" w14:textId="77777777" w:rsidTr="003C5672">
        <w:trPr>
          <w:trHeight w:val="335"/>
        </w:trPr>
        <w:tc>
          <w:tcPr>
            <w:tcW w:w="850" w:type="dxa"/>
          </w:tcPr>
          <w:p w14:paraId="136CC49E" w14:textId="77777777" w:rsidR="00FB4F83" w:rsidRPr="00E33DE9" w:rsidRDefault="00FB4F83" w:rsidP="003C5672">
            <w:pPr>
              <w:jc w:val="both"/>
            </w:pPr>
          </w:p>
        </w:tc>
        <w:tc>
          <w:tcPr>
            <w:tcW w:w="4254" w:type="dxa"/>
            <w:gridSpan w:val="3"/>
          </w:tcPr>
          <w:p w14:paraId="4EBF8ECE" w14:textId="50658379" w:rsidR="00FB4F83" w:rsidRPr="006D5603" w:rsidRDefault="004A1FF4" w:rsidP="004C08B5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 xml:space="preserve">- </w:t>
            </w:r>
            <w:r w:rsidR="00E771C4" w:rsidRPr="00E33DE9">
              <w:rPr>
                <w:szCs w:val="24"/>
              </w:rPr>
              <w:t>poveća</w:t>
            </w:r>
            <w:r w:rsidR="004B3289" w:rsidRPr="00E33DE9">
              <w:rPr>
                <w:szCs w:val="24"/>
              </w:rPr>
              <w:t>nje</w:t>
            </w:r>
            <w:r w:rsidR="00E771C4" w:rsidRPr="00E33DE9">
              <w:rPr>
                <w:szCs w:val="24"/>
              </w:rPr>
              <w:t xml:space="preserve"> raspoloživ</w:t>
            </w:r>
            <w:r w:rsidR="004B3289" w:rsidRPr="00E33DE9">
              <w:rPr>
                <w:szCs w:val="24"/>
              </w:rPr>
              <w:t>og</w:t>
            </w:r>
            <w:r w:rsidR="00E771C4" w:rsidRPr="00E33DE9">
              <w:rPr>
                <w:szCs w:val="24"/>
              </w:rPr>
              <w:t xml:space="preserve"> doho</w:t>
            </w:r>
            <w:r w:rsidR="004B3289" w:rsidRPr="00E33DE9">
              <w:rPr>
                <w:szCs w:val="24"/>
              </w:rPr>
              <w:t xml:space="preserve">tka fizičkih osoba </w:t>
            </w:r>
            <w:r w:rsidR="00E771C4" w:rsidRPr="00E33DE9">
              <w:rPr>
                <w:szCs w:val="24"/>
              </w:rPr>
              <w:t xml:space="preserve">što će posljedično utjecati na povećanje potrošnje </w:t>
            </w:r>
          </w:p>
        </w:tc>
        <w:tc>
          <w:tcPr>
            <w:tcW w:w="4819" w:type="dxa"/>
          </w:tcPr>
          <w:p w14:paraId="7E34C677" w14:textId="6259E1D0" w:rsidR="00741C81" w:rsidRPr="00E33DE9" w:rsidRDefault="004B3289" w:rsidP="003C5672">
            <w:pPr>
              <w:jc w:val="both"/>
              <w:rPr>
                <w:iCs/>
              </w:rPr>
            </w:pPr>
            <w:r w:rsidRPr="00E33DE9">
              <w:rPr>
                <w:iCs/>
              </w:rPr>
              <w:t xml:space="preserve">Poduzetnici i ostale </w:t>
            </w:r>
            <w:r w:rsidR="00664D02" w:rsidRPr="00E33DE9">
              <w:rPr>
                <w:iCs/>
              </w:rPr>
              <w:t>f</w:t>
            </w:r>
            <w:r w:rsidR="00E771C4" w:rsidRPr="00E33DE9">
              <w:rPr>
                <w:iCs/>
              </w:rPr>
              <w:t xml:space="preserve">izičke osobe koje ostvaruju godišnji dohodak </w:t>
            </w:r>
          </w:p>
          <w:p w14:paraId="78A01765" w14:textId="77777777" w:rsidR="00B7284D" w:rsidRPr="00E33DE9" w:rsidRDefault="00B7284D" w:rsidP="003C5672">
            <w:pPr>
              <w:jc w:val="both"/>
              <w:rPr>
                <w:iCs/>
              </w:rPr>
            </w:pPr>
          </w:p>
          <w:p w14:paraId="25D65186" w14:textId="04602D4A" w:rsidR="00A0506F" w:rsidRPr="00E33DE9" w:rsidRDefault="00A0506F" w:rsidP="004C08B5">
            <w:pPr>
              <w:jc w:val="both"/>
              <w:rPr>
                <w:iCs/>
              </w:rPr>
            </w:pPr>
          </w:p>
        </w:tc>
      </w:tr>
      <w:tr w:rsidR="00E33DE9" w:rsidRPr="00E33DE9" w14:paraId="6C4DC5AF" w14:textId="77777777" w:rsidTr="003C5672">
        <w:trPr>
          <w:trHeight w:val="360"/>
        </w:trPr>
        <w:tc>
          <w:tcPr>
            <w:tcW w:w="850" w:type="dxa"/>
          </w:tcPr>
          <w:p w14:paraId="35B4C38D" w14:textId="77777777" w:rsidR="00FB4F83" w:rsidRPr="00E33DE9" w:rsidRDefault="00FB4F83" w:rsidP="003C5672">
            <w:pPr>
              <w:jc w:val="both"/>
            </w:pPr>
            <w:r w:rsidRPr="00E33DE9">
              <w:t>4.1.2.</w:t>
            </w:r>
          </w:p>
        </w:tc>
        <w:tc>
          <w:tcPr>
            <w:tcW w:w="4254" w:type="dxa"/>
            <w:gridSpan w:val="3"/>
          </w:tcPr>
          <w:p w14:paraId="72BED4AE" w14:textId="77777777" w:rsidR="00FB4F83" w:rsidRPr="00E33DE9" w:rsidRDefault="00FB4F83" w:rsidP="003C5672">
            <w:pPr>
              <w:jc w:val="both"/>
            </w:pPr>
            <w:r w:rsidRPr="00E33DE9">
              <w:t>Učinci na održivi razvoj:</w:t>
            </w:r>
          </w:p>
        </w:tc>
        <w:tc>
          <w:tcPr>
            <w:tcW w:w="4819" w:type="dxa"/>
          </w:tcPr>
          <w:p w14:paraId="1DF21CF6" w14:textId="77777777" w:rsidR="00FB4F83" w:rsidRPr="00E33DE9" w:rsidRDefault="00FB4F83" w:rsidP="003C5672">
            <w:pPr>
              <w:jc w:val="both"/>
            </w:pPr>
            <w:r w:rsidRPr="00E33DE9">
              <w:t>Adresati:</w:t>
            </w:r>
          </w:p>
        </w:tc>
      </w:tr>
      <w:tr w:rsidR="00E33DE9" w:rsidRPr="00E33DE9" w14:paraId="27EC8875" w14:textId="77777777" w:rsidTr="003C5672">
        <w:trPr>
          <w:trHeight w:val="360"/>
        </w:trPr>
        <w:tc>
          <w:tcPr>
            <w:tcW w:w="850" w:type="dxa"/>
          </w:tcPr>
          <w:p w14:paraId="7EA5ACE0" w14:textId="77777777" w:rsidR="00FB4F83" w:rsidRPr="00E33DE9" w:rsidRDefault="00FB4F83" w:rsidP="003C5672">
            <w:pPr>
              <w:jc w:val="both"/>
            </w:pPr>
          </w:p>
        </w:tc>
        <w:tc>
          <w:tcPr>
            <w:tcW w:w="4254" w:type="dxa"/>
            <w:gridSpan w:val="3"/>
          </w:tcPr>
          <w:p w14:paraId="34E61991" w14:textId="2B0EEDA2" w:rsidR="00FB4F83" w:rsidRPr="00E33DE9" w:rsidRDefault="009E3677" w:rsidP="003C5672">
            <w:pPr>
              <w:jc w:val="both"/>
              <w:rPr>
                <w:iCs/>
              </w:rPr>
            </w:pPr>
            <w:r w:rsidRPr="00E33DE9">
              <w:rPr>
                <w:iCs/>
              </w:rPr>
              <w:t xml:space="preserve">Nisu utvrđeni učinci na održivi razvoj. </w:t>
            </w:r>
          </w:p>
        </w:tc>
        <w:tc>
          <w:tcPr>
            <w:tcW w:w="4819" w:type="dxa"/>
          </w:tcPr>
          <w:p w14:paraId="7A6FA3D1" w14:textId="141FB174" w:rsidR="00FB4F83" w:rsidRPr="00E33DE9" w:rsidRDefault="00A0506F" w:rsidP="003C5672">
            <w:pPr>
              <w:jc w:val="both"/>
            </w:pPr>
            <w:r w:rsidRPr="00E33DE9">
              <w:t>Nisu utvrđeni adresati.</w:t>
            </w:r>
          </w:p>
        </w:tc>
      </w:tr>
      <w:tr w:rsidR="00E33DE9" w:rsidRPr="00E33DE9" w14:paraId="7B2D97B8" w14:textId="77777777" w:rsidTr="003C5672">
        <w:trPr>
          <w:trHeight w:val="328"/>
        </w:trPr>
        <w:tc>
          <w:tcPr>
            <w:tcW w:w="850" w:type="dxa"/>
          </w:tcPr>
          <w:p w14:paraId="383BA9FA" w14:textId="77777777" w:rsidR="00FB4F83" w:rsidRPr="00E33DE9" w:rsidRDefault="00FB4F83" w:rsidP="003C5672">
            <w:pPr>
              <w:jc w:val="both"/>
            </w:pPr>
            <w:r w:rsidRPr="00E33DE9">
              <w:t>4.1.3.</w:t>
            </w:r>
          </w:p>
        </w:tc>
        <w:tc>
          <w:tcPr>
            <w:tcW w:w="4254" w:type="dxa"/>
            <w:gridSpan w:val="3"/>
          </w:tcPr>
          <w:p w14:paraId="63F49B82" w14:textId="77777777" w:rsidR="00FB4F83" w:rsidRPr="00E33DE9" w:rsidRDefault="00FB4F83" w:rsidP="003C5672">
            <w:pPr>
              <w:jc w:val="both"/>
            </w:pPr>
            <w:r w:rsidRPr="00E33DE9">
              <w:t>Učinci na socijalnu skrb:</w:t>
            </w:r>
          </w:p>
        </w:tc>
        <w:tc>
          <w:tcPr>
            <w:tcW w:w="4819" w:type="dxa"/>
          </w:tcPr>
          <w:p w14:paraId="39FEB334" w14:textId="77777777" w:rsidR="00FB4F83" w:rsidRPr="00E33DE9" w:rsidRDefault="00FB4F83" w:rsidP="003C5672">
            <w:pPr>
              <w:jc w:val="both"/>
            </w:pPr>
            <w:r w:rsidRPr="00E33DE9">
              <w:t>Adresati:</w:t>
            </w:r>
          </w:p>
        </w:tc>
      </w:tr>
      <w:tr w:rsidR="00E33DE9" w:rsidRPr="00E33DE9" w14:paraId="721B89BB" w14:textId="77777777" w:rsidTr="003C5672">
        <w:trPr>
          <w:trHeight w:val="328"/>
        </w:trPr>
        <w:tc>
          <w:tcPr>
            <w:tcW w:w="850" w:type="dxa"/>
          </w:tcPr>
          <w:p w14:paraId="1F227923" w14:textId="77777777" w:rsidR="00FB4F83" w:rsidRPr="00E33DE9" w:rsidRDefault="00FB4F83" w:rsidP="003C5672">
            <w:pPr>
              <w:jc w:val="both"/>
            </w:pPr>
          </w:p>
        </w:tc>
        <w:tc>
          <w:tcPr>
            <w:tcW w:w="4254" w:type="dxa"/>
            <w:gridSpan w:val="3"/>
          </w:tcPr>
          <w:p w14:paraId="088E00F8" w14:textId="7A4D2F1E" w:rsidR="00FB4F83" w:rsidRPr="00E33DE9" w:rsidRDefault="009E3677" w:rsidP="003C5672">
            <w:pPr>
              <w:jc w:val="both"/>
              <w:rPr>
                <w:i/>
              </w:rPr>
            </w:pPr>
            <w:r w:rsidRPr="00E33DE9">
              <w:rPr>
                <w:iCs/>
              </w:rPr>
              <w:t>Nisu utvrđeni učinci na socijalnu skrb.</w:t>
            </w:r>
          </w:p>
        </w:tc>
        <w:tc>
          <w:tcPr>
            <w:tcW w:w="4819" w:type="dxa"/>
          </w:tcPr>
          <w:p w14:paraId="4AC7E7FC" w14:textId="2DD61809" w:rsidR="00FB4F83" w:rsidRPr="00E33DE9" w:rsidRDefault="00A0506F" w:rsidP="003C5672">
            <w:pPr>
              <w:jc w:val="both"/>
              <w:rPr>
                <w:i/>
              </w:rPr>
            </w:pPr>
            <w:r w:rsidRPr="00E33DE9">
              <w:t>Nisu utvrđeni adresati.</w:t>
            </w:r>
          </w:p>
        </w:tc>
      </w:tr>
      <w:tr w:rsidR="00E33DE9" w:rsidRPr="00E33DE9" w14:paraId="59DDA12A" w14:textId="77777777" w:rsidTr="003C5672">
        <w:trPr>
          <w:trHeight w:val="366"/>
        </w:trPr>
        <w:tc>
          <w:tcPr>
            <w:tcW w:w="850" w:type="dxa"/>
          </w:tcPr>
          <w:p w14:paraId="257FCD50" w14:textId="77777777" w:rsidR="00FB4F83" w:rsidRPr="00E33DE9" w:rsidRDefault="00FB4F83" w:rsidP="003C5672">
            <w:pPr>
              <w:jc w:val="both"/>
            </w:pPr>
            <w:r w:rsidRPr="00E33DE9">
              <w:t>4.1.4.</w:t>
            </w:r>
          </w:p>
        </w:tc>
        <w:tc>
          <w:tcPr>
            <w:tcW w:w="4254" w:type="dxa"/>
            <w:gridSpan w:val="3"/>
          </w:tcPr>
          <w:p w14:paraId="32F42BA3" w14:textId="77777777" w:rsidR="00FB4F83" w:rsidRPr="00E33DE9" w:rsidRDefault="00FB4F83" w:rsidP="003C5672">
            <w:pPr>
              <w:jc w:val="both"/>
            </w:pPr>
            <w:r w:rsidRPr="00E33DE9">
              <w:t>Učinci na zaštitu ljudskih prava:</w:t>
            </w:r>
          </w:p>
        </w:tc>
        <w:tc>
          <w:tcPr>
            <w:tcW w:w="4819" w:type="dxa"/>
          </w:tcPr>
          <w:p w14:paraId="5C3AE12F" w14:textId="77777777" w:rsidR="00FB4F83" w:rsidRPr="00E33DE9" w:rsidRDefault="00FB4F83" w:rsidP="003C5672">
            <w:pPr>
              <w:jc w:val="both"/>
            </w:pPr>
            <w:r w:rsidRPr="00E33DE9">
              <w:t>Adresati:</w:t>
            </w:r>
          </w:p>
        </w:tc>
      </w:tr>
      <w:tr w:rsidR="00E33DE9" w:rsidRPr="00E33DE9" w14:paraId="0A623B0D" w14:textId="77777777" w:rsidTr="003C5672">
        <w:trPr>
          <w:trHeight w:val="366"/>
        </w:trPr>
        <w:tc>
          <w:tcPr>
            <w:tcW w:w="850" w:type="dxa"/>
          </w:tcPr>
          <w:p w14:paraId="267CA0FA" w14:textId="77777777" w:rsidR="00FB4F83" w:rsidRPr="00E33DE9" w:rsidRDefault="00FB4F83" w:rsidP="003C5672">
            <w:pPr>
              <w:jc w:val="both"/>
            </w:pPr>
          </w:p>
        </w:tc>
        <w:tc>
          <w:tcPr>
            <w:tcW w:w="4254" w:type="dxa"/>
            <w:gridSpan w:val="3"/>
          </w:tcPr>
          <w:p w14:paraId="16384CB2" w14:textId="4354526C" w:rsidR="00FB4F83" w:rsidRPr="00E33DE9" w:rsidRDefault="009E3677" w:rsidP="003C5672">
            <w:pPr>
              <w:jc w:val="both"/>
              <w:rPr>
                <w:i/>
              </w:rPr>
            </w:pPr>
            <w:r w:rsidRPr="00E33DE9">
              <w:rPr>
                <w:iCs/>
              </w:rPr>
              <w:t>Nisu utvrđeni učinci na zaštitu ljudskih prava.</w:t>
            </w:r>
          </w:p>
        </w:tc>
        <w:tc>
          <w:tcPr>
            <w:tcW w:w="4819" w:type="dxa"/>
          </w:tcPr>
          <w:p w14:paraId="08E31325" w14:textId="0964F00F" w:rsidR="00FB4F83" w:rsidRPr="00E33DE9" w:rsidRDefault="00A0506F" w:rsidP="003C5672">
            <w:pPr>
              <w:jc w:val="both"/>
              <w:rPr>
                <w:i/>
              </w:rPr>
            </w:pPr>
            <w:r w:rsidRPr="00E33DE9">
              <w:t>Nisu utvrđeni adresati.</w:t>
            </w:r>
          </w:p>
        </w:tc>
      </w:tr>
      <w:tr w:rsidR="00E33DE9" w:rsidRPr="00E33DE9" w14:paraId="1FC6EE7C" w14:textId="77777777" w:rsidTr="003C5672">
        <w:trPr>
          <w:trHeight w:val="319"/>
        </w:trPr>
        <w:tc>
          <w:tcPr>
            <w:tcW w:w="850" w:type="dxa"/>
          </w:tcPr>
          <w:p w14:paraId="75801592" w14:textId="77777777" w:rsidR="00FB4F83" w:rsidRPr="00E33DE9" w:rsidRDefault="00FB4F83" w:rsidP="003C5672">
            <w:pPr>
              <w:jc w:val="both"/>
            </w:pPr>
            <w:r w:rsidRPr="00E33DE9">
              <w:t>4.1.5.</w:t>
            </w:r>
          </w:p>
        </w:tc>
        <w:tc>
          <w:tcPr>
            <w:tcW w:w="4254" w:type="dxa"/>
            <w:gridSpan w:val="3"/>
          </w:tcPr>
          <w:p w14:paraId="4DC8768D" w14:textId="77777777" w:rsidR="00FB4F83" w:rsidRPr="00E33DE9" w:rsidRDefault="00FB4F83" w:rsidP="003C5672">
            <w:pPr>
              <w:jc w:val="both"/>
            </w:pPr>
            <w:r w:rsidRPr="00E33DE9">
              <w:t>Učinci na druga područja:</w:t>
            </w:r>
          </w:p>
        </w:tc>
        <w:tc>
          <w:tcPr>
            <w:tcW w:w="4819" w:type="dxa"/>
          </w:tcPr>
          <w:p w14:paraId="1E78EA73" w14:textId="77777777" w:rsidR="00FB4F83" w:rsidRPr="00E33DE9" w:rsidRDefault="00FB4F83" w:rsidP="003C5672">
            <w:pPr>
              <w:jc w:val="both"/>
            </w:pPr>
            <w:r w:rsidRPr="00E33DE9">
              <w:t>Adresati:</w:t>
            </w:r>
          </w:p>
        </w:tc>
      </w:tr>
      <w:tr w:rsidR="00E33DE9" w:rsidRPr="00E33DE9" w14:paraId="08314B31" w14:textId="77777777" w:rsidTr="003C5672">
        <w:trPr>
          <w:trHeight w:val="319"/>
        </w:trPr>
        <w:tc>
          <w:tcPr>
            <w:tcW w:w="850" w:type="dxa"/>
          </w:tcPr>
          <w:p w14:paraId="2DB7C112" w14:textId="77777777" w:rsidR="00FB4F83" w:rsidRPr="00E33DE9" w:rsidRDefault="00FB4F83" w:rsidP="003C5672">
            <w:pPr>
              <w:jc w:val="both"/>
            </w:pPr>
          </w:p>
        </w:tc>
        <w:tc>
          <w:tcPr>
            <w:tcW w:w="4254" w:type="dxa"/>
            <w:gridSpan w:val="3"/>
          </w:tcPr>
          <w:p w14:paraId="7D76A7F3" w14:textId="0C89EDA6" w:rsidR="00FB4F83" w:rsidRPr="00E33DE9" w:rsidRDefault="009E3677" w:rsidP="003C5672">
            <w:pPr>
              <w:jc w:val="both"/>
              <w:rPr>
                <w:i/>
              </w:rPr>
            </w:pPr>
            <w:r w:rsidRPr="00E33DE9">
              <w:rPr>
                <w:iCs/>
              </w:rPr>
              <w:t xml:space="preserve">Nisu utvrđeni učinci na druga područja. </w:t>
            </w:r>
          </w:p>
        </w:tc>
        <w:tc>
          <w:tcPr>
            <w:tcW w:w="4819" w:type="dxa"/>
          </w:tcPr>
          <w:p w14:paraId="4C16225E" w14:textId="005A1A50" w:rsidR="00FB4F83" w:rsidRPr="00E33DE9" w:rsidRDefault="00A0506F" w:rsidP="003C5672">
            <w:pPr>
              <w:jc w:val="both"/>
              <w:rPr>
                <w:i/>
              </w:rPr>
            </w:pPr>
            <w:r w:rsidRPr="00E33DE9">
              <w:t>Nisu utvrđeni adresati.</w:t>
            </w:r>
          </w:p>
        </w:tc>
      </w:tr>
      <w:tr w:rsidR="00E33DE9" w:rsidRPr="00E33DE9" w14:paraId="3E863A93" w14:textId="77777777" w:rsidTr="003C5672">
        <w:tc>
          <w:tcPr>
            <w:tcW w:w="850" w:type="dxa"/>
          </w:tcPr>
          <w:p w14:paraId="0D3B214E" w14:textId="77777777" w:rsidR="00FB4F83" w:rsidRPr="00E33DE9" w:rsidRDefault="00FB4F83" w:rsidP="003C5672">
            <w:pPr>
              <w:rPr>
                <w:b/>
                <w:bCs/>
              </w:rPr>
            </w:pPr>
            <w:r w:rsidRPr="00E33DE9">
              <w:rPr>
                <w:b/>
                <w:bCs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307974E5" w14:textId="77777777" w:rsidR="00FB4F83" w:rsidRPr="00E33DE9" w:rsidRDefault="00FB4F83" w:rsidP="003C5672">
            <w:pPr>
              <w:rPr>
                <w:b/>
                <w:bCs/>
                <w:szCs w:val="24"/>
              </w:rPr>
            </w:pPr>
            <w:r w:rsidRPr="00E33DE9">
              <w:rPr>
                <w:b/>
                <w:bCs/>
                <w:szCs w:val="24"/>
              </w:rPr>
              <w:t xml:space="preserve">ANALIZA UTVRĐENIH UČINAKA I ADRESATA </w:t>
            </w:r>
          </w:p>
        </w:tc>
      </w:tr>
      <w:tr w:rsidR="00E33DE9" w:rsidRPr="00E33DE9" w14:paraId="7BC17F66" w14:textId="77777777" w:rsidTr="003C5672">
        <w:tc>
          <w:tcPr>
            <w:tcW w:w="850" w:type="dxa"/>
          </w:tcPr>
          <w:p w14:paraId="3E81FAE2" w14:textId="77777777" w:rsidR="00FB4F83" w:rsidRPr="00E33DE9" w:rsidRDefault="00FB4F83" w:rsidP="003C5672">
            <w:r w:rsidRPr="00E33DE9">
              <w:t>5.1.</w:t>
            </w:r>
          </w:p>
        </w:tc>
        <w:tc>
          <w:tcPr>
            <w:tcW w:w="9073" w:type="dxa"/>
            <w:gridSpan w:val="4"/>
          </w:tcPr>
          <w:p w14:paraId="1B829602" w14:textId="77777777" w:rsidR="00FB4F83" w:rsidRPr="00E33DE9" w:rsidRDefault="00FB4F83" w:rsidP="003C5672">
            <w:pPr>
              <w:tabs>
                <w:tab w:val="left" w:pos="5625"/>
              </w:tabs>
              <w:rPr>
                <w:bCs/>
              </w:rPr>
            </w:pPr>
            <w:r w:rsidRPr="00E33DE9">
              <w:rPr>
                <w:bCs/>
              </w:rPr>
              <w:t>Analiza učinaka i adresata u području gospodarstva:</w:t>
            </w:r>
          </w:p>
        </w:tc>
      </w:tr>
      <w:tr w:rsidR="00E33DE9" w:rsidRPr="00E33DE9" w14:paraId="1534159B" w14:textId="77777777" w:rsidTr="003C5672">
        <w:tc>
          <w:tcPr>
            <w:tcW w:w="850" w:type="dxa"/>
          </w:tcPr>
          <w:p w14:paraId="4941607E" w14:textId="77777777" w:rsidR="00FB4F83" w:rsidRPr="00E33DE9" w:rsidRDefault="00FB4F83" w:rsidP="003C5672">
            <w:pPr>
              <w:jc w:val="both"/>
            </w:pPr>
          </w:p>
        </w:tc>
        <w:tc>
          <w:tcPr>
            <w:tcW w:w="9073" w:type="dxa"/>
            <w:gridSpan w:val="4"/>
          </w:tcPr>
          <w:p w14:paraId="20836BBE" w14:textId="19E5F7FE" w:rsidR="00495428" w:rsidRPr="00A439FE" w:rsidRDefault="00EE75F1" w:rsidP="002A61D7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A439FE">
              <w:rPr>
                <w:szCs w:val="24"/>
              </w:rPr>
              <w:t xml:space="preserve">Motiviranjem i ohrabrivanjem </w:t>
            </w:r>
            <w:r w:rsidR="007763BD" w:rsidRPr="00A439FE">
              <w:rPr>
                <w:bCs/>
                <w:szCs w:val="24"/>
                <w:lang w:eastAsia="en-US"/>
              </w:rPr>
              <w:t xml:space="preserve">povratka hrvatskih iseljenika </w:t>
            </w:r>
            <w:r w:rsidR="007763BD" w:rsidRPr="00A439FE">
              <w:rPr>
                <w:szCs w:val="24"/>
              </w:rPr>
              <w:t>iz prekomorskih i europskih država, državljana Republike Hrvatske</w:t>
            </w:r>
            <w:r w:rsidR="007763BD" w:rsidRPr="00A439FE">
              <w:rPr>
                <w:bCs/>
                <w:szCs w:val="24"/>
                <w:lang w:eastAsia="en-US"/>
              </w:rPr>
              <w:t xml:space="preserve"> </w:t>
            </w:r>
            <w:r w:rsidRPr="00A439FE">
              <w:rPr>
                <w:szCs w:val="24"/>
              </w:rPr>
              <w:t xml:space="preserve">koji su neprekidno boravili u inozemstvu najmanje dvije godine na povratak i trajno zaposlenje u Republici Hrvatskoj </w:t>
            </w:r>
            <w:r w:rsidR="004341C9" w:rsidRPr="00A439FE">
              <w:rPr>
                <w:szCs w:val="24"/>
              </w:rPr>
              <w:t>propisivanjem</w:t>
            </w:r>
            <w:r w:rsidRPr="00A439FE">
              <w:rPr>
                <w:szCs w:val="24"/>
              </w:rPr>
              <w:t xml:space="preserve"> porezne olakšice na plaću </w:t>
            </w:r>
            <w:r w:rsidR="002A61D7" w:rsidRPr="00A439FE">
              <w:rPr>
                <w:szCs w:val="24"/>
              </w:rPr>
              <w:t>te</w:t>
            </w:r>
            <w:r w:rsidRPr="00A439FE">
              <w:rPr>
                <w:szCs w:val="24"/>
              </w:rPr>
              <w:t xml:space="preserve"> smanjenje</w:t>
            </w:r>
            <w:r w:rsidR="00420170" w:rsidRPr="00A439FE">
              <w:rPr>
                <w:szCs w:val="24"/>
              </w:rPr>
              <w:t>m</w:t>
            </w:r>
            <w:r w:rsidRPr="00A439FE">
              <w:rPr>
                <w:szCs w:val="24"/>
              </w:rPr>
              <w:t xml:space="preserve"> poreznog opterećenja fizičkim osobama koje ostvaruju godišnje dohotke (povećanj</w:t>
            </w:r>
            <w:r w:rsidR="00B410C1" w:rsidRPr="00A439FE">
              <w:rPr>
                <w:szCs w:val="24"/>
              </w:rPr>
              <w:t>em</w:t>
            </w:r>
            <w:r w:rsidRPr="00A439FE">
              <w:rPr>
                <w:szCs w:val="24"/>
              </w:rPr>
              <w:t xml:space="preserve"> osobnog odbitka i </w:t>
            </w:r>
            <w:r w:rsidR="00BB10B8" w:rsidRPr="00A439FE">
              <w:rPr>
                <w:szCs w:val="24"/>
              </w:rPr>
              <w:t xml:space="preserve">iznosa </w:t>
            </w:r>
            <w:r w:rsidRPr="00A439FE">
              <w:rPr>
                <w:szCs w:val="24"/>
              </w:rPr>
              <w:t xml:space="preserve">godišnje i mjesečne osnovice za primjenu </w:t>
            </w:r>
            <w:r w:rsidR="00D0121C" w:rsidRPr="00A439FE">
              <w:rPr>
                <w:szCs w:val="24"/>
              </w:rPr>
              <w:t>više</w:t>
            </w:r>
            <w:r w:rsidRPr="00A439FE">
              <w:rPr>
                <w:szCs w:val="24"/>
              </w:rPr>
              <w:t xml:space="preserve"> porezne stope) povećat će se raspoloživi dohodak tih osoba što će posljedično utjecati na povećanje potrošnje </w:t>
            </w:r>
            <w:r w:rsidR="00664D02" w:rsidRPr="00A439FE">
              <w:rPr>
                <w:szCs w:val="24"/>
              </w:rPr>
              <w:t>te tako doprinijeti rastu gospodarske aktivnosti</w:t>
            </w:r>
            <w:r w:rsidR="00D0121C" w:rsidRPr="00A439FE">
              <w:rPr>
                <w:szCs w:val="24"/>
              </w:rPr>
              <w:t>.</w:t>
            </w:r>
            <w:r w:rsidR="00495428" w:rsidRPr="00A439FE">
              <w:rPr>
                <w:szCs w:val="24"/>
              </w:rPr>
              <w:t xml:space="preserve"> </w:t>
            </w:r>
          </w:p>
          <w:p w14:paraId="7D1B1579" w14:textId="77777777" w:rsidR="00783F25" w:rsidRPr="00A439FE" w:rsidRDefault="00B410C1" w:rsidP="00B410C1">
            <w:pPr>
              <w:jc w:val="both"/>
              <w:rPr>
                <w:szCs w:val="24"/>
              </w:rPr>
            </w:pPr>
            <w:r w:rsidRPr="00A439FE">
              <w:rPr>
                <w:szCs w:val="24"/>
              </w:rPr>
              <w:t>Također, time će se potaknuti konkurentnost hrvatskih radnika na tržištu rada osobito u sektoru visokih tehnologija, koji u pravilu ostvaruju veće iznose dohotka, a povećanjem neto plaća otvoren je prostor za povećanje potrošnje i gospodarski rast, odnosno, stvoreni su dodatni uvjeti za zadržavanje visokokvalificiranih radnika u Republici Hrvatskoj.</w:t>
            </w:r>
          </w:p>
          <w:p w14:paraId="79EA73FC" w14:textId="77777777" w:rsidR="00783F25" w:rsidRPr="00A439FE" w:rsidRDefault="00783F25" w:rsidP="00B410C1">
            <w:pPr>
              <w:jc w:val="both"/>
              <w:rPr>
                <w:szCs w:val="24"/>
              </w:rPr>
            </w:pPr>
          </w:p>
          <w:p w14:paraId="0A267A4A" w14:textId="18DECBFB" w:rsidR="00B410C1" w:rsidRPr="00A439FE" w:rsidRDefault="00783F25" w:rsidP="00B410C1">
            <w:pPr>
              <w:jc w:val="both"/>
              <w:rPr>
                <w:szCs w:val="24"/>
              </w:rPr>
            </w:pPr>
            <w:r w:rsidRPr="00A439FE">
              <w:rPr>
                <w:szCs w:val="24"/>
              </w:rPr>
              <w:lastRenderedPageBreak/>
              <w:t>Procjenjuje se da će</w:t>
            </w:r>
            <w:r w:rsidRPr="00A439FE">
              <w:t xml:space="preserve"> uz </w:t>
            </w:r>
            <w:r w:rsidRPr="00A439FE">
              <w:rPr>
                <w:szCs w:val="24"/>
              </w:rPr>
              <w:t>predložene izmjene poreznog rasterećenja</w:t>
            </w:r>
            <w:r w:rsidR="00315537" w:rsidRPr="00A439FE">
              <w:rPr>
                <w:szCs w:val="24"/>
              </w:rPr>
              <w:t xml:space="preserve">, </w:t>
            </w:r>
            <w:r w:rsidRPr="00A439FE">
              <w:rPr>
                <w:szCs w:val="24"/>
              </w:rPr>
              <w:t xml:space="preserve">povećanje osobnog odbitka i povećanje </w:t>
            </w:r>
            <w:r w:rsidR="00315537" w:rsidRPr="00A439FE">
              <w:rPr>
                <w:szCs w:val="24"/>
              </w:rPr>
              <w:t xml:space="preserve">iznosa </w:t>
            </w:r>
            <w:r w:rsidRPr="00A439FE">
              <w:rPr>
                <w:szCs w:val="24"/>
              </w:rPr>
              <w:t>godišnje odnosno mjesečne porezne osnovice</w:t>
            </w:r>
            <w:r w:rsidR="00315537" w:rsidRPr="00A439FE">
              <w:rPr>
                <w:szCs w:val="24"/>
              </w:rPr>
              <w:t xml:space="preserve"> za primjenu više stope,</w:t>
            </w:r>
            <w:r w:rsidRPr="00A439FE">
              <w:rPr>
                <w:szCs w:val="24"/>
              </w:rPr>
              <w:t xml:space="preserve"> višom stopom poreza na dohodak u 2025. godini biti obuhvaćeno 12.253 poreznih obveznika.</w:t>
            </w:r>
          </w:p>
          <w:p w14:paraId="63220EA6" w14:textId="77777777" w:rsidR="00B410C1" w:rsidRPr="00A439FE" w:rsidRDefault="00B410C1" w:rsidP="00420170">
            <w:pPr>
              <w:jc w:val="both"/>
              <w:rPr>
                <w:szCs w:val="24"/>
              </w:rPr>
            </w:pPr>
          </w:p>
          <w:p w14:paraId="6333FDE7" w14:textId="2B3BD6DB" w:rsidR="004229D9" w:rsidRPr="00A439FE" w:rsidRDefault="007D36A4" w:rsidP="00420170">
            <w:pPr>
              <w:jc w:val="both"/>
              <w:rPr>
                <w:szCs w:val="24"/>
              </w:rPr>
            </w:pPr>
            <w:r w:rsidRPr="00A439FE">
              <w:rPr>
                <w:szCs w:val="24"/>
              </w:rPr>
              <w:t>O</w:t>
            </w:r>
            <w:r w:rsidR="009A03A3" w:rsidRPr="00A439FE">
              <w:rPr>
                <w:szCs w:val="24"/>
              </w:rPr>
              <w:t xml:space="preserve">bzirom na predloženo povećanje mjesečnog iznosa osnovnog osobnog odbitka </w:t>
            </w:r>
            <w:r w:rsidRPr="00A439FE">
              <w:rPr>
                <w:szCs w:val="24"/>
              </w:rPr>
              <w:t xml:space="preserve">s 560,00 eura na 600,00 eura </w:t>
            </w:r>
            <w:r w:rsidR="009A03A3" w:rsidRPr="00A439FE">
              <w:rPr>
                <w:szCs w:val="24"/>
              </w:rPr>
              <w:t xml:space="preserve">te povećanje </w:t>
            </w:r>
            <w:r w:rsidR="00315537" w:rsidRPr="00A439FE">
              <w:rPr>
                <w:szCs w:val="24"/>
              </w:rPr>
              <w:t xml:space="preserve">iznosa </w:t>
            </w:r>
            <w:r w:rsidR="009A03A3" w:rsidRPr="00A439FE">
              <w:rPr>
                <w:szCs w:val="24"/>
              </w:rPr>
              <w:t xml:space="preserve">porezne osnovice za primjenu </w:t>
            </w:r>
            <w:r w:rsidRPr="00A439FE">
              <w:rPr>
                <w:szCs w:val="24"/>
              </w:rPr>
              <w:t>više</w:t>
            </w:r>
            <w:r w:rsidR="009A03A3" w:rsidRPr="00A439FE">
              <w:rPr>
                <w:szCs w:val="24"/>
              </w:rPr>
              <w:t xml:space="preserve"> stope poreza na dohodak</w:t>
            </w:r>
            <w:r w:rsidRPr="00A439FE">
              <w:t xml:space="preserve"> </w:t>
            </w:r>
            <w:r w:rsidRPr="00A439FE">
              <w:rPr>
                <w:szCs w:val="24"/>
              </w:rPr>
              <w:t>s 4.200,00 eura na 5.000,00 eura</w:t>
            </w:r>
            <w:r w:rsidR="009A03A3" w:rsidRPr="00A439FE">
              <w:rPr>
                <w:szCs w:val="24"/>
              </w:rPr>
              <w:t xml:space="preserve"> u nastavku se daje komparativni prikaz </w:t>
            </w:r>
            <w:r w:rsidR="007D014D" w:rsidRPr="00A439FE">
              <w:rPr>
                <w:szCs w:val="24"/>
              </w:rPr>
              <w:t>mjesečnog</w:t>
            </w:r>
            <w:r w:rsidR="009A03A3" w:rsidRPr="00A439FE">
              <w:rPr>
                <w:szCs w:val="24"/>
              </w:rPr>
              <w:t xml:space="preserve"> obračuna plaće prije i nakon 1. siječnja 2025. na primjeru poreznog obveznika s prebivalištem u Gradu Osijeku koji ostvaruje mjesečnu bruto plaću u iznosu od 8.900,00 eura (porezni obveznik ne ostvaruje pravo na uvećani osobni odbitak niti dodatne olakšice):</w:t>
            </w:r>
          </w:p>
          <w:p w14:paraId="33C00DEE" w14:textId="77777777" w:rsidR="009A03A3" w:rsidRPr="00A439FE" w:rsidRDefault="009A03A3" w:rsidP="00420170">
            <w:pPr>
              <w:jc w:val="both"/>
              <w:rPr>
                <w:szCs w:val="24"/>
              </w:rPr>
            </w:pPr>
          </w:p>
          <w:tbl>
            <w:tblPr>
              <w:tblW w:w="7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6"/>
              <w:gridCol w:w="1559"/>
              <w:gridCol w:w="1418"/>
            </w:tblGrid>
            <w:tr w:rsidR="00B45E28" w:rsidRPr="00A439FE" w14:paraId="1D7A1F46" w14:textId="77777777" w:rsidTr="00B410C1">
              <w:trPr>
                <w:trHeight w:val="203"/>
                <w:jc w:val="center"/>
              </w:trPr>
              <w:tc>
                <w:tcPr>
                  <w:tcW w:w="45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15B81D" w14:textId="77777777" w:rsidR="00B45E28" w:rsidRPr="00A439FE" w:rsidRDefault="00B45E28" w:rsidP="00B45E2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452A71" w14:textId="77777777" w:rsidR="00B45E28" w:rsidRPr="00A439FE" w:rsidRDefault="00B45E28" w:rsidP="00B45E2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color w:val="000000"/>
                      <w:sz w:val="20"/>
                      <w:szCs w:val="20"/>
                    </w:rPr>
                    <w:t>Iznos (EUR)</w:t>
                  </w:r>
                </w:p>
              </w:tc>
            </w:tr>
            <w:tr w:rsidR="00B45E28" w:rsidRPr="00A439FE" w14:paraId="04C0A314" w14:textId="77777777" w:rsidTr="00B410C1">
              <w:trPr>
                <w:trHeight w:val="193"/>
                <w:jc w:val="center"/>
              </w:trPr>
              <w:tc>
                <w:tcPr>
                  <w:tcW w:w="45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0E7B52" w14:textId="77777777" w:rsidR="00B45E28" w:rsidRPr="00A439FE" w:rsidRDefault="00B45E28" w:rsidP="00B45E28">
                  <w:pPr>
                    <w:rPr>
                      <w:rFonts w:eastAsia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9DF026" w14:textId="263CC249" w:rsidR="00B45E28" w:rsidRPr="00A439FE" w:rsidRDefault="007D014D" w:rsidP="00B45E28">
                  <w:pPr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color w:val="8064A2" w:themeColor="accent4"/>
                      <w:sz w:val="20"/>
                      <w:szCs w:val="20"/>
                    </w:rPr>
                    <w:t>Do 31.12.</w:t>
                  </w:r>
                  <w:r w:rsidR="00B45E28" w:rsidRPr="00A439FE">
                    <w:rPr>
                      <w:b/>
                      <w:bCs/>
                      <w:color w:val="8064A2" w:themeColor="accent4"/>
                      <w:sz w:val="20"/>
                      <w:szCs w:val="20"/>
                    </w:rPr>
                    <w:t>2024.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12C947" w14:textId="0D90E891" w:rsidR="00B45E28" w:rsidRPr="00A439FE" w:rsidRDefault="007D014D" w:rsidP="00B45E28">
                  <w:pPr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color w:val="8064A2" w:themeColor="accent4"/>
                      <w:sz w:val="20"/>
                      <w:szCs w:val="20"/>
                    </w:rPr>
                    <w:t>Od 1.1.</w:t>
                  </w:r>
                  <w:r w:rsidR="00B45E28" w:rsidRPr="00A439FE">
                    <w:rPr>
                      <w:b/>
                      <w:bCs/>
                      <w:color w:val="8064A2" w:themeColor="accent4"/>
                      <w:sz w:val="20"/>
                      <w:szCs w:val="20"/>
                    </w:rPr>
                    <w:t>2025.</w:t>
                  </w:r>
                </w:p>
              </w:tc>
            </w:tr>
            <w:tr w:rsidR="00B45E28" w:rsidRPr="00A439FE" w14:paraId="0160297A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D3CFA86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BRUTO PLAĆA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63D2BA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9800B7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</w:tr>
            <w:tr w:rsidR="00B45E28" w:rsidRPr="00A439FE" w14:paraId="379F0D5A" w14:textId="77777777" w:rsidTr="00B410C1">
              <w:trPr>
                <w:trHeight w:val="212"/>
                <w:jc w:val="center"/>
              </w:trPr>
              <w:tc>
                <w:tcPr>
                  <w:tcW w:w="753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23DB40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I. OBRAČUN DOPRINOSA</w:t>
                  </w:r>
                </w:p>
              </w:tc>
            </w:tr>
            <w:tr w:rsidR="00B45E28" w:rsidRPr="00A439FE" w14:paraId="466059AE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BD01899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 Osnovica za obračun doprinosa (bruto plaća)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94C9CCB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B27F148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</w:tr>
            <w:tr w:rsidR="00B45E28" w:rsidRPr="00A439FE" w14:paraId="65BA1964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95D523B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2. Iznos umanjenja mjesečne osnovice za MO I. stup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C28A277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ED5A9E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B45E28" w:rsidRPr="00A439FE" w14:paraId="177F08AE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F6D01CC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3. Mjesečna osnovica za MO I. stup (1.-2.)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3EABB3E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F1DDB9D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</w:tr>
            <w:tr w:rsidR="00B45E28" w:rsidRPr="00A439FE" w14:paraId="5F6FBBC9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F7CAB3D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4. Doprinos za MO I. stup (3.x15%)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CC22D8E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1.335,00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05A9E17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1.335,00</w:t>
                  </w:r>
                </w:p>
              </w:tc>
            </w:tr>
            <w:tr w:rsidR="00B45E28" w:rsidRPr="00A439FE" w14:paraId="5E2EE6F3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C83E95B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5. Doprinos za MO II. stup (1.x5%)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9C3202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445,00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374A6C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445,00</w:t>
                  </w:r>
                </w:p>
              </w:tc>
            </w:tr>
            <w:tr w:rsidR="00B45E28" w:rsidRPr="00A439FE" w14:paraId="2C8898FE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5EF0B0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6. Ukupno doprinosi za MO (4.+5.)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D4465CD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1.780,00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4026FD2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1.780,00</w:t>
                  </w:r>
                </w:p>
              </w:tc>
            </w:tr>
            <w:tr w:rsidR="00B45E28" w:rsidRPr="00A439FE" w14:paraId="3F178E7F" w14:textId="77777777" w:rsidTr="00B410C1">
              <w:trPr>
                <w:trHeight w:val="212"/>
                <w:jc w:val="center"/>
              </w:trPr>
              <w:tc>
                <w:tcPr>
                  <w:tcW w:w="753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F62099D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II. POREZNA OSNOVICA</w:t>
                  </w:r>
                </w:p>
              </w:tc>
            </w:tr>
            <w:tr w:rsidR="00B45E28" w:rsidRPr="00A439FE" w14:paraId="3E595F72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C27C66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 Primitak (bruto plaća)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2B1BDD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D8B9B6" w14:textId="77777777" w:rsidR="00B45E28" w:rsidRPr="00A439FE" w:rsidRDefault="00B45E28" w:rsidP="00B45E2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439FE">
                    <w:rPr>
                      <w:color w:val="000000"/>
                      <w:sz w:val="20"/>
                      <w:szCs w:val="20"/>
                    </w:rPr>
                    <w:t>8.900,00</w:t>
                  </w:r>
                </w:p>
              </w:tc>
            </w:tr>
            <w:tr w:rsidR="00760C68" w:rsidRPr="00A439FE" w14:paraId="29870561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AF7A93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2. Izdatak (doprinosi za MO)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7FE0AEE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1.780,00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7F628C6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1.780,00</w:t>
                  </w:r>
                </w:p>
              </w:tc>
            </w:tr>
            <w:tr w:rsidR="00760C68" w:rsidRPr="00A439FE" w14:paraId="0AE29635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E61EB9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3. Dohodak (1.-2.)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63579CD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7.120,00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C8E51BD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7.120,00</w:t>
                  </w:r>
                </w:p>
              </w:tc>
            </w:tr>
            <w:tr w:rsidR="00760C68" w:rsidRPr="00A439FE" w14:paraId="7B711BF5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A91ADD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4. Osobni odbitak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F785F2F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560,00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7E8722F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600,00</w:t>
                  </w:r>
                </w:p>
              </w:tc>
            </w:tr>
            <w:tr w:rsidR="00760C68" w:rsidRPr="00A439FE" w14:paraId="0226A2C1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D4A909F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5. Porezna osnovica (3.-4.)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09AFF19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6.560,00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5394C09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6.520,00</w:t>
                  </w:r>
                </w:p>
              </w:tc>
            </w:tr>
            <w:tr w:rsidR="00760C68" w:rsidRPr="00A439FE" w14:paraId="3C43F697" w14:textId="77777777" w:rsidTr="00B410C1">
              <w:trPr>
                <w:trHeight w:val="212"/>
                <w:jc w:val="center"/>
              </w:trPr>
              <w:tc>
                <w:tcPr>
                  <w:tcW w:w="753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F3E8368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III. OBRAČUN POREZA</w:t>
                  </w:r>
                </w:p>
              </w:tc>
            </w:tr>
            <w:tr w:rsidR="00760C68" w:rsidRPr="00A439FE" w14:paraId="27F7D4CB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657C61D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 Iznos porezne osnovice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581669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6.560,00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E6085C0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6.520,00</w:t>
                  </w:r>
                </w:p>
              </w:tc>
            </w:tr>
            <w:tr w:rsidR="00760C68" w:rsidRPr="00A439FE" w14:paraId="6ED45D13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9AB3281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 xml:space="preserve">1.1. osnovica za primjenu niže stope </w:t>
                  </w:r>
                  <w:r w:rsidRPr="00A439FE">
                    <w:rPr>
                      <w:sz w:val="20"/>
                      <w:szCs w:val="20"/>
                    </w:rPr>
                    <w:br/>
                    <w:t>(do 4.200,00 EUR/do 5.000,00 EUR)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7BD78FF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4.200,00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D7AB52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5.000,00</w:t>
                  </w:r>
                </w:p>
              </w:tc>
            </w:tr>
            <w:tr w:rsidR="00760C68" w:rsidRPr="00A439FE" w14:paraId="511CDE6F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4039E82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 xml:space="preserve">1.2. osnovica za primjenu više stope </w:t>
                  </w:r>
                  <w:r w:rsidRPr="00A439FE">
                    <w:rPr>
                      <w:sz w:val="20"/>
                      <w:szCs w:val="20"/>
                    </w:rPr>
                    <w:br/>
                    <w:t>(iznad 4.200,00 EUR/iznad 5.000,00 EUR)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9E4BDC3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2.360,00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750C831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1.520,00</w:t>
                  </w:r>
                </w:p>
              </w:tc>
            </w:tr>
            <w:tr w:rsidR="00760C68" w:rsidRPr="00A439FE" w14:paraId="0328D135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8E31F9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2. Ukupno porez (Osijek)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91FFBA4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1.548,00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B05A8C7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1.456,00</w:t>
                  </w:r>
                </w:p>
              </w:tc>
            </w:tr>
            <w:tr w:rsidR="00760C68" w:rsidRPr="00A439FE" w14:paraId="6981EFEC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EE9BD8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2.1. porez po nižoj stopi (20%)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FDD9327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840,00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62F5F1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1.000,00</w:t>
                  </w:r>
                </w:p>
              </w:tc>
            </w:tr>
            <w:tr w:rsidR="00760C68" w:rsidRPr="00A439FE" w14:paraId="3FE143A4" w14:textId="77777777" w:rsidTr="00B410C1">
              <w:trPr>
                <w:trHeight w:val="212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8DE149D" w14:textId="77777777" w:rsidR="00B45E28" w:rsidRPr="00A439FE" w:rsidRDefault="00B45E28" w:rsidP="00B45E28">
                  <w:pPr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2.2. porez po višoj stopi (30%)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AC9A9BF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708,00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581CEA4" w14:textId="77777777" w:rsidR="00B45E28" w:rsidRPr="00A439FE" w:rsidRDefault="00B45E28" w:rsidP="00B45E28">
                  <w:pPr>
                    <w:jc w:val="right"/>
                    <w:rPr>
                      <w:sz w:val="20"/>
                      <w:szCs w:val="20"/>
                    </w:rPr>
                  </w:pPr>
                  <w:r w:rsidRPr="00A439FE">
                    <w:rPr>
                      <w:sz w:val="20"/>
                      <w:szCs w:val="20"/>
                    </w:rPr>
                    <w:t>456,00</w:t>
                  </w:r>
                </w:p>
              </w:tc>
            </w:tr>
            <w:tr w:rsidR="00760C68" w:rsidRPr="00A439FE" w14:paraId="281EEC3D" w14:textId="77777777" w:rsidTr="00B410C1">
              <w:trPr>
                <w:trHeight w:val="258"/>
                <w:jc w:val="center"/>
              </w:trPr>
              <w:tc>
                <w:tcPr>
                  <w:tcW w:w="45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FECD128" w14:textId="77777777" w:rsidR="00B45E28" w:rsidRPr="00A439FE" w:rsidRDefault="00B45E28" w:rsidP="00B45E2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IV. NETO PLAĆA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B20B88E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5.572,00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155154D" w14:textId="77777777" w:rsidR="00B45E28" w:rsidRPr="00A439FE" w:rsidRDefault="00B45E28" w:rsidP="00B45E28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A439FE">
                    <w:rPr>
                      <w:b/>
                      <w:bCs/>
                      <w:sz w:val="20"/>
                      <w:szCs w:val="20"/>
                    </w:rPr>
                    <w:t>5.664,00</w:t>
                  </w:r>
                </w:p>
              </w:tc>
            </w:tr>
          </w:tbl>
          <w:p w14:paraId="1213E87A" w14:textId="77777777" w:rsidR="004229D9" w:rsidRPr="00A439FE" w:rsidRDefault="004229D9" w:rsidP="00420170">
            <w:pPr>
              <w:jc w:val="both"/>
              <w:rPr>
                <w:szCs w:val="24"/>
              </w:rPr>
            </w:pPr>
          </w:p>
          <w:p w14:paraId="7177CF5A" w14:textId="5A06FCE6" w:rsidR="009A03A3" w:rsidRPr="00A439FE" w:rsidRDefault="009A03A3" w:rsidP="009A03A3">
            <w:pPr>
              <w:jc w:val="both"/>
              <w:rPr>
                <w:szCs w:val="24"/>
              </w:rPr>
            </w:pPr>
            <w:r w:rsidRPr="00A439FE">
              <w:rPr>
                <w:szCs w:val="24"/>
              </w:rPr>
              <w:t>Dakle, uzimajući u obzir predloženo povećanje mjesečnog osobnog odbitka te povećanje</w:t>
            </w:r>
            <w:r w:rsidR="00315537" w:rsidRPr="00A439FE">
              <w:rPr>
                <w:szCs w:val="24"/>
              </w:rPr>
              <w:t xml:space="preserve"> iznosa</w:t>
            </w:r>
            <w:r w:rsidRPr="00A439FE">
              <w:rPr>
                <w:szCs w:val="24"/>
              </w:rPr>
              <w:t xml:space="preserve"> mjesečne porezne osnovice </w:t>
            </w:r>
            <w:r w:rsidR="00315537" w:rsidRPr="00A439FE">
              <w:rPr>
                <w:szCs w:val="24"/>
              </w:rPr>
              <w:t xml:space="preserve">za primjenu više stope poreza na dohodak, </w:t>
            </w:r>
            <w:r w:rsidRPr="00A439FE">
              <w:rPr>
                <w:szCs w:val="24"/>
              </w:rPr>
              <w:t>s danom 1.</w:t>
            </w:r>
            <w:r w:rsidR="007D36A4" w:rsidRPr="00A439FE">
              <w:rPr>
                <w:szCs w:val="24"/>
              </w:rPr>
              <w:t xml:space="preserve"> siječnja </w:t>
            </w:r>
            <w:r w:rsidRPr="00A439FE">
              <w:rPr>
                <w:szCs w:val="24"/>
              </w:rPr>
              <w:t>2025., poreznom obvezniku s mjesečnom bruto plaćom od 8.900,00 eura</w:t>
            </w:r>
            <w:r w:rsidR="007D014D" w:rsidRPr="00A439FE">
              <w:rPr>
                <w:szCs w:val="24"/>
              </w:rPr>
              <w:t>,</w:t>
            </w:r>
            <w:r w:rsidRPr="00A439FE">
              <w:rPr>
                <w:szCs w:val="24"/>
              </w:rPr>
              <w:t xml:space="preserve"> mjesečni iznos neto-plaće povećat će se za 92,00 eura, što bi na godišnjoj razini iznosilo 1.104,00 eura. Stoga je iz navedenog razvidno kako </w:t>
            </w:r>
            <w:r w:rsidR="007D36A4" w:rsidRPr="00A439FE">
              <w:rPr>
                <w:szCs w:val="24"/>
              </w:rPr>
              <w:t>će se</w:t>
            </w:r>
            <w:r w:rsidRPr="00A439FE">
              <w:rPr>
                <w:szCs w:val="24"/>
              </w:rPr>
              <w:t xml:space="preserve"> s povećanjem osobnog odbitka te povećanjem </w:t>
            </w:r>
            <w:r w:rsidR="00D160AD" w:rsidRPr="00A439FE">
              <w:rPr>
                <w:szCs w:val="24"/>
              </w:rPr>
              <w:t xml:space="preserve">iznosa </w:t>
            </w:r>
            <w:r w:rsidRPr="00A439FE">
              <w:rPr>
                <w:szCs w:val="24"/>
              </w:rPr>
              <w:t xml:space="preserve">porezne osnovice za primjenu </w:t>
            </w:r>
            <w:r w:rsidR="007D36A4" w:rsidRPr="00A439FE">
              <w:rPr>
                <w:szCs w:val="24"/>
              </w:rPr>
              <w:t>više</w:t>
            </w:r>
            <w:r w:rsidRPr="00A439FE">
              <w:rPr>
                <w:szCs w:val="24"/>
              </w:rPr>
              <w:t xml:space="preserve"> stope </w:t>
            </w:r>
            <w:r w:rsidR="007D36A4" w:rsidRPr="00A439FE">
              <w:rPr>
                <w:szCs w:val="24"/>
              </w:rPr>
              <w:t xml:space="preserve">od 1. siječnja 2025. </w:t>
            </w:r>
            <w:r w:rsidRPr="00A439FE">
              <w:rPr>
                <w:szCs w:val="24"/>
              </w:rPr>
              <w:t>poveća</w:t>
            </w:r>
            <w:r w:rsidR="007D36A4" w:rsidRPr="00A439FE">
              <w:rPr>
                <w:szCs w:val="24"/>
              </w:rPr>
              <w:t>ti</w:t>
            </w:r>
            <w:r w:rsidRPr="00A439FE">
              <w:rPr>
                <w:szCs w:val="24"/>
              </w:rPr>
              <w:t xml:space="preserve"> raspoloživi dohodak poreznog obveznika.</w:t>
            </w:r>
          </w:p>
          <w:p w14:paraId="1970E8AC" w14:textId="77777777" w:rsidR="009A03A3" w:rsidRPr="00A439FE" w:rsidRDefault="009A03A3" w:rsidP="00420170">
            <w:pPr>
              <w:jc w:val="both"/>
              <w:rPr>
                <w:szCs w:val="24"/>
              </w:rPr>
            </w:pPr>
          </w:p>
          <w:p w14:paraId="7DEE7B69" w14:textId="7D972D20" w:rsidR="007D36A4" w:rsidRPr="00A439FE" w:rsidRDefault="00423B42" w:rsidP="00420170">
            <w:pPr>
              <w:jc w:val="both"/>
              <w:rPr>
                <w:szCs w:val="24"/>
                <w:lang w:eastAsia="en-US"/>
              </w:rPr>
            </w:pPr>
            <w:r w:rsidRPr="00A439FE">
              <w:rPr>
                <w:szCs w:val="24"/>
                <w:lang w:eastAsia="en-US"/>
              </w:rPr>
              <w:t xml:space="preserve">Nadalje, </w:t>
            </w:r>
            <w:r w:rsidR="00FE03AF" w:rsidRPr="00A439FE">
              <w:rPr>
                <w:szCs w:val="24"/>
                <w:lang w:eastAsia="en-US"/>
              </w:rPr>
              <w:t xml:space="preserve">prema </w:t>
            </w:r>
            <w:r w:rsidRPr="00A439FE">
              <w:rPr>
                <w:szCs w:val="24"/>
                <w:lang w:eastAsia="en-US"/>
              </w:rPr>
              <w:t xml:space="preserve">trenutnim propisima visina godišnje porezne obveze poreznom obvezniku koji ostvaruje primitke od </w:t>
            </w:r>
            <w:r w:rsidR="00A439FE">
              <w:rPr>
                <w:szCs w:val="24"/>
                <w:lang w:eastAsia="en-US"/>
              </w:rPr>
              <w:t xml:space="preserve">turističkog najma odnosno </w:t>
            </w:r>
            <w:r w:rsidRPr="00A439FE">
              <w:rPr>
                <w:szCs w:val="24"/>
                <w:lang w:eastAsia="en-US"/>
              </w:rPr>
              <w:t>iznajmljivanja stanova, soba i postelja putnicima i turistima i organiziranja kampova utvrđuje u paušalnom iznosu po krevetu odnosno smještajnoj jedinici na temelju Odluke predstavničkog tijela jedinice lokalne samouprave u propisanim granicama od 19,91 do 199,08 eura. Prema dostupnim podacima, iako je trenutno utvrđen najviši propis</w:t>
            </w:r>
            <w:r w:rsidR="00581FBF" w:rsidRPr="00A439FE">
              <w:rPr>
                <w:szCs w:val="24"/>
                <w:lang w:eastAsia="en-US"/>
              </w:rPr>
              <w:t>a</w:t>
            </w:r>
            <w:r w:rsidRPr="00A439FE">
              <w:rPr>
                <w:szCs w:val="24"/>
                <w:lang w:eastAsia="en-US"/>
              </w:rPr>
              <w:t xml:space="preserve">ni iznos 199,08 eura paušalnog poreza po krevetu </w:t>
            </w:r>
            <w:r w:rsidRPr="00A439FE">
              <w:rPr>
                <w:szCs w:val="24"/>
                <w:lang w:eastAsia="en-US"/>
              </w:rPr>
              <w:lastRenderedPageBreak/>
              <w:t>odnosno po smještajnoj jedinici, samo se u 6% odluka jedinica lokalne samouprave primjenjuje najviši propisani iznos paušalnog poreza po krevetu odnosno po smještajnoj jedinici. Nadalje</w:t>
            </w:r>
            <w:r w:rsidR="00D160AD" w:rsidRPr="00A439FE">
              <w:rPr>
                <w:szCs w:val="24"/>
                <w:lang w:eastAsia="en-US"/>
              </w:rPr>
              <w:t>,</w:t>
            </w:r>
            <w:r w:rsidRPr="00A439FE">
              <w:rPr>
                <w:szCs w:val="24"/>
                <w:lang w:eastAsia="en-US"/>
              </w:rPr>
              <w:t xml:space="preserve"> podaci pokazuju da se u 80% odluka jedinica lokalne samouprave primjenjuju niži iznosi propisanog paušalnog poreza po krevetu odnosno po smještajnoj jedinici od toga 34% primjenjuje najniži propisani iznos paušalnog poreza od 19,91 eura. </w:t>
            </w:r>
            <w:r w:rsidR="00CD5A13" w:rsidRPr="00227969">
              <w:rPr>
                <w:szCs w:val="24"/>
                <w:lang w:eastAsia="en-US"/>
              </w:rPr>
              <w:t xml:space="preserve">Navedeno pokazuje neravnomjerno oporezivanje </w:t>
            </w:r>
            <w:r w:rsidR="004C08B5" w:rsidRPr="00227969">
              <w:rPr>
                <w:szCs w:val="24"/>
                <w:lang w:eastAsia="en-US"/>
              </w:rPr>
              <w:t xml:space="preserve">primitaka od iznajmljivanja stanova, soba i postelja putnicima i turistima i organiziranja kampova </w:t>
            </w:r>
            <w:r w:rsidR="00CD5A13" w:rsidRPr="00227969">
              <w:rPr>
                <w:szCs w:val="24"/>
                <w:lang w:eastAsia="en-US"/>
              </w:rPr>
              <w:t xml:space="preserve">pri čemu kod utvrđivanja visine paušalnog poreza ne uzimaju u obzir stvarni turistički pokazatelji određene jedinice lokalne samouprave. </w:t>
            </w:r>
            <w:r w:rsidR="00FE03AF" w:rsidRPr="00227969">
              <w:rPr>
                <w:szCs w:val="24"/>
              </w:rPr>
              <w:t>Također</w:t>
            </w:r>
            <w:r w:rsidR="00FE03AF" w:rsidRPr="00A439FE">
              <w:rPr>
                <w:szCs w:val="24"/>
              </w:rPr>
              <w:t>, porezno opterećenje dohotka ostvarenog od</w:t>
            </w:r>
            <w:r w:rsidR="00A439FE">
              <w:rPr>
                <w:szCs w:val="24"/>
              </w:rPr>
              <w:t xml:space="preserve"> dugoročnog</w:t>
            </w:r>
            <w:r w:rsidR="00FE03AF" w:rsidRPr="00A439FE">
              <w:rPr>
                <w:szCs w:val="24"/>
              </w:rPr>
              <w:t xml:space="preserve"> najma iznosi 8,4%, a dohotka ostvarenog po osnovi </w:t>
            </w:r>
            <w:r w:rsidR="00A439FE">
              <w:rPr>
                <w:szCs w:val="24"/>
              </w:rPr>
              <w:t xml:space="preserve">turističkog najma </w:t>
            </w:r>
            <w:r w:rsidR="00FE03AF" w:rsidRPr="00A439FE">
              <w:rPr>
                <w:szCs w:val="24"/>
              </w:rPr>
              <w:t xml:space="preserve">2% što posljedično dovodi do veće usmjerenosti u pružanje usluga </w:t>
            </w:r>
            <w:r w:rsidR="00227969">
              <w:rPr>
                <w:szCs w:val="24"/>
              </w:rPr>
              <w:t>turističkog najma</w:t>
            </w:r>
            <w:r w:rsidR="00FE03AF" w:rsidRPr="00A439FE">
              <w:rPr>
                <w:szCs w:val="24"/>
              </w:rPr>
              <w:t>. Naime</w:t>
            </w:r>
            <w:r w:rsidRPr="00A439FE">
              <w:rPr>
                <w:szCs w:val="24"/>
                <w:lang w:eastAsia="en-US"/>
              </w:rPr>
              <w:t xml:space="preserve">, porezna obveza poreznom obvezniku koji ostvaruje primitke od </w:t>
            </w:r>
            <w:r w:rsidR="00227969">
              <w:rPr>
                <w:szCs w:val="24"/>
                <w:lang w:eastAsia="en-US"/>
              </w:rPr>
              <w:t xml:space="preserve">ugovornog </w:t>
            </w:r>
            <w:r w:rsidRPr="00A439FE">
              <w:rPr>
                <w:szCs w:val="24"/>
                <w:lang w:eastAsia="en-US"/>
              </w:rPr>
              <w:t xml:space="preserve">najma ili zakupa nekretnine oporezuje se primjenom porezne stope od 12% na stvarno ostvareni iznos primitka </w:t>
            </w:r>
            <w:r w:rsidR="004018DD" w:rsidRPr="00A439FE">
              <w:rPr>
                <w:szCs w:val="24"/>
                <w:lang w:eastAsia="en-US"/>
              </w:rPr>
              <w:t xml:space="preserve">utvrđen ugovorom </w:t>
            </w:r>
            <w:r w:rsidRPr="00A439FE">
              <w:rPr>
                <w:szCs w:val="24"/>
                <w:lang w:eastAsia="en-US"/>
              </w:rPr>
              <w:t>umanjen za 30% priznatog izdatka. Pritom je porezna obveza poreznog obveznika koji ostvaruje primitke po osnovi</w:t>
            </w:r>
            <w:r w:rsidR="00227969">
              <w:rPr>
                <w:szCs w:val="24"/>
                <w:lang w:eastAsia="en-US"/>
              </w:rPr>
              <w:t xml:space="preserve"> ugovornog</w:t>
            </w:r>
            <w:r w:rsidRPr="00A439FE">
              <w:rPr>
                <w:szCs w:val="24"/>
                <w:lang w:eastAsia="en-US"/>
              </w:rPr>
              <w:t xml:space="preserve"> najma ili zakupa viša od porezne obveze poreznog obveznika koji ostvaruje primitke po osnovi </w:t>
            </w:r>
            <w:r w:rsidR="00227969">
              <w:rPr>
                <w:szCs w:val="24"/>
                <w:lang w:eastAsia="en-US"/>
              </w:rPr>
              <w:t>turističkog najma</w:t>
            </w:r>
            <w:r w:rsidRPr="00A439FE">
              <w:rPr>
                <w:szCs w:val="24"/>
                <w:lang w:eastAsia="en-US"/>
              </w:rPr>
              <w:t xml:space="preserve">. </w:t>
            </w:r>
            <w:r w:rsidR="00872F2C" w:rsidRPr="00A439FE">
              <w:rPr>
                <w:szCs w:val="24"/>
                <w:lang w:eastAsia="en-US"/>
              </w:rPr>
              <w:t xml:space="preserve">Navedeno pokazuje neravnomjerno oporezivanje djelatnosti iznajmljivanja nekretnina stoga se predlaže </w:t>
            </w:r>
            <w:r w:rsidR="00227969">
              <w:rPr>
                <w:szCs w:val="24"/>
                <w:lang w:eastAsia="en-US"/>
              </w:rPr>
              <w:t>u</w:t>
            </w:r>
            <w:r w:rsidR="00872F2C" w:rsidRPr="00A439FE">
              <w:rPr>
                <w:szCs w:val="24"/>
                <w:lang w:eastAsia="en-US"/>
              </w:rPr>
              <w:t xml:space="preserve">jednačavanje </w:t>
            </w:r>
            <w:r w:rsidR="00227969">
              <w:rPr>
                <w:szCs w:val="24"/>
                <w:lang w:eastAsia="en-US"/>
              </w:rPr>
              <w:t xml:space="preserve">njihovog </w:t>
            </w:r>
            <w:r w:rsidR="00872F2C" w:rsidRPr="00A439FE">
              <w:rPr>
                <w:szCs w:val="24"/>
                <w:lang w:eastAsia="en-US"/>
              </w:rPr>
              <w:t>poreznog tretmana.</w:t>
            </w:r>
          </w:p>
          <w:p w14:paraId="2CE9862E" w14:textId="77777777" w:rsidR="00C87D21" w:rsidRPr="00A439FE" w:rsidRDefault="00C87D21" w:rsidP="00420170">
            <w:pPr>
              <w:jc w:val="both"/>
              <w:rPr>
                <w:szCs w:val="24"/>
                <w:lang w:eastAsia="en-US"/>
              </w:rPr>
            </w:pPr>
          </w:p>
          <w:p w14:paraId="3150CFC9" w14:textId="09C7BB82" w:rsidR="00D44DA2" w:rsidRPr="00A439FE" w:rsidRDefault="0080795F" w:rsidP="00C245C0">
            <w:pPr>
              <w:jc w:val="both"/>
              <w:rPr>
                <w:szCs w:val="24"/>
              </w:rPr>
            </w:pPr>
            <w:r w:rsidRPr="00A439FE">
              <w:rPr>
                <w:szCs w:val="24"/>
              </w:rPr>
              <w:t>Nadalje, p</w:t>
            </w:r>
            <w:r w:rsidR="00916F30" w:rsidRPr="00A439FE">
              <w:rPr>
                <w:szCs w:val="24"/>
              </w:rPr>
              <w:t xml:space="preserve">ostizanjem veće pravednosti u oporezivanju odnosno </w:t>
            </w:r>
            <w:r w:rsidR="0065552F" w:rsidRPr="00A439FE">
              <w:rPr>
                <w:szCs w:val="24"/>
              </w:rPr>
              <w:t>izjednačavanjem</w:t>
            </w:r>
            <w:r w:rsidR="00916F30" w:rsidRPr="00A439FE">
              <w:rPr>
                <w:szCs w:val="24"/>
              </w:rPr>
              <w:t xml:space="preserve"> poreznog tretmana primitaka ostvarenih po osnovi djelatnosti </w:t>
            </w:r>
            <w:r w:rsidRPr="00A439FE">
              <w:rPr>
                <w:szCs w:val="24"/>
              </w:rPr>
              <w:t xml:space="preserve">iznajmljivanja stanova, soba i postelja putnicima i turistima i organiziranja kampova </w:t>
            </w:r>
            <w:r w:rsidR="0065552F" w:rsidRPr="00A439FE">
              <w:rPr>
                <w:szCs w:val="24"/>
              </w:rPr>
              <w:t>s poreznim tretmanom primitaka ostvarenih po osnovi najma i zakupa nekretnina</w:t>
            </w:r>
            <w:r w:rsidR="00903315" w:rsidRPr="00A439FE">
              <w:rPr>
                <w:szCs w:val="24"/>
              </w:rPr>
              <w:t xml:space="preserve"> </w:t>
            </w:r>
            <w:r w:rsidR="00916F30" w:rsidRPr="00A439FE">
              <w:rPr>
                <w:szCs w:val="24"/>
              </w:rPr>
              <w:t>uz izjednačavanje pripadnosti prihoda poreza na dohodak po osnovi najma i zakupa nekretnina s pripadnosti prihoda ostvarenih po osnovi</w:t>
            </w:r>
            <w:r w:rsidR="00A8455C" w:rsidRPr="00A439FE">
              <w:rPr>
                <w:szCs w:val="24"/>
              </w:rPr>
              <w:t xml:space="preserve"> </w:t>
            </w:r>
            <w:r w:rsidRPr="00A439FE">
              <w:rPr>
                <w:szCs w:val="24"/>
              </w:rPr>
              <w:t>iznajmljivanja stanova, soba i postelja putnicima i turistima i organiziranja kampova</w:t>
            </w:r>
            <w:r w:rsidR="00903315" w:rsidRPr="00A439FE">
              <w:rPr>
                <w:szCs w:val="24"/>
              </w:rPr>
              <w:t xml:space="preserve"> </w:t>
            </w:r>
            <w:r w:rsidR="005E3F00" w:rsidRPr="00A439FE">
              <w:rPr>
                <w:szCs w:val="24"/>
              </w:rPr>
              <w:t>poveća</w:t>
            </w:r>
            <w:r w:rsidR="00696621" w:rsidRPr="00A439FE">
              <w:rPr>
                <w:szCs w:val="24"/>
              </w:rPr>
              <w:t>t će se</w:t>
            </w:r>
            <w:r w:rsidR="005E3F00" w:rsidRPr="00A439FE">
              <w:rPr>
                <w:szCs w:val="24"/>
              </w:rPr>
              <w:t xml:space="preserve"> prihod</w:t>
            </w:r>
            <w:r w:rsidR="00696621" w:rsidRPr="00A439FE">
              <w:rPr>
                <w:szCs w:val="24"/>
              </w:rPr>
              <w:t>i</w:t>
            </w:r>
            <w:r w:rsidR="005E3F00" w:rsidRPr="00A439FE">
              <w:rPr>
                <w:szCs w:val="24"/>
              </w:rPr>
              <w:t xml:space="preserve"> jedinica lokalne samouprave s te osnove</w:t>
            </w:r>
            <w:r w:rsidR="00696621" w:rsidRPr="00A439FE">
              <w:rPr>
                <w:szCs w:val="24"/>
              </w:rPr>
              <w:t xml:space="preserve"> što će ujedno utjecati </w:t>
            </w:r>
            <w:r w:rsidR="00696621" w:rsidRPr="00A439FE">
              <w:rPr>
                <w:iCs/>
              </w:rPr>
              <w:t>na</w:t>
            </w:r>
            <w:r w:rsidR="00B76B8A" w:rsidRPr="00A439FE">
              <w:rPr>
                <w:iCs/>
              </w:rPr>
              <w:t xml:space="preserve"> povećanje </w:t>
            </w:r>
            <w:r w:rsidR="00EE75F1" w:rsidRPr="00A439FE">
              <w:rPr>
                <w:iCs/>
              </w:rPr>
              <w:t>gospodarske aktivnosti</w:t>
            </w:r>
            <w:r w:rsidR="005E3F00" w:rsidRPr="00A439FE">
              <w:rPr>
                <w:iCs/>
              </w:rPr>
              <w:t xml:space="preserve"> </w:t>
            </w:r>
            <w:r w:rsidR="00B76B8A" w:rsidRPr="00A439FE">
              <w:rPr>
                <w:iCs/>
              </w:rPr>
              <w:t>u jedinicama lokalne samouprave</w:t>
            </w:r>
            <w:r w:rsidR="003D01C7" w:rsidRPr="00A439FE">
              <w:rPr>
                <w:iCs/>
              </w:rPr>
              <w:t>.</w:t>
            </w:r>
          </w:p>
          <w:p w14:paraId="6C1FA61A" w14:textId="178A306B" w:rsidR="00903315" w:rsidRPr="00A439FE" w:rsidRDefault="00A9431E" w:rsidP="00903315">
            <w:pPr>
              <w:jc w:val="both"/>
              <w:rPr>
                <w:bCs/>
                <w:iCs/>
              </w:rPr>
            </w:pPr>
            <w:r w:rsidRPr="00A439FE">
              <w:rPr>
                <w:szCs w:val="24"/>
              </w:rPr>
              <w:t xml:space="preserve"> </w:t>
            </w:r>
          </w:p>
        </w:tc>
      </w:tr>
      <w:tr w:rsidR="00E33DE9" w:rsidRPr="00E33DE9" w14:paraId="14612051" w14:textId="77777777" w:rsidTr="003C5672">
        <w:tc>
          <w:tcPr>
            <w:tcW w:w="850" w:type="dxa"/>
          </w:tcPr>
          <w:p w14:paraId="0A2D8CFD" w14:textId="77777777" w:rsidR="00FB4F83" w:rsidRPr="00E33DE9" w:rsidRDefault="00FB4F83" w:rsidP="003C5672">
            <w:r w:rsidRPr="00E33DE9">
              <w:lastRenderedPageBreak/>
              <w:t>5.2.</w:t>
            </w:r>
          </w:p>
        </w:tc>
        <w:tc>
          <w:tcPr>
            <w:tcW w:w="9073" w:type="dxa"/>
            <w:gridSpan w:val="4"/>
          </w:tcPr>
          <w:p w14:paraId="108689CC" w14:textId="77777777" w:rsidR="00FB4F83" w:rsidRPr="00E33DE9" w:rsidRDefault="00FB4F83" w:rsidP="003C5672">
            <w:pPr>
              <w:rPr>
                <w:bCs/>
              </w:rPr>
            </w:pPr>
            <w:r w:rsidRPr="00E33DE9">
              <w:rPr>
                <w:bCs/>
              </w:rPr>
              <w:t>Analiza učinaka i adresata u području održivog razvoja:</w:t>
            </w:r>
          </w:p>
        </w:tc>
      </w:tr>
      <w:tr w:rsidR="00E33DE9" w:rsidRPr="00E33DE9" w14:paraId="0A6C7B69" w14:textId="77777777" w:rsidTr="000434FC">
        <w:tc>
          <w:tcPr>
            <w:tcW w:w="850" w:type="dxa"/>
          </w:tcPr>
          <w:p w14:paraId="6D2188A8" w14:textId="77777777" w:rsidR="00FB4F83" w:rsidRPr="00E33DE9" w:rsidRDefault="00FB4F83" w:rsidP="003C5672"/>
        </w:tc>
        <w:tc>
          <w:tcPr>
            <w:tcW w:w="9073" w:type="dxa"/>
            <w:gridSpan w:val="4"/>
            <w:shd w:val="clear" w:color="auto" w:fill="auto"/>
            <w:vAlign w:val="center"/>
          </w:tcPr>
          <w:p w14:paraId="3A848EF1" w14:textId="467A7EE1" w:rsidR="000434FC" w:rsidRPr="000434FC" w:rsidRDefault="004F3DE8" w:rsidP="000434FC">
            <w:pPr>
              <w:spacing w:after="240"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 xml:space="preserve">Nije utvrđen izravan učinak u području održivog razvoja. </w:t>
            </w:r>
          </w:p>
        </w:tc>
      </w:tr>
      <w:tr w:rsidR="00E33DE9" w:rsidRPr="00E33DE9" w14:paraId="7AA2EDF6" w14:textId="77777777" w:rsidTr="003C5672">
        <w:tc>
          <w:tcPr>
            <w:tcW w:w="850" w:type="dxa"/>
          </w:tcPr>
          <w:p w14:paraId="7EC72609" w14:textId="77777777" w:rsidR="00FB4F83" w:rsidRPr="00E33DE9" w:rsidRDefault="00FB4F83" w:rsidP="003C5672">
            <w:r w:rsidRPr="00E33DE9">
              <w:t>5.3.</w:t>
            </w:r>
          </w:p>
        </w:tc>
        <w:tc>
          <w:tcPr>
            <w:tcW w:w="9073" w:type="dxa"/>
            <w:gridSpan w:val="4"/>
          </w:tcPr>
          <w:p w14:paraId="390B1EA2" w14:textId="77777777" w:rsidR="00FB4F83" w:rsidRPr="00E33DE9" w:rsidRDefault="00FB4F83" w:rsidP="003C5672">
            <w:pPr>
              <w:rPr>
                <w:bCs/>
              </w:rPr>
            </w:pPr>
            <w:r w:rsidRPr="00E33DE9">
              <w:rPr>
                <w:bCs/>
              </w:rPr>
              <w:t>Analiza učinaka i adresata u području socijalne skrbi:</w:t>
            </w:r>
          </w:p>
        </w:tc>
      </w:tr>
      <w:tr w:rsidR="00E33DE9" w:rsidRPr="00E33DE9" w14:paraId="281A4225" w14:textId="77777777" w:rsidTr="003C5672">
        <w:trPr>
          <w:trHeight w:val="269"/>
        </w:trPr>
        <w:tc>
          <w:tcPr>
            <w:tcW w:w="850" w:type="dxa"/>
          </w:tcPr>
          <w:p w14:paraId="578FF0A6" w14:textId="77777777" w:rsidR="00FB4F83" w:rsidRPr="00E33DE9" w:rsidRDefault="00FB4F83" w:rsidP="003C5672"/>
        </w:tc>
        <w:tc>
          <w:tcPr>
            <w:tcW w:w="9073" w:type="dxa"/>
            <w:gridSpan w:val="4"/>
            <w:shd w:val="clear" w:color="auto" w:fill="auto"/>
          </w:tcPr>
          <w:p w14:paraId="480FFAED" w14:textId="64625387" w:rsidR="000434FC" w:rsidRPr="000434FC" w:rsidRDefault="004F3DE8" w:rsidP="000434FC">
            <w:pPr>
              <w:spacing w:after="240"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Nije utvrđen izravan učinak u području socijalne skrbi.</w:t>
            </w:r>
          </w:p>
        </w:tc>
      </w:tr>
      <w:tr w:rsidR="00E33DE9" w:rsidRPr="00E33DE9" w14:paraId="7863CC8F" w14:textId="77777777" w:rsidTr="003C5672">
        <w:tc>
          <w:tcPr>
            <w:tcW w:w="850" w:type="dxa"/>
          </w:tcPr>
          <w:p w14:paraId="12685C70" w14:textId="77777777" w:rsidR="00FB4F83" w:rsidRPr="00E33DE9" w:rsidRDefault="00FB4F83" w:rsidP="003C5672">
            <w:r w:rsidRPr="00E33DE9">
              <w:t>5.4.</w:t>
            </w:r>
          </w:p>
        </w:tc>
        <w:tc>
          <w:tcPr>
            <w:tcW w:w="9073" w:type="dxa"/>
            <w:gridSpan w:val="4"/>
          </w:tcPr>
          <w:p w14:paraId="48AEE3BE" w14:textId="77777777" w:rsidR="00FB4F83" w:rsidRPr="00E33DE9" w:rsidRDefault="00FB4F83" w:rsidP="003C5672">
            <w:pPr>
              <w:rPr>
                <w:bCs/>
              </w:rPr>
            </w:pPr>
            <w:r w:rsidRPr="00E33DE9">
              <w:rPr>
                <w:bCs/>
              </w:rPr>
              <w:t>Analiza učinaka i adresata u području zaštite ljudskih prava:</w:t>
            </w:r>
          </w:p>
        </w:tc>
      </w:tr>
      <w:tr w:rsidR="00E33DE9" w:rsidRPr="00E33DE9" w14:paraId="59BCDBF5" w14:textId="77777777" w:rsidTr="003C5672">
        <w:trPr>
          <w:trHeight w:val="354"/>
        </w:trPr>
        <w:tc>
          <w:tcPr>
            <w:tcW w:w="850" w:type="dxa"/>
          </w:tcPr>
          <w:p w14:paraId="27AB704E" w14:textId="77777777" w:rsidR="00FB4F83" w:rsidRPr="00E33DE9" w:rsidRDefault="00FB4F83" w:rsidP="003C5672"/>
        </w:tc>
        <w:tc>
          <w:tcPr>
            <w:tcW w:w="9073" w:type="dxa"/>
            <w:gridSpan w:val="4"/>
            <w:shd w:val="clear" w:color="auto" w:fill="auto"/>
          </w:tcPr>
          <w:p w14:paraId="7700189B" w14:textId="2B2B616C" w:rsidR="000434FC" w:rsidRPr="000434FC" w:rsidRDefault="004F3DE8" w:rsidP="000434FC">
            <w:pPr>
              <w:spacing w:after="240"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Nije utvrđen izravan učinak u području zaštite ljudskih prava.</w:t>
            </w:r>
          </w:p>
        </w:tc>
      </w:tr>
      <w:tr w:rsidR="00E33DE9" w:rsidRPr="00E33DE9" w14:paraId="361FD6E9" w14:textId="77777777" w:rsidTr="003C5672">
        <w:trPr>
          <w:trHeight w:val="354"/>
        </w:trPr>
        <w:tc>
          <w:tcPr>
            <w:tcW w:w="850" w:type="dxa"/>
          </w:tcPr>
          <w:p w14:paraId="3D4F2457" w14:textId="77777777" w:rsidR="00FB4F83" w:rsidRPr="00E33DE9" w:rsidRDefault="00FB4F83" w:rsidP="003C5672">
            <w:r w:rsidRPr="00E33DE9"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031EB62" w14:textId="77777777" w:rsidR="00FB4F83" w:rsidRPr="00E33DE9" w:rsidRDefault="00FB4F83" w:rsidP="003C5672">
            <w:pPr>
              <w:jc w:val="both"/>
            </w:pPr>
            <w:r w:rsidRPr="00E33DE9">
              <w:rPr>
                <w:bCs/>
              </w:rPr>
              <w:t>Analiza učinaka i adresata u drugim područjima:</w:t>
            </w:r>
          </w:p>
        </w:tc>
      </w:tr>
      <w:tr w:rsidR="00E33DE9" w:rsidRPr="00E33DE9" w14:paraId="2FC6BE70" w14:textId="77777777" w:rsidTr="003C5672">
        <w:trPr>
          <w:trHeight w:val="354"/>
        </w:trPr>
        <w:tc>
          <w:tcPr>
            <w:tcW w:w="850" w:type="dxa"/>
          </w:tcPr>
          <w:p w14:paraId="7E8466FB" w14:textId="77777777" w:rsidR="00FB4F83" w:rsidRPr="00E33DE9" w:rsidRDefault="00FB4F83" w:rsidP="003C5672"/>
        </w:tc>
        <w:tc>
          <w:tcPr>
            <w:tcW w:w="9073" w:type="dxa"/>
            <w:gridSpan w:val="4"/>
            <w:shd w:val="clear" w:color="auto" w:fill="auto"/>
          </w:tcPr>
          <w:p w14:paraId="386FB02F" w14:textId="3A453DFB" w:rsidR="000434FC" w:rsidRPr="000434FC" w:rsidRDefault="004F3DE8" w:rsidP="000434FC">
            <w:pPr>
              <w:spacing w:after="240"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 xml:space="preserve">Nije utvrđen izravan učinak u drugim područjima. </w:t>
            </w:r>
          </w:p>
        </w:tc>
      </w:tr>
      <w:tr w:rsidR="00E33DE9" w:rsidRPr="00E33DE9" w14:paraId="32D6376B" w14:textId="77777777" w:rsidTr="003C5672">
        <w:trPr>
          <w:trHeight w:val="354"/>
        </w:trPr>
        <w:tc>
          <w:tcPr>
            <w:tcW w:w="850" w:type="dxa"/>
          </w:tcPr>
          <w:p w14:paraId="76848D79" w14:textId="77777777" w:rsidR="00FB4F83" w:rsidRPr="00E33DE9" w:rsidRDefault="00FB4F83" w:rsidP="003C5672">
            <w:r w:rsidRPr="00E33DE9"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56346367" w14:textId="77777777" w:rsidR="00FB4F83" w:rsidRPr="00E33DE9" w:rsidRDefault="00FB4F83" w:rsidP="003C5672">
            <w:pPr>
              <w:jc w:val="both"/>
            </w:pPr>
            <w:r w:rsidRPr="00E33DE9">
              <w:t>Izvor podataka:</w:t>
            </w:r>
          </w:p>
        </w:tc>
      </w:tr>
      <w:tr w:rsidR="00E33DE9" w:rsidRPr="00E33DE9" w14:paraId="3FC914F7" w14:textId="77777777" w:rsidTr="003C5672">
        <w:trPr>
          <w:trHeight w:val="354"/>
        </w:trPr>
        <w:tc>
          <w:tcPr>
            <w:tcW w:w="850" w:type="dxa"/>
          </w:tcPr>
          <w:p w14:paraId="5F18C4E8" w14:textId="77777777" w:rsidR="00FB4F83" w:rsidRPr="00E33DE9" w:rsidRDefault="00FB4F83" w:rsidP="003C5672"/>
        </w:tc>
        <w:tc>
          <w:tcPr>
            <w:tcW w:w="9073" w:type="dxa"/>
            <w:gridSpan w:val="4"/>
            <w:shd w:val="clear" w:color="auto" w:fill="auto"/>
          </w:tcPr>
          <w:p w14:paraId="5446EB98" w14:textId="18C3F1C9" w:rsidR="00FB4F83" w:rsidRPr="00E33DE9" w:rsidRDefault="00FB4F83" w:rsidP="003C5672">
            <w:pPr>
              <w:jc w:val="both"/>
            </w:pPr>
          </w:p>
        </w:tc>
      </w:tr>
      <w:tr w:rsidR="00E33DE9" w:rsidRPr="00E33DE9" w14:paraId="3D1E1BE5" w14:textId="77777777" w:rsidTr="003C5672">
        <w:tc>
          <w:tcPr>
            <w:tcW w:w="850" w:type="dxa"/>
          </w:tcPr>
          <w:p w14:paraId="549F1325" w14:textId="77777777" w:rsidR="00FB4F83" w:rsidRPr="00E33DE9" w:rsidRDefault="00FB4F83" w:rsidP="003C5672">
            <w:r w:rsidRPr="00E33DE9">
              <w:t>6.</w:t>
            </w:r>
          </w:p>
        </w:tc>
        <w:tc>
          <w:tcPr>
            <w:tcW w:w="9073" w:type="dxa"/>
            <w:gridSpan w:val="4"/>
          </w:tcPr>
          <w:p w14:paraId="75AE5C76" w14:textId="77777777" w:rsidR="00FB4F83" w:rsidRPr="00E33DE9" w:rsidRDefault="00FB4F83" w:rsidP="003C5672">
            <w:pPr>
              <w:rPr>
                <w:b/>
              </w:rPr>
            </w:pPr>
            <w:r w:rsidRPr="00E33DE9">
              <w:rPr>
                <w:b/>
              </w:rPr>
              <w:t>SAVJETOVANJE I KONZULTACIJE</w:t>
            </w:r>
          </w:p>
        </w:tc>
      </w:tr>
      <w:tr w:rsidR="00E33DE9" w:rsidRPr="00E33DE9" w14:paraId="0D8E87DC" w14:textId="77777777" w:rsidTr="003C5672">
        <w:tc>
          <w:tcPr>
            <w:tcW w:w="850" w:type="dxa"/>
          </w:tcPr>
          <w:p w14:paraId="4720F1F0" w14:textId="77777777" w:rsidR="00FB4F83" w:rsidRPr="00E33DE9" w:rsidRDefault="00FB4F83" w:rsidP="003C5672">
            <w:r w:rsidRPr="00E33DE9">
              <w:t>6.1.</w:t>
            </w:r>
          </w:p>
        </w:tc>
        <w:tc>
          <w:tcPr>
            <w:tcW w:w="9073" w:type="dxa"/>
            <w:gridSpan w:val="4"/>
          </w:tcPr>
          <w:p w14:paraId="55EE648B" w14:textId="77777777" w:rsidR="00FB4F83" w:rsidRPr="00E33DE9" w:rsidRDefault="00FB4F83" w:rsidP="003C5672">
            <w:pPr>
              <w:rPr>
                <w:bCs/>
              </w:rPr>
            </w:pPr>
            <w:r w:rsidRPr="00E33DE9">
              <w:rPr>
                <w:bCs/>
              </w:rPr>
              <w:t>Savjetovanje:</w:t>
            </w:r>
          </w:p>
          <w:p w14:paraId="359418F7" w14:textId="105691E2" w:rsidR="00C83C24" w:rsidRPr="00E33DE9" w:rsidRDefault="00C83C24" w:rsidP="00AE7B40">
            <w:pPr>
              <w:jc w:val="both"/>
              <w:rPr>
                <w:i/>
              </w:rPr>
            </w:pPr>
          </w:p>
        </w:tc>
      </w:tr>
      <w:tr w:rsidR="00E33DE9" w:rsidRPr="00E33DE9" w14:paraId="7E30345D" w14:textId="77777777" w:rsidTr="003C5672">
        <w:trPr>
          <w:trHeight w:val="425"/>
        </w:trPr>
        <w:tc>
          <w:tcPr>
            <w:tcW w:w="850" w:type="dxa"/>
          </w:tcPr>
          <w:p w14:paraId="2FFECB61" w14:textId="77777777" w:rsidR="00FB4F83" w:rsidRPr="00E33DE9" w:rsidRDefault="00FB4F83" w:rsidP="003C5672">
            <w:r w:rsidRPr="00E33DE9"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5CCD1484" w14:textId="77777777" w:rsidR="00FB4F83" w:rsidRPr="00E33DE9" w:rsidRDefault="00FB4F83" w:rsidP="003C5672">
            <w:pPr>
              <w:contextualSpacing/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Konzultacije:</w:t>
            </w:r>
          </w:p>
          <w:p w14:paraId="4298E258" w14:textId="50BB0F63" w:rsidR="00C83C24" w:rsidRPr="00E33DE9" w:rsidRDefault="00C83C24" w:rsidP="003C5672">
            <w:pPr>
              <w:contextualSpacing/>
              <w:jc w:val="both"/>
              <w:rPr>
                <w:szCs w:val="24"/>
              </w:rPr>
            </w:pPr>
          </w:p>
        </w:tc>
      </w:tr>
      <w:tr w:rsidR="00E33DE9" w:rsidRPr="00E33DE9" w14:paraId="748A2A21" w14:textId="77777777" w:rsidTr="003C5672">
        <w:tc>
          <w:tcPr>
            <w:tcW w:w="850" w:type="dxa"/>
          </w:tcPr>
          <w:p w14:paraId="694AE74F" w14:textId="77777777" w:rsidR="00FB4F83" w:rsidRPr="00E33DE9" w:rsidRDefault="00FB4F83" w:rsidP="003C5672">
            <w:r w:rsidRPr="00E33DE9">
              <w:t>7.</w:t>
            </w:r>
          </w:p>
        </w:tc>
        <w:tc>
          <w:tcPr>
            <w:tcW w:w="9073" w:type="dxa"/>
            <w:gridSpan w:val="4"/>
          </w:tcPr>
          <w:p w14:paraId="7998C352" w14:textId="77777777" w:rsidR="00FB4F83" w:rsidRPr="00E33DE9" w:rsidRDefault="00FB4F83" w:rsidP="003C5672">
            <w:pPr>
              <w:rPr>
                <w:b/>
                <w:bCs/>
              </w:rPr>
            </w:pPr>
            <w:r w:rsidRPr="00E33DE9">
              <w:rPr>
                <w:b/>
                <w:bCs/>
              </w:rPr>
              <w:t>ZAKLJUČAK</w:t>
            </w:r>
          </w:p>
        </w:tc>
      </w:tr>
      <w:tr w:rsidR="00E33DE9" w:rsidRPr="00E33DE9" w14:paraId="3C920843" w14:textId="77777777" w:rsidTr="003C5672">
        <w:tc>
          <w:tcPr>
            <w:tcW w:w="850" w:type="dxa"/>
          </w:tcPr>
          <w:p w14:paraId="737F323D" w14:textId="77777777" w:rsidR="00FB4F83" w:rsidRPr="00E33DE9" w:rsidRDefault="00FB4F83" w:rsidP="003C5672">
            <w:r w:rsidRPr="00E33DE9">
              <w:t>7.1.</w:t>
            </w:r>
          </w:p>
        </w:tc>
        <w:tc>
          <w:tcPr>
            <w:tcW w:w="4112" w:type="dxa"/>
            <w:gridSpan w:val="2"/>
          </w:tcPr>
          <w:p w14:paraId="71B750E8" w14:textId="77777777" w:rsidR="00FB4F83" w:rsidRPr="00E33DE9" w:rsidRDefault="00FB4F83" w:rsidP="003C5672">
            <w:r w:rsidRPr="00E33DE9">
              <w:t>Pozitivni učinci:</w:t>
            </w:r>
          </w:p>
          <w:p w14:paraId="362BDCA1" w14:textId="77777777" w:rsidR="00696621" w:rsidRPr="00E33DE9" w:rsidRDefault="00696621" w:rsidP="00696621">
            <w:pPr>
              <w:jc w:val="both"/>
              <w:rPr>
                <w:iCs/>
              </w:rPr>
            </w:pPr>
            <w:r w:rsidRPr="00E33DE9">
              <w:rPr>
                <w:iCs/>
              </w:rPr>
              <w:lastRenderedPageBreak/>
              <w:t>- stvaranje poticajnog okruženja za povratak iseljenih hrvatskih državljana u Republiku Hrvatsku i njihovo zapošljavanje</w:t>
            </w:r>
          </w:p>
          <w:p w14:paraId="4CC7E405" w14:textId="692830AF" w:rsidR="006F1228" w:rsidRPr="00E33DE9" w:rsidRDefault="005B0989" w:rsidP="00AE7B40">
            <w:pPr>
              <w:jc w:val="both"/>
              <w:rPr>
                <w:iCs/>
              </w:rPr>
            </w:pPr>
            <w:r w:rsidRPr="00E33DE9">
              <w:rPr>
                <w:iCs/>
              </w:rPr>
              <w:t>- s</w:t>
            </w:r>
            <w:r w:rsidR="00AE7B40" w:rsidRPr="00E33DE9">
              <w:rPr>
                <w:iCs/>
              </w:rPr>
              <w:t xml:space="preserve">manjenje poreznog </w:t>
            </w:r>
            <w:r w:rsidR="00AE7B40" w:rsidRPr="00696621">
              <w:rPr>
                <w:iCs/>
              </w:rPr>
              <w:t>opterećenja</w:t>
            </w:r>
            <w:r w:rsidR="0042219F">
              <w:t xml:space="preserve"> odnosno </w:t>
            </w:r>
            <w:r w:rsidR="0042219F" w:rsidRPr="0042219F">
              <w:rPr>
                <w:iCs/>
              </w:rPr>
              <w:t>povećanje raspoloživog dohotka fizičkih osoba</w:t>
            </w:r>
            <w:r w:rsidRPr="00E33DE9">
              <w:rPr>
                <w:iCs/>
              </w:rPr>
              <w:t xml:space="preserve"> </w:t>
            </w:r>
            <w:r w:rsidR="00420170" w:rsidRPr="00E33DE9">
              <w:rPr>
                <w:iCs/>
              </w:rPr>
              <w:t>(građana i poduzetnika)</w:t>
            </w:r>
            <w:r w:rsidR="006F1228" w:rsidRPr="00E33DE9">
              <w:rPr>
                <w:iCs/>
              </w:rPr>
              <w:t xml:space="preserve"> </w:t>
            </w:r>
          </w:p>
          <w:p w14:paraId="427FD9F3" w14:textId="1A497E3A" w:rsidR="006F1228" w:rsidRPr="00E33DE9" w:rsidRDefault="00642D49" w:rsidP="00AE7B40">
            <w:pPr>
              <w:jc w:val="both"/>
              <w:rPr>
                <w:iCs/>
              </w:rPr>
            </w:pPr>
            <w:r w:rsidRPr="00E33DE9">
              <w:rPr>
                <w:iCs/>
              </w:rPr>
              <w:t>- smanjenje negativnih učinaka inflacije</w:t>
            </w:r>
          </w:p>
          <w:p w14:paraId="76229EB3" w14:textId="7786ED9D" w:rsidR="00C54743" w:rsidRPr="00E33DE9" w:rsidRDefault="00C54743" w:rsidP="00AE7B40">
            <w:pPr>
              <w:jc w:val="both"/>
              <w:rPr>
                <w:iCs/>
              </w:rPr>
            </w:pPr>
            <w:r w:rsidRPr="00E33DE9">
              <w:rPr>
                <w:iCs/>
              </w:rPr>
              <w:t>- stvaranje povoljnijih uvjeta za poslodavce da zadrže stručnu radnu snagu u Republici Hrvatskoj</w:t>
            </w:r>
          </w:p>
          <w:p w14:paraId="2BAD1D27" w14:textId="0E40923C" w:rsidR="00C54743" w:rsidRPr="00227969" w:rsidRDefault="00C54743" w:rsidP="00AE7B40">
            <w:pPr>
              <w:jc w:val="both"/>
              <w:rPr>
                <w:iCs/>
              </w:rPr>
            </w:pPr>
            <w:r w:rsidRPr="00E33DE9">
              <w:rPr>
                <w:iCs/>
              </w:rPr>
              <w:t xml:space="preserve">- </w:t>
            </w:r>
            <w:r w:rsidR="00FE1798" w:rsidRPr="00227969">
              <w:rPr>
                <w:iCs/>
              </w:rPr>
              <w:t xml:space="preserve">pravednije oporezivanje fizičkih osoba koje ostvaruju </w:t>
            </w:r>
            <w:r w:rsidR="0080795F" w:rsidRPr="00227969">
              <w:rPr>
                <w:iCs/>
              </w:rPr>
              <w:t xml:space="preserve">primitke od </w:t>
            </w:r>
            <w:r w:rsidR="0080795F" w:rsidRPr="00227969">
              <w:rPr>
                <w:szCs w:val="24"/>
              </w:rPr>
              <w:t>iznajmljivanja stanova, soba i postelja putnicima i turistima i organiziranja kampova</w:t>
            </w:r>
            <w:r w:rsidR="003A2950" w:rsidRPr="00227969">
              <w:rPr>
                <w:szCs w:val="24"/>
              </w:rPr>
              <w:t xml:space="preserve"> sukladno indeksu turističke razvijenosti jedinice lokalne samouprave u kojoj se nekretnina koja se iznajmljuje nalazi</w:t>
            </w:r>
            <w:r w:rsidR="00207C20" w:rsidRPr="00227969">
              <w:rPr>
                <w:szCs w:val="24"/>
              </w:rPr>
              <w:t>.</w:t>
            </w:r>
          </w:p>
          <w:p w14:paraId="20A7D323" w14:textId="384A857D" w:rsidR="00850915" w:rsidRPr="00E33DE9" w:rsidRDefault="00850915" w:rsidP="009A7798">
            <w:pPr>
              <w:jc w:val="both"/>
              <w:rPr>
                <w:i/>
              </w:rPr>
            </w:pPr>
          </w:p>
        </w:tc>
        <w:tc>
          <w:tcPr>
            <w:tcW w:w="4961" w:type="dxa"/>
            <w:gridSpan w:val="2"/>
          </w:tcPr>
          <w:p w14:paraId="615BAD1F" w14:textId="77777777" w:rsidR="00FB4F83" w:rsidRPr="00E33DE9" w:rsidRDefault="00FB4F83" w:rsidP="003C5672">
            <w:r w:rsidRPr="00E33DE9">
              <w:lastRenderedPageBreak/>
              <w:t>Negativni učinci:</w:t>
            </w:r>
          </w:p>
          <w:p w14:paraId="5133AF35" w14:textId="5E5A87C5" w:rsidR="00FB4F83" w:rsidRPr="00E33DE9" w:rsidRDefault="003A17CC" w:rsidP="003C5672">
            <w:r w:rsidRPr="00E33DE9">
              <w:lastRenderedPageBreak/>
              <w:t>Nisu utvrđeni negativni učinci.</w:t>
            </w:r>
          </w:p>
          <w:p w14:paraId="150D5C13" w14:textId="7F9AD4D5" w:rsidR="00A9431E" w:rsidRPr="00E33DE9" w:rsidRDefault="00A9431E" w:rsidP="003C5672"/>
        </w:tc>
      </w:tr>
      <w:tr w:rsidR="00E33DE9" w:rsidRPr="00E33DE9" w14:paraId="2041771E" w14:textId="77777777" w:rsidTr="003C5672">
        <w:tc>
          <w:tcPr>
            <w:tcW w:w="850" w:type="dxa"/>
          </w:tcPr>
          <w:p w14:paraId="4953D77E" w14:textId="77777777" w:rsidR="00FB4F83" w:rsidRPr="00E33DE9" w:rsidRDefault="00FB4F83" w:rsidP="003C5672">
            <w:r w:rsidRPr="00E33DE9">
              <w:lastRenderedPageBreak/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307EDEDB" w14:textId="77777777" w:rsidR="00FB4F83" w:rsidRPr="00E33DE9" w:rsidRDefault="00FB4F83" w:rsidP="003C5672">
            <w:pPr>
              <w:jc w:val="both"/>
            </w:pPr>
            <w:r w:rsidRPr="00E33DE9">
              <w:t>Zaključak o učincima koji će proisteći iz provedbe:</w:t>
            </w:r>
          </w:p>
          <w:p w14:paraId="1489B7A5" w14:textId="77777777" w:rsidR="006F1228" w:rsidRPr="00E33DE9" w:rsidRDefault="006F1228" w:rsidP="003C5672">
            <w:pPr>
              <w:jc w:val="both"/>
            </w:pPr>
          </w:p>
          <w:p w14:paraId="0A2437CA" w14:textId="77777777" w:rsidR="009A7798" w:rsidRPr="00E33DE9" w:rsidRDefault="005B0989" w:rsidP="00132840">
            <w:pPr>
              <w:jc w:val="both"/>
              <w:rPr>
                <w:szCs w:val="24"/>
              </w:rPr>
            </w:pPr>
            <w:r w:rsidRPr="00E33DE9">
              <w:rPr>
                <w:szCs w:val="24"/>
              </w:rPr>
              <w:t>Smanjen</w:t>
            </w:r>
            <w:r w:rsidR="00132840" w:rsidRPr="00E33DE9">
              <w:rPr>
                <w:szCs w:val="24"/>
              </w:rPr>
              <w:t>j</w:t>
            </w:r>
            <w:r w:rsidRPr="00E33DE9">
              <w:rPr>
                <w:szCs w:val="24"/>
              </w:rPr>
              <w:t>e</w:t>
            </w:r>
            <w:r w:rsidR="00132840" w:rsidRPr="00E33DE9">
              <w:rPr>
                <w:szCs w:val="24"/>
              </w:rPr>
              <w:t>m</w:t>
            </w:r>
            <w:r w:rsidRPr="00E33DE9">
              <w:rPr>
                <w:szCs w:val="24"/>
              </w:rPr>
              <w:t xml:space="preserve"> poreznog opterećenja fizičkih osoba </w:t>
            </w:r>
            <w:r w:rsidR="00132840" w:rsidRPr="00E33DE9">
              <w:rPr>
                <w:szCs w:val="24"/>
              </w:rPr>
              <w:t xml:space="preserve">koje ostvaruju godišnje dohotke </w:t>
            </w:r>
            <w:r w:rsidRPr="00E33DE9">
              <w:rPr>
                <w:szCs w:val="24"/>
              </w:rPr>
              <w:t xml:space="preserve">povećat će se </w:t>
            </w:r>
            <w:r w:rsidR="00132840" w:rsidRPr="00E33DE9">
              <w:rPr>
                <w:szCs w:val="24"/>
              </w:rPr>
              <w:t xml:space="preserve">njihov </w:t>
            </w:r>
            <w:r w:rsidRPr="00E33DE9">
              <w:rPr>
                <w:szCs w:val="24"/>
              </w:rPr>
              <w:t xml:space="preserve">raspoloživi dohodak što će posljedično utjecati na povećanje potrošnje </w:t>
            </w:r>
            <w:r w:rsidR="00132840" w:rsidRPr="00E33DE9">
              <w:rPr>
                <w:szCs w:val="24"/>
              </w:rPr>
              <w:t>te</w:t>
            </w:r>
            <w:r w:rsidRPr="00E33DE9">
              <w:rPr>
                <w:szCs w:val="24"/>
              </w:rPr>
              <w:t xml:space="preserve"> doprinijeti ukupnom gospodarskom razvoju</w:t>
            </w:r>
            <w:r w:rsidR="00132840" w:rsidRPr="00E33DE9">
              <w:rPr>
                <w:szCs w:val="24"/>
              </w:rPr>
              <w:t>.</w:t>
            </w:r>
          </w:p>
          <w:p w14:paraId="283921DD" w14:textId="601BCB1F" w:rsidR="0055686F" w:rsidRDefault="00207C20" w:rsidP="00132840">
            <w:pPr>
              <w:jc w:val="both"/>
              <w:rPr>
                <w:szCs w:val="24"/>
              </w:rPr>
            </w:pPr>
            <w:r w:rsidRPr="00227969">
              <w:rPr>
                <w:szCs w:val="24"/>
              </w:rPr>
              <w:t xml:space="preserve">Predloženim načinom </w:t>
            </w:r>
            <w:r w:rsidR="009A7798" w:rsidRPr="00227969">
              <w:rPr>
                <w:szCs w:val="24"/>
              </w:rPr>
              <w:t>oporezivanj</w:t>
            </w:r>
            <w:r w:rsidR="006D1290" w:rsidRPr="00227969">
              <w:rPr>
                <w:szCs w:val="24"/>
              </w:rPr>
              <w:t>a</w:t>
            </w:r>
            <w:r w:rsidR="009A7798" w:rsidRPr="00227969">
              <w:rPr>
                <w:szCs w:val="24"/>
              </w:rPr>
              <w:t xml:space="preserve"> </w:t>
            </w:r>
            <w:r w:rsidR="0069780B" w:rsidRPr="00227969">
              <w:rPr>
                <w:szCs w:val="24"/>
              </w:rPr>
              <w:t xml:space="preserve">primitaka od </w:t>
            </w:r>
            <w:r w:rsidR="0080795F" w:rsidRPr="00227969">
              <w:rPr>
                <w:szCs w:val="24"/>
              </w:rPr>
              <w:t xml:space="preserve">iznajmljivanja stanova, soba i postelja putnicima i turistima i organiziranja kampova </w:t>
            </w:r>
            <w:r w:rsidR="009A7798" w:rsidRPr="00227969">
              <w:rPr>
                <w:szCs w:val="24"/>
              </w:rPr>
              <w:t>koj</w:t>
            </w:r>
            <w:r w:rsidR="00E42754" w:rsidRPr="00227969">
              <w:rPr>
                <w:szCs w:val="24"/>
              </w:rPr>
              <w:t>i</w:t>
            </w:r>
            <w:r w:rsidR="009A7798" w:rsidRPr="00227969">
              <w:rPr>
                <w:szCs w:val="24"/>
              </w:rPr>
              <w:t xml:space="preserve"> se temelji </w:t>
            </w:r>
            <w:r w:rsidR="004B0990" w:rsidRPr="00227969">
              <w:rPr>
                <w:szCs w:val="24"/>
              </w:rPr>
              <w:t xml:space="preserve">na </w:t>
            </w:r>
            <w:r w:rsidR="004B0990" w:rsidRPr="00227969">
              <w:rPr>
                <w:szCs w:val="24"/>
                <w:lang w:eastAsia="en-US"/>
              </w:rPr>
              <w:t>visini poreza utvrđenoj prema indeksu turističke razvijenosti</w:t>
            </w:r>
            <w:r w:rsidR="009A7798" w:rsidRPr="00227969">
              <w:rPr>
                <w:szCs w:val="24"/>
              </w:rPr>
              <w:t xml:space="preserve"> zadržava se jednostavnost </w:t>
            </w:r>
            <w:r w:rsidR="0055686F" w:rsidRPr="00227969">
              <w:rPr>
                <w:szCs w:val="24"/>
              </w:rPr>
              <w:t xml:space="preserve">u oporezivanju ove vrste ostvarivanja prihoda, ali se istovremeno stvara razlika u poreznom opterećenju ovisno o mogućnosti ostvarivanja prihoda. </w:t>
            </w:r>
          </w:p>
          <w:p w14:paraId="0E38487C" w14:textId="76730BF0" w:rsidR="00FB4F83" w:rsidRPr="00E33DE9" w:rsidRDefault="00FB4F83" w:rsidP="00870B9B">
            <w:pPr>
              <w:jc w:val="both"/>
            </w:pPr>
          </w:p>
        </w:tc>
      </w:tr>
      <w:tr w:rsidR="00E33DE9" w:rsidRPr="00E33DE9" w14:paraId="400AB010" w14:textId="77777777" w:rsidTr="003C5672">
        <w:tc>
          <w:tcPr>
            <w:tcW w:w="850" w:type="dxa"/>
          </w:tcPr>
          <w:p w14:paraId="0A838AF9" w14:textId="77777777" w:rsidR="00FB4F83" w:rsidRPr="00E33DE9" w:rsidRDefault="00FB4F83" w:rsidP="003C5672">
            <w:pPr>
              <w:rPr>
                <w:b/>
                <w:bCs/>
              </w:rPr>
            </w:pPr>
            <w:r w:rsidRPr="00E33DE9">
              <w:rPr>
                <w:b/>
                <w:bCs/>
              </w:rPr>
              <w:t>8.</w:t>
            </w:r>
          </w:p>
        </w:tc>
        <w:tc>
          <w:tcPr>
            <w:tcW w:w="9073" w:type="dxa"/>
            <w:gridSpan w:val="4"/>
          </w:tcPr>
          <w:p w14:paraId="73773A76" w14:textId="77777777" w:rsidR="00FB4F83" w:rsidRPr="00E33DE9" w:rsidRDefault="00FB4F83" w:rsidP="003C5672">
            <w:pPr>
              <w:rPr>
                <w:b/>
                <w:szCs w:val="24"/>
              </w:rPr>
            </w:pPr>
            <w:r w:rsidRPr="00E33DE9">
              <w:rPr>
                <w:b/>
                <w:szCs w:val="24"/>
              </w:rPr>
              <w:t>PRILOZI</w:t>
            </w:r>
          </w:p>
        </w:tc>
      </w:tr>
      <w:tr w:rsidR="00E33DE9" w:rsidRPr="00E33DE9" w14:paraId="0A63F314" w14:textId="77777777" w:rsidTr="003C5672">
        <w:tc>
          <w:tcPr>
            <w:tcW w:w="850" w:type="dxa"/>
          </w:tcPr>
          <w:p w14:paraId="75111E91" w14:textId="77777777" w:rsidR="00FB4F83" w:rsidRPr="00E33DE9" w:rsidRDefault="00FB4F83" w:rsidP="003C5672">
            <w:r w:rsidRPr="00E33DE9">
              <w:t>8.1</w:t>
            </w:r>
          </w:p>
        </w:tc>
        <w:tc>
          <w:tcPr>
            <w:tcW w:w="9073" w:type="dxa"/>
            <w:gridSpan w:val="4"/>
          </w:tcPr>
          <w:p w14:paraId="2CCE88D4" w14:textId="77777777" w:rsidR="00FB4F83" w:rsidRPr="00E33DE9" w:rsidRDefault="00FB4F83" w:rsidP="003C5672">
            <w:pPr>
              <w:rPr>
                <w:bCs/>
                <w:szCs w:val="24"/>
              </w:rPr>
            </w:pPr>
            <w:r w:rsidRPr="00E33DE9">
              <w:rPr>
                <w:bCs/>
                <w:szCs w:val="24"/>
              </w:rPr>
              <w:t>Dokumenti u prilogu:</w:t>
            </w:r>
          </w:p>
        </w:tc>
      </w:tr>
      <w:tr w:rsidR="00E33DE9" w:rsidRPr="00E33DE9" w14:paraId="334AC059" w14:textId="77777777" w:rsidTr="003C5672">
        <w:tc>
          <w:tcPr>
            <w:tcW w:w="850" w:type="dxa"/>
          </w:tcPr>
          <w:p w14:paraId="3770F360" w14:textId="77777777" w:rsidR="00FB4F83" w:rsidRPr="00E33DE9" w:rsidRDefault="00FB4F83" w:rsidP="003C5672"/>
        </w:tc>
        <w:tc>
          <w:tcPr>
            <w:tcW w:w="9073" w:type="dxa"/>
            <w:gridSpan w:val="4"/>
          </w:tcPr>
          <w:p w14:paraId="03356AB1" w14:textId="77777777" w:rsidR="00FB4F83" w:rsidRPr="00E33DE9" w:rsidRDefault="00FB4F83" w:rsidP="003C5672">
            <w:pPr>
              <w:rPr>
                <w:b/>
                <w:szCs w:val="24"/>
              </w:rPr>
            </w:pPr>
          </w:p>
        </w:tc>
      </w:tr>
      <w:tr w:rsidR="00E33DE9" w:rsidRPr="00E33DE9" w14:paraId="1EFCF328" w14:textId="77777777" w:rsidTr="003C5672">
        <w:tc>
          <w:tcPr>
            <w:tcW w:w="850" w:type="dxa"/>
          </w:tcPr>
          <w:p w14:paraId="55C1EB14" w14:textId="77777777" w:rsidR="00FB4F83" w:rsidRPr="00E33DE9" w:rsidRDefault="00FB4F83" w:rsidP="003C5672">
            <w:pPr>
              <w:rPr>
                <w:b/>
                <w:bCs/>
              </w:rPr>
            </w:pPr>
            <w:r w:rsidRPr="00E33DE9">
              <w:rPr>
                <w:b/>
                <w:bCs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0B643975" w14:textId="77777777" w:rsidR="00FB4F83" w:rsidRPr="00E33DE9" w:rsidRDefault="00FB4F83" w:rsidP="003C5672">
            <w:pPr>
              <w:rPr>
                <w:b/>
                <w:szCs w:val="24"/>
              </w:rPr>
            </w:pPr>
            <w:r w:rsidRPr="00E33DE9">
              <w:rPr>
                <w:b/>
                <w:szCs w:val="24"/>
              </w:rPr>
              <w:t>OVJERA ČELNIKA STRUČNOG NOSITELJA</w:t>
            </w:r>
          </w:p>
        </w:tc>
      </w:tr>
      <w:tr w:rsidR="00E33DE9" w:rsidRPr="00E33DE9" w14:paraId="4FE81E62" w14:textId="77777777" w:rsidTr="003C5672">
        <w:tc>
          <w:tcPr>
            <w:tcW w:w="850" w:type="dxa"/>
          </w:tcPr>
          <w:p w14:paraId="6908FB1A" w14:textId="77777777" w:rsidR="00FB4F83" w:rsidRPr="00E33DE9" w:rsidRDefault="00FB4F83" w:rsidP="003C5672">
            <w:pPr>
              <w:rPr>
                <w:b/>
                <w:bCs/>
              </w:rPr>
            </w:pPr>
          </w:p>
        </w:tc>
        <w:tc>
          <w:tcPr>
            <w:tcW w:w="9073" w:type="dxa"/>
            <w:gridSpan w:val="4"/>
          </w:tcPr>
          <w:p w14:paraId="564EF3DA" w14:textId="13ED6172" w:rsidR="00E01F30" w:rsidRPr="00E33DE9" w:rsidRDefault="00E01F30" w:rsidP="00E01F30">
            <w:pPr>
              <w:jc w:val="both"/>
              <w:rPr>
                <w:rFonts w:eastAsia="Times New Roman"/>
                <w:szCs w:val="24"/>
              </w:rPr>
            </w:pPr>
            <w:r w:rsidRPr="00E33DE9">
              <w:rPr>
                <w:rFonts w:eastAsia="Times New Roman"/>
                <w:szCs w:val="24"/>
              </w:rPr>
              <w:t xml:space="preserve">Potpis: dr. sc. Marko Primorac, </w:t>
            </w:r>
            <w:r w:rsidR="004C1485" w:rsidRPr="0053113D">
              <w:rPr>
                <w:rFonts w:eastAsia="Times New Roman"/>
                <w:szCs w:val="24"/>
              </w:rPr>
              <w:t>potpredsjednik Vlade Republike Hrvatske i</w:t>
            </w:r>
            <w:r w:rsidR="004C1485" w:rsidRPr="00E33DE9">
              <w:rPr>
                <w:rFonts w:eastAsia="Times New Roman"/>
                <w:szCs w:val="24"/>
              </w:rPr>
              <w:t xml:space="preserve"> </w:t>
            </w:r>
            <w:r w:rsidRPr="00E33DE9">
              <w:rPr>
                <w:rFonts w:eastAsia="Times New Roman"/>
                <w:szCs w:val="24"/>
              </w:rPr>
              <w:t>ministar financija</w:t>
            </w:r>
          </w:p>
          <w:p w14:paraId="2DEDC5BE" w14:textId="77777777" w:rsidR="00E01F30" w:rsidRPr="00E33DE9" w:rsidRDefault="00E01F30" w:rsidP="00E01F30">
            <w:pPr>
              <w:shd w:val="clear" w:color="auto" w:fill="FFFFFF"/>
              <w:jc w:val="both"/>
              <w:rPr>
                <w:rFonts w:eastAsia="Times New Roman"/>
                <w:szCs w:val="24"/>
              </w:rPr>
            </w:pPr>
          </w:p>
          <w:p w14:paraId="18960FC8" w14:textId="1EB4BA21" w:rsidR="00FB4F83" w:rsidRPr="00E33DE9" w:rsidRDefault="00E01F30" w:rsidP="00E01F30">
            <w:pPr>
              <w:rPr>
                <w:b/>
                <w:szCs w:val="24"/>
              </w:rPr>
            </w:pPr>
            <w:r w:rsidRPr="00E33DE9">
              <w:rPr>
                <w:rFonts w:eastAsia="Times New Roman"/>
                <w:szCs w:val="24"/>
              </w:rPr>
              <w:t>Datum</w:t>
            </w:r>
            <w:r w:rsidRPr="00227969">
              <w:rPr>
                <w:rFonts w:eastAsia="Times New Roman"/>
                <w:szCs w:val="24"/>
              </w:rPr>
              <w:t xml:space="preserve">: </w:t>
            </w:r>
            <w:r w:rsidR="00A8455C" w:rsidRPr="00227969">
              <w:rPr>
                <w:rFonts w:eastAsia="Times New Roman"/>
                <w:szCs w:val="24"/>
              </w:rPr>
              <w:t xml:space="preserve"> </w:t>
            </w:r>
            <w:r w:rsidR="0054085D" w:rsidRPr="00227969">
              <w:rPr>
                <w:rFonts w:eastAsia="Times New Roman"/>
                <w:szCs w:val="24"/>
              </w:rPr>
              <w:t>24</w:t>
            </w:r>
            <w:r w:rsidRPr="00227969">
              <w:rPr>
                <w:rFonts w:eastAsia="Times New Roman"/>
                <w:szCs w:val="24"/>
              </w:rPr>
              <w:t xml:space="preserve">. </w:t>
            </w:r>
            <w:r w:rsidR="0054085D" w:rsidRPr="00227969">
              <w:rPr>
                <w:rFonts w:eastAsia="Times New Roman"/>
                <w:szCs w:val="24"/>
              </w:rPr>
              <w:t>rujna</w:t>
            </w:r>
            <w:r w:rsidRPr="00227969">
              <w:rPr>
                <w:rFonts w:eastAsia="Times New Roman"/>
                <w:szCs w:val="24"/>
              </w:rPr>
              <w:t xml:space="preserve"> 2024.</w:t>
            </w:r>
          </w:p>
        </w:tc>
      </w:tr>
      <w:bookmarkEnd w:id="0"/>
    </w:tbl>
    <w:p w14:paraId="1F6474DE" w14:textId="77777777" w:rsidR="001444FC" w:rsidRPr="00E33DE9" w:rsidRDefault="001444FC" w:rsidP="001444FC">
      <w:pPr>
        <w:spacing w:line="276" w:lineRule="auto"/>
        <w:ind w:left="5666" w:hanging="142"/>
        <w:rPr>
          <w:sz w:val="22"/>
        </w:rPr>
      </w:pPr>
    </w:p>
    <w:p w14:paraId="2BB86B09" w14:textId="77777777" w:rsidR="001444FC" w:rsidRPr="00E33DE9" w:rsidRDefault="001444FC" w:rsidP="001444FC">
      <w:pPr>
        <w:spacing w:line="276" w:lineRule="auto"/>
        <w:ind w:left="5666" w:hanging="142"/>
        <w:rPr>
          <w:sz w:val="22"/>
        </w:rPr>
      </w:pPr>
    </w:p>
    <w:sectPr w:rsidR="001444FC" w:rsidRPr="00E33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7E93" w14:textId="77777777" w:rsidR="00DC41A7" w:rsidRDefault="00DC41A7" w:rsidP="00787B78">
      <w:r>
        <w:separator/>
      </w:r>
    </w:p>
  </w:endnote>
  <w:endnote w:type="continuationSeparator" w:id="0">
    <w:p w14:paraId="6685EF8B" w14:textId="77777777" w:rsidR="00DC41A7" w:rsidRDefault="00DC41A7" w:rsidP="0078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487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3DBB9" w14:textId="77777777" w:rsidR="00787B78" w:rsidRDefault="00787B7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3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610C17" w14:textId="77777777" w:rsidR="00787B78" w:rsidRDefault="00787B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B73C" w14:textId="77777777" w:rsidR="00DC41A7" w:rsidRDefault="00DC41A7" w:rsidP="00787B78">
      <w:r>
        <w:separator/>
      </w:r>
    </w:p>
  </w:footnote>
  <w:footnote w:type="continuationSeparator" w:id="0">
    <w:p w14:paraId="204C8018" w14:textId="77777777" w:rsidR="00DC41A7" w:rsidRDefault="00DC41A7" w:rsidP="0078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CD3"/>
    <w:multiLevelType w:val="hybridMultilevel"/>
    <w:tmpl w:val="76BEEC46"/>
    <w:lvl w:ilvl="0" w:tplc="67F24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42B"/>
    <w:multiLevelType w:val="hybridMultilevel"/>
    <w:tmpl w:val="569C1CE0"/>
    <w:lvl w:ilvl="0" w:tplc="C72C9D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729E9"/>
    <w:multiLevelType w:val="hybridMultilevel"/>
    <w:tmpl w:val="080E5D0C"/>
    <w:lvl w:ilvl="0" w:tplc="6D4C7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B7FD2"/>
    <w:multiLevelType w:val="hybridMultilevel"/>
    <w:tmpl w:val="047A2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D0FA3"/>
    <w:multiLevelType w:val="hybridMultilevel"/>
    <w:tmpl w:val="35B6DECC"/>
    <w:lvl w:ilvl="0" w:tplc="67F24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22DF3"/>
    <w:multiLevelType w:val="hybridMultilevel"/>
    <w:tmpl w:val="60CCDFE8"/>
    <w:lvl w:ilvl="0" w:tplc="C6928B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51D14"/>
    <w:multiLevelType w:val="hybridMultilevel"/>
    <w:tmpl w:val="67CC6C34"/>
    <w:lvl w:ilvl="0" w:tplc="67F246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427DD"/>
    <w:multiLevelType w:val="hybridMultilevel"/>
    <w:tmpl w:val="D68A21A6"/>
    <w:lvl w:ilvl="0" w:tplc="A52E8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28352">
    <w:abstractNumId w:val="4"/>
  </w:num>
  <w:num w:numId="2" w16cid:durableId="1177840581">
    <w:abstractNumId w:val="3"/>
  </w:num>
  <w:num w:numId="3" w16cid:durableId="712577479">
    <w:abstractNumId w:val="0"/>
  </w:num>
  <w:num w:numId="4" w16cid:durableId="1987858806">
    <w:abstractNumId w:val="8"/>
  </w:num>
  <w:num w:numId="5" w16cid:durableId="336422915">
    <w:abstractNumId w:val="6"/>
  </w:num>
  <w:num w:numId="6" w16cid:durableId="1284732481">
    <w:abstractNumId w:val="5"/>
  </w:num>
  <w:num w:numId="7" w16cid:durableId="419177867">
    <w:abstractNumId w:val="9"/>
  </w:num>
  <w:num w:numId="8" w16cid:durableId="1601528070">
    <w:abstractNumId w:val="7"/>
  </w:num>
  <w:num w:numId="9" w16cid:durableId="1954941069">
    <w:abstractNumId w:val="2"/>
  </w:num>
  <w:num w:numId="10" w16cid:durableId="142483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80"/>
    <w:rsid w:val="00013133"/>
    <w:rsid w:val="000162F7"/>
    <w:rsid w:val="00020303"/>
    <w:rsid w:val="000434FC"/>
    <w:rsid w:val="00044151"/>
    <w:rsid w:val="00044495"/>
    <w:rsid w:val="00047428"/>
    <w:rsid w:val="00055680"/>
    <w:rsid w:val="00060E8B"/>
    <w:rsid w:val="00072CE7"/>
    <w:rsid w:val="000A4713"/>
    <w:rsid w:val="000D1D2D"/>
    <w:rsid w:val="000E1864"/>
    <w:rsid w:val="000E6F75"/>
    <w:rsid w:val="000E76CF"/>
    <w:rsid w:val="000F7D32"/>
    <w:rsid w:val="001019FF"/>
    <w:rsid w:val="00104047"/>
    <w:rsid w:val="00114FAA"/>
    <w:rsid w:val="001259F5"/>
    <w:rsid w:val="00132840"/>
    <w:rsid w:val="00132D57"/>
    <w:rsid w:val="001444FC"/>
    <w:rsid w:val="001461F2"/>
    <w:rsid w:val="00146745"/>
    <w:rsid w:val="00147982"/>
    <w:rsid w:val="001550D2"/>
    <w:rsid w:val="00166761"/>
    <w:rsid w:val="00167542"/>
    <w:rsid w:val="0017315D"/>
    <w:rsid w:val="00175DD1"/>
    <w:rsid w:val="001763C6"/>
    <w:rsid w:val="00185A55"/>
    <w:rsid w:val="0019681D"/>
    <w:rsid w:val="001B1052"/>
    <w:rsid w:val="001D4D84"/>
    <w:rsid w:val="001F2291"/>
    <w:rsid w:val="001F3F76"/>
    <w:rsid w:val="00200461"/>
    <w:rsid w:val="00206AC2"/>
    <w:rsid w:val="00207C20"/>
    <w:rsid w:val="0022489B"/>
    <w:rsid w:val="002256A6"/>
    <w:rsid w:val="00227969"/>
    <w:rsid w:val="00250CF9"/>
    <w:rsid w:val="00254E0E"/>
    <w:rsid w:val="00261194"/>
    <w:rsid w:val="002676B0"/>
    <w:rsid w:val="00270016"/>
    <w:rsid w:val="00275ADF"/>
    <w:rsid w:val="00284B45"/>
    <w:rsid w:val="0029089A"/>
    <w:rsid w:val="0029202D"/>
    <w:rsid w:val="002A03CE"/>
    <w:rsid w:val="002A4A05"/>
    <w:rsid w:val="002A61D7"/>
    <w:rsid w:val="002B2EFA"/>
    <w:rsid w:val="002C457D"/>
    <w:rsid w:val="002D3161"/>
    <w:rsid w:val="002D38AF"/>
    <w:rsid w:val="002D3D45"/>
    <w:rsid w:val="002D7D72"/>
    <w:rsid w:val="002E4470"/>
    <w:rsid w:val="00315537"/>
    <w:rsid w:val="00321ABD"/>
    <w:rsid w:val="003302D0"/>
    <w:rsid w:val="0033194D"/>
    <w:rsid w:val="0033722F"/>
    <w:rsid w:val="00337437"/>
    <w:rsid w:val="00337B06"/>
    <w:rsid w:val="00361F67"/>
    <w:rsid w:val="0036730D"/>
    <w:rsid w:val="003739B2"/>
    <w:rsid w:val="003A17CC"/>
    <w:rsid w:val="003A26D4"/>
    <w:rsid w:val="003A2950"/>
    <w:rsid w:val="003B2A36"/>
    <w:rsid w:val="003B2C9B"/>
    <w:rsid w:val="003C0085"/>
    <w:rsid w:val="003C5A10"/>
    <w:rsid w:val="003C75F3"/>
    <w:rsid w:val="003D01C7"/>
    <w:rsid w:val="003D04AF"/>
    <w:rsid w:val="003D0966"/>
    <w:rsid w:val="003E2CE6"/>
    <w:rsid w:val="003F353C"/>
    <w:rsid w:val="004018DD"/>
    <w:rsid w:val="00413199"/>
    <w:rsid w:val="0041600D"/>
    <w:rsid w:val="00420170"/>
    <w:rsid w:val="00421F2A"/>
    <w:rsid w:val="0042219F"/>
    <w:rsid w:val="004229D9"/>
    <w:rsid w:val="00423B42"/>
    <w:rsid w:val="00423D68"/>
    <w:rsid w:val="00424C51"/>
    <w:rsid w:val="0043130F"/>
    <w:rsid w:val="004341C9"/>
    <w:rsid w:val="004343DD"/>
    <w:rsid w:val="00435B76"/>
    <w:rsid w:val="00443821"/>
    <w:rsid w:val="00445F1E"/>
    <w:rsid w:val="00446F3C"/>
    <w:rsid w:val="00454FC3"/>
    <w:rsid w:val="0047424D"/>
    <w:rsid w:val="00474346"/>
    <w:rsid w:val="00475E79"/>
    <w:rsid w:val="004775C1"/>
    <w:rsid w:val="00482D3C"/>
    <w:rsid w:val="00491327"/>
    <w:rsid w:val="00491485"/>
    <w:rsid w:val="00495428"/>
    <w:rsid w:val="004A1FF4"/>
    <w:rsid w:val="004B0990"/>
    <w:rsid w:val="004B11D1"/>
    <w:rsid w:val="004B3289"/>
    <w:rsid w:val="004C08B5"/>
    <w:rsid w:val="004C1485"/>
    <w:rsid w:val="004F3DE8"/>
    <w:rsid w:val="00504EA3"/>
    <w:rsid w:val="00522995"/>
    <w:rsid w:val="0053113D"/>
    <w:rsid w:val="0054085D"/>
    <w:rsid w:val="0055089C"/>
    <w:rsid w:val="005547D1"/>
    <w:rsid w:val="0055686F"/>
    <w:rsid w:val="00570744"/>
    <w:rsid w:val="00581FBF"/>
    <w:rsid w:val="00591833"/>
    <w:rsid w:val="005A27B5"/>
    <w:rsid w:val="005B0989"/>
    <w:rsid w:val="005C79B7"/>
    <w:rsid w:val="005D3693"/>
    <w:rsid w:val="005D4D21"/>
    <w:rsid w:val="005E23A8"/>
    <w:rsid w:val="005E3F00"/>
    <w:rsid w:val="00605008"/>
    <w:rsid w:val="006103C0"/>
    <w:rsid w:val="00611C60"/>
    <w:rsid w:val="006148AB"/>
    <w:rsid w:val="00621C05"/>
    <w:rsid w:val="006363CF"/>
    <w:rsid w:val="00636B40"/>
    <w:rsid w:val="00640DCB"/>
    <w:rsid w:val="00642D49"/>
    <w:rsid w:val="00653A29"/>
    <w:rsid w:val="0065552F"/>
    <w:rsid w:val="0065581D"/>
    <w:rsid w:val="006602F8"/>
    <w:rsid w:val="00664D02"/>
    <w:rsid w:val="00672CED"/>
    <w:rsid w:val="00687583"/>
    <w:rsid w:val="0069275F"/>
    <w:rsid w:val="00696621"/>
    <w:rsid w:val="006975BC"/>
    <w:rsid w:val="0069780B"/>
    <w:rsid w:val="006A0639"/>
    <w:rsid w:val="006A5F23"/>
    <w:rsid w:val="006C09CC"/>
    <w:rsid w:val="006C77B6"/>
    <w:rsid w:val="006D1290"/>
    <w:rsid w:val="006D1740"/>
    <w:rsid w:val="006D5603"/>
    <w:rsid w:val="006D7C0E"/>
    <w:rsid w:val="006E523E"/>
    <w:rsid w:val="006F1228"/>
    <w:rsid w:val="006F4901"/>
    <w:rsid w:val="006F55BA"/>
    <w:rsid w:val="00721199"/>
    <w:rsid w:val="00741C81"/>
    <w:rsid w:val="0075768C"/>
    <w:rsid w:val="0075792B"/>
    <w:rsid w:val="00760C68"/>
    <w:rsid w:val="00761082"/>
    <w:rsid w:val="00763851"/>
    <w:rsid w:val="00765EEB"/>
    <w:rsid w:val="00770474"/>
    <w:rsid w:val="0077238B"/>
    <w:rsid w:val="007763BD"/>
    <w:rsid w:val="00776636"/>
    <w:rsid w:val="00783F25"/>
    <w:rsid w:val="00787B78"/>
    <w:rsid w:val="007C51FF"/>
    <w:rsid w:val="007D014D"/>
    <w:rsid w:val="007D36A4"/>
    <w:rsid w:val="007E1AF5"/>
    <w:rsid w:val="007F02B1"/>
    <w:rsid w:val="00803B87"/>
    <w:rsid w:val="0080795F"/>
    <w:rsid w:val="00815AB1"/>
    <w:rsid w:val="00831B4B"/>
    <w:rsid w:val="008322DE"/>
    <w:rsid w:val="008446A3"/>
    <w:rsid w:val="00846BE5"/>
    <w:rsid w:val="00847ABA"/>
    <w:rsid w:val="00850915"/>
    <w:rsid w:val="0086170F"/>
    <w:rsid w:val="00870791"/>
    <w:rsid w:val="00870B9B"/>
    <w:rsid w:val="00872F2C"/>
    <w:rsid w:val="00876BA8"/>
    <w:rsid w:val="00883E7D"/>
    <w:rsid w:val="00891605"/>
    <w:rsid w:val="008C06BE"/>
    <w:rsid w:val="008C6DFF"/>
    <w:rsid w:val="008E5224"/>
    <w:rsid w:val="008E6E79"/>
    <w:rsid w:val="008F1FBE"/>
    <w:rsid w:val="008F3ACE"/>
    <w:rsid w:val="00903315"/>
    <w:rsid w:val="00916F30"/>
    <w:rsid w:val="009272C1"/>
    <w:rsid w:val="00930407"/>
    <w:rsid w:val="0093182D"/>
    <w:rsid w:val="009334B6"/>
    <w:rsid w:val="009367D5"/>
    <w:rsid w:val="00937995"/>
    <w:rsid w:val="00945CE5"/>
    <w:rsid w:val="009606DD"/>
    <w:rsid w:val="00965824"/>
    <w:rsid w:val="00986CC2"/>
    <w:rsid w:val="00986FEB"/>
    <w:rsid w:val="009909C3"/>
    <w:rsid w:val="00995E43"/>
    <w:rsid w:val="009A03A3"/>
    <w:rsid w:val="009A6193"/>
    <w:rsid w:val="009A7798"/>
    <w:rsid w:val="009B0C5A"/>
    <w:rsid w:val="009C4373"/>
    <w:rsid w:val="009C7290"/>
    <w:rsid w:val="009D4F64"/>
    <w:rsid w:val="009D7BA9"/>
    <w:rsid w:val="009E3677"/>
    <w:rsid w:val="009F6F8A"/>
    <w:rsid w:val="009F7AC4"/>
    <w:rsid w:val="00A0506F"/>
    <w:rsid w:val="00A332BA"/>
    <w:rsid w:val="00A33F75"/>
    <w:rsid w:val="00A36C6B"/>
    <w:rsid w:val="00A36D57"/>
    <w:rsid w:val="00A41CB8"/>
    <w:rsid w:val="00A4243D"/>
    <w:rsid w:val="00A439FE"/>
    <w:rsid w:val="00A55ECD"/>
    <w:rsid w:val="00A675F4"/>
    <w:rsid w:val="00A70780"/>
    <w:rsid w:val="00A8455C"/>
    <w:rsid w:val="00A9431E"/>
    <w:rsid w:val="00AA14F6"/>
    <w:rsid w:val="00AA31FB"/>
    <w:rsid w:val="00AA370A"/>
    <w:rsid w:val="00AA66BA"/>
    <w:rsid w:val="00AA78AA"/>
    <w:rsid w:val="00AC183F"/>
    <w:rsid w:val="00AC382E"/>
    <w:rsid w:val="00AC7880"/>
    <w:rsid w:val="00AD4037"/>
    <w:rsid w:val="00AD69B0"/>
    <w:rsid w:val="00AE7B40"/>
    <w:rsid w:val="00AF043D"/>
    <w:rsid w:val="00B17FE8"/>
    <w:rsid w:val="00B21A55"/>
    <w:rsid w:val="00B21C31"/>
    <w:rsid w:val="00B23DCF"/>
    <w:rsid w:val="00B33C69"/>
    <w:rsid w:val="00B4078F"/>
    <w:rsid w:val="00B410C1"/>
    <w:rsid w:val="00B45AEC"/>
    <w:rsid w:val="00B45E28"/>
    <w:rsid w:val="00B51772"/>
    <w:rsid w:val="00B5752B"/>
    <w:rsid w:val="00B6232A"/>
    <w:rsid w:val="00B64A33"/>
    <w:rsid w:val="00B7284D"/>
    <w:rsid w:val="00B75471"/>
    <w:rsid w:val="00B76B8A"/>
    <w:rsid w:val="00B80772"/>
    <w:rsid w:val="00BB10B8"/>
    <w:rsid w:val="00BF23B8"/>
    <w:rsid w:val="00BF6EC7"/>
    <w:rsid w:val="00C04D27"/>
    <w:rsid w:val="00C167CD"/>
    <w:rsid w:val="00C22F82"/>
    <w:rsid w:val="00C24064"/>
    <w:rsid w:val="00C245C0"/>
    <w:rsid w:val="00C40C72"/>
    <w:rsid w:val="00C45215"/>
    <w:rsid w:val="00C54743"/>
    <w:rsid w:val="00C60193"/>
    <w:rsid w:val="00C63CF2"/>
    <w:rsid w:val="00C83C24"/>
    <w:rsid w:val="00C87D21"/>
    <w:rsid w:val="00C9571D"/>
    <w:rsid w:val="00C96E32"/>
    <w:rsid w:val="00C974C7"/>
    <w:rsid w:val="00CB02D2"/>
    <w:rsid w:val="00CB1388"/>
    <w:rsid w:val="00CB7924"/>
    <w:rsid w:val="00CD1C5B"/>
    <w:rsid w:val="00CD1D4F"/>
    <w:rsid w:val="00CD254C"/>
    <w:rsid w:val="00CD5A13"/>
    <w:rsid w:val="00CD70A6"/>
    <w:rsid w:val="00CE5D6B"/>
    <w:rsid w:val="00CE5F1F"/>
    <w:rsid w:val="00CF3B70"/>
    <w:rsid w:val="00D0121C"/>
    <w:rsid w:val="00D160AD"/>
    <w:rsid w:val="00D34683"/>
    <w:rsid w:val="00D424A4"/>
    <w:rsid w:val="00D44DA2"/>
    <w:rsid w:val="00D452AF"/>
    <w:rsid w:val="00D463F2"/>
    <w:rsid w:val="00D556FE"/>
    <w:rsid w:val="00D60F06"/>
    <w:rsid w:val="00D61E5A"/>
    <w:rsid w:val="00D64744"/>
    <w:rsid w:val="00D67BE5"/>
    <w:rsid w:val="00D70EAA"/>
    <w:rsid w:val="00D866D9"/>
    <w:rsid w:val="00D93565"/>
    <w:rsid w:val="00D9671E"/>
    <w:rsid w:val="00D9797F"/>
    <w:rsid w:val="00DB5E8D"/>
    <w:rsid w:val="00DC41A7"/>
    <w:rsid w:val="00DF1AF1"/>
    <w:rsid w:val="00E008DA"/>
    <w:rsid w:val="00E01F30"/>
    <w:rsid w:val="00E02C14"/>
    <w:rsid w:val="00E211B0"/>
    <w:rsid w:val="00E307FF"/>
    <w:rsid w:val="00E33DE9"/>
    <w:rsid w:val="00E37EA7"/>
    <w:rsid w:val="00E42754"/>
    <w:rsid w:val="00E43CA6"/>
    <w:rsid w:val="00E43FF6"/>
    <w:rsid w:val="00E50667"/>
    <w:rsid w:val="00E6756A"/>
    <w:rsid w:val="00E76133"/>
    <w:rsid w:val="00E771C4"/>
    <w:rsid w:val="00EB67BC"/>
    <w:rsid w:val="00EC7347"/>
    <w:rsid w:val="00ED16EA"/>
    <w:rsid w:val="00EE40E6"/>
    <w:rsid w:val="00EE41F3"/>
    <w:rsid w:val="00EE75F1"/>
    <w:rsid w:val="00EF4A24"/>
    <w:rsid w:val="00EF7FCE"/>
    <w:rsid w:val="00F023FC"/>
    <w:rsid w:val="00F05CE1"/>
    <w:rsid w:val="00F136FA"/>
    <w:rsid w:val="00F45969"/>
    <w:rsid w:val="00F61988"/>
    <w:rsid w:val="00F633B5"/>
    <w:rsid w:val="00F7078B"/>
    <w:rsid w:val="00F75AEC"/>
    <w:rsid w:val="00F859E3"/>
    <w:rsid w:val="00FA179E"/>
    <w:rsid w:val="00FA4A8C"/>
    <w:rsid w:val="00FB4F83"/>
    <w:rsid w:val="00FC5A3E"/>
    <w:rsid w:val="00FD2ABE"/>
    <w:rsid w:val="00FD5B96"/>
    <w:rsid w:val="00FE03AF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F61"/>
  <w15:docId w15:val="{638F6449-19CE-4D85-82A0-185882C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80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A03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0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5680"/>
    <w:pPr>
      <w:ind w:left="720"/>
      <w:contextualSpacing/>
    </w:pPr>
  </w:style>
  <w:style w:type="table" w:styleId="Reetkatablice">
    <w:name w:val="Table Grid"/>
    <w:basedOn w:val="Obinatablica"/>
    <w:uiPriority w:val="39"/>
    <w:rsid w:val="0005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05568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87B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7B78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87B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7B78"/>
    <w:rPr>
      <w:rFonts w:ascii="Times New Roman" w:eastAsia="Calibri" w:hAnsi="Times New Roman" w:cs="Times New Roman"/>
      <w:sz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F4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2A03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A0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50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06F"/>
    <w:rPr>
      <w:rFonts w:ascii="Segoe UI" w:eastAsia="Calibri" w:hAnsi="Segoe UI" w:cs="Segoe UI"/>
      <w:sz w:val="18"/>
      <w:szCs w:val="18"/>
      <w:lang w:eastAsia="hr-HR"/>
    </w:rPr>
  </w:style>
  <w:style w:type="character" w:customStyle="1" w:styleId="preformatted-text">
    <w:name w:val="preformatted-text"/>
    <w:basedOn w:val="Zadanifontodlomka"/>
    <w:rsid w:val="00A9431E"/>
  </w:style>
  <w:style w:type="paragraph" w:styleId="Revizija">
    <w:name w:val="Revision"/>
    <w:hidden/>
    <w:uiPriority w:val="99"/>
    <w:semiHidden/>
    <w:rsid w:val="00CE5F1F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customStyle="1" w:styleId="box470887">
    <w:name w:val="box_470887"/>
    <w:basedOn w:val="Normal"/>
    <w:rsid w:val="00B64A3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x472184">
    <w:name w:val="box_472184"/>
    <w:basedOn w:val="Normal"/>
    <w:rsid w:val="00B64A33"/>
    <w:pPr>
      <w:spacing w:before="100" w:beforeAutospacing="1" w:after="100" w:afterAutospacing="1"/>
    </w:pPr>
    <w:rPr>
      <w:rFonts w:eastAsia="Times New Roman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D70A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D70A6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D70A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91AD-D0C6-42F8-AFA8-76FAB42B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2942</Words>
  <Characters>16774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Monika Prekrat</cp:lastModifiedBy>
  <cp:revision>2</cp:revision>
  <cp:lastPrinted>2024-09-24T10:48:00Z</cp:lastPrinted>
  <dcterms:created xsi:type="dcterms:W3CDTF">2024-09-25T07:55:00Z</dcterms:created>
  <dcterms:modified xsi:type="dcterms:W3CDTF">2024-09-25T07:55:00Z</dcterms:modified>
</cp:coreProperties>
</file>