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D3" w:rsidRDefault="004A6A6C" w:rsidP="00125B03">
      <w:pPr>
        <w:pStyle w:val="Title"/>
        <w:divId w:val="1601988038"/>
      </w:pPr>
      <w:r>
        <w:rPr>
          <w:rStyle w:val="defaultparagraphfont0"/>
        </w:rPr>
        <w:t>NACRT PRIJE</w:t>
      </w:r>
      <w:bookmarkStart w:id="0" w:name="_GoBack"/>
      <w:bookmarkEnd w:id="0"/>
      <w:r>
        <w:rPr>
          <w:rStyle w:val="defaultparagraphfont0"/>
        </w:rPr>
        <w:t xml:space="preserve">DLOGA ISKAZA O PROCJENI UČINAKA PROPISA ZA </w:t>
      </w:r>
      <w:r w:rsidR="00B732DA">
        <w:rPr>
          <w:rStyle w:val="defaultparagraphfont0"/>
        </w:rPr>
        <w:t xml:space="preserve">NACRT </w:t>
      </w:r>
      <w:r>
        <w:rPr>
          <w:rStyle w:val="defaultparagraphfont0"/>
        </w:rPr>
        <w:t>PRIJEDLOG</w:t>
      </w:r>
      <w:r w:rsidR="00B732DA">
        <w:rPr>
          <w:rStyle w:val="defaultparagraphfont0"/>
        </w:rPr>
        <w:t>A</w:t>
      </w:r>
      <w:r>
        <w:rPr>
          <w:rStyle w:val="defaultparagraphfont0"/>
        </w:rPr>
        <w:t xml:space="preserve"> ZAKONA O </w:t>
      </w:r>
      <w:r w:rsidR="001D10B0">
        <w:rPr>
          <w:rStyle w:val="defaultparagraphfont0"/>
        </w:rPr>
        <w:t>JAVNOJ NABAVI</w:t>
      </w:r>
      <w:r>
        <w:t xml:space="preserve">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1. PROBLEM </w:t>
      </w:r>
    </w:p>
    <w:p w:rsidR="002C03A6" w:rsidRDefault="001D10B0" w:rsidP="00015651">
      <w:pPr>
        <w:rPr>
          <w:rStyle w:val="defaultparagraphfont-000003"/>
          <w:b/>
          <w:bCs/>
        </w:rPr>
      </w:pPr>
      <w:r w:rsidRPr="001D10B0">
        <w:rPr>
          <w:rStyle w:val="defaultparagraphfont-000003"/>
        </w:rPr>
        <w:t xml:space="preserve">Zakon o javnoj nabavi (Narodne novine 90/11, 83/13, 143/13 i 13/14) predstavlja </w:t>
      </w:r>
      <w:proofErr w:type="spellStart"/>
      <w:r>
        <w:rPr>
          <w:rStyle w:val="defaultparagraphfont-000003"/>
        </w:rPr>
        <w:t>opće</w:t>
      </w:r>
      <w:r w:rsidRPr="001D10B0">
        <w:rPr>
          <w:rStyle w:val="defaultparagraphfont-000003"/>
        </w:rPr>
        <w:t>normativni</w:t>
      </w:r>
      <w:proofErr w:type="spellEnd"/>
      <w:r w:rsidRPr="001D10B0">
        <w:rPr>
          <w:rStyle w:val="defaultparagraphfont-000003"/>
        </w:rPr>
        <w:t xml:space="preserve"> okvir kojim </w:t>
      </w:r>
      <w:r>
        <w:rPr>
          <w:rStyle w:val="defaultparagraphfont-000003"/>
        </w:rPr>
        <w:t>se uređuje</w:t>
      </w:r>
      <w:r w:rsidRPr="001D10B0">
        <w:rPr>
          <w:rStyle w:val="defaultparagraphfont-000003"/>
        </w:rPr>
        <w:t xml:space="preserve"> sustav javne nabave u Republici Hrvatskoj. Odredbama Zakona o javnoj nabavi </w:t>
      </w:r>
      <w:r w:rsidR="002C03A6" w:rsidRPr="002C03A6">
        <w:rPr>
          <w:rStyle w:val="defaultparagraphfont-000003"/>
        </w:rPr>
        <w:t>uređuju</w:t>
      </w:r>
      <w:r w:rsidR="008A7885">
        <w:rPr>
          <w:rStyle w:val="defaultparagraphfont-000003"/>
        </w:rPr>
        <w:t xml:space="preserve"> se</w:t>
      </w:r>
      <w:r w:rsidR="002C03A6" w:rsidRPr="002C03A6">
        <w:rPr>
          <w:rStyle w:val="defaultparagraphfont-000003"/>
        </w:rPr>
        <w:t xml:space="preserve"> postupci sklapanja ugovora o javnoj nabavi i okvirnih sporazuma radi nabave robe, radova ili usluga, pravna zaštita u vezi s tim postupcima i nadležnost središnjeg tijela državne uprave nadležnog za sustav javne nabave.</w:t>
      </w:r>
    </w:p>
    <w:p w:rsidR="001D10B0" w:rsidRPr="001D10B0" w:rsidRDefault="001D10B0" w:rsidP="00015651">
      <w:pPr>
        <w:rPr>
          <w:rStyle w:val="defaultparagraphfont-000003"/>
          <w:b/>
          <w:bCs/>
        </w:rPr>
      </w:pPr>
      <w:r w:rsidRPr="001D10B0">
        <w:rPr>
          <w:rStyle w:val="defaultparagraphfont-000003"/>
        </w:rPr>
        <w:t xml:space="preserve">U </w:t>
      </w:r>
      <w:r w:rsidR="002C03A6">
        <w:rPr>
          <w:rStyle w:val="defaultparagraphfont-000003"/>
        </w:rPr>
        <w:t>veljači 2014. godine na razini Europske unije usvojene su tri nove direktive u području javne nabave</w:t>
      </w:r>
      <w:r w:rsidRPr="001D10B0">
        <w:rPr>
          <w:rStyle w:val="defaultparagraphfont-000003"/>
        </w:rPr>
        <w:t>:</w:t>
      </w:r>
      <w:r w:rsidR="002C03A6">
        <w:rPr>
          <w:rStyle w:val="defaultparagraphfont-000003"/>
        </w:rPr>
        <w:t xml:space="preserve"> </w:t>
      </w:r>
      <w:r w:rsidRPr="001D10B0">
        <w:rPr>
          <w:rStyle w:val="defaultparagraphfont-000003"/>
        </w:rPr>
        <w:t>Direktiva 2014/24/EU Europskog parlamenta i Vijeća od 26. veljače 2014. godine o javnoj nabavi i o stavljanju izvan snage Direktive 2004/18/EZ</w:t>
      </w:r>
      <w:r w:rsidR="002C03A6">
        <w:rPr>
          <w:rStyle w:val="defaultparagraphfont-000003"/>
        </w:rPr>
        <w:t xml:space="preserve">, </w:t>
      </w:r>
      <w:r w:rsidRPr="001D10B0">
        <w:rPr>
          <w:rStyle w:val="defaultparagraphfont-000003"/>
        </w:rPr>
        <w:t>Direktiva 2014/25/EU Europskog parlamenta i Vijeća od 26. veljače 2014. godine o nabavi subjekata koji djeluju u sektoru vodnog gospodarstva, energetskom i prometnom sektoru te sektoru poštanskih usluga i stavljanju i</w:t>
      </w:r>
      <w:r w:rsidR="002C03A6">
        <w:rPr>
          <w:rStyle w:val="defaultparagraphfont-000003"/>
        </w:rPr>
        <w:t xml:space="preserve">zvan snage Direktive 2004/17/EZ te </w:t>
      </w:r>
      <w:r w:rsidRPr="001D10B0">
        <w:rPr>
          <w:rStyle w:val="defaultparagraphfont-000003"/>
        </w:rPr>
        <w:t>Direktiva 2014/23/EU Europskog parlamenta i Vijeća od 26. veljače 2014. o dodjeli ugovora o koncesiji.</w:t>
      </w:r>
      <w:r w:rsidR="002C03A6">
        <w:rPr>
          <w:rStyle w:val="defaultparagraphfont-000003"/>
        </w:rPr>
        <w:t xml:space="preserve"> Navedene direktive stupile su na snagu 18. travnja 2014. godine s rokom za transpoziciju od dvije godine.</w:t>
      </w:r>
    </w:p>
    <w:p w:rsidR="001D10B0" w:rsidRPr="001D10B0" w:rsidRDefault="001D10B0" w:rsidP="00015651">
      <w:pPr>
        <w:rPr>
          <w:rStyle w:val="defaultparagraphfont-000003"/>
          <w:b/>
          <w:bCs/>
        </w:rPr>
      </w:pPr>
      <w:r w:rsidRPr="001D10B0">
        <w:rPr>
          <w:rStyle w:val="defaultparagraphfont-000003"/>
        </w:rPr>
        <w:t xml:space="preserve">Određena normativna rješenja </w:t>
      </w:r>
      <w:r w:rsidR="002C03A6">
        <w:rPr>
          <w:rStyle w:val="defaultparagraphfont-000003"/>
        </w:rPr>
        <w:t>iz novih</w:t>
      </w:r>
      <w:r w:rsidRPr="001D10B0">
        <w:rPr>
          <w:rStyle w:val="defaultparagraphfont-000003"/>
        </w:rPr>
        <w:t xml:space="preserve"> direktiva su bila sadržana u prijašnjim direktivama</w:t>
      </w:r>
      <w:r w:rsidR="002C03A6">
        <w:rPr>
          <w:rStyle w:val="defaultparagraphfont-000003"/>
        </w:rPr>
        <w:t xml:space="preserve"> iz područja javne nabave ili predstavljaju kodifikaciju sudske prakse Suda Europske unije</w:t>
      </w:r>
      <w:r w:rsidRPr="001D10B0">
        <w:rPr>
          <w:rStyle w:val="defaultparagraphfont-000003"/>
        </w:rPr>
        <w:t xml:space="preserve"> te su</w:t>
      </w:r>
      <w:r w:rsidR="002C03A6">
        <w:rPr>
          <w:rStyle w:val="defaultparagraphfont-000003"/>
        </w:rPr>
        <w:t xml:space="preserve"> već implementirana u važeći</w:t>
      </w:r>
      <w:r w:rsidRPr="001D10B0">
        <w:rPr>
          <w:rStyle w:val="defaultparagraphfont-000003"/>
        </w:rPr>
        <w:t xml:space="preserve"> Zakon o javnoj o nabavi. Međutim, </w:t>
      </w:r>
      <w:r w:rsidR="00D004EA">
        <w:rPr>
          <w:rStyle w:val="defaultparagraphfont-000003"/>
        </w:rPr>
        <w:t xml:space="preserve">u nacionalno zakonodavstvo </w:t>
      </w:r>
      <w:r w:rsidRPr="001D10B0">
        <w:rPr>
          <w:rStyle w:val="defaultparagraphfont-000003"/>
        </w:rPr>
        <w:t xml:space="preserve">potrebno je </w:t>
      </w:r>
      <w:r w:rsidR="00D004EA">
        <w:rPr>
          <w:rStyle w:val="defaultparagraphfont-000003"/>
        </w:rPr>
        <w:t xml:space="preserve">transponirati </w:t>
      </w:r>
      <w:r w:rsidRPr="001D10B0">
        <w:rPr>
          <w:rStyle w:val="defaultparagraphfont-000003"/>
        </w:rPr>
        <w:t>nov</w:t>
      </w:r>
      <w:r w:rsidR="00D004EA">
        <w:rPr>
          <w:rStyle w:val="defaultparagraphfont-000003"/>
        </w:rPr>
        <w:t>a</w:t>
      </w:r>
      <w:r w:rsidRPr="001D10B0">
        <w:rPr>
          <w:rStyle w:val="defaultparagraphfont-000003"/>
        </w:rPr>
        <w:t xml:space="preserve"> rješenja koja nisu bila sadržana u </w:t>
      </w:r>
      <w:r w:rsidR="008A7885">
        <w:rPr>
          <w:rStyle w:val="defaultparagraphfont-000003"/>
        </w:rPr>
        <w:t>prethodnim</w:t>
      </w:r>
      <w:r w:rsidRPr="001D10B0">
        <w:rPr>
          <w:rStyle w:val="defaultparagraphfont-000003"/>
        </w:rPr>
        <w:t xml:space="preserve"> direktivama</w:t>
      </w:r>
      <w:r w:rsidR="00D004EA">
        <w:rPr>
          <w:rStyle w:val="defaultparagraphfont-000003"/>
        </w:rPr>
        <w:t>.</w:t>
      </w:r>
      <w:r w:rsidRPr="001D10B0">
        <w:rPr>
          <w:rStyle w:val="defaultparagraphfont-000003"/>
        </w:rPr>
        <w:t xml:space="preserve"> </w:t>
      </w:r>
      <w:r w:rsidR="00D004EA">
        <w:rPr>
          <w:rStyle w:val="defaultparagraphfont-000003"/>
        </w:rPr>
        <w:t xml:space="preserve">Odredbe novih direktiva imaju za cilj povećanje </w:t>
      </w:r>
      <w:r w:rsidR="00D004EA" w:rsidRPr="001D10B0">
        <w:rPr>
          <w:rStyle w:val="defaultparagraphfont-000003"/>
        </w:rPr>
        <w:t xml:space="preserve">transparentnosti i fleksibilnosti </w:t>
      </w:r>
      <w:r w:rsidR="00D004EA">
        <w:rPr>
          <w:rStyle w:val="defaultparagraphfont-000003"/>
        </w:rPr>
        <w:t>postupaka</w:t>
      </w:r>
      <w:r w:rsidR="00D004EA" w:rsidRPr="001D10B0">
        <w:rPr>
          <w:rStyle w:val="defaultparagraphfont-000003"/>
        </w:rPr>
        <w:t xml:space="preserve"> javne nabave</w:t>
      </w:r>
      <w:r w:rsidR="00D004EA">
        <w:rPr>
          <w:rStyle w:val="defaultparagraphfont-000003"/>
        </w:rPr>
        <w:t xml:space="preserve">, smanjenje administrativnog tereta korištenjem elektroničkih sredstava komunikacije i Europske jedinstvene dokumentacije o nabavi </w:t>
      </w:r>
      <w:r w:rsidR="004051EC" w:rsidRPr="001D10B0">
        <w:rPr>
          <w:rStyle w:val="defaultparagraphfont-000003"/>
        </w:rPr>
        <w:t>kao preliminarn</w:t>
      </w:r>
      <w:r w:rsidR="004051EC">
        <w:rPr>
          <w:rStyle w:val="defaultparagraphfont-000003"/>
        </w:rPr>
        <w:t>og</w:t>
      </w:r>
      <w:r w:rsidR="004051EC" w:rsidRPr="001D10B0">
        <w:rPr>
          <w:rStyle w:val="defaultparagraphfont-000003"/>
        </w:rPr>
        <w:t xml:space="preserve"> dokaz</w:t>
      </w:r>
      <w:r w:rsidR="004051EC">
        <w:rPr>
          <w:rStyle w:val="defaultparagraphfont-000003"/>
        </w:rPr>
        <w:t>a</w:t>
      </w:r>
      <w:r w:rsidR="004051EC" w:rsidRPr="001D10B0">
        <w:rPr>
          <w:rStyle w:val="defaultparagraphfont-000003"/>
        </w:rPr>
        <w:t xml:space="preserve"> da gospodarski subjekt ispunjava propisane uvjete u postupku javne nabave</w:t>
      </w:r>
      <w:r w:rsidR="004051EC">
        <w:rPr>
          <w:rStyle w:val="defaultparagraphfont-000003"/>
        </w:rPr>
        <w:t xml:space="preserve"> </w:t>
      </w:r>
      <w:r w:rsidR="00D004EA">
        <w:rPr>
          <w:rStyle w:val="defaultparagraphfont-000003"/>
        </w:rPr>
        <w:t xml:space="preserve">te utvrđuju </w:t>
      </w:r>
      <w:r w:rsidR="004051EC">
        <w:rPr>
          <w:rStyle w:val="defaultparagraphfont-000003"/>
        </w:rPr>
        <w:t xml:space="preserve">da se </w:t>
      </w:r>
      <w:r w:rsidR="00D004EA">
        <w:rPr>
          <w:rStyle w:val="defaultparagraphfont-000003"/>
        </w:rPr>
        <w:t xml:space="preserve">ponude </w:t>
      </w:r>
      <w:r w:rsidR="004051EC">
        <w:rPr>
          <w:rStyle w:val="defaultparagraphfont-000003"/>
        </w:rPr>
        <w:t xml:space="preserve">odabiru </w:t>
      </w:r>
      <w:r w:rsidR="00D004EA">
        <w:rPr>
          <w:rStyle w:val="defaultparagraphfont-000003"/>
        </w:rPr>
        <w:t>isključivo na temelju kriterija ekonomski najpovoljnije ponude.</w:t>
      </w:r>
    </w:p>
    <w:p w:rsidR="002C03A6" w:rsidRDefault="002C03A6" w:rsidP="00015651">
      <w:pPr>
        <w:rPr>
          <w:rStyle w:val="defaultparagraphfont-000003"/>
          <w:b/>
          <w:bCs/>
        </w:rPr>
      </w:pPr>
      <w:r w:rsidRPr="001D10B0">
        <w:rPr>
          <w:rStyle w:val="defaultparagraphfont-000003"/>
        </w:rPr>
        <w:t>S</w:t>
      </w:r>
      <w:r>
        <w:rPr>
          <w:rStyle w:val="defaultparagraphfont-000003"/>
        </w:rPr>
        <w:t xml:space="preserve">lijedom toga, potrebno je </w:t>
      </w:r>
      <w:r w:rsidRPr="001D10B0">
        <w:rPr>
          <w:rStyle w:val="defaultparagraphfont-000003"/>
        </w:rPr>
        <w:t>u</w:t>
      </w:r>
      <w:r>
        <w:rPr>
          <w:rStyle w:val="defaultparagraphfont-000003"/>
        </w:rPr>
        <w:t>skladiti zakonodavstvo Republike Hrvatske s novom pravnom</w:t>
      </w:r>
      <w:r w:rsidRPr="001D10B0">
        <w:rPr>
          <w:rStyle w:val="defaultparagraphfont-000003"/>
        </w:rPr>
        <w:t xml:space="preserve"> stečevin</w:t>
      </w:r>
      <w:r>
        <w:rPr>
          <w:rStyle w:val="defaultparagraphfont-000003"/>
        </w:rPr>
        <w:t>om</w:t>
      </w:r>
      <w:r w:rsidRPr="001D10B0">
        <w:rPr>
          <w:rStyle w:val="defaultparagraphfont-000003"/>
        </w:rPr>
        <w:t xml:space="preserve"> Europske unije</w:t>
      </w:r>
      <w:r>
        <w:rPr>
          <w:rStyle w:val="defaultparagraphfont-000003"/>
        </w:rPr>
        <w:t xml:space="preserve"> u području javne nabave</w:t>
      </w:r>
      <w:r w:rsidR="00D004EA">
        <w:rPr>
          <w:rStyle w:val="defaultparagraphfont-000003"/>
        </w:rPr>
        <w:t xml:space="preserve"> što će</w:t>
      </w:r>
      <w:r>
        <w:rPr>
          <w:rStyle w:val="defaultparagraphfont-000003"/>
        </w:rPr>
        <w:t xml:space="preserve"> </w:t>
      </w:r>
      <w:r w:rsidR="00D004EA" w:rsidRPr="00D004EA">
        <w:rPr>
          <w:rStyle w:val="defaultparagraphfont-000003"/>
        </w:rPr>
        <w:t>imati za posljedicu pojednostavljenje i povećanje učink</w:t>
      </w:r>
      <w:r w:rsidR="00D004EA">
        <w:rPr>
          <w:rStyle w:val="defaultparagraphfont-000003"/>
        </w:rPr>
        <w:t>ovitosti postupaka javne nabave</w:t>
      </w:r>
      <w:r w:rsidR="004051EC">
        <w:rPr>
          <w:rStyle w:val="defaultparagraphfont-000003"/>
        </w:rPr>
        <w:t xml:space="preserve"> te smanjenje administrativnih troškova</w:t>
      </w:r>
      <w:r w:rsidR="008A7885">
        <w:rPr>
          <w:rStyle w:val="defaultparagraphfont-000003"/>
        </w:rPr>
        <w:t xml:space="preserve"> sudjelovanja u postupku</w:t>
      </w:r>
      <w:r w:rsidR="00D004EA">
        <w:rPr>
          <w:rStyle w:val="defaultparagraphfont-000003"/>
        </w:rPr>
        <w:t>, odnosno ostvarivanje</w:t>
      </w:r>
      <w:r w:rsidR="008A7885">
        <w:rPr>
          <w:rStyle w:val="defaultparagraphfont-000003"/>
        </w:rPr>
        <w:t xml:space="preserve"> načela</w:t>
      </w:r>
      <w:r w:rsidR="00D004EA">
        <w:rPr>
          <w:rStyle w:val="defaultparagraphfont-000003"/>
        </w:rPr>
        <w:t xml:space="preserve"> </w:t>
      </w:r>
      <w:r w:rsidR="008A7885">
        <w:rPr>
          <w:rStyle w:val="defaultparagraphfont-000003"/>
        </w:rPr>
        <w:t>„</w:t>
      </w:r>
      <w:r w:rsidR="00D004EA" w:rsidRPr="001D10B0">
        <w:rPr>
          <w:rStyle w:val="defaultparagraphfont-000003"/>
        </w:rPr>
        <w:t>najbolj</w:t>
      </w:r>
      <w:r w:rsidR="008A7885">
        <w:rPr>
          <w:rStyle w:val="defaultparagraphfont-000003"/>
        </w:rPr>
        <w:t>e</w:t>
      </w:r>
      <w:r w:rsidR="00D004EA" w:rsidRPr="001D10B0">
        <w:rPr>
          <w:rStyle w:val="defaultparagraphfont-000003"/>
        </w:rPr>
        <w:t xml:space="preserve"> vrijednost</w:t>
      </w:r>
      <w:r w:rsidR="00D004EA">
        <w:rPr>
          <w:rStyle w:val="defaultparagraphfont-000003"/>
        </w:rPr>
        <w:t xml:space="preserve">i </w:t>
      </w:r>
      <w:r w:rsidR="00D004EA" w:rsidRPr="001D10B0">
        <w:rPr>
          <w:rStyle w:val="defaultparagraphfont-000003"/>
        </w:rPr>
        <w:t>za</w:t>
      </w:r>
      <w:r w:rsidR="00D004EA">
        <w:rPr>
          <w:rStyle w:val="defaultparagraphfont-000003"/>
        </w:rPr>
        <w:t xml:space="preserve"> javni</w:t>
      </w:r>
      <w:r w:rsidR="00D004EA" w:rsidRPr="001D10B0">
        <w:rPr>
          <w:rStyle w:val="defaultparagraphfont-000003"/>
        </w:rPr>
        <w:t xml:space="preserve"> novac</w:t>
      </w:r>
      <w:r w:rsidR="008A7885">
        <w:rPr>
          <w:rStyle w:val="defaultparagraphfont-000003"/>
        </w:rPr>
        <w:t>“</w:t>
      </w:r>
      <w:r w:rsidR="00D004EA" w:rsidRPr="001D10B0">
        <w:rPr>
          <w:rStyle w:val="defaultparagraphfont-000003"/>
        </w:rPr>
        <w:t>.</w:t>
      </w:r>
    </w:p>
    <w:p w:rsidR="00307DD3" w:rsidRDefault="004A6A6C" w:rsidP="001D10B0">
      <w:pPr>
        <w:pStyle w:val="Heading1"/>
        <w:spacing w:before="0" w:after="0" w:afterAutospacing="0"/>
        <w:rPr>
          <w:rStyle w:val="defaultparagraphfont-000002"/>
          <w:rFonts w:eastAsia="Times New Roman"/>
          <w:b/>
          <w:bCs/>
        </w:rPr>
      </w:pPr>
      <w:r>
        <w:rPr>
          <w:rStyle w:val="defaultparagraphfont-000002"/>
          <w:rFonts w:eastAsia="Times New Roman"/>
          <w:b/>
          <w:bCs/>
        </w:rPr>
        <w:t xml:space="preserve">2. CILJEVI </w:t>
      </w:r>
    </w:p>
    <w:p w:rsidR="00CB7C29" w:rsidRDefault="00CB7C29" w:rsidP="00015651">
      <w:pPr>
        <w:rPr>
          <w:rStyle w:val="defaultparagraphfont-000003"/>
          <w:b/>
          <w:bCs/>
        </w:rPr>
      </w:pPr>
      <w:r>
        <w:rPr>
          <w:rStyle w:val="defaultparagraphfont-000003"/>
        </w:rPr>
        <w:t>Usklađivanje zakonodavstva Republike Hrvatske s novom pravnom</w:t>
      </w:r>
      <w:r w:rsidRPr="001D10B0">
        <w:rPr>
          <w:rStyle w:val="defaultparagraphfont-000003"/>
        </w:rPr>
        <w:t xml:space="preserve"> stečevin</w:t>
      </w:r>
      <w:r>
        <w:rPr>
          <w:rStyle w:val="defaultparagraphfont-000003"/>
        </w:rPr>
        <w:t>om</w:t>
      </w:r>
      <w:r w:rsidRPr="001D10B0">
        <w:rPr>
          <w:rStyle w:val="defaultparagraphfont-000003"/>
        </w:rPr>
        <w:t xml:space="preserve"> Europske unije</w:t>
      </w:r>
      <w:r>
        <w:rPr>
          <w:rStyle w:val="defaultparagraphfont-000003"/>
        </w:rPr>
        <w:t xml:space="preserve"> u području javne nabave, odnosno Direktivom</w:t>
      </w:r>
      <w:r w:rsidRPr="001D10B0">
        <w:rPr>
          <w:rStyle w:val="defaultparagraphfont-000003"/>
        </w:rPr>
        <w:t xml:space="preserve"> 2014/24/EU Europskog parlamenta i Vijeća od 26. veljače 2014. godine o javnoj nabavi i o stavljanju izvan snage Direktive 2004/18/EZ</w:t>
      </w:r>
      <w:r>
        <w:rPr>
          <w:rStyle w:val="defaultparagraphfont-000003"/>
        </w:rPr>
        <w:t xml:space="preserve"> </w:t>
      </w:r>
      <w:r w:rsidR="0007416B">
        <w:rPr>
          <w:rStyle w:val="defaultparagraphfont-000003"/>
        </w:rPr>
        <w:t>te</w:t>
      </w:r>
      <w:r>
        <w:rPr>
          <w:rStyle w:val="defaultparagraphfont-000003"/>
        </w:rPr>
        <w:t xml:space="preserve"> </w:t>
      </w:r>
      <w:r w:rsidRPr="001D10B0">
        <w:rPr>
          <w:rStyle w:val="defaultparagraphfont-000003"/>
        </w:rPr>
        <w:t>Direktiv</w:t>
      </w:r>
      <w:r w:rsidR="0007416B">
        <w:rPr>
          <w:rStyle w:val="defaultparagraphfont-000003"/>
        </w:rPr>
        <w:t>om</w:t>
      </w:r>
      <w:r w:rsidRPr="001D10B0">
        <w:rPr>
          <w:rStyle w:val="defaultparagraphfont-000003"/>
        </w:rPr>
        <w:t xml:space="preserve"> 2014/25/EU Europskog parlamenta i Vijeća od 26. veljače 2014. godine o nabavi subjekata koji djeluju u sektoru vodnog gospodarstva, energetskom i prometnom sektoru te sektoru poštanskih usluga i stavljanju i</w:t>
      </w:r>
      <w:r>
        <w:rPr>
          <w:rStyle w:val="defaultparagraphfont-000003"/>
        </w:rPr>
        <w:t>zvan snage Direktive 2004/17/EZ</w:t>
      </w:r>
      <w:r w:rsidRPr="001D10B0">
        <w:rPr>
          <w:rStyle w:val="defaultparagraphfont-000003"/>
        </w:rPr>
        <w:t>.</w:t>
      </w:r>
    </w:p>
    <w:p w:rsidR="00E81C78" w:rsidRPr="00E81C78" w:rsidRDefault="0007416B" w:rsidP="00015651">
      <w:pPr>
        <w:rPr>
          <w:rStyle w:val="defaultparagraphfont-000003"/>
          <w:b/>
          <w:bCs/>
        </w:rPr>
      </w:pPr>
      <w:r w:rsidRPr="00CB7C29">
        <w:rPr>
          <w:rStyle w:val="defaultparagraphfont-000003"/>
        </w:rPr>
        <w:lastRenderedPageBreak/>
        <w:t>Stvaranje pravnog okvira neophodnog za daljnji nastavak održavanja i unaprjeđenj</w:t>
      </w:r>
      <w:r w:rsidR="008A7885">
        <w:rPr>
          <w:rStyle w:val="defaultparagraphfont-000003"/>
        </w:rPr>
        <w:t>a</w:t>
      </w:r>
      <w:r w:rsidRPr="00CB7C29">
        <w:rPr>
          <w:rStyle w:val="defaultparagraphfont-000003"/>
        </w:rPr>
        <w:t xml:space="preserve"> cjelokupnog sustava javne nabav</w:t>
      </w:r>
      <w:r>
        <w:rPr>
          <w:rStyle w:val="defaultparagraphfont-000003"/>
        </w:rPr>
        <w:t xml:space="preserve">e, počevši </w:t>
      </w:r>
      <w:r w:rsidR="00C36EAC">
        <w:rPr>
          <w:rStyle w:val="defaultparagraphfont-000003"/>
        </w:rPr>
        <w:t>planiranja</w:t>
      </w:r>
      <w:r w:rsidRPr="00CB7C29">
        <w:rPr>
          <w:rStyle w:val="defaultparagraphfont-000003"/>
        </w:rPr>
        <w:t xml:space="preserve">, </w:t>
      </w:r>
      <w:r>
        <w:rPr>
          <w:rStyle w:val="defaultparagraphfont-000003"/>
        </w:rPr>
        <w:t xml:space="preserve">provođenja </w:t>
      </w:r>
      <w:r w:rsidRPr="00CB7C29">
        <w:rPr>
          <w:rStyle w:val="defaultparagraphfont-000003"/>
        </w:rPr>
        <w:t>postupka javne nabave, sklapanj</w:t>
      </w:r>
      <w:r w:rsidR="008A7885">
        <w:rPr>
          <w:rStyle w:val="defaultparagraphfont-000003"/>
        </w:rPr>
        <w:t>a</w:t>
      </w:r>
      <w:r w:rsidRPr="00CB7C29">
        <w:rPr>
          <w:rStyle w:val="defaultparagraphfont-000003"/>
        </w:rPr>
        <w:t xml:space="preserve"> ugovora</w:t>
      </w:r>
      <w:r w:rsidR="00C36EAC">
        <w:rPr>
          <w:rStyle w:val="defaultparagraphfont-000003"/>
        </w:rPr>
        <w:t xml:space="preserve"> o javnoj nabavi, </w:t>
      </w:r>
      <w:r>
        <w:rPr>
          <w:rStyle w:val="defaultparagraphfont-000003"/>
        </w:rPr>
        <w:t>pravn</w:t>
      </w:r>
      <w:r w:rsidR="008A7885">
        <w:rPr>
          <w:rStyle w:val="defaultparagraphfont-000003"/>
        </w:rPr>
        <w:t>e</w:t>
      </w:r>
      <w:r>
        <w:rPr>
          <w:rStyle w:val="defaultparagraphfont-000003"/>
        </w:rPr>
        <w:t xml:space="preserve"> zaštit</w:t>
      </w:r>
      <w:r w:rsidR="008A7885">
        <w:rPr>
          <w:rStyle w:val="defaultparagraphfont-000003"/>
        </w:rPr>
        <w:t>e</w:t>
      </w:r>
      <w:r>
        <w:rPr>
          <w:rStyle w:val="defaultparagraphfont-000003"/>
        </w:rPr>
        <w:t xml:space="preserve"> u postupcima</w:t>
      </w:r>
      <w:r w:rsidR="002C07B4">
        <w:rPr>
          <w:rStyle w:val="defaultparagraphfont-000003"/>
        </w:rPr>
        <w:t xml:space="preserve"> javne nabave, nadzora te prekršajnih sankcija</w:t>
      </w:r>
      <w:r w:rsidRPr="00CB7C29">
        <w:rPr>
          <w:rStyle w:val="defaultparagraphfont-000003"/>
        </w:rPr>
        <w:t>.</w:t>
      </w:r>
      <w:r w:rsidR="002C07B4">
        <w:rPr>
          <w:rStyle w:val="defaultparagraphfont-000003"/>
        </w:rPr>
        <w:t xml:space="preserve"> </w:t>
      </w:r>
      <w:r w:rsidR="002C07B4" w:rsidRPr="002C07B4">
        <w:rPr>
          <w:rStyle w:val="defaultparagraphfont-000003"/>
        </w:rPr>
        <w:t xml:space="preserve">Također, jači naglasak </w:t>
      </w:r>
      <w:r w:rsidR="002C07B4">
        <w:rPr>
          <w:rStyle w:val="defaultparagraphfont-000003"/>
        </w:rPr>
        <w:t xml:space="preserve">stavlja se </w:t>
      </w:r>
      <w:r w:rsidR="002C07B4" w:rsidRPr="002C07B4">
        <w:rPr>
          <w:rStyle w:val="defaultparagraphfont-000003"/>
        </w:rPr>
        <w:t xml:space="preserve">na </w:t>
      </w:r>
      <w:r w:rsidR="008A7885">
        <w:rPr>
          <w:rStyle w:val="defaultparagraphfont-000003"/>
        </w:rPr>
        <w:t>korištenje</w:t>
      </w:r>
      <w:r w:rsidR="002C07B4" w:rsidRPr="002C07B4">
        <w:rPr>
          <w:rStyle w:val="defaultparagraphfont-000003"/>
        </w:rPr>
        <w:t xml:space="preserve"> ekonomski najpovoljnije ponude kao kriterija za odabir ponud</w:t>
      </w:r>
      <w:r w:rsidR="008A7885">
        <w:rPr>
          <w:rStyle w:val="defaultparagraphfont-000003"/>
        </w:rPr>
        <w:t>e</w:t>
      </w:r>
      <w:r w:rsidR="002C07B4" w:rsidRPr="002C07B4">
        <w:rPr>
          <w:rStyle w:val="defaultparagraphfont-000003"/>
        </w:rPr>
        <w:t xml:space="preserve">, kao i korištenje elektroničkih sredstava komunikacije u postupcima javne nabave. </w:t>
      </w:r>
    </w:p>
    <w:p w:rsidR="0033597C" w:rsidRPr="00CB7C29" w:rsidRDefault="002C07B4" w:rsidP="00015651">
      <w:pPr>
        <w:rPr>
          <w:rStyle w:val="defaultparagraphfont-000003"/>
          <w:b/>
          <w:bCs/>
        </w:rPr>
      </w:pPr>
      <w:r>
        <w:rPr>
          <w:rStyle w:val="defaultparagraphfont-000003"/>
        </w:rPr>
        <w:t>Nadalje, cilj je dodatno smanjiti</w:t>
      </w:r>
      <w:r w:rsidR="0033597C" w:rsidRPr="002C07B4">
        <w:rPr>
          <w:rStyle w:val="defaultparagraphfont-000003"/>
        </w:rPr>
        <w:t xml:space="preserve"> </w:t>
      </w:r>
      <w:r w:rsidR="008A7885">
        <w:rPr>
          <w:rStyle w:val="defaultparagraphfont-000003"/>
        </w:rPr>
        <w:t>troškove</w:t>
      </w:r>
      <w:r w:rsidR="0033597C" w:rsidRPr="002C07B4">
        <w:rPr>
          <w:rStyle w:val="defaultparagraphfont-000003"/>
        </w:rPr>
        <w:t xml:space="preserve"> za gospodarske subjekte uvođenjem Europske jedinstvene dokumentaciji o nabavi </w:t>
      </w:r>
      <w:r w:rsidRPr="002C07B4">
        <w:rPr>
          <w:rStyle w:val="defaultparagraphfont-000003"/>
        </w:rPr>
        <w:t>kao službene izjave</w:t>
      </w:r>
      <w:r w:rsidR="008A7885">
        <w:rPr>
          <w:rStyle w:val="defaultparagraphfont-000003"/>
        </w:rPr>
        <w:t xml:space="preserve"> gospodarskog subjekta</w:t>
      </w:r>
      <w:r w:rsidRPr="002C07B4">
        <w:rPr>
          <w:rStyle w:val="defaultparagraphfont-000003"/>
        </w:rPr>
        <w:t xml:space="preserve">, odnosno </w:t>
      </w:r>
      <w:r w:rsidR="0033597C" w:rsidRPr="002C07B4">
        <w:rPr>
          <w:rStyle w:val="defaultparagraphfont-000003"/>
        </w:rPr>
        <w:t>preliminarn</w:t>
      </w:r>
      <w:r w:rsidRPr="002C07B4">
        <w:rPr>
          <w:rStyle w:val="defaultparagraphfont-000003"/>
        </w:rPr>
        <w:t>og</w:t>
      </w:r>
      <w:r w:rsidR="0033597C" w:rsidRPr="002C07B4">
        <w:rPr>
          <w:rStyle w:val="defaultparagraphfont-000003"/>
        </w:rPr>
        <w:t xml:space="preserve"> dokaz</w:t>
      </w:r>
      <w:r w:rsidRPr="002C07B4">
        <w:rPr>
          <w:rStyle w:val="defaultparagraphfont-000003"/>
        </w:rPr>
        <w:t>a</w:t>
      </w:r>
      <w:r w:rsidR="0033597C" w:rsidRPr="002C07B4">
        <w:rPr>
          <w:rStyle w:val="defaultparagraphfont-000003"/>
        </w:rPr>
        <w:t xml:space="preserve"> o nep</w:t>
      </w:r>
      <w:r w:rsidRPr="002C07B4">
        <w:rPr>
          <w:rStyle w:val="defaultparagraphfont-000003"/>
        </w:rPr>
        <w:t>ostojanju osnova za isključenje te ispunjavanju uvjeta sposobnosti, a</w:t>
      </w:r>
      <w:r w:rsidR="0033597C" w:rsidRPr="002C07B4">
        <w:rPr>
          <w:rStyle w:val="defaultparagraphfont-000003"/>
        </w:rPr>
        <w:t xml:space="preserve"> koju naručitelj provjera</w:t>
      </w:r>
      <w:r w:rsidR="008A7885">
        <w:rPr>
          <w:rStyle w:val="defaultparagraphfont-000003"/>
        </w:rPr>
        <w:t>va</w:t>
      </w:r>
      <w:r w:rsidR="0033597C" w:rsidRPr="002C07B4">
        <w:rPr>
          <w:rStyle w:val="defaultparagraphfont-000003"/>
        </w:rPr>
        <w:t xml:space="preserve"> prije dodjele ugovora odab</w:t>
      </w:r>
      <w:r w:rsidRPr="002C07B4">
        <w:rPr>
          <w:rStyle w:val="defaultparagraphfont-000003"/>
        </w:rPr>
        <w:t>ranom ponuditelju</w:t>
      </w:r>
      <w:r w:rsidR="0033597C" w:rsidRPr="002C07B4">
        <w:rPr>
          <w:rStyle w:val="defaultparagraphfont-000003"/>
        </w:rPr>
        <w:t>.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3. MOGUĆE OPCIJE </w:t>
      </w:r>
    </w:p>
    <w:p w:rsidR="00307DD3" w:rsidRDefault="004A6A6C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defaultparagraphfont-000006"/>
          <w:rFonts w:eastAsia="Times New Roman"/>
          <w:b/>
          <w:bCs/>
        </w:rPr>
        <w:t>3.1. OPCIJA 1 – ne poduzimati ništa (</w:t>
      </w:r>
      <w:proofErr w:type="spellStart"/>
      <w:r>
        <w:rPr>
          <w:rStyle w:val="defaultparagraphfont-000006"/>
          <w:rFonts w:eastAsia="Times New Roman"/>
          <w:b/>
          <w:bCs/>
        </w:rPr>
        <w:t>nenormativno</w:t>
      </w:r>
      <w:proofErr w:type="spellEnd"/>
      <w:r>
        <w:rPr>
          <w:rStyle w:val="defaultparagraphfont-000006"/>
          <w:rFonts w:eastAsia="Times New Roman"/>
          <w:b/>
          <w:bCs/>
        </w:rPr>
        <w:t xml:space="preserve"> rješenje) </w:t>
      </w:r>
    </w:p>
    <w:p w:rsidR="00307DD3" w:rsidRDefault="004A6A6C">
      <w:pPr>
        <w:pStyle w:val="Normal1"/>
        <w:spacing w:after="0"/>
      </w:pPr>
      <w:r>
        <w:rPr>
          <w:rStyle w:val="defaultparagraphfont-000003"/>
        </w:rPr>
        <w:t>Bez intervencije z</w:t>
      </w:r>
      <w:r w:rsidR="00A81EE6">
        <w:rPr>
          <w:rStyle w:val="defaultparagraphfont-000003"/>
        </w:rPr>
        <w:t xml:space="preserve">akonodavca nije moguće postizanje cilja, odnosno prenošenje odredaba novih EU direktiva iz </w:t>
      </w:r>
      <w:r w:rsidR="008A7885">
        <w:rPr>
          <w:rStyle w:val="defaultparagraphfont-000003"/>
        </w:rPr>
        <w:t xml:space="preserve">područja </w:t>
      </w:r>
      <w:r w:rsidR="00A81EE6">
        <w:rPr>
          <w:rStyle w:val="defaultparagraphfont-000003"/>
        </w:rPr>
        <w:t>javne nabave u pravni poredak Republike Hrvatske</w:t>
      </w:r>
      <w:r>
        <w:rPr>
          <w:rStyle w:val="defaultparagraphfont-000003"/>
        </w:rPr>
        <w:t xml:space="preserve">. </w:t>
      </w:r>
      <w:r w:rsidR="00A81EE6">
        <w:rPr>
          <w:rStyle w:val="defaultparagraphfont-000003"/>
        </w:rPr>
        <w:t xml:space="preserve">Nadalje, s obzirom </w:t>
      </w:r>
      <w:r>
        <w:rPr>
          <w:rStyle w:val="defaultparagraphfont-000003"/>
        </w:rPr>
        <w:t>da je</w:t>
      </w:r>
      <w:r w:rsidR="00A81EE6">
        <w:rPr>
          <w:rStyle w:val="defaultparagraphfont-000003"/>
        </w:rPr>
        <w:t xml:space="preserve"> Republika</w:t>
      </w:r>
      <w:r>
        <w:rPr>
          <w:rStyle w:val="defaultparagraphfont-000003"/>
        </w:rPr>
        <w:t xml:space="preserve"> Hrvatska kao članica E</w:t>
      </w:r>
      <w:r w:rsidR="00A81EE6">
        <w:rPr>
          <w:rStyle w:val="defaultparagraphfont-000003"/>
        </w:rPr>
        <w:t>uropske unije</w:t>
      </w:r>
      <w:r>
        <w:rPr>
          <w:rStyle w:val="defaultparagraphfont-000003"/>
        </w:rPr>
        <w:t xml:space="preserve"> preuzela obvezu usklađiv</w:t>
      </w:r>
      <w:r w:rsidR="00A81EE6">
        <w:rPr>
          <w:rStyle w:val="defaultparagraphfont-000003"/>
        </w:rPr>
        <w:t>anja svog zakonodavnog okvira s</w:t>
      </w:r>
      <w:r>
        <w:rPr>
          <w:rStyle w:val="defaultparagraphfont-000003"/>
        </w:rPr>
        <w:t xml:space="preserve"> pravnom stečevinom, neizvršavanje ove obveze </w:t>
      </w:r>
      <w:r w:rsidR="00A81EE6">
        <w:rPr>
          <w:rStyle w:val="defaultparagraphfont-000003"/>
        </w:rPr>
        <w:t>dovelo bi</w:t>
      </w:r>
      <w:r>
        <w:rPr>
          <w:rStyle w:val="defaultparagraphfont-000003"/>
        </w:rPr>
        <w:t xml:space="preserve"> pokretanja </w:t>
      </w:r>
      <w:r w:rsidR="00A81EE6">
        <w:rPr>
          <w:rStyle w:val="defaultparagraphfont-000003"/>
        </w:rPr>
        <w:t xml:space="preserve">postupka zbog povrede prava EU pred Sudom EU (tzv. </w:t>
      </w:r>
      <w:proofErr w:type="spellStart"/>
      <w:r w:rsidR="00A81EE6" w:rsidRPr="00A81EE6">
        <w:rPr>
          <w:rStyle w:val="defaultparagraphfont-000003"/>
          <w:i/>
        </w:rPr>
        <w:t>infringement</w:t>
      </w:r>
      <w:proofErr w:type="spellEnd"/>
      <w:r w:rsidR="00A81EE6">
        <w:rPr>
          <w:rStyle w:val="defaultparagraphfont-000003"/>
        </w:rPr>
        <w:t xml:space="preserve"> </w:t>
      </w:r>
      <w:proofErr w:type="spellStart"/>
      <w:r w:rsidR="00A81EE6">
        <w:rPr>
          <w:rStyle w:val="defaultparagraphfont-000003"/>
        </w:rPr>
        <w:t>prostupak</w:t>
      </w:r>
      <w:proofErr w:type="spellEnd"/>
      <w:r w:rsidR="00A81EE6">
        <w:rPr>
          <w:rStyle w:val="defaultparagraphfont-000003"/>
        </w:rPr>
        <w:t>)</w:t>
      </w:r>
      <w:r>
        <w:rPr>
          <w:rStyle w:val="defaultparagraphfont-000003"/>
        </w:rPr>
        <w:t>.</w:t>
      </w:r>
      <w:r>
        <w:t xml:space="preserve"> </w:t>
      </w:r>
    </w:p>
    <w:p w:rsidR="00307DD3" w:rsidRDefault="004A6A6C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defaultparagraphfont-000006"/>
          <w:rFonts w:eastAsia="Times New Roman"/>
          <w:b/>
          <w:bCs/>
        </w:rPr>
        <w:t>3.2. OPCIJA 2: – (</w:t>
      </w:r>
      <w:proofErr w:type="spellStart"/>
      <w:r>
        <w:rPr>
          <w:rStyle w:val="defaultparagraphfont-000006"/>
          <w:rFonts w:eastAsia="Times New Roman"/>
          <w:b/>
          <w:bCs/>
        </w:rPr>
        <w:t>nenormativno</w:t>
      </w:r>
      <w:proofErr w:type="spellEnd"/>
      <w:r>
        <w:rPr>
          <w:rStyle w:val="defaultparagraphfont-000006"/>
          <w:rFonts w:eastAsia="Times New Roman"/>
          <w:b/>
          <w:bCs/>
        </w:rPr>
        <w:t xml:space="preserve"> rješenje) </w:t>
      </w:r>
    </w:p>
    <w:p w:rsidR="00307DD3" w:rsidRDefault="004A6A6C">
      <w:pPr>
        <w:pStyle w:val="Normal1"/>
        <w:spacing w:after="0"/>
      </w:pPr>
      <w:r>
        <w:rPr>
          <w:rStyle w:val="defaultparagraphfont-000003"/>
        </w:rPr>
        <w:t xml:space="preserve">Cilj nije moguće postići </w:t>
      </w:r>
      <w:proofErr w:type="spellStart"/>
      <w:r>
        <w:rPr>
          <w:rStyle w:val="defaultparagraphfont-000003"/>
        </w:rPr>
        <w:t>nenormativnim</w:t>
      </w:r>
      <w:proofErr w:type="spellEnd"/>
      <w:r>
        <w:rPr>
          <w:rStyle w:val="defaultparagraphfont-000003"/>
        </w:rPr>
        <w:t xml:space="preserve"> rješenjem </w:t>
      </w:r>
      <w:r w:rsidR="00A81EE6">
        <w:rPr>
          <w:rStyle w:val="defaultparagraphfont-000003"/>
        </w:rPr>
        <w:t>budući</w:t>
      </w:r>
      <w:r>
        <w:rPr>
          <w:rStyle w:val="defaultparagraphfont-000003"/>
        </w:rPr>
        <w:t xml:space="preserve"> da se odredbe </w:t>
      </w:r>
      <w:r w:rsidR="00A81EE6">
        <w:rPr>
          <w:rStyle w:val="defaultparagraphfont-000003"/>
        </w:rPr>
        <w:t>d</w:t>
      </w:r>
      <w:r>
        <w:rPr>
          <w:rStyle w:val="defaultparagraphfont-000003"/>
        </w:rPr>
        <w:t>irektiv</w:t>
      </w:r>
      <w:r w:rsidR="00A81EE6">
        <w:rPr>
          <w:rStyle w:val="defaultparagraphfont-000003"/>
        </w:rPr>
        <w:t>a</w:t>
      </w:r>
      <w:r>
        <w:rPr>
          <w:rStyle w:val="defaultparagraphfont-000003"/>
        </w:rPr>
        <w:t xml:space="preserve"> mogu prenijeti samo odgovarajućim normativnim aktima u hrvatsko zakonodavstvo.</w:t>
      </w:r>
      <w:r>
        <w:t xml:space="preserve"> </w:t>
      </w:r>
    </w:p>
    <w:p w:rsidR="00307DD3" w:rsidRDefault="004A6A6C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defaultparagraphfont-000006"/>
          <w:rFonts w:eastAsia="Times New Roman"/>
          <w:b/>
          <w:bCs/>
        </w:rPr>
        <w:t xml:space="preserve">3.3. OPCIJA 3: – (normativno rješenje) </w:t>
      </w:r>
    </w:p>
    <w:p w:rsidR="00307DD3" w:rsidRDefault="004A6A6C">
      <w:pPr>
        <w:pStyle w:val="Normal1"/>
        <w:spacing w:after="0"/>
      </w:pPr>
      <w:r>
        <w:rPr>
          <w:rStyle w:val="defaultparagraphfont-000003"/>
        </w:rPr>
        <w:t>Problem je moguće djelomično riješiti izmjenama i dopunama v</w:t>
      </w:r>
      <w:r w:rsidR="00A81EE6">
        <w:rPr>
          <w:rStyle w:val="defaultparagraphfont-000003"/>
        </w:rPr>
        <w:t xml:space="preserve">ažećeg Zakona o javnoj nabavi te </w:t>
      </w:r>
      <w:proofErr w:type="spellStart"/>
      <w:r w:rsidR="00A81EE6">
        <w:rPr>
          <w:rStyle w:val="defaultparagraphfont-000003"/>
        </w:rPr>
        <w:t>podzakonskih</w:t>
      </w:r>
      <w:proofErr w:type="spellEnd"/>
      <w:r w:rsidR="00A81EE6">
        <w:rPr>
          <w:rStyle w:val="defaultparagraphfont-000003"/>
        </w:rPr>
        <w:t xml:space="preserve"> propisa donesenih temeljem istoga Zakona, </w:t>
      </w:r>
      <w:r w:rsidR="002A2459">
        <w:rPr>
          <w:rStyle w:val="defaultparagraphfont-000003"/>
        </w:rPr>
        <w:t>ali bi takva novela bila po svom opsegu vrlo značajna. Osim toga, od stupanja na snagu 1. siječnja 2012. Zakon o javnoj nabavi dva puta</w:t>
      </w:r>
      <w:r w:rsidR="008A7885">
        <w:rPr>
          <w:rStyle w:val="defaultparagraphfont-000003"/>
        </w:rPr>
        <w:t xml:space="preserve"> je</w:t>
      </w:r>
      <w:r w:rsidR="002A2459">
        <w:rPr>
          <w:rStyle w:val="defaultparagraphfont-000003"/>
        </w:rPr>
        <w:t xml:space="preserve"> </w:t>
      </w:r>
      <w:proofErr w:type="spellStart"/>
      <w:r w:rsidR="002A2459">
        <w:rPr>
          <w:rStyle w:val="defaultparagraphfont-000003"/>
        </w:rPr>
        <w:t>noveliran</w:t>
      </w:r>
      <w:proofErr w:type="spellEnd"/>
      <w:r w:rsidR="002A2459">
        <w:rPr>
          <w:rStyle w:val="defaultparagraphfont-000003"/>
        </w:rPr>
        <w:t xml:space="preserve"> (u srpnju i prosincu 2013), pa </w:t>
      </w:r>
      <w:r w:rsidR="00E747B4">
        <w:rPr>
          <w:rStyle w:val="defaultparagraphfont-000003"/>
        </w:rPr>
        <w:t>bi još jedna, vrlo opsežna novela potencijalno mogla dovesti do teže primjene te smanjenja pravne sigurnosti</w:t>
      </w:r>
      <w:r w:rsidR="002A2459">
        <w:rPr>
          <w:rStyle w:val="defaultparagraphfont-000003"/>
        </w:rPr>
        <w:t xml:space="preserve">.  </w:t>
      </w:r>
      <w:r w:rsidR="00A81EE6">
        <w:rPr>
          <w:rStyle w:val="defaultparagraphfont-000003"/>
        </w:rPr>
        <w:t xml:space="preserve"> </w:t>
      </w:r>
    </w:p>
    <w:p w:rsidR="00307DD3" w:rsidRDefault="004A6A6C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defaultparagraphfont-000006"/>
          <w:rFonts w:eastAsia="Times New Roman"/>
          <w:b/>
          <w:bCs/>
        </w:rPr>
        <w:t xml:space="preserve">3.4. OPCIJA 4: – (normativno rješenje) </w:t>
      </w:r>
    </w:p>
    <w:p w:rsidR="00307DD3" w:rsidRDefault="0065403B" w:rsidP="00E747B4">
      <w:pPr>
        <w:pStyle w:val="normal-000004"/>
        <w:spacing w:after="0"/>
        <w:jc w:val="both"/>
      </w:pPr>
      <w:r>
        <w:rPr>
          <w:rStyle w:val="defaultparagraphfont-000003"/>
        </w:rPr>
        <w:t>Donošenje</w:t>
      </w:r>
      <w:r w:rsidR="008A7885">
        <w:rPr>
          <w:rStyle w:val="defaultparagraphfont-000003"/>
        </w:rPr>
        <w:t>m</w:t>
      </w:r>
      <w:r>
        <w:rPr>
          <w:rStyle w:val="defaultparagraphfont-000003"/>
        </w:rPr>
        <w:t xml:space="preserve"> novog Zakona o javnoj nabavi kojim će se preuzeti nove direktive EU u području javne nabave </w:t>
      </w:r>
      <w:r w:rsidR="00E747B4">
        <w:rPr>
          <w:rStyle w:val="defaultparagraphfont-000003"/>
        </w:rPr>
        <w:t xml:space="preserve">omogućit će se jedinstveno usklađivanje sustava javne nabave Republike Hrvatske s novim EU direktivama:  </w:t>
      </w:r>
      <w:r w:rsidR="00E747B4" w:rsidRPr="007E0F60">
        <w:rPr>
          <w:rStyle w:val="defaultparagraphfont-000003"/>
        </w:rPr>
        <w:t>Direktivom 2014/24/EU Europskog parlamenta i Vijeća od 26. veljače 2014. godine o javnoj nabavi i o stavljanju izvan snage Direktive 2004/18/EZ te Direktivom 2014/25/EU Europskog parlamenta i Vijeća od 26. veljače 2014. godine o nabavi subjekata koji djeluju u sektoru vodnog gospodarstva, energetskom i prometnom sektoru te sektoru poštanskih usluga i stavljanju izvan snage Direktive 2004/17/EZ.</w:t>
      </w:r>
      <w:r w:rsidR="00E747B4">
        <w:rPr>
          <w:rStyle w:val="defaultparagraphfont-000003"/>
        </w:rPr>
        <w:t xml:space="preserve"> </w:t>
      </w:r>
      <w:r>
        <w:rPr>
          <w:rStyle w:val="defaultparagraphfont-000003"/>
        </w:rPr>
        <w:t>Sukladno zahtjevima iz direktiva novim zakonom</w:t>
      </w:r>
      <w:r w:rsidR="00E747B4">
        <w:rPr>
          <w:rStyle w:val="defaultparagraphfont-000003"/>
        </w:rPr>
        <w:t xml:space="preserve"> će se cjelovito i sustavno urediti obveznici primjene zakona, provedba postupaka javne nabave, pravna zaštita u tim postupcima, nadzor nad provedbom zakona te prekršajne sankcije</w:t>
      </w:r>
      <w:r w:rsidR="004A6A6C">
        <w:rPr>
          <w:rStyle w:val="defaultparagraphfont-000003"/>
        </w:rPr>
        <w:t>.</w:t>
      </w:r>
      <w:r w:rsidR="006F71A6">
        <w:rPr>
          <w:rStyle w:val="defaultparagraphfont-000003"/>
        </w:rPr>
        <w:t xml:space="preserve"> Također, novim zakonom bit će stavljen jači naglasak na upotrebu ekonomski najpovoljnije ponude kao kriterija za odabir ponuda, kao i korištenje elektroničkih sredstava komunikacije u postupcima javne nabave. </w:t>
      </w:r>
      <w:r w:rsidR="004A6A6C">
        <w:rPr>
          <w:rStyle w:val="defaultparagraphfont-000003"/>
        </w:rPr>
        <w:t xml:space="preserve">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4. USPOREDBA OPCIJA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3893"/>
        <w:gridCol w:w="3266"/>
      </w:tblGrid>
      <w:tr w:rsidR="0033597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Opcije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Koristi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Troškovi </w:t>
            </w:r>
          </w:p>
        </w:tc>
      </w:tr>
      <w:tr w:rsidR="0033597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Opcija 1: </w:t>
            </w:r>
            <w:r>
              <w:rPr>
                <w:rStyle w:val="defaultparagraphfont-000003"/>
              </w:rPr>
              <w:t> ne poduzimati ništa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 w:rsidP="0033597C">
            <w:pPr>
              <w:pStyle w:val="normal-000004"/>
              <w:spacing w:after="0"/>
              <w:jc w:val="both"/>
            </w:pPr>
            <w:r>
              <w:rPr>
                <w:rStyle w:val="defaultparagraphfont-000003"/>
              </w:rPr>
              <w:t xml:space="preserve">Ovim </w:t>
            </w:r>
            <w:proofErr w:type="spellStart"/>
            <w:r>
              <w:rPr>
                <w:rStyle w:val="defaultparagraphfont-000003"/>
              </w:rPr>
              <w:t>nenormativnim</w:t>
            </w:r>
            <w:proofErr w:type="spellEnd"/>
            <w:r>
              <w:rPr>
                <w:rStyle w:val="defaultparagraphfont-000003"/>
              </w:rPr>
              <w:t xml:space="preserve"> rješenjem ne može se postići cilj </w:t>
            </w:r>
            <w:r w:rsidR="003C4BC1" w:rsidRPr="003C4BC1">
              <w:rPr>
                <w:rStyle w:val="defaultparagraphfont-000003"/>
              </w:rPr>
              <w:t xml:space="preserve">budući da se odredbe direktiva mogu prenijeti samo </w:t>
            </w:r>
            <w:r w:rsidR="003C4BC1" w:rsidRPr="003C4BC1">
              <w:rPr>
                <w:rStyle w:val="defaultparagraphfont-000003"/>
              </w:rPr>
              <w:lastRenderedPageBreak/>
              <w:t>odgovarajućim normativnim aktima u hrvatsko zakonodavstvo</w:t>
            </w:r>
            <w:r w:rsidR="0033597C">
              <w:rPr>
                <w:rStyle w:val="defaultparagraphfont-000003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 w:rsidP="0033597C">
            <w:pPr>
              <w:pStyle w:val="normal-000004"/>
              <w:spacing w:after="0"/>
              <w:jc w:val="both"/>
            </w:pPr>
            <w:r>
              <w:rPr>
                <w:rStyle w:val="defaultparagraphfont-000003"/>
              </w:rPr>
              <w:lastRenderedPageBreak/>
              <w:t>U slučaju ne</w:t>
            </w:r>
            <w:r w:rsidR="00C36EAC">
              <w:rPr>
                <w:rStyle w:val="defaultparagraphfont-000003"/>
              </w:rPr>
              <w:t xml:space="preserve"> </w:t>
            </w:r>
            <w:r>
              <w:rPr>
                <w:rStyle w:val="defaultparagraphfont-000003"/>
              </w:rPr>
              <w:t>preuzimanja pravne stečevine EU-a Republika Hrvatska bi mogla snositi novčanu kaznu.</w:t>
            </w:r>
            <w:r>
              <w:t xml:space="preserve"> </w:t>
            </w:r>
          </w:p>
        </w:tc>
      </w:tr>
      <w:tr w:rsidR="0033597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lastRenderedPageBreak/>
              <w:t xml:space="preserve">Opcija 2: </w:t>
            </w:r>
            <w:r>
              <w:rPr>
                <w:rStyle w:val="defaultparagraphfont-000003"/>
              </w:rPr>
              <w:t> (</w:t>
            </w:r>
            <w:proofErr w:type="spellStart"/>
            <w:r>
              <w:rPr>
                <w:rStyle w:val="defaultparagraphfont-000003"/>
              </w:rPr>
              <w:t>nenormativno</w:t>
            </w:r>
            <w:proofErr w:type="spellEnd"/>
            <w:r>
              <w:rPr>
                <w:rStyle w:val="defaultparagraphfont-000003"/>
              </w:rPr>
              <w:t xml:space="preserve"> rješenje)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3C4BC1" w:rsidP="0033597C">
            <w:pPr>
              <w:pStyle w:val="normal-000004"/>
              <w:spacing w:after="0"/>
              <w:jc w:val="both"/>
            </w:pPr>
            <w:r w:rsidRPr="003C4BC1">
              <w:rPr>
                <w:rStyle w:val="defaultparagraphfont-000003"/>
              </w:rPr>
              <w:t xml:space="preserve">Cilj nije moguće postići </w:t>
            </w:r>
            <w:proofErr w:type="spellStart"/>
            <w:r w:rsidRPr="003C4BC1">
              <w:rPr>
                <w:rStyle w:val="defaultparagraphfont-000003"/>
              </w:rPr>
              <w:t>nenormativnim</w:t>
            </w:r>
            <w:proofErr w:type="spellEnd"/>
            <w:r w:rsidRPr="003C4BC1">
              <w:rPr>
                <w:rStyle w:val="defaultparagraphfont-000003"/>
              </w:rPr>
              <w:t xml:space="preserve"> rješenjem budući da se odredbe direktiva mogu prenijeti samo odgovarajućim normativnim aktima u hrvatsko zakonodavstvo.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 w:rsidP="0033597C">
            <w:pPr>
              <w:pStyle w:val="normal-000004"/>
              <w:spacing w:after="0"/>
              <w:jc w:val="both"/>
            </w:pPr>
            <w:r>
              <w:rPr>
                <w:rStyle w:val="defaultparagraphfont-000003"/>
              </w:rPr>
              <w:t xml:space="preserve">Cilj nije moguće postići </w:t>
            </w:r>
            <w:proofErr w:type="spellStart"/>
            <w:r>
              <w:rPr>
                <w:rStyle w:val="defaultparagraphfont-000003"/>
              </w:rPr>
              <w:t>nenormativnim</w:t>
            </w:r>
            <w:proofErr w:type="spellEnd"/>
            <w:r>
              <w:rPr>
                <w:rStyle w:val="defaultparagraphfont-000003"/>
              </w:rPr>
              <w:t xml:space="preserve"> rješenjem s obzirom da se odredbe Direktiva mogu prenijeti u zakonodavstvo samo odgovarajućim normativnim aktima.</w:t>
            </w:r>
            <w:r>
              <w:t xml:space="preserve"> </w:t>
            </w:r>
            <w:r w:rsidR="003C4BC1">
              <w:t>Također, u</w:t>
            </w:r>
            <w:r w:rsidR="003C4BC1" w:rsidRPr="003C4BC1">
              <w:t xml:space="preserve"> slučaju ne</w:t>
            </w:r>
            <w:r w:rsidR="00C36EAC">
              <w:t xml:space="preserve"> </w:t>
            </w:r>
            <w:r w:rsidR="003C4BC1" w:rsidRPr="003C4BC1">
              <w:t>preuzimanja pravne stečevine EU-a Republika Hrvatska bi mogla snositi novčanu kaznu.</w:t>
            </w:r>
          </w:p>
        </w:tc>
      </w:tr>
      <w:tr w:rsidR="0033597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Opcija 3: </w:t>
            </w:r>
            <w:r>
              <w:rPr>
                <w:rStyle w:val="defaultparagraphfont-000003"/>
              </w:rPr>
              <w:t> (normativno rješenje)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3C4BC1" w:rsidP="0033597C">
            <w:pPr>
              <w:pStyle w:val="normal-000004"/>
              <w:spacing w:after="0"/>
              <w:jc w:val="both"/>
            </w:pPr>
            <w:r w:rsidRPr="003C4BC1">
              <w:rPr>
                <w:rStyle w:val="defaultparagraphfont-000003"/>
              </w:rPr>
              <w:t xml:space="preserve">Problem je moguće djelomično riješiti izmjenama i dopunama važećeg Zakona o javnoj nabavi te </w:t>
            </w:r>
            <w:proofErr w:type="spellStart"/>
            <w:r w:rsidRPr="003C4BC1">
              <w:rPr>
                <w:rStyle w:val="defaultparagraphfont-000003"/>
              </w:rPr>
              <w:t>podzakonskih</w:t>
            </w:r>
            <w:proofErr w:type="spellEnd"/>
            <w:r w:rsidRPr="003C4BC1">
              <w:rPr>
                <w:rStyle w:val="defaultparagraphfont-000003"/>
              </w:rPr>
              <w:t xml:space="preserve"> propisa donesenih temeljem istoga Zakona, ali bi takva novela bila po svom opsegu vrlo značajna. Osim toga, od stupanja na snagu 1. siječnja 2012. Zakon o javnoj nabavi dva puta </w:t>
            </w:r>
            <w:proofErr w:type="spellStart"/>
            <w:r w:rsidRPr="003C4BC1">
              <w:rPr>
                <w:rStyle w:val="defaultparagraphfont-000003"/>
              </w:rPr>
              <w:t>noveliran</w:t>
            </w:r>
            <w:proofErr w:type="spellEnd"/>
            <w:r w:rsidRPr="003C4BC1">
              <w:rPr>
                <w:rStyle w:val="defaultparagraphfont-000003"/>
              </w:rPr>
              <w:t xml:space="preserve"> (u srpnju i prosincu 2013), pa se ocjenjuje da ovakvo normativno rješenje ne bi bilo zadovoljavajuće.  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Pr="0033597C" w:rsidRDefault="003C4BC1" w:rsidP="0033597C">
            <w:pPr>
              <w:pStyle w:val="normal-000004"/>
              <w:spacing w:after="0"/>
              <w:jc w:val="both"/>
              <w:rPr>
                <w:rStyle w:val="defaultparagraphfont-000003"/>
              </w:rPr>
            </w:pPr>
            <w:r>
              <w:rPr>
                <w:rStyle w:val="defaultparagraphfont-000003"/>
              </w:rPr>
              <w:t xml:space="preserve">Izmjene i dopune postojećeg Zakona o javnoj nabavi </w:t>
            </w:r>
            <w:r w:rsidRPr="003C4BC1">
              <w:rPr>
                <w:rStyle w:val="defaultparagraphfont-000003"/>
              </w:rPr>
              <w:t xml:space="preserve">te </w:t>
            </w:r>
            <w:proofErr w:type="spellStart"/>
            <w:r w:rsidRPr="003C4BC1">
              <w:rPr>
                <w:rStyle w:val="defaultparagraphfont-000003"/>
              </w:rPr>
              <w:t>podzakonskih</w:t>
            </w:r>
            <w:proofErr w:type="spellEnd"/>
            <w:r w:rsidRPr="003C4BC1">
              <w:rPr>
                <w:rStyle w:val="defaultparagraphfont-000003"/>
              </w:rPr>
              <w:t xml:space="preserve"> propisa donesenih temeljem istoga Zakona </w:t>
            </w:r>
            <w:r>
              <w:rPr>
                <w:rStyle w:val="defaultparagraphfont-000003"/>
              </w:rPr>
              <w:t xml:space="preserve">bile bi po svom opsegu vrlo značajne, odnosno </w:t>
            </w:r>
            <w:r w:rsidR="004A6A6C">
              <w:rPr>
                <w:rStyle w:val="defaultparagraphfont-000003"/>
              </w:rPr>
              <w:t>iziskivale bi veće promjene teksta zakona</w:t>
            </w:r>
            <w:r>
              <w:rPr>
                <w:rStyle w:val="defaultparagraphfont-000003"/>
              </w:rPr>
              <w:t xml:space="preserve"> što bi</w:t>
            </w:r>
            <w:r w:rsidR="004A6A6C">
              <w:rPr>
                <w:rStyle w:val="defaultparagraphfont-000003"/>
              </w:rPr>
              <w:t xml:space="preserve"> otežalo njihovu primjenu te dovel</w:t>
            </w:r>
            <w:r w:rsidR="007E0F60">
              <w:rPr>
                <w:rStyle w:val="defaultparagraphfont-000003"/>
              </w:rPr>
              <w:t>o</w:t>
            </w:r>
            <w:r w:rsidR="004A6A6C">
              <w:rPr>
                <w:rStyle w:val="defaultparagraphfont-000003"/>
              </w:rPr>
              <w:t xml:space="preserve"> </w:t>
            </w:r>
            <w:r w:rsidR="007E0F60">
              <w:rPr>
                <w:rStyle w:val="defaultparagraphfont-000003"/>
              </w:rPr>
              <w:t xml:space="preserve">smanjenja pravne </w:t>
            </w:r>
            <w:r w:rsidR="004A6A6C">
              <w:rPr>
                <w:rStyle w:val="defaultparagraphfont-000003"/>
              </w:rPr>
              <w:t xml:space="preserve">sigurnosti. </w:t>
            </w:r>
          </w:p>
        </w:tc>
      </w:tr>
      <w:tr w:rsidR="0033597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4A6A6C">
            <w:pPr>
              <w:pStyle w:val="normal-000004"/>
              <w:spacing w:after="0"/>
            </w:pPr>
            <w:r>
              <w:rPr>
                <w:rStyle w:val="defaultparagraphfont-000009"/>
              </w:rPr>
              <w:t xml:space="preserve">Opcija 4: </w:t>
            </w:r>
            <w:r>
              <w:rPr>
                <w:rStyle w:val="defaultparagraphfont-000003"/>
              </w:rPr>
              <w:t> (normativno rješenje)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6F71A6" w:rsidP="008A7885">
            <w:pPr>
              <w:pStyle w:val="normal-000004"/>
              <w:spacing w:after="0"/>
              <w:jc w:val="both"/>
            </w:pPr>
            <w:r>
              <w:rPr>
                <w:rStyle w:val="defaultparagraphfont-000003"/>
              </w:rPr>
              <w:t>C</w:t>
            </w:r>
            <w:r w:rsidR="007E0F60">
              <w:rPr>
                <w:rStyle w:val="defaultparagraphfont-000003"/>
              </w:rPr>
              <w:t>jelovi</w:t>
            </w:r>
            <w:r w:rsidR="0033597C">
              <w:rPr>
                <w:rStyle w:val="defaultparagraphfont-000003"/>
              </w:rPr>
              <w:t>tim</w:t>
            </w:r>
            <w:r w:rsidR="007E0F60">
              <w:rPr>
                <w:rStyle w:val="defaultparagraphfont-000003"/>
              </w:rPr>
              <w:t xml:space="preserve"> i sustavn</w:t>
            </w:r>
            <w:r w:rsidR="0033597C">
              <w:rPr>
                <w:rStyle w:val="defaultparagraphfont-000003"/>
              </w:rPr>
              <w:t>im usklađivanjem</w:t>
            </w:r>
            <w:r w:rsidR="007E0F60">
              <w:rPr>
                <w:rStyle w:val="defaultparagraphfont-000003"/>
              </w:rPr>
              <w:t xml:space="preserve"> sustava javne nabave Republike Hrvatske s novim EU direktivama</w:t>
            </w:r>
            <w:r>
              <w:rPr>
                <w:rStyle w:val="defaultparagraphfont-000003"/>
              </w:rPr>
              <w:t>, D</w:t>
            </w:r>
            <w:r w:rsidR="0033597C">
              <w:rPr>
                <w:rStyle w:val="defaultparagraphfont-000003"/>
              </w:rPr>
              <w:t>irektivnom 2014/24/EU i 2014/25/</w:t>
            </w:r>
            <w:r>
              <w:rPr>
                <w:rStyle w:val="defaultparagraphfont-000003"/>
              </w:rPr>
              <w:t>EU</w:t>
            </w:r>
            <w:r w:rsidR="0033597C">
              <w:rPr>
                <w:rStyle w:val="defaultparagraphfont-000003"/>
              </w:rPr>
              <w:t xml:space="preserve"> dodatno će se unaprijediti postojeći sustav javne nabave</w:t>
            </w:r>
            <w:r w:rsidR="008A7885">
              <w:rPr>
                <w:rStyle w:val="defaultparagraphfont-000003"/>
              </w:rPr>
              <w:t xml:space="preserve">, </w:t>
            </w:r>
            <w:r w:rsidR="0033597C">
              <w:rPr>
                <w:rStyle w:val="defaultparagraphfont-000003"/>
              </w:rPr>
              <w:t>stvoriti opći p</w:t>
            </w:r>
            <w:r w:rsidR="00C13B8E" w:rsidRPr="00C13B8E">
              <w:rPr>
                <w:rStyle w:val="defaultparagraphfont-000003"/>
              </w:rPr>
              <w:t xml:space="preserve">ravni okvir </w:t>
            </w:r>
            <w:r w:rsidR="0033597C">
              <w:rPr>
                <w:rStyle w:val="defaultparagraphfont-000003"/>
              </w:rPr>
              <w:t>za</w:t>
            </w:r>
            <w:r w:rsidR="00C13B8E" w:rsidRPr="00C13B8E">
              <w:rPr>
                <w:rStyle w:val="defaultparagraphfont-000003"/>
              </w:rPr>
              <w:t xml:space="preserve"> </w:t>
            </w:r>
            <w:r w:rsidR="0033597C">
              <w:rPr>
                <w:rStyle w:val="defaultparagraphfont-000003"/>
              </w:rPr>
              <w:t xml:space="preserve">jednostavno, </w:t>
            </w:r>
            <w:r w:rsidR="00C13B8E" w:rsidRPr="00C13B8E">
              <w:rPr>
                <w:rStyle w:val="defaultparagraphfont-000003"/>
              </w:rPr>
              <w:t>efikasn</w:t>
            </w:r>
            <w:r w:rsidR="0033597C">
              <w:rPr>
                <w:rStyle w:val="defaultparagraphfont-000003"/>
              </w:rPr>
              <w:t>o i</w:t>
            </w:r>
            <w:r w:rsidR="00C13B8E" w:rsidRPr="00C13B8E">
              <w:rPr>
                <w:rStyle w:val="defaultparagraphfont-000003"/>
              </w:rPr>
              <w:t xml:space="preserve"> transparentn</w:t>
            </w:r>
            <w:r w:rsidR="0033597C">
              <w:rPr>
                <w:rStyle w:val="defaultparagraphfont-000003"/>
              </w:rPr>
              <w:t>o</w:t>
            </w:r>
            <w:r w:rsidR="00C13B8E" w:rsidRPr="00C13B8E">
              <w:rPr>
                <w:rStyle w:val="defaultparagraphfont-000003"/>
              </w:rPr>
              <w:t xml:space="preserve"> </w:t>
            </w:r>
            <w:r w:rsidR="0033597C">
              <w:rPr>
                <w:rStyle w:val="defaultparagraphfont-000003"/>
              </w:rPr>
              <w:t>trošenje javnih s</w:t>
            </w:r>
            <w:r w:rsidR="008A7885">
              <w:rPr>
                <w:rStyle w:val="defaultparagraphfont-000003"/>
              </w:rPr>
              <w:t>redstava te osigurati učinkovita</w:t>
            </w:r>
            <w:r w:rsidR="0033597C">
              <w:rPr>
                <w:rStyle w:val="defaultparagraphfont-000003"/>
              </w:rPr>
              <w:t xml:space="preserve"> </w:t>
            </w:r>
            <w:r w:rsidR="00C13B8E" w:rsidRPr="00C13B8E">
              <w:rPr>
                <w:rStyle w:val="defaultparagraphfont-000003"/>
              </w:rPr>
              <w:t>pravn</w:t>
            </w:r>
            <w:r w:rsidR="008A7885">
              <w:rPr>
                <w:rStyle w:val="defaultparagraphfont-000003"/>
              </w:rPr>
              <w:t>a</w:t>
            </w:r>
            <w:r w:rsidR="00C13B8E" w:rsidRPr="00C13B8E">
              <w:rPr>
                <w:rStyle w:val="defaultparagraphfont-000003"/>
              </w:rPr>
              <w:t xml:space="preserve"> zaštit</w:t>
            </w:r>
            <w:r w:rsidR="008A7885">
              <w:rPr>
                <w:rStyle w:val="defaultparagraphfont-000003"/>
              </w:rPr>
              <w:t>a</w:t>
            </w:r>
            <w:r w:rsidR="0033597C">
              <w:rPr>
                <w:rStyle w:val="defaultparagraphfont-000003"/>
              </w:rPr>
              <w:t xml:space="preserve"> sudionicima.</w:t>
            </w:r>
            <w:r w:rsidR="004A6A6C">
              <w:rPr>
                <w:rStyle w:val="000010"/>
              </w:rPr>
              <w:t> </w:t>
            </w:r>
            <w:r w:rsidR="004A6A6C"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07DD3" w:rsidRDefault="007E0F60" w:rsidP="0033597C">
            <w:pPr>
              <w:pStyle w:val="normal-000004"/>
              <w:spacing w:after="0"/>
              <w:jc w:val="both"/>
            </w:pPr>
            <w:r>
              <w:rPr>
                <w:rStyle w:val="defaultparagraphfont-000003"/>
              </w:rPr>
              <w:t xml:space="preserve">Iako novi Zakon neće iziskivati dodatna proračunska sredstva za njegovu provedbu, ocjenjuje se da će naručitelji i gospodarski subjekti snositi određene troškove, prvenstveno edukacije, kako bi se upoznali s novim zakonskim  rješenjima.  </w:t>
            </w:r>
            <w:r w:rsidR="004A6A6C">
              <w:t xml:space="preserve"> </w:t>
            </w:r>
          </w:p>
        </w:tc>
      </w:tr>
    </w:tbl>
    <w:p w:rsidR="00307DD3" w:rsidRDefault="004A6A6C">
      <w:pPr>
        <w:pStyle w:val="Normal1"/>
        <w:spacing w:after="0"/>
      </w:pPr>
      <w:r>
        <w:rPr>
          <w:rStyle w:val="000011"/>
        </w:rPr>
        <w:t xml:space="preserve">  </w:t>
      </w:r>
    </w:p>
    <w:p w:rsidR="00307DD3" w:rsidRDefault="004A6A6C">
      <w:pPr>
        <w:pStyle w:val="Normal1"/>
        <w:spacing w:after="0"/>
      </w:pPr>
      <w:r>
        <w:rPr>
          <w:rStyle w:val="defaultparagraphfont-000009"/>
        </w:rPr>
        <w:t xml:space="preserve">UPUTA: Ovaj dio Iskaza popunjava se pri ažuriranju Nacrta prijedloga iskaza, a nakon provedenog savjetovanja i ponovno se ažurira nakon javne rasprave kod izrade Prijedloga iskaza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5. SAVJETOVANJE </w:t>
      </w:r>
    </w:p>
    <w:p w:rsidR="00307DD3" w:rsidRDefault="004A6A6C">
      <w:pPr>
        <w:pStyle w:val="normal-000004"/>
        <w:spacing w:after="0"/>
      </w:pPr>
      <w:r>
        <w:rPr>
          <w:rStyle w:val="defaultparagraphfont-000003"/>
        </w:rPr>
        <w:t>Ispunjava se nakon provedenog savjetovanja.</w:t>
      </w:r>
      <w:r>
        <w:t xml:space="preserve">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6. PREPORUČENA OPCIJA </w:t>
      </w:r>
    </w:p>
    <w:p w:rsidR="00307DD3" w:rsidRDefault="004A6A6C">
      <w:pPr>
        <w:pStyle w:val="normal-000004"/>
        <w:spacing w:after="0"/>
      </w:pPr>
      <w:r>
        <w:rPr>
          <w:rStyle w:val="defaultparagraphfont-000003"/>
        </w:rPr>
        <w:t>Ispunjava se nakon provedenog savjetovanja.</w:t>
      </w:r>
      <w:r>
        <w:t xml:space="preserve">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7. PRAĆENJE PROVEDBE I EVALUACIJA </w:t>
      </w:r>
    </w:p>
    <w:p w:rsidR="00307DD3" w:rsidRDefault="004A6A6C">
      <w:pPr>
        <w:pStyle w:val="normal-000004"/>
        <w:spacing w:after="0"/>
      </w:pPr>
      <w:r>
        <w:rPr>
          <w:rStyle w:val="defaultparagraphfont-000003"/>
        </w:rPr>
        <w:t>Ispunjava se nakon provedenog savjetovanja.</w:t>
      </w:r>
      <w:r>
        <w:t xml:space="preserve"> </w:t>
      </w:r>
    </w:p>
    <w:p w:rsidR="00307DD3" w:rsidRDefault="004A6A6C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2"/>
          <w:rFonts w:eastAsia="Times New Roman"/>
          <w:b/>
          <w:bCs/>
        </w:rPr>
        <w:t xml:space="preserve">8. PRILOZI </w:t>
      </w:r>
    </w:p>
    <w:p w:rsidR="004A6A6C" w:rsidRDefault="004A6A6C">
      <w:pPr>
        <w:pStyle w:val="normal-000004"/>
        <w:spacing w:after="0"/>
      </w:pPr>
      <w:r>
        <w:rPr>
          <w:rStyle w:val="000010"/>
        </w:rPr>
        <w:t> </w:t>
      </w:r>
      <w:r>
        <w:t xml:space="preserve"> </w:t>
      </w:r>
    </w:p>
    <w:sectPr w:rsidR="004A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CC"/>
    <w:rsid w:val="00015651"/>
    <w:rsid w:val="0007416B"/>
    <w:rsid w:val="00125B03"/>
    <w:rsid w:val="001D10B0"/>
    <w:rsid w:val="002A2459"/>
    <w:rsid w:val="002C03A6"/>
    <w:rsid w:val="002C07B4"/>
    <w:rsid w:val="00307DD3"/>
    <w:rsid w:val="0033597C"/>
    <w:rsid w:val="003C4BC1"/>
    <w:rsid w:val="004051EC"/>
    <w:rsid w:val="004168CC"/>
    <w:rsid w:val="004A6A6C"/>
    <w:rsid w:val="0065403B"/>
    <w:rsid w:val="006F71A6"/>
    <w:rsid w:val="007E0F60"/>
    <w:rsid w:val="008A7885"/>
    <w:rsid w:val="00A81EE6"/>
    <w:rsid w:val="00B732DA"/>
    <w:rsid w:val="00C13B8E"/>
    <w:rsid w:val="00C36EAC"/>
    <w:rsid w:val="00CB7C29"/>
    <w:rsid w:val="00D004EA"/>
    <w:rsid w:val="00E747B4"/>
    <w:rsid w:val="00E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60230-AE4B-4C52-AFC7-C6E8193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paragraph" w:customStyle="1" w:styleId="Title1">
    <w:name w:val="Title1"/>
    <w:basedOn w:val="Normal"/>
    <w:pPr>
      <w:spacing w:after="270" w:line="240" w:lineRule="auto"/>
      <w:jc w:val="both"/>
    </w:pPr>
    <w:rPr>
      <w:rFonts w:ascii="Cambria" w:hAnsi="Cambria" w:cs="Times New Roman"/>
      <w:sz w:val="52"/>
      <w:szCs w:val="52"/>
    </w:rPr>
  </w:style>
  <w:style w:type="paragraph" w:customStyle="1" w:styleId="Normal1">
    <w:name w:val="Normal1"/>
    <w:basedOn w:val="Normal"/>
    <w:pPr>
      <w:spacing w:after="180" w:line="240" w:lineRule="auto"/>
      <w:jc w:val="both"/>
    </w:pPr>
    <w:rPr>
      <w:rFonts w:ascii="Calibri" w:hAnsi="Calibri" w:cs="Times New Roman"/>
    </w:rPr>
  </w:style>
  <w:style w:type="paragraph" w:customStyle="1" w:styleId="normal-000004">
    <w:name w:val="normal-000004"/>
    <w:basedOn w:val="Normal"/>
    <w:pPr>
      <w:spacing w:after="180" w:line="240" w:lineRule="auto"/>
    </w:pPr>
    <w:rPr>
      <w:rFonts w:ascii="Calibri" w:hAnsi="Calibri" w:cs="Times New Roman"/>
    </w:rPr>
  </w:style>
  <w:style w:type="character" w:customStyle="1" w:styleId="defaultparagraphfont0">
    <w:name w:val="defaultparagraphfont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defaultparagraphfont-000002">
    <w:name w:val="defaultparagraphfont-000002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defaultparagraphfont-000003">
    <w:name w:val="defaultparagraphfont-000003"/>
    <w:basedOn w:val="DefaultParagraphFont"/>
    <w:rPr>
      <w:rFonts w:ascii="Calibri" w:hAnsi="Calibri" w:hint="default"/>
      <w:b w:val="0"/>
      <w:bCs w:val="0"/>
      <w:sz w:val="22"/>
      <w:szCs w:val="22"/>
    </w:rPr>
  </w:style>
  <w:style w:type="character" w:customStyle="1" w:styleId="defaultparagraphfont-000006">
    <w:name w:val="defaultparagraphfont-000006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09">
    <w:name w:val="defaultparagraphfont-000009"/>
    <w:basedOn w:val="DefaultParagraphFont"/>
    <w:rPr>
      <w:rFonts w:ascii="Calibri" w:hAnsi="Calibri" w:hint="default"/>
      <w:b/>
      <w:bCs/>
      <w:sz w:val="22"/>
      <w:szCs w:val="22"/>
    </w:rPr>
  </w:style>
  <w:style w:type="character" w:customStyle="1" w:styleId="000010">
    <w:name w:val="000010"/>
    <w:basedOn w:val="DefaultParagraphFont"/>
    <w:rPr>
      <w:b w:val="0"/>
      <w:bCs w:val="0"/>
      <w:sz w:val="22"/>
      <w:szCs w:val="22"/>
    </w:rPr>
  </w:style>
  <w:style w:type="character" w:customStyle="1" w:styleId="000011">
    <w:name w:val="000011"/>
    <w:basedOn w:val="DefaultParagraphFont"/>
    <w:rPr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5B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Nemanja Relic</dc:creator>
  <cp:lastModifiedBy>Nemanja Relic</cp:lastModifiedBy>
  <cp:revision>4</cp:revision>
  <dcterms:created xsi:type="dcterms:W3CDTF">2016-03-03T09:43:00Z</dcterms:created>
  <dcterms:modified xsi:type="dcterms:W3CDTF">2016-03-03T09:49:00Z</dcterms:modified>
</cp:coreProperties>
</file>