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E5" w:rsidRPr="00C51A22" w:rsidRDefault="009405E5" w:rsidP="009405E5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C51A22">
        <w:rPr>
          <w:rFonts w:eastAsia="Times New Roman" w:cs="Times New Roman"/>
          <w:b/>
          <w:bCs/>
          <w:szCs w:val="24"/>
          <w:lang w:eastAsia="hr-HR"/>
        </w:rPr>
        <w:t>MINISTARSTVO MORA, PROMETA I INFRASTRUKTURE</w:t>
      </w:r>
    </w:p>
    <w:p w:rsidR="009405E5" w:rsidRPr="00C51A22" w:rsidRDefault="009405E5" w:rsidP="009405E5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r-HR"/>
        </w:rPr>
      </w:pPr>
      <w:r w:rsidRPr="00C51A22">
        <w:rPr>
          <w:rFonts w:cs="Times New Roman"/>
          <w:szCs w:val="24"/>
        </w:rPr>
        <w:t>Na temelju članka 9. stavka 9</w:t>
      </w:r>
      <w:r>
        <w:rPr>
          <w:rFonts w:cs="Times New Roman"/>
          <w:szCs w:val="24"/>
        </w:rPr>
        <w:t>. i članka 31. stavka 8</w:t>
      </w:r>
      <w:r w:rsidRPr="00C51A22">
        <w:rPr>
          <w:rFonts w:cs="Times New Roman"/>
          <w:szCs w:val="24"/>
        </w:rPr>
        <w:t>. Zakona o radnom vremenu, obveznim odmorima mobilnih radnika i uređajima za bilježenje u cestovnom prijevozu („Narodne novine“, br. 75/13, 36/15, 46/17 i 152/22) ministar mora, prometa i infrastrukture donosi</w:t>
      </w:r>
    </w:p>
    <w:p w:rsidR="009405E5" w:rsidRPr="00C51A22" w:rsidRDefault="009405E5" w:rsidP="009405E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C51A22">
        <w:rPr>
          <w:rFonts w:eastAsia="Times New Roman" w:cs="Times New Roman"/>
          <w:b/>
          <w:bCs/>
          <w:szCs w:val="24"/>
          <w:lang w:eastAsia="hr-HR"/>
        </w:rPr>
        <w:t>PRAVILNIK</w:t>
      </w:r>
    </w:p>
    <w:p w:rsidR="009405E5" w:rsidRPr="00C51A22" w:rsidRDefault="009405E5" w:rsidP="009405E5">
      <w:pPr>
        <w:pStyle w:val="box458978"/>
        <w:shd w:val="clear" w:color="auto" w:fill="FFFFFF"/>
        <w:spacing w:before="0" w:beforeAutospacing="0" w:after="48" w:afterAutospacing="0"/>
        <w:jc w:val="both"/>
        <w:textAlignment w:val="baseline"/>
      </w:pPr>
      <w:r w:rsidRPr="00C51A22">
        <w:rPr>
          <w:b/>
          <w:bCs/>
        </w:rPr>
        <w:t>O IZMJENAMA I DOPUNAMA PRAVILNIKA</w:t>
      </w:r>
      <w:r w:rsidRPr="00C51A22">
        <w:t xml:space="preserve"> </w:t>
      </w:r>
      <w:r w:rsidRPr="00C51A22">
        <w:rPr>
          <w:b/>
          <w:bCs/>
        </w:rPr>
        <w:t>O PRIJENOSU PODATAKA U SREDIŠNJU BAZU TAHOGRAFSKIH PODATAKA TE NAČINU VOĐENJA EVIDENCIJE O RADNOM VREMENU MOBILNIH RADNIKA</w:t>
      </w:r>
    </w:p>
    <w:p w:rsidR="009405E5" w:rsidRPr="00C51A22" w:rsidRDefault="009405E5" w:rsidP="009405E5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</w:pPr>
    </w:p>
    <w:p w:rsidR="009405E5" w:rsidRDefault="009405E5" w:rsidP="009405E5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</w:pPr>
      <w:r w:rsidRPr="00C51A22">
        <w:t>Članak 1.</w:t>
      </w:r>
    </w:p>
    <w:p w:rsidR="009405E5" w:rsidRDefault="009405E5" w:rsidP="009405E5">
      <w:pPr>
        <w:pStyle w:val="clanak-"/>
        <w:shd w:val="clear" w:color="auto" w:fill="FFFFFF"/>
        <w:spacing w:before="0" w:beforeAutospacing="0" w:after="225" w:afterAutospacing="0" w:line="336" w:lineRule="atLeast"/>
        <w:jc w:val="both"/>
        <w:textAlignment w:val="baseline"/>
      </w:pPr>
      <w:r w:rsidRPr="00810B95">
        <w:t xml:space="preserve">U Pravilniku o prijenosu podataka u središnju bazu tahografskih podataka te načinu vođenja evidencije o radnom vremenu mobilnih radnika </w:t>
      </w:r>
      <w:r>
        <w:t>(„Narodne novine“</w:t>
      </w:r>
      <w:r w:rsidRPr="00810B95">
        <w:t>, br. 109/2018)</w:t>
      </w:r>
      <w:r>
        <w:t xml:space="preserve"> iznad članka 2. naslov briše se.</w:t>
      </w:r>
    </w:p>
    <w:p w:rsidR="009405E5" w:rsidRDefault="009405E5" w:rsidP="009405E5">
      <w:pPr>
        <w:pStyle w:val="clanak-"/>
        <w:shd w:val="clear" w:color="auto" w:fill="FFFFFF"/>
        <w:spacing w:before="0" w:beforeAutospacing="0" w:after="225" w:afterAutospacing="0" w:line="336" w:lineRule="atLeast"/>
        <w:jc w:val="both"/>
        <w:textAlignment w:val="baseline"/>
      </w:pPr>
      <w:r>
        <w:t>Članak 2. mijenja se i glasi:</w:t>
      </w:r>
    </w:p>
    <w:p w:rsidR="009405E5" w:rsidRDefault="009405E5" w:rsidP="009405E5">
      <w:pPr>
        <w:pStyle w:val="clanak-"/>
        <w:shd w:val="clear" w:color="auto" w:fill="FFFFFF"/>
        <w:spacing w:after="225" w:line="336" w:lineRule="atLeast"/>
        <w:jc w:val="both"/>
        <w:textAlignment w:val="baseline"/>
      </w:pPr>
      <w:r>
        <w:t>„</w:t>
      </w:r>
      <w:r w:rsidRPr="00161988">
        <w:t xml:space="preserve">Ovim Pravilnikom u hrvatsko zakonodavstvo preuzima se </w:t>
      </w:r>
      <w:r w:rsidRPr="00860E7E">
        <w:t xml:space="preserve">Delegirana Direktiva Komisije (EU) 2024/846 </w:t>
      </w:r>
      <w:proofErr w:type="spellStart"/>
      <w:r w:rsidRPr="00860E7E">
        <w:t>оd</w:t>
      </w:r>
      <w:proofErr w:type="spellEnd"/>
      <w:r w:rsidRPr="00860E7E">
        <w:t xml:space="preserve"> 14. ožujka 2024. o izmjeni Direktive 2006/22/EZ Europskog parlamenta i Vijeća o minimalnim uvjetima za provedbu uredaba (EZ) br. 561/2006 i (EU) br. 165/2014 te Direktive 2002/15/EZ u pogledu socijalnog zakonodavstva koje se odnosi na aktivnosti cestovnog prijevoza</w:t>
      </w:r>
      <w:r>
        <w:t xml:space="preserve"> (SL </w:t>
      </w:r>
      <w:r w:rsidRPr="00986FC0">
        <w:t>L</w:t>
      </w:r>
      <w:r w:rsidRPr="00986FC0">
        <w:rPr>
          <w:rFonts w:ascii="Roboto" w:eastAsiaTheme="minorHAnsi" w:hAnsi="Roboto" w:cstheme="minorBidi"/>
          <w:iCs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986FC0">
        <w:rPr>
          <w:iCs/>
        </w:rPr>
        <w:t>2024/846</w:t>
      </w:r>
      <w:r>
        <w:t xml:space="preserve">, </w:t>
      </w:r>
      <w:r w:rsidRPr="00431D91">
        <w:t>31.5.2024</w:t>
      </w:r>
      <w:r>
        <w:t>.).“.</w:t>
      </w:r>
    </w:p>
    <w:p w:rsidR="009405E5" w:rsidRDefault="009405E5" w:rsidP="009405E5">
      <w:pPr>
        <w:pStyle w:val="clanak-"/>
        <w:shd w:val="clear" w:color="auto" w:fill="FFFFFF"/>
        <w:spacing w:after="225" w:line="336" w:lineRule="atLeast"/>
        <w:jc w:val="both"/>
        <w:textAlignment w:val="baseline"/>
      </w:pPr>
    </w:p>
    <w:p w:rsidR="009405E5" w:rsidRDefault="009405E5" w:rsidP="009405E5">
      <w:pPr>
        <w:pStyle w:val="clanak-"/>
        <w:shd w:val="clear" w:color="auto" w:fill="FFFFFF"/>
        <w:jc w:val="center"/>
      </w:pPr>
      <w:r w:rsidRPr="00A95772">
        <w:t>Članak 2.</w:t>
      </w:r>
    </w:p>
    <w:p w:rsidR="009405E5" w:rsidRPr="00A95772" w:rsidRDefault="009405E5" w:rsidP="009405E5">
      <w:pPr>
        <w:pStyle w:val="clanak-"/>
        <w:shd w:val="clear" w:color="auto" w:fill="FFFFFF"/>
        <w:spacing w:after="225" w:line="336" w:lineRule="atLeast"/>
        <w:jc w:val="both"/>
        <w:textAlignment w:val="baseline"/>
      </w:pPr>
      <w:r>
        <w:t>Iza članka 2.</w:t>
      </w:r>
      <w:r w:rsidRPr="00A95772">
        <w:t xml:space="preserve"> dodaju se</w:t>
      </w:r>
      <w:r>
        <w:t xml:space="preserve"> naslov iznad članka i članak 2</w:t>
      </w:r>
      <w:r w:rsidRPr="00A95772">
        <w:t>.a koji glase:</w:t>
      </w:r>
    </w:p>
    <w:p w:rsidR="009405E5" w:rsidRPr="006249E6" w:rsidRDefault="009405E5" w:rsidP="009405E5">
      <w:pPr>
        <w:pStyle w:val="clanak-"/>
        <w:spacing w:after="225" w:line="336" w:lineRule="atLeast"/>
        <w:jc w:val="center"/>
        <w:textAlignment w:val="baseline"/>
        <w:rPr>
          <w:bCs/>
          <w:i/>
          <w:iCs/>
        </w:rPr>
      </w:pPr>
      <w:r w:rsidRPr="006249E6">
        <w:rPr>
          <w:bCs/>
          <w:i/>
          <w:iCs/>
        </w:rPr>
        <w:t>„Pojmovi</w:t>
      </w:r>
    </w:p>
    <w:p w:rsidR="009405E5" w:rsidRPr="006249E6" w:rsidRDefault="009405E5" w:rsidP="009405E5">
      <w:pPr>
        <w:pStyle w:val="clanak-"/>
        <w:spacing w:after="225" w:line="336" w:lineRule="atLeast"/>
        <w:jc w:val="center"/>
        <w:textAlignment w:val="baseline"/>
        <w:rPr>
          <w:bCs/>
        </w:rPr>
      </w:pPr>
      <w:r w:rsidRPr="006249E6">
        <w:rPr>
          <w:bCs/>
        </w:rPr>
        <w:t>Članak 2.a</w:t>
      </w:r>
    </w:p>
    <w:p w:rsidR="009405E5" w:rsidRPr="006249E6" w:rsidRDefault="009405E5" w:rsidP="009405E5">
      <w:pPr>
        <w:pStyle w:val="clanak-"/>
        <w:jc w:val="both"/>
        <w:rPr>
          <w:bCs/>
        </w:rPr>
      </w:pPr>
      <w:r w:rsidRPr="006249E6">
        <w:rPr>
          <w:bCs/>
        </w:rPr>
        <w:t>Pojmovi koji se koriste u ovom Pravilniku imaju jednako značenje kao pojmovi koji se koriste u propisima kojima se regulira radno vrijeme, obvezni odmori mobilnih radnika i uređaji za bilježenje u cestovnom prijevozu.“</w:t>
      </w:r>
      <w:r>
        <w:rPr>
          <w:bCs/>
        </w:rPr>
        <w:t>.</w:t>
      </w:r>
    </w:p>
    <w:p w:rsidR="009405E5" w:rsidRPr="006249E6" w:rsidRDefault="009405E5" w:rsidP="009405E5">
      <w:pPr>
        <w:pStyle w:val="clanak-"/>
        <w:spacing w:after="225" w:line="336" w:lineRule="atLeast"/>
        <w:jc w:val="center"/>
        <w:textAlignment w:val="baseline"/>
        <w:rPr>
          <w:bCs/>
        </w:rPr>
      </w:pPr>
      <w:r w:rsidRPr="006249E6">
        <w:rPr>
          <w:bCs/>
        </w:rPr>
        <w:t>Članak 3.</w:t>
      </w:r>
    </w:p>
    <w:p w:rsidR="009405E5" w:rsidRPr="006249E6" w:rsidRDefault="009405E5" w:rsidP="009405E5">
      <w:pPr>
        <w:pStyle w:val="clanak-"/>
        <w:spacing w:after="225" w:line="336" w:lineRule="atLeast"/>
        <w:jc w:val="both"/>
        <w:textAlignment w:val="baseline"/>
        <w:rPr>
          <w:bCs/>
        </w:rPr>
      </w:pPr>
      <w:r>
        <w:rPr>
          <w:bCs/>
        </w:rPr>
        <w:t>Iza</w:t>
      </w:r>
      <w:r w:rsidRPr="006249E6">
        <w:rPr>
          <w:bCs/>
        </w:rPr>
        <w:t xml:space="preserve"> člank</w:t>
      </w:r>
      <w:r>
        <w:rPr>
          <w:bCs/>
        </w:rPr>
        <w:t>a</w:t>
      </w:r>
      <w:r w:rsidRPr="006249E6">
        <w:rPr>
          <w:bCs/>
        </w:rPr>
        <w:t xml:space="preserve"> 1</w:t>
      </w:r>
      <w:r>
        <w:rPr>
          <w:bCs/>
        </w:rPr>
        <w:t>1</w:t>
      </w:r>
      <w:r w:rsidRPr="006249E6">
        <w:rPr>
          <w:bCs/>
        </w:rPr>
        <w:t>.</w:t>
      </w:r>
      <w:r>
        <w:rPr>
          <w:bCs/>
        </w:rPr>
        <w:t xml:space="preserve"> dodaju se naslov i novi članak 12. koji glase</w:t>
      </w:r>
      <w:r w:rsidRPr="006249E6">
        <w:rPr>
          <w:bCs/>
        </w:rPr>
        <w:t>:</w:t>
      </w:r>
    </w:p>
    <w:p w:rsidR="009405E5" w:rsidRDefault="009405E5" w:rsidP="009405E5">
      <w:pPr>
        <w:pStyle w:val="clanak-"/>
        <w:spacing w:after="225" w:line="336" w:lineRule="atLeast"/>
        <w:jc w:val="both"/>
        <w:textAlignment w:val="baseline"/>
        <w:rPr>
          <w:bCs/>
        </w:rPr>
      </w:pPr>
    </w:p>
    <w:p w:rsidR="009405E5" w:rsidRDefault="009405E5" w:rsidP="009405E5">
      <w:pPr>
        <w:pStyle w:val="clanak-"/>
        <w:spacing w:after="225" w:line="336" w:lineRule="atLeast"/>
        <w:jc w:val="center"/>
        <w:textAlignment w:val="baseline"/>
        <w:rPr>
          <w:bCs/>
        </w:rPr>
      </w:pPr>
      <w:r>
        <w:rPr>
          <w:bCs/>
        </w:rPr>
        <w:lastRenderedPageBreak/>
        <w:t>„Sustav ocjene rizika</w:t>
      </w:r>
    </w:p>
    <w:p w:rsidR="009405E5" w:rsidRDefault="009405E5" w:rsidP="009405E5">
      <w:pPr>
        <w:pStyle w:val="clanak-"/>
        <w:spacing w:after="225" w:line="336" w:lineRule="atLeast"/>
        <w:jc w:val="center"/>
        <w:textAlignment w:val="baseline"/>
        <w:rPr>
          <w:bCs/>
        </w:rPr>
      </w:pPr>
      <w:r>
        <w:rPr>
          <w:bCs/>
        </w:rPr>
        <w:t>Članak 12.</w:t>
      </w:r>
    </w:p>
    <w:p w:rsidR="009405E5" w:rsidRDefault="009405E5" w:rsidP="009405E5">
      <w:pPr>
        <w:pStyle w:val="clanak-"/>
        <w:spacing w:after="225" w:line="336" w:lineRule="atLeast"/>
        <w:jc w:val="both"/>
        <w:textAlignment w:val="baseline"/>
        <w:rPr>
          <w:bCs/>
        </w:rPr>
      </w:pPr>
      <w:r w:rsidRPr="006249E6">
        <w:rPr>
          <w:bCs/>
        </w:rPr>
        <w:t>Inspektori i policijski službenici dužni su tvrtke s visokom ocjenom rizika nadzirati redovitije i detaljnije, a u svrhu ocjene rizika koristit će se kategorizacija prekršaja, sukladno njihovoj težini iz Priloga 3. koji je sastavni dio ovog Pravilnika.“.</w:t>
      </w:r>
    </w:p>
    <w:p w:rsidR="009F7B26" w:rsidRPr="006249E6" w:rsidRDefault="009F7B26" w:rsidP="009F7B26">
      <w:pPr>
        <w:pStyle w:val="clanak-"/>
        <w:spacing w:after="225" w:line="336" w:lineRule="atLeast"/>
        <w:jc w:val="center"/>
        <w:textAlignment w:val="baseline"/>
        <w:rPr>
          <w:bCs/>
        </w:rPr>
      </w:pPr>
      <w:r>
        <w:rPr>
          <w:bCs/>
        </w:rPr>
        <w:t>Članak 4.</w:t>
      </w:r>
    </w:p>
    <w:p w:rsidR="009405E5" w:rsidRPr="009F7B26" w:rsidRDefault="009F7B26" w:rsidP="009405E5">
      <w:pPr>
        <w:pStyle w:val="clanak-"/>
        <w:spacing w:after="225" w:line="336" w:lineRule="atLeast"/>
        <w:textAlignment w:val="baseline"/>
        <w:rPr>
          <w:bCs/>
        </w:rPr>
      </w:pPr>
      <w:r w:rsidRPr="009F7B26">
        <w:rPr>
          <w:bCs/>
        </w:rPr>
        <w:t>Dosadašnji članak 12. postaje članak 13.</w:t>
      </w:r>
    </w:p>
    <w:p w:rsidR="009405E5" w:rsidRPr="00873AE9" w:rsidRDefault="009F7B26" w:rsidP="009405E5">
      <w:pPr>
        <w:pStyle w:val="clanak-"/>
        <w:spacing w:after="225" w:line="336" w:lineRule="atLeast"/>
        <w:jc w:val="center"/>
        <w:textAlignment w:val="baseline"/>
        <w:rPr>
          <w:bCs/>
        </w:rPr>
      </w:pPr>
      <w:r>
        <w:rPr>
          <w:bCs/>
        </w:rPr>
        <w:t>Članak 5</w:t>
      </w:r>
      <w:r w:rsidR="009405E5" w:rsidRPr="00873AE9">
        <w:rPr>
          <w:bCs/>
        </w:rPr>
        <w:t>.</w:t>
      </w:r>
    </w:p>
    <w:p w:rsidR="009405E5" w:rsidRPr="00873AE9" w:rsidRDefault="009405E5" w:rsidP="009405E5">
      <w:pPr>
        <w:pStyle w:val="clanak-"/>
        <w:spacing w:after="225" w:line="336" w:lineRule="atLeast"/>
        <w:jc w:val="both"/>
        <w:textAlignment w:val="baseline"/>
        <w:rPr>
          <w:bCs/>
          <w:lang w:val="en-US"/>
        </w:rPr>
      </w:pPr>
      <w:proofErr w:type="spellStart"/>
      <w:r w:rsidRPr="00873AE9">
        <w:rPr>
          <w:bCs/>
          <w:lang w:val="en-US"/>
        </w:rPr>
        <w:t>Iza</w:t>
      </w:r>
      <w:proofErr w:type="spellEnd"/>
      <w:r w:rsidRPr="00873AE9">
        <w:rPr>
          <w:bCs/>
          <w:lang w:val="en-US"/>
        </w:rPr>
        <w:t xml:space="preserve"> </w:t>
      </w:r>
      <w:proofErr w:type="spellStart"/>
      <w:r w:rsidRPr="00873AE9">
        <w:rPr>
          <w:bCs/>
          <w:lang w:val="en-US"/>
        </w:rPr>
        <w:t>dosadašnjeg</w:t>
      </w:r>
      <w:proofErr w:type="spellEnd"/>
      <w:r w:rsidRPr="00873AE9">
        <w:rPr>
          <w:bCs/>
          <w:lang w:val="en-US"/>
        </w:rPr>
        <w:t xml:space="preserve"> </w:t>
      </w:r>
      <w:proofErr w:type="spellStart"/>
      <w:r w:rsidRPr="00873AE9">
        <w:rPr>
          <w:bCs/>
          <w:lang w:val="en-US"/>
        </w:rPr>
        <w:t>Priloga</w:t>
      </w:r>
      <w:proofErr w:type="spellEnd"/>
      <w:r w:rsidRPr="00873AE9">
        <w:rPr>
          <w:bCs/>
          <w:lang w:val="en-US"/>
        </w:rPr>
        <w:t xml:space="preserve"> 2., </w:t>
      </w:r>
      <w:proofErr w:type="spellStart"/>
      <w:r w:rsidRPr="00873AE9">
        <w:rPr>
          <w:bCs/>
          <w:lang w:val="en-US"/>
        </w:rPr>
        <w:t>dodaje</w:t>
      </w:r>
      <w:proofErr w:type="spellEnd"/>
      <w:r w:rsidRPr="00873AE9">
        <w:rPr>
          <w:bCs/>
          <w:lang w:val="en-US"/>
        </w:rPr>
        <w:t xml:space="preserve"> se </w:t>
      </w:r>
      <w:proofErr w:type="spellStart"/>
      <w:r w:rsidRPr="00873AE9">
        <w:rPr>
          <w:bCs/>
          <w:lang w:val="en-US"/>
        </w:rPr>
        <w:t>novi</w:t>
      </w:r>
      <w:proofErr w:type="spellEnd"/>
      <w:r w:rsidRPr="00873AE9">
        <w:rPr>
          <w:bCs/>
          <w:lang w:val="en-US"/>
        </w:rPr>
        <w:t xml:space="preserve"> </w:t>
      </w:r>
      <w:proofErr w:type="spellStart"/>
      <w:r w:rsidRPr="00873AE9">
        <w:rPr>
          <w:bCs/>
          <w:lang w:val="en-US"/>
        </w:rPr>
        <w:t>Prilog</w:t>
      </w:r>
      <w:proofErr w:type="spellEnd"/>
      <w:r w:rsidRPr="00873AE9">
        <w:rPr>
          <w:bCs/>
          <w:lang w:val="en-US"/>
        </w:rPr>
        <w:t xml:space="preserve"> </w:t>
      </w:r>
      <w:proofErr w:type="gramStart"/>
      <w:r w:rsidRPr="00873AE9">
        <w:rPr>
          <w:bCs/>
          <w:lang w:val="en-US"/>
        </w:rPr>
        <w:t>3..</w:t>
      </w:r>
      <w:proofErr w:type="gramEnd"/>
    </w:p>
    <w:p w:rsidR="009405E5" w:rsidRPr="00C51A22" w:rsidRDefault="009405E5" w:rsidP="009405E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05E5" w:rsidRPr="004D5C13" w:rsidRDefault="009405E5" w:rsidP="009405E5">
      <w:pPr>
        <w:pStyle w:val="t-9-8"/>
        <w:shd w:val="clear" w:color="auto" w:fill="FFFFFF"/>
        <w:spacing w:after="225" w:line="336" w:lineRule="atLeast"/>
        <w:jc w:val="center"/>
        <w:textAlignment w:val="baseline"/>
      </w:pPr>
      <w:r w:rsidRPr="004D5C13">
        <w:t>Završna odredba</w:t>
      </w:r>
    </w:p>
    <w:p w:rsidR="009405E5" w:rsidRPr="00C51A22" w:rsidRDefault="009F7B26" w:rsidP="009405E5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9405E5" w:rsidRPr="00C51A22">
        <w:rPr>
          <w:rFonts w:ascii="Times New Roman" w:hAnsi="Times New Roman"/>
          <w:sz w:val="24"/>
          <w:szCs w:val="24"/>
        </w:rPr>
        <w:t>.</w:t>
      </w:r>
    </w:p>
    <w:p w:rsidR="009405E5" w:rsidRPr="00C51A22" w:rsidRDefault="009405E5" w:rsidP="009405E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05E5" w:rsidRPr="00C51A22" w:rsidRDefault="009405E5" w:rsidP="009405E5">
      <w:pPr>
        <w:spacing w:after="0"/>
        <w:rPr>
          <w:rFonts w:cs="Times New Roman"/>
          <w:szCs w:val="24"/>
        </w:rPr>
      </w:pPr>
      <w:r w:rsidRPr="00C51A22">
        <w:rPr>
          <w:rFonts w:cs="Times New Roman"/>
          <w:szCs w:val="24"/>
        </w:rPr>
        <w:t>Ovaj Pravilnik stupa na snagu osmoga dana od dana objave u „Narodnim novinama“.</w:t>
      </w:r>
    </w:p>
    <w:p w:rsidR="009405E5" w:rsidRPr="00C51A22" w:rsidRDefault="009405E5" w:rsidP="009405E5">
      <w:pPr>
        <w:rPr>
          <w:rFonts w:cs="Times New Roman"/>
          <w:szCs w:val="24"/>
        </w:rPr>
      </w:pPr>
    </w:p>
    <w:p w:rsidR="009405E5" w:rsidRPr="00C51A22" w:rsidRDefault="009405E5" w:rsidP="009405E5">
      <w:pPr>
        <w:rPr>
          <w:rFonts w:cs="Times New Roman"/>
          <w:szCs w:val="24"/>
        </w:rPr>
      </w:pPr>
    </w:p>
    <w:p w:rsidR="009405E5" w:rsidRDefault="009405E5" w:rsidP="009405E5">
      <w:pPr>
        <w:rPr>
          <w:rFonts w:cs="Times New Roman"/>
          <w:szCs w:val="24"/>
        </w:rPr>
      </w:pPr>
      <w:r w:rsidRPr="00C51A22">
        <w:rPr>
          <w:rFonts w:cs="Times New Roman"/>
          <w:szCs w:val="24"/>
        </w:rPr>
        <w:t xml:space="preserve">Klasa:                                                                                                                                                         </w:t>
      </w:r>
      <w:proofErr w:type="spellStart"/>
      <w:r w:rsidRPr="00C51A22">
        <w:rPr>
          <w:rFonts w:cs="Times New Roman"/>
          <w:szCs w:val="24"/>
        </w:rPr>
        <w:t>Urbroj</w:t>
      </w:r>
      <w:proofErr w:type="spellEnd"/>
      <w:r w:rsidRPr="00C51A22">
        <w:rPr>
          <w:rFonts w:cs="Times New Roman"/>
          <w:szCs w:val="24"/>
        </w:rPr>
        <w:t xml:space="preserve">:                                                                           </w:t>
      </w:r>
      <w:bookmarkStart w:id="0" w:name="_GoBack"/>
      <w:bookmarkEnd w:id="0"/>
      <w:r w:rsidRPr="00C51A22">
        <w:rPr>
          <w:rFonts w:cs="Times New Roman"/>
          <w:szCs w:val="24"/>
        </w:rPr>
        <w:t xml:space="preserve">                                                                  Zagreb, 2025.     </w:t>
      </w:r>
    </w:p>
    <w:p w:rsidR="009405E5" w:rsidRDefault="009405E5" w:rsidP="009405E5">
      <w:pPr>
        <w:rPr>
          <w:rFonts w:cs="Times New Roman"/>
          <w:szCs w:val="24"/>
        </w:rPr>
      </w:pPr>
    </w:p>
    <w:p w:rsidR="009405E5" w:rsidRDefault="009405E5" w:rsidP="009405E5">
      <w:pPr>
        <w:rPr>
          <w:rFonts w:cs="Times New Roman"/>
          <w:szCs w:val="24"/>
        </w:rPr>
      </w:pPr>
    </w:p>
    <w:p w:rsidR="009405E5" w:rsidRPr="00C51A22" w:rsidRDefault="009405E5" w:rsidP="009405E5">
      <w:pPr>
        <w:rPr>
          <w:rFonts w:cs="Times New Roman"/>
          <w:szCs w:val="24"/>
        </w:rPr>
      </w:pPr>
    </w:p>
    <w:p w:rsidR="009405E5" w:rsidRPr="00C51A22" w:rsidRDefault="009405E5" w:rsidP="009405E5">
      <w:pPr>
        <w:spacing w:after="0"/>
        <w:ind w:left="5670"/>
        <w:jc w:val="center"/>
        <w:rPr>
          <w:rFonts w:eastAsia="Times New Roman" w:cs="Times New Roman"/>
          <w:b/>
          <w:szCs w:val="24"/>
          <w:shd w:val="clear" w:color="auto" w:fill="FFFFFF"/>
          <w:lang w:eastAsia="hr-HR"/>
        </w:rPr>
      </w:pPr>
      <w:r w:rsidRPr="00C51A22">
        <w:rPr>
          <w:rFonts w:eastAsia="Times New Roman" w:cs="Times New Roman"/>
          <w:b/>
          <w:szCs w:val="24"/>
          <w:shd w:val="clear" w:color="auto" w:fill="FFFFFF"/>
          <w:lang w:eastAsia="hr-HR"/>
        </w:rPr>
        <w:t>POTPREDSJEDNIK VLADE I MINISTAR</w:t>
      </w:r>
    </w:p>
    <w:p w:rsidR="009405E5" w:rsidRPr="00C51A22" w:rsidRDefault="009405E5" w:rsidP="009405E5">
      <w:pPr>
        <w:spacing w:after="0"/>
        <w:ind w:left="5670"/>
        <w:jc w:val="center"/>
        <w:rPr>
          <w:rFonts w:eastAsia="Times New Roman" w:cs="Times New Roman"/>
          <w:b/>
          <w:szCs w:val="24"/>
          <w:lang w:eastAsia="hr-HR"/>
        </w:rPr>
      </w:pPr>
    </w:p>
    <w:p w:rsidR="009405E5" w:rsidRPr="00C51A22" w:rsidRDefault="009405E5" w:rsidP="009405E5">
      <w:pPr>
        <w:spacing w:after="0"/>
        <w:ind w:left="5670"/>
        <w:jc w:val="center"/>
        <w:rPr>
          <w:rFonts w:eastAsia="Times New Roman" w:cs="Times New Roman"/>
          <w:b/>
          <w:szCs w:val="24"/>
          <w:lang w:eastAsia="hr-HR"/>
        </w:rPr>
      </w:pPr>
    </w:p>
    <w:p w:rsidR="009405E5" w:rsidRPr="00C51A22" w:rsidRDefault="009405E5" w:rsidP="009405E5">
      <w:pPr>
        <w:spacing w:after="0"/>
        <w:ind w:left="5670"/>
        <w:jc w:val="center"/>
        <w:rPr>
          <w:rFonts w:eastAsia="Times New Roman" w:cs="Times New Roman"/>
          <w:b/>
          <w:szCs w:val="24"/>
          <w:lang w:eastAsia="hr-HR"/>
        </w:rPr>
      </w:pPr>
      <w:r w:rsidRPr="00C51A22">
        <w:rPr>
          <w:rFonts w:eastAsia="Times New Roman" w:cs="Times New Roman"/>
          <w:b/>
          <w:szCs w:val="24"/>
          <w:lang w:eastAsia="hr-HR"/>
        </w:rPr>
        <w:t>Oleg Butković</w:t>
      </w:r>
    </w:p>
    <w:p w:rsidR="009405E5" w:rsidRDefault="009405E5" w:rsidP="009405E5">
      <w:pPr>
        <w:rPr>
          <w:rFonts w:cs="Times New Roman"/>
          <w:szCs w:val="24"/>
        </w:rPr>
      </w:pPr>
    </w:p>
    <w:p w:rsidR="009405E5" w:rsidRDefault="009405E5" w:rsidP="009405E5">
      <w:pPr>
        <w:rPr>
          <w:rFonts w:cs="Times New Roman"/>
          <w:szCs w:val="24"/>
        </w:rPr>
      </w:pPr>
    </w:p>
    <w:p w:rsidR="009405E5" w:rsidRDefault="009405E5" w:rsidP="009405E5">
      <w:pPr>
        <w:rPr>
          <w:rFonts w:cs="Times New Roman"/>
          <w:szCs w:val="24"/>
        </w:rPr>
      </w:pPr>
    </w:p>
    <w:p w:rsidR="009405E5" w:rsidRPr="00C51A22" w:rsidRDefault="009405E5" w:rsidP="009405E5">
      <w:pPr>
        <w:rPr>
          <w:rFonts w:cs="Times New Roman"/>
          <w:szCs w:val="24"/>
        </w:rPr>
      </w:pPr>
    </w:p>
    <w:p w:rsidR="009405E5" w:rsidRPr="00792CAC" w:rsidRDefault="009405E5" w:rsidP="009405E5">
      <w:pPr>
        <w:spacing w:after="160" w:line="259" w:lineRule="auto"/>
        <w:jc w:val="center"/>
        <w:rPr>
          <w:rFonts w:eastAsia="Calibri" w:cs="Times New Roman"/>
          <w:szCs w:val="24"/>
          <w:lang w:val="en-US"/>
        </w:rPr>
      </w:pPr>
      <w:r w:rsidRPr="00C51A22">
        <w:rPr>
          <w:rFonts w:eastAsia="Calibri" w:cs="Times New Roman"/>
          <w:b/>
          <w:szCs w:val="24"/>
          <w:lang w:val="en-US"/>
        </w:rPr>
        <w:lastRenderedPageBreak/>
        <w:t xml:space="preserve">PRILOG </w:t>
      </w:r>
      <w:r>
        <w:rPr>
          <w:rFonts w:eastAsia="Calibri" w:cs="Times New Roman"/>
          <w:b/>
          <w:szCs w:val="24"/>
          <w:lang w:val="en-US"/>
        </w:rPr>
        <w:t>3</w:t>
      </w:r>
      <w:r w:rsidRPr="00792CAC">
        <w:rPr>
          <w:rFonts w:eastAsia="Calibri" w:cs="Times New Roman"/>
          <w:b/>
          <w:szCs w:val="24"/>
          <w:lang w:val="en-US"/>
        </w:rPr>
        <w:t>.</w:t>
      </w:r>
    </w:p>
    <w:p w:rsidR="009405E5" w:rsidRPr="00C51A22" w:rsidRDefault="009405E5" w:rsidP="009405E5">
      <w:pPr>
        <w:shd w:val="clear" w:color="auto" w:fill="FFFFFF"/>
        <w:spacing w:before="240" w:after="120" w:line="312" w:lineRule="atLeast"/>
        <w:jc w:val="center"/>
        <w:rPr>
          <w:rFonts w:eastAsia="Times New Roman" w:cs="Times New Roman"/>
          <w:b/>
          <w:bCs/>
          <w:i/>
          <w:iCs/>
          <w:szCs w:val="24"/>
          <w:lang w:eastAsia="hr-HR"/>
        </w:rPr>
      </w:pPr>
    </w:p>
    <w:p w:rsidR="009405E5" w:rsidRPr="00C51A22" w:rsidRDefault="009405E5" w:rsidP="009405E5">
      <w:pPr>
        <w:shd w:val="clear" w:color="auto" w:fill="FFFFFF"/>
        <w:spacing w:before="240" w:after="120" w:line="312" w:lineRule="atLeast"/>
        <w:jc w:val="both"/>
        <w:rPr>
          <w:rFonts w:eastAsia="Times New Roman" w:cs="Times New Roman"/>
          <w:b/>
          <w:bCs/>
          <w:szCs w:val="24"/>
          <w:lang w:eastAsia="hr-HR"/>
        </w:rPr>
      </w:pPr>
      <w:r w:rsidRPr="00C51A22">
        <w:rPr>
          <w:rFonts w:eastAsia="Times New Roman" w:cs="Times New Roman"/>
          <w:b/>
          <w:bCs/>
          <w:szCs w:val="24"/>
          <w:lang w:eastAsia="hr-HR"/>
        </w:rPr>
        <w:t>1.   Skupine povreda Uredbe Europskog parlam</w:t>
      </w:r>
      <w:r>
        <w:rPr>
          <w:rFonts w:eastAsia="Times New Roman" w:cs="Times New Roman"/>
          <w:b/>
          <w:bCs/>
          <w:szCs w:val="24"/>
          <w:lang w:eastAsia="hr-HR"/>
        </w:rPr>
        <w:t xml:space="preserve">enta i Vijeća (EZ) br. 561/2006 </w:t>
      </w:r>
      <w:r w:rsidRPr="00C51A22">
        <w:rPr>
          <w:rFonts w:eastAsia="Times New Roman" w:cs="Times New Roman"/>
          <w:b/>
          <w:bCs/>
          <w:szCs w:val="24"/>
          <w:lang w:eastAsia="hr-HR"/>
        </w:rPr>
        <w:t>(Vrijeme vožnje i odmora)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596"/>
        <w:gridCol w:w="3252"/>
        <w:gridCol w:w="1190"/>
        <w:gridCol w:w="690"/>
        <w:gridCol w:w="690"/>
        <w:gridCol w:w="517"/>
        <w:gridCol w:w="584"/>
      </w:tblGrid>
      <w:tr w:rsidR="009405E5" w:rsidRPr="00C51A22" w:rsidTr="008823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Br.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PRAVNA OSNOVA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VRSTA POVREDE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TEŽINA POVREDE</w:t>
            </w:r>
          </w:p>
        </w:tc>
      </w:tr>
      <w:tr w:rsidR="009405E5" w:rsidRPr="00C51A22" w:rsidTr="008823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NTP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VTP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MP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Posada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5. stavak 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Nepoštovanje minimalne dobi vozača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B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Razdoblja vožnje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6. stavak 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dnevnog vremena vožnje od 9 sati ako produljenje na 10 sati nije dopušteno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9 h &lt; … &lt; 10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10 h ≤ … &lt; 11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11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dnevnog vremena vožnje od 9 sati za 50 % ili više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13 h 30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produljenog dnevnog vremena vožnje od 10 sati ako je produljenje dopušteno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10 h &lt; … &lt; 11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11 h ≤ … &lt; 12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12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dnevnog vremena vožnje od 10 sati za 50 % ili više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15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6. stavak 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tjednog vremena vožnje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56 h &lt; … &lt; 60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60 h ≤ … &lt; 65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65 h ≤ … &lt; 70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tjednog vremena vožnje za 25 % ili više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70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6. stavak 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maksimalnog ukupnog vremena vožnje tijekom dva uzastopna tjedna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90 h &lt; … &lt; 100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B14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100 h ≤ … &lt; 105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105 h ≤ … &lt; 112 h 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B16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maksimalnog ukupnog vremena vožnje tijekom dva uzastopna tjedna za 25 % ili više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112 h 30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C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Stanke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C1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7.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neprekinutog vremena vožnje od 4,5 sati prije stanke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4 h 30 &lt; … &lt; 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C2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5 h ≤ … &lt; 6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C3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6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D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Razdoblja odmora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dnevno razdoblje odmora kraće od 11 sati ako skraćeno dnevno razdoblje odmora nije dopušteno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10 h ≤ … &lt; 11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8 h 30 ≤ … &lt; 10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 8 h 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skraćeno dnevno razdoblje odmora kraće od 9 sati ako je skraćivanje dopušteno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8 h ≤ … &lt; 9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7 h ≤ … &lt; 8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 7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podijeljeno dnevno razdoblje odmora kraće od 3 sata + 9 sati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 h + [8 h ≤ … &lt; 9 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 h + [7 h ≤ … &lt; 8 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 h + [… &lt; 7 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dnevno razdoblje odmora kraće od 9 sati u slučaju višečlane posade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8 h ≤ … &lt; 9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7 h ≤ … &lt; 8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 7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D13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skraćeno tjedno razdoblje odmora kraće od 24 sata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22 h ≤ … &lt; 24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20 h ≤ … &lt; 22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 20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Nedovoljno tjedno razdoblje odmora kraće od 45 sati ako skraćeno tjedno razdoblje odmora nije dopušteno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42 h ≤ … &lt; 45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36 h ≤ … &lt; 42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 36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6 uzastopnih 24-satnih razdoblja nakon prethodnog tjednog razdoblja odmora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 3h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 h ≤ … &lt; 12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12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 6.b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Nema nadoknade za dva uzastopna skraćena tjedna razdoblja odmora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Redovno tjedno razdoblje odmora ili bilo koje tjedno razdoblje odmora dulje od 45 sati koje se provodi u vozilu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D24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 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Poslodavac ne pokriva troškove smještaja izvan vozila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E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Pravilo 12 dana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 6.a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Prekoračenje 12 uzastopnih 24-satnih razdoblja nakon prethodnog redovnog tjednog razdoblja odmora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&lt; 3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3 h ≤ … &lt; 12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12 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 xml:space="preserve">Članak 8. stavak 6.a točka (b) </w:t>
            </w:r>
            <w:proofErr w:type="spellStart"/>
            <w:r w:rsidRPr="00C51A22">
              <w:rPr>
                <w:rFonts w:eastAsia="Times New Roman" w:cs="Times New Roman"/>
                <w:szCs w:val="24"/>
                <w:lang w:eastAsia="hr-HR"/>
              </w:rPr>
              <w:t>podtočka</w:t>
            </w:r>
            <w:proofErr w:type="spellEnd"/>
            <w:r w:rsidRPr="00C51A22">
              <w:rPr>
                <w:rFonts w:eastAsia="Times New Roman" w:cs="Times New Roman"/>
                <w:szCs w:val="24"/>
                <w:lang w:eastAsia="hr-HR"/>
              </w:rPr>
              <w:t> ii.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Tjedno razdoblje odmora nakon 12 uzastopnih razdoblja od 24 sata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67 h &lt;…&lt;69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65 h &lt; … ≤ 67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… ≤ 65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E7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 6.a točka (d)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 xml:space="preserve">Razdoblje vožnje između 22:00 i 6:00 dulje od 3 sata prije 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stanke, ako vozilo nema višečlanu posadu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3 h &lt; … &lt; 4,5 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E8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4,5 h ≤ 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F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Organizacija rada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F1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8. stavak 8.a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Poduzeće za cestovni prijevoz ne organizira rad vozača na način da se vozači mogu vratiti u operativno središte poslodavca ili u svoje mjesto boravišta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10. stavak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Veza između plaće/isplate i prijeđene udaljenosti, brzine dostave i/ili količine prevezenog tereta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F3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10. stavak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Rad vozača nije organiziran ili je neprimjereno organiziran, vozaču nisu dane upute prema kojima bi mogao poštovati propise ili su te upute neodgovarajuće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</w:tbl>
    <w:p w:rsidR="009405E5" w:rsidRPr="00C51A22" w:rsidRDefault="009405E5" w:rsidP="009405E5">
      <w:pPr>
        <w:shd w:val="clear" w:color="auto" w:fill="FFFFFF"/>
        <w:spacing w:after="0" w:line="312" w:lineRule="atLeast"/>
        <w:rPr>
          <w:rFonts w:eastAsia="Times New Roman" w:cs="Times New Roman"/>
          <w:szCs w:val="24"/>
          <w:lang w:eastAsia="hr-HR"/>
        </w:rPr>
      </w:pPr>
    </w:p>
    <w:p w:rsidR="009405E5" w:rsidRPr="00C51A22" w:rsidRDefault="009405E5" w:rsidP="009405E5">
      <w:pPr>
        <w:shd w:val="clear" w:color="auto" w:fill="FFFFFF"/>
        <w:spacing w:before="240" w:after="120" w:line="312" w:lineRule="atLeast"/>
        <w:jc w:val="both"/>
        <w:rPr>
          <w:rFonts w:eastAsia="Times New Roman" w:cs="Times New Roman"/>
          <w:b/>
          <w:bCs/>
          <w:szCs w:val="24"/>
          <w:lang w:eastAsia="hr-HR"/>
        </w:rPr>
      </w:pPr>
      <w:r w:rsidRPr="00C51A22">
        <w:rPr>
          <w:rFonts w:eastAsia="Times New Roman" w:cs="Times New Roman"/>
          <w:b/>
          <w:bCs/>
          <w:szCs w:val="24"/>
          <w:lang w:eastAsia="hr-HR"/>
        </w:rPr>
        <w:t>2.   Skupine povreda Uredbe (EU) br. 165/201</w:t>
      </w:r>
      <w:r>
        <w:rPr>
          <w:rFonts w:eastAsia="Times New Roman" w:cs="Times New Roman"/>
          <w:b/>
          <w:bCs/>
          <w:szCs w:val="24"/>
          <w:lang w:eastAsia="hr-HR"/>
        </w:rPr>
        <w:t>4 Europskog parlamenta i Vijeća</w:t>
      </w:r>
      <w:r w:rsidRPr="00C51A22">
        <w:rPr>
          <w:rFonts w:eastAsia="Times New Roman" w:cs="Times New Roman"/>
          <w:b/>
          <w:bCs/>
          <w:szCs w:val="24"/>
          <w:lang w:eastAsia="hr-HR"/>
        </w:rPr>
        <w:t> (Tahograf)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95"/>
        <w:gridCol w:w="4734"/>
        <w:gridCol w:w="724"/>
        <w:gridCol w:w="724"/>
        <w:gridCol w:w="542"/>
      </w:tblGrid>
      <w:tr w:rsidR="009405E5" w:rsidRPr="00C51A22" w:rsidTr="008823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Br.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PRAVNA OSNOVA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VRSTA POVREDE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TEŽINA POVREDE</w:t>
            </w:r>
          </w:p>
        </w:tc>
      </w:tr>
      <w:tr w:rsidR="009405E5" w:rsidRPr="00C51A22" w:rsidTr="008823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NTP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VTP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ind w:right="195"/>
              <w:jc w:val="center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TP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Ugradnja tahografa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G1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 3. stavci 1., 4. i 4.a i članak 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Nije ugrađen ili se ne upotrebljava homologirani tahograf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Upotreba tahografa, kartice vozača ili tahografskih listića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23. stavak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tahografa koji nije pregledan u ovlaštenoj radionici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Vozač ima i/ili upotrebljava više od jedne vlastite kartice vozača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krivotvorene kartice vozača (</w:t>
            </w:r>
            <w:r w:rsidRPr="00C51A22">
              <w:rPr>
                <w:rFonts w:eastAsia="Times New Roman" w:cs="Times New Roman"/>
                <w:i/>
                <w:iCs/>
                <w:szCs w:val="24"/>
                <w:lang w:eastAsia="hr-HR"/>
              </w:rPr>
              <w:t>smatra se vožnjom bez kartice vozača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tuđe kartice vozača (</w:t>
            </w:r>
            <w:r w:rsidRPr="00C51A22">
              <w:rPr>
                <w:rFonts w:eastAsia="Times New Roman" w:cs="Times New Roman"/>
                <w:i/>
                <w:iCs/>
                <w:szCs w:val="24"/>
                <w:lang w:eastAsia="hr-HR"/>
              </w:rPr>
              <w:t>smatra se vožnjom bez kartice vozača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H5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kartice vozača dobivene na temelju lažnih izjava i/ili krivotvorenih dokumenata (</w:t>
            </w:r>
            <w:r w:rsidRPr="00C51A22">
              <w:rPr>
                <w:rFonts w:eastAsia="Times New Roman" w:cs="Times New Roman"/>
                <w:i/>
                <w:iCs/>
                <w:szCs w:val="24"/>
                <w:lang w:eastAsia="hr-HR"/>
              </w:rPr>
              <w:t>smatra se vožnjom bez kartice vozača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32. stavak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Neispravan rad tahografa (</w:t>
            </w:r>
            <w:r w:rsidRPr="00C51A22">
              <w:rPr>
                <w:rFonts w:eastAsia="Times New Roman" w:cs="Times New Roman"/>
                <w:i/>
                <w:iCs/>
                <w:szCs w:val="24"/>
                <w:lang w:eastAsia="hr-HR"/>
              </w:rPr>
              <w:t>npr.: tahograf nije propisno pregledan, kalibriran ni zapečaćen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 32. stavak1. i članak 33. stavak 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Nepravilna upotreba tahografa (</w:t>
            </w:r>
            <w:r w:rsidRPr="00C51A22">
              <w:rPr>
                <w:rFonts w:eastAsia="Times New Roman" w:cs="Times New Roman"/>
                <w:i/>
                <w:iCs/>
                <w:szCs w:val="24"/>
                <w:lang w:eastAsia="hr-HR"/>
              </w:rPr>
              <w:t>npr.: namjerna, dobrovoljna ili nametnuta zlouporaba, nedostatak uputa za ispravnu upotrebu itd.</w:t>
            </w:r>
            <w:r w:rsidRPr="00C51A22">
              <w:rPr>
                <w:rFonts w:eastAsia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32. stavak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Prisutnost u vozilu i/ili upotreba neovlaštenog uređaja kojim se mogu izmijeniti zapisi tahografa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Krivotvorenje, prikrivanje, tajenje ili uništavanje podataka zabilježenih na tahografskim listićima, odnosno pohranjenih u tahografu i/ili na kartici vozača i preuzetih s njih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33. stavak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Poduzeće ne pohranjuje tahografske listiće, ispise i preuzete podatke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Podaci koji su zabilježeni i pohranjeni nisu raspoloživi najmanje godinu 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Nepravilna upotreba tahografskih listića / kartice vozača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Neovlašteno vađenje tahografskih listića ili kartice vozača, što utječe na zapis relevantnih podataka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Tahografski listić ili kartica vozača upotrebljava se dulje od razdoblja za koje su namijenjeni i podaci su izgubljeni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prljavih ili oštećenih tahografskih listića ili kartice vozača, podaci nisu čitljivi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Ručni unosi ne upotrebljavaju se kad je to potrebno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Upotreba pogrešnog tahografskog listića ili kartica vozača umetnuta u neodgovarajući utor (višečlana posada)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H18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Nepravilna upotreba prekidača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Predočenje podataka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lastRenderedPageBreak/>
              <w:t>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 xml:space="preserve">Članak 34. stavak 5. točka (b) </w:t>
            </w:r>
            <w:proofErr w:type="spellStart"/>
            <w:r w:rsidRPr="00C51A22">
              <w:rPr>
                <w:rFonts w:eastAsia="Times New Roman" w:cs="Times New Roman"/>
                <w:szCs w:val="24"/>
                <w:lang w:eastAsia="hr-HR"/>
              </w:rPr>
              <w:t>podtočka</w:t>
            </w:r>
            <w:proofErr w:type="spellEnd"/>
            <w:r w:rsidRPr="00C51A22">
              <w:rPr>
                <w:rFonts w:eastAsia="Times New Roman" w:cs="Times New Roman"/>
                <w:szCs w:val="24"/>
                <w:lang w:eastAsia="hr-HR"/>
              </w:rPr>
              <w:t> 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Nepravilna upotreba ili neupotreba znaka za trajekt/vlak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 tahografski listić nisu uneseni potrebni podaci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 zapisima se ne prikazuju simboli zemalja čije je granice vozač prešao tijekom dnevnog radnog vremena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34. stavak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U zapisima se ne prikazuju simboli zemalja u kojima je započelo i završilo dnevno radno vrijeme vozača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Odbijanje pregleda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Vozač ne može predočiti ručne zapise i ispise koji se odnose na tekući dan i prethodnih 28 dana (do 30. prosinca 2024.)</w:t>
            </w:r>
          </w:p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Vozač ne može predočiti ručne zapise i ispise koji se odnose na tekući dan i prethodnih 56 dana (od 31. prosinca 2024.)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I7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Vozač ne može predočiti karticu vozača, ako je 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J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b/>
                <w:bCs/>
                <w:szCs w:val="24"/>
                <w:lang w:eastAsia="hr-HR"/>
              </w:rPr>
              <w:t>Neispravan rad tahografa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 37. stavak1. i članak 22. stavak 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Tahograf nije popravljen kod ovlaštenog instalatera ni u ovlaštenoj radionici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</w:tr>
      <w:tr w:rsidR="009405E5" w:rsidRPr="00C51A22" w:rsidTr="00882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Članak 37. stavak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60" w:after="60" w:line="312" w:lineRule="atLeast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Vozač nije zabilježio sve potrebne podatke za razdoblja koja tahograf, s obzirom na to da nije radio ili je radio neispravno, nije ispravno zabilježio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05E5" w:rsidRPr="00C51A22" w:rsidRDefault="009405E5" w:rsidP="008823C5">
            <w:pPr>
              <w:spacing w:before="120" w:after="0" w:line="312" w:lineRule="atLeast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C51A22">
              <w:rPr>
                <w:rFonts w:eastAsia="Times New Roman" w:cs="Times New Roman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eastAsia="Times New Roman" w:cs="Times New Roman"/>
                <w:szCs w:val="24"/>
                <w:lang w:eastAsia="hr-HR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405E5" w:rsidRPr="00C51A22" w:rsidRDefault="009405E5" w:rsidP="008823C5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:rsidR="009405E5" w:rsidRPr="00C51A22" w:rsidRDefault="009405E5" w:rsidP="009405E5">
      <w:pPr>
        <w:rPr>
          <w:rFonts w:cs="Times New Roman"/>
          <w:szCs w:val="24"/>
        </w:rPr>
      </w:pPr>
    </w:p>
    <w:p w:rsidR="009405E5" w:rsidRDefault="009405E5" w:rsidP="009405E5"/>
    <w:p w:rsidR="0024123D" w:rsidRDefault="0024123D"/>
    <w:sectPr w:rsidR="002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5"/>
    <w:rsid w:val="001B4AE4"/>
    <w:rsid w:val="0024123D"/>
    <w:rsid w:val="004D5C13"/>
    <w:rsid w:val="009405E5"/>
    <w:rsid w:val="009F7B26"/>
    <w:rsid w:val="00C44571"/>
    <w:rsid w:val="00C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9AE3"/>
  <w15:chartTrackingRefBased/>
  <w15:docId w15:val="{A7D8ECDA-497D-4594-A303-68D2F77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E5"/>
    <w:pPr>
      <w:spacing w:after="20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978">
    <w:name w:val="box_458978"/>
    <w:basedOn w:val="Normal"/>
    <w:rsid w:val="009405E5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9405E5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clanak-">
    <w:name w:val="clanak-"/>
    <w:basedOn w:val="Normal"/>
    <w:rsid w:val="009405E5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9405E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Grgurić</dc:creator>
  <cp:keywords/>
  <dc:description/>
  <cp:lastModifiedBy>Saša Grgurić</cp:lastModifiedBy>
  <cp:revision>12</cp:revision>
  <dcterms:created xsi:type="dcterms:W3CDTF">2025-02-20T09:11:00Z</dcterms:created>
  <dcterms:modified xsi:type="dcterms:W3CDTF">2025-02-20T09:59:00Z</dcterms:modified>
</cp:coreProperties>
</file>