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4B248" w14:textId="77777777" w:rsidR="0083559E" w:rsidRPr="006066B2" w:rsidRDefault="0083559E" w:rsidP="0083559E">
      <w:pPr>
        <w:spacing w:before="100" w:beforeAutospacing="1" w:after="100" w:afterAutospacing="1"/>
        <w:jc w:val="both"/>
      </w:pPr>
      <w:r w:rsidRPr="006066B2">
        <w:t>Na temelju članka 113. stavka 12. Zakona o sudovima („Narodne novine“, broj 28/13, 33/15, 82/15, 82/16, 67/18, 21/22, 16/23, 155/23 i 36/24) i članka 129. stavka 4. Zakona o državnom odvjetništvu („Narodne novine“, broj 67/18 i 21/22), ministar pravosuđa, uprave i digitalne transformacije donosi</w:t>
      </w:r>
    </w:p>
    <w:p w14:paraId="3D75226B" w14:textId="4C31D04B" w:rsidR="0083559E" w:rsidRPr="006066B2" w:rsidRDefault="0083559E" w:rsidP="006066B2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6B2">
        <w:rPr>
          <w:rFonts w:ascii="Times New Roman" w:hAnsi="Times New Roman" w:cs="Times New Roman"/>
          <w:b/>
          <w:bCs/>
          <w:sz w:val="24"/>
          <w:szCs w:val="24"/>
        </w:rPr>
        <w:t xml:space="preserve">PRAVILNIK O </w:t>
      </w:r>
      <w:r w:rsidR="00744FB5" w:rsidRPr="006066B2">
        <w:rPr>
          <w:rFonts w:ascii="Times New Roman" w:hAnsi="Times New Roman" w:cs="Times New Roman"/>
          <w:b/>
          <w:bCs/>
          <w:sz w:val="24"/>
          <w:szCs w:val="24"/>
        </w:rPr>
        <w:t xml:space="preserve">DOPUNAMA </w:t>
      </w:r>
      <w:r w:rsidRPr="006066B2">
        <w:rPr>
          <w:rFonts w:ascii="Times New Roman" w:hAnsi="Times New Roman" w:cs="Times New Roman"/>
          <w:b/>
          <w:bCs/>
          <w:sz w:val="24"/>
          <w:szCs w:val="24"/>
        </w:rPr>
        <w:t>PRAVILNIKA</w:t>
      </w:r>
      <w:r w:rsidR="006066B2" w:rsidRPr="00606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6B2">
        <w:rPr>
          <w:rFonts w:ascii="Times New Roman" w:hAnsi="Times New Roman" w:cs="Times New Roman"/>
          <w:b/>
          <w:bCs/>
          <w:sz w:val="24"/>
          <w:szCs w:val="24"/>
        </w:rPr>
        <w:t>O NAČINU OSIGURANJA OSOBA, IMOVINE I OBJEKATA SUDOVA I DRŽAVNIH ODVJETNIŠTAVA</w:t>
      </w:r>
    </w:p>
    <w:p w14:paraId="51B62914" w14:textId="77777777" w:rsidR="0083559E" w:rsidRPr="006066B2" w:rsidRDefault="0083559E" w:rsidP="006066B2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066B2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557922C5" w14:textId="4C9DCDDD" w:rsidR="00744FB5" w:rsidRPr="006066B2" w:rsidRDefault="0083559E" w:rsidP="00744FB5">
      <w:pPr>
        <w:jc w:val="both"/>
      </w:pPr>
      <w:r w:rsidRPr="006066B2">
        <w:t>U Pravilniku o načinu osiguranja osoba, imovine i objekata sudova i državnih odvjetništava („Narodne novine“, broj 75/22</w:t>
      </w:r>
      <w:r w:rsidR="00744FB5" w:rsidRPr="006066B2">
        <w:t xml:space="preserve"> i 82/24</w:t>
      </w:r>
      <w:r w:rsidRPr="006066B2">
        <w:t xml:space="preserve">) </w:t>
      </w:r>
      <w:r w:rsidR="00744FB5" w:rsidRPr="006066B2">
        <w:t>iza članka 23. dodaju se naslov iznad članka i članci 23.a</w:t>
      </w:r>
      <w:r w:rsidR="00F46627" w:rsidRPr="006066B2">
        <w:t>, 23.b, 23.c, 23.d</w:t>
      </w:r>
      <w:r w:rsidR="00744FB5" w:rsidRPr="006066B2">
        <w:t xml:space="preserve"> </w:t>
      </w:r>
      <w:r w:rsidR="00F46627" w:rsidRPr="006066B2">
        <w:t>i 23.e</w:t>
      </w:r>
      <w:r w:rsidR="00744FB5" w:rsidRPr="006066B2">
        <w:t xml:space="preserve"> koji glase:</w:t>
      </w:r>
    </w:p>
    <w:p w14:paraId="0676366C" w14:textId="77777777" w:rsidR="0083559E" w:rsidRPr="006066B2" w:rsidRDefault="0083559E" w:rsidP="0083559E">
      <w:pPr>
        <w:jc w:val="both"/>
      </w:pPr>
    </w:p>
    <w:p w14:paraId="4E4107D3" w14:textId="1B1E5310" w:rsidR="00744FB5" w:rsidRPr="006066B2" w:rsidRDefault="00744FB5" w:rsidP="00744FB5">
      <w:pPr>
        <w:jc w:val="center"/>
        <w:rPr>
          <w:i/>
          <w:iCs/>
        </w:rPr>
      </w:pPr>
      <w:r w:rsidRPr="006066B2">
        <w:rPr>
          <w:i/>
          <w:iCs/>
        </w:rPr>
        <w:t>„5.a Nošenj</w:t>
      </w:r>
      <w:r w:rsidR="00F46627" w:rsidRPr="006066B2">
        <w:rPr>
          <w:i/>
          <w:iCs/>
        </w:rPr>
        <w:t>e i čuvanje</w:t>
      </w:r>
      <w:r w:rsidRPr="006066B2">
        <w:rPr>
          <w:i/>
          <w:iCs/>
        </w:rPr>
        <w:t xml:space="preserve"> vatrenog oružja</w:t>
      </w:r>
      <w:r w:rsidR="00F46627" w:rsidRPr="006066B2">
        <w:rPr>
          <w:i/>
          <w:iCs/>
        </w:rPr>
        <w:t xml:space="preserve"> i streljiva</w:t>
      </w:r>
    </w:p>
    <w:p w14:paraId="2DF00766" w14:textId="77777777" w:rsidR="00F46627" w:rsidRPr="006066B2" w:rsidRDefault="00F46627" w:rsidP="00744FB5">
      <w:pPr>
        <w:jc w:val="center"/>
        <w:rPr>
          <w:i/>
          <w:iCs/>
        </w:rPr>
      </w:pPr>
    </w:p>
    <w:p w14:paraId="2FD5F70E" w14:textId="2D0A80E6" w:rsidR="00744FB5" w:rsidRPr="006066B2" w:rsidRDefault="00744FB5" w:rsidP="00744FB5">
      <w:pPr>
        <w:jc w:val="center"/>
      </w:pPr>
      <w:r w:rsidRPr="006066B2">
        <w:t>Članak 23.a</w:t>
      </w:r>
    </w:p>
    <w:p w14:paraId="3E739FEA" w14:textId="31A9C4AF" w:rsidR="00744FB5" w:rsidRPr="006066B2" w:rsidRDefault="00744FB5" w:rsidP="00744FB5">
      <w:pPr>
        <w:jc w:val="both"/>
      </w:pPr>
      <w:r w:rsidRPr="006066B2">
        <w:t>(1) Kada službenik pravosudne policije poslove vezane uz osiguranje pravosudnih tijela obavlja u odori, ima pravo nositi kratko vatreno oružje i streljivo.</w:t>
      </w:r>
    </w:p>
    <w:p w14:paraId="74CAA6F3" w14:textId="77777777" w:rsidR="00744FB5" w:rsidRPr="006066B2" w:rsidRDefault="00744FB5" w:rsidP="00744FB5">
      <w:pPr>
        <w:jc w:val="both"/>
      </w:pPr>
      <w:r w:rsidRPr="006066B2">
        <w:t>(2) Iznimno od stavka 1. ovoga članka, službenik pravosudne policije ima pravo nositi vatreno oružje i streljivo i kada obavlja poslove u civilnoj odjeći ako za to postoje opravdani razlozi, o čemu odluku donosi čelnik ustrojstvene jedinice nadležne za osiguranje pravosudnih tijela ili osoba koju on ovlasti.</w:t>
      </w:r>
    </w:p>
    <w:p w14:paraId="1D73BB68" w14:textId="39E4214C" w:rsidR="00744FB5" w:rsidRPr="006066B2" w:rsidRDefault="00744FB5" w:rsidP="00744FB5">
      <w:pPr>
        <w:jc w:val="center"/>
      </w:pPr>
      <w:r w:rsidRPr="006066B2">
        <w:t>Članak 2</w:t>
      </w:r>
      <w:r w:rsidR="00F46627" w:rsidRPr="006066B2">
        <w:t>3</w:t>
      </w:r>
      <w:r w:rsidRPr="006066B2">
        <w:t>.b</w:t>
      </w:r>
    </w:p>
    <w:p w14:paraId="7BE93375" w14:textId="317E77AD" w:rsidR="00744FB5" w:rsidRPr="006066B2" w:rsidRDefault="00744FB5" w:rsidP="00744FB5">
      <w:pPr>
        <w:jc w:val="both"/>
      </w:pPr>
      <w:r w:rsidRPr="006066B2">
        <w:t xml:space="preserve">(1) Službenik pravosudne policije mora biti osposobljen za nošenje i uporabu vatrenog oružja i streljiva </w:t>
      </w:r>
      <w:r w:rsidR="004D3B7F" w:rsidRPr="006066B2">
        <w:t xml:space="preserve">u </w:t>
      </w:r>
      <w:r w:rsidRPr="006066B2">
        <w:t xml:space="preserve">skladu s </w:t>
      </w:r>
      <w:r w:rsidR="0042259D" w:rsidRPr="006066B2">
        <w:t>p</w:t>
      </w:r>
      <w:r w:rsidRPr="006066B2">
        <w:t>rogramom osposobljavanja o načinu obavljana poslova osiguranja pravosudnih tijela</w:t>
      </w:r>
      <w:r w:rsidR="00303E74" w:rsidRPr="006066B2">
        <w:t>.</w:t>
      </w:r>
      <w:r w:rsidR="004D3B7F" w:rsidRPr="006066B2">
        <w:t xml:space="preserve"> </w:t>
      </w:r>
    </w:p>
    <w:p w14:paraId="3C6815ED" w14:textId="77777777" w:rsidR="00744FB5" w:rsidRPr="006066B2" w:rsidRDefault="00744FB5" w:rsidP="00744FB5">
      <w:pPr>
        <w:jc w:val="both"/>
      </w:pPr>
      <w:r w:rsidRPr="006066B2">
        <w:t>(2) Službenik pravosudne policije ima pravo nositi te rukovati samo onim vatrenim oružjem i streljivom za koje je ovlašten, stručno osposobljen i koje je zadužio.</w:t>
      </w:r>
    </w:p>
    <w:p w14:paraId="001DF9D9" w14:textId="76092A4C" w:rsidR="00744FB5" w:rsidRPr="006066B2" w:rsidRDefault="00744FB5" w:rsidP="00744FB5">
      <w:pPr>
        <w:jc w:val="both"/>
      </w:pPr>
      <w:r w:rsidRPr="006066B2">
        <w:t xml:space="preserve">(3) Službenik pravosudne policije dužan je obavijestiti </w:t>
      </w:r>
      <w:r w:rsidR="004D3B7F" w:rsidRPr="006066B2">
        <w:t xml:space="preserve">neposredno </w:t>
      </w:r>
      <w:r w:rsidRPr="006066B2">
        <w:t xml:space="preserve">nadređenog </w:t>
      </w:r>
      <w:r w:rsidR="004D3B7F" w:rsidRPr="006066B2">
        <w:t xml:space="preserve">službenika </w:t>
      </w:r>
      <w:r w:rsidRPr="006066B2">
        <w:t>ako iz bilo kojih razloga nije sposoban rukovati zaduženim vatrenim oružjem i streljivom</w:t>
      </w:r>
      <w:r w:rsidR="004D3B7F" w:rsidRPr="006066B2">
        <w:t xml:space="preserve"> te mu u najkraćem roku dostaviti i pisano izvješće</w:t>
      </w:r>
      <w:r w:rsidRPr="006066B2">
        <w:t>.</w:t>
      </w:r>
    </w:p>
    <w:p w14:paraId="760DAEA1" w14:textId="0793A92C" w:rsidR="006A260B" w:rsidRPr="006066B2" w:rsidRDefault="006A260B" w:rsidP="00882E1E">
      <w:pPr>
        <w:jc w:val="both"/>
      </w:pPr>
      <w:r w:rsidRPr="006066B2">
        <w:t xml:space="preserve">(4) Službenik pravosudne policije </w:t>
      </w:r>
      <w:r w:rsidR="000F3FD4" w:rsidRPr="006066B2">
        <w:t xml:space="preserve"> ne smije </w:t>
      </w:r>
      <w:r w:rsidRPr="006066B2">
        <w:t xml:space="preserve">zaduživati vatreno oružje i streljivo </w:t>
      </w:r>
      <w:r w:rsidR="000F3FD4" w:rsidRPr="006066B2">
        <w:t xml:space="preserve">dok </w:t>
      </w:r>
      <w:r w:rsidRPr="006066B2">
        <w:t xml:space="preserve">je </w:t>
      </w:r>
      <w:r w:rsidR="00882E1E" w:rsidRPr="006066B2">
        <w:t>pri utvrđivanju posebne zdravstvene sposobnosti ocjenjen ocjenama „sposoban uz ograničenje“ ili „potreban ponovni pregled po završetku liječenja</w:t>
      </w:r>
      <w:r w:rsidR="00885552" w:rsidRPr="006066B2">
        <w:t xml:space="preserve"> ako su te ocjene</w:t>
      </w:r>
      <w:r w:rsidR="000F3FD4" w:rsidRPr="006066B2">
        <w:t xml:space="preserve"> </w:t>
      </w:r>
      <w:r w:rsidR="00882E1E" w:rsidRPr="006066B2">
        <w:t>vezane uz psihičk</w:t>
      </w:r>
      <w:r w:rsidR="00E5686A" w:rsidRPr="006066B2">
        <w:t>e</w:t>
      </w:r>
      <w:r w:rsidR="00882E1E" w:rsidRPr="006066B2">
        <w:t xml:space="preserve"> poremećaj</w:t>
      </w:r>
      <w:r w:rsidR="00E5686A" w:rsidRPr="006066B2">
        <w:t>e</w:t>
      </w:r>
      <w:r w:rsidR="00882E1E" w:rsidRPr="006066B2">
        <w:t xml:space="preserve"> i poremećaj</w:t>
      </w:r>
      <w:r w:rsidR="00E5686A" w:rsidRPr="006066B2">
        <w:t>e</w:t>
      </w:r>
      <w:r w:rsidR="00882E1E" w:rsidRPr="006066B2">
        <w:t xml:space="preserve"> ponašanja </w:t>
      </w:r>
      <w:r w:rsidR="00E5686A" w:rsidRPr="006066B2">
        <w:t>te za vrijeme trajanja postupka u kojem je prijavljen za kažnjivo djelo vezano uz nesavjesno rukovanje oružjem ili kažnjivo djelo s obilježjima nasilja u obitelj</w:t>
      </w:r>
      <w:r w:rsidR="00885552" w:rsidRPr="006066B2">
        <w:t>i</w:t>
      </w:r>
      <w:r w:rsidR="00E5686A" w:rsidRPr="006066B2">
        <w:t>.</w:t>
      </w:r>
    </w:p>
    <w:p w14:paraId="3599A91B" w14:textId="46CDAB97" w:rsidR="000F3FD4" w:rsidRPr="006066B2" w:rsidRDefault="007A0A5A" w:rsidP="00744FB5">
      <w:pPr>
        <w:jc w:val="both"/>
      </w:pPr>
      <w:r w:rsidRPr="006066B2">
        <w:t xml:space="preserve">(4) Program osposobljavanja o načinu obavljanja poslova osiguranja pravosudnih tijela donosi </w:t>
      </w:r>
      <w:r w:rsidR="0042259D" w:rsidRPr="006066B2">
        <w:t>ministar nadležan za poslove pravosuđa.</w:t>
      </w:r>
    </w:p>
    <w:p w14:paraId="39CB0759" w14:textId="77777777" w:rsidR="00885552" w:rsidRPr="006066B2" w:rsidRDefault="00885552" w:rsidP="00744FB5">
      <w:pPr>
        <w:jc w:val="both"/>
      </w:pPr>
    </w:p>
    <w:p w14:paraId="3EC454A1" w14:textId="77777777" w:rsidR="006141B2" w:rsidRPr="006066B2" w:rsidRDefault="006141B2" w:rsidP="00744FB5">
      <w:pPr>
        <w:jc w:val="center"/>
      </w:pPr>
    </w:p>
    <w:p w14:paraId="7A16A363" w14:textId="77777777" w:rsidR="006141B2" w:rsidRPr="006066B2" w:rsidRDefault="006141B2" w:rsidP="00744FB5">
      <w:pPr>
        <w:jc w:val="center"/>
      </w:pPr>
    </w:p>
    <w:p w14:paraId="190697A8" w14:textId="75B9F5C6" w:rsidR="00744FB5" w:rsidRPr="006066B2" w:rsidRDefault="00744FB5" w:rsidP="00744FB5">
      <w:pPr>
        <w:jc w:val="center"/>
      </w:pPr>
      <w:r w:rsidRPr="006066B2">
        <w:t>Članak 2</w:t>
      </w:r>
      <w:r w:rsidR="00F46627" w:rsidRPr="006066B2">
        <w:t>3</w:t>
      </w:r>
      <w:r w:rsidRPr="006066B2">
        <w:t>.c</w:t>
      </w:r>
    </w:p>
    <w:p w14:paraId="2CF4C6C0" w14:textId="77777777" w:rsidR="00744FB5" w:rsidRPr="006066B2" w:rsidRDefault="00744FB5" w:rsidP="00744FB5">
      <w:pPr>
        <w:jc w:val="both"/>
      </w:pPr>
      <w:r w:rsidRPr="006066B2">
        <w:t>(1) Službenik pravosudne policije mora poštivati mjere sigurnosti dok rukuje vatrenim oružjem i streljivom.</w:t>
      </w:r>
    </w:p>
    <w:p w14:paraId="457976DE" w14:textId="77777777" w:rsidR="00744FB5" w:rsidRPr="006066B2" w:rsidRDefault="00744FB5" w:rsidP="00744FB5">
      <w:pPr>
        <w:jc w:val="both"/>
      </w:pPr>
      <w:r w:rsidRPr="006066B2">
        <w:t>(2) Mjere sigurnosti iz stavka 1. ovoga članka uputom propisuje čelnik upravne organizacije nadležne za osiguranje pravosudnih tijela.</w:t>
      </w:r>
    </w:p>
    <w:p w14:paraId="2B3963F7" w14:textId="77777777" w:rsidR="00F46627" w:rsidRDefault="00F46627" w:rsidP="00744FB5">
      <w:pPr>
        <w:jc w:val="both"/>
      </w:pPr>
    </w:p>
    <w:p w14:paraId="4C287B88" w14:textId="77777777" w:rsidR="006066B2" w:rsidRDefault="006066B2" w:rsidP="00744FB5">
      <w:pPr>
        <w:jc w:val="both"/>
      </w:pPr>
    </w:p>
    <w:p w14:paraId="57827011" w14:textId="77777777" w:rsidR="006066B2" w:rsidRPr="006066B2" w:rsidRDefault="006066B2" w:rsidP="00744FB5">
      <w:pPr>
        <w:jc w:val="both"/>
      </w:pPr>
    </w:p>
    <w:p w14:paraId="5FD1FAC3" w14:textId="4623B8ED" w:rsidR="00744FB5" w:rsidRPr="006066B2" w:rsidRDefault="00744FB5" w:rsidP="00744FB5">
      <w:pPr>
        <w:jc w:val="center"/>
      </w:pPr>
      <w:r w:rsidRPr="006066B2">
        <w:lastRenderedPageBreak/>
        <w:t>Članak 2</w:t>
      </w:r>
      <w:r w:rsidR="00F46627" w:rsidRPr="006066B2">
        <w:t>3</w:t>
      </w:r>
      <w:r w:rsidRPr="006066B2">
        <w:t>.d</w:t>
      </w:r>
    </w:p>
    <w:p w14:paraId="158DFC0F" w14:textId="77777777" w:rsidR="00744FB5" w:rsidRPr="006066B2" w:rsidRDefault="00744FB5" w:rsidP="00744FB5">
      <w:pPr>
        <w:jc w:val="both"/>
      </w:pPr>
      <w:r w:rsidRPr="006066B2">
        <w:t xml:space="preserve">(1) Službenik pravosudne policije vatreno oružje nosi u odgovarajućoj futroli na strani ruke kojom rukuje oružjem i bez streljiva u cijevi. </w:t>
      </w:r>
    </w:p>
    <w:p w14:paraId="585DFA5C" w14:textId="7D0F076E" w:rsidR="00F46627" w:rsidRPr="006066B2" w:rsidRDefault="00744FB5" w:rsidP="00744FB5">
      <w:pPr>
        <w:jc w:val="both"/>
      </w:pPr>
      <w:r w:rsidRPr="006066B2">
        <w:t>(2) Iznimno od stavka 1. ovoga članka, u slučaju kada službenik pravosudne policije opravdano može pretpostaviti da će se naći u situaciji u kojoj bi mogli biti ispunjeni uvjeti za uporabu vatrenog oružja</w:t>
      </w:r>
      <w:r w:rsidR="00425506" w:rsidRPr="006066B2">
        <w:t xml:space="preserve"> sukladno članku 13. ovoga Pravilnika</w:t>
      </w:r>
      <w:r w:rsidRPr="006066B2">
        <w:t>, može ubaciti streljivo u cijev oružja prije nastavka obavljanja poslova osiguranja pravosudnih tijela.</w:t>
      </w:r>
      <w:r w:rsidRPr="006066B2" w:rsidDel="004F7092">
        <w:t xml:space="preserve"> </w:t>
      </w:r>
    </w:p>
    <w:p w14:paraId="030B908A" w14:textId="11933B7E" w:rsidR="00744FB5" w:rsidRPr="006066B2" w:rsidRDefault="00744FB5" w:rsidP="00744FB5">
      <w:pPr>
        <w:jc w:val="both"/>
      </w:pPr>
      <w:r w:rsidRPr="006066B2">
        <w:t>(3) Nakon što prestanu okolnosti iz stavka 2. ovoga članka, službenik pravosudne policije nastavlja nositi oružje sukladno stavku 1. ovoga članka.</w:t>
      </w:r>
    </w:p>
    <w:p w14:paraId="6DB49D60" w14:textId="77777777" w:rsidR="00744FB5" w:rsidRPr="006066B2" w:rsidRDefault="00744FB5" w:rsidP="00744FB5">
      <w:pPr>
        <w:jc w:val="both"/>
      </w:pPr>
      <w:r w:rsidRPr="006066B2">
        <w:t>(4) Pričuvni spremnik se nosi na kompletu za nošenje oružja u za to predviđenoj futroli i na suprotnoj strani od futrole za oružje.</w:t>
      </w:r>
    </w:p>
    <w:p w14:paraId="45066244" w14:textId="77777777" w:rsidR="00744FB5" w:rsidRPr="006066B2" w:rsidRDefault="00744FB5" w:rsidP="00744FB5">
      <w:pPr>
        <w:jc w:val="both"/>
      </w:pPr>
      <w:r w:rsidRPr="006066B2">
        <w:t>(5) Kada obavlja poslove u civilnoj odjeći, službenik pravosudne policije vatreno oružje nosi prikriveno na remenu hlača ili ispod pazuha odnosno u posebnim pojasnim torbicama.</w:t>
      </w:r>
    </w:p>
    <w:p w14:paraId="0A2DFD1E" w14:textId="77777777" w:rsidR="00744FB5" w:rsidRPr="006066B2" w:rsidRDefault="00744FB5" w:rsidP="00744FB5">
      <w:pPr>
        <w:jc w:val="both"/>
      </w:pPr>
    </w:p>
    <w:p w14:paraId="62035511" w14:textId="45AA9686" w:rsidR="00744FB5" w:rsidRPr="006066B2" w:rsidRDefault="00744FB5" w:rsidP="00744FB5">
      <w:pPr>
        <w:jc w:val="center"/>
      </w:pPr>
      <w:r w:rsidRPr="006066B2">
        <w:t>Članak 2</w:t>
      </w:r>
      <w:r w:rsidR="00F46627" w:rsidRPr="006066B2">
        <w:t>3</w:t>
      </w:r>
      <w:r w:rsidRPr="006066B2">
        <w:t>.e</w:t>
      </w:r>
    </w:p>
    <w:p w14:paraId="34E353C1" w14:textId="77777777" w:rsidR="00744FB5" w:rsidRPr="006066B2" w:rsidRDefault="00744FB5" w:rsidP="00744FB5">
      <w:pPr>
        <w:jc w:val="both"/>
      </w:pPr>
      <w:r w:rsidRPr="006066B2">
        <w:t>(1) Oružje i streljivo moraju se čuvati tako da nisu dostupni osobama koje nisu ovlaštene posjedovati ih, zaključani u metalnom ormaru ili sefu koje se ne može otvoriti alatom uobičajene uporabe.</w:t>
      </w:r>
    </w:p>
    <w:p w14:paraId="1010E025" w14:textId="4E552670" w:rsidR="00744FB5" w:rsidRPr="006066B2" w:rsidRDefault="00744FB5" w:rsidP="00744FB5">
      <w:pPr>
        <w:jc w:val="both"/>
      </w:pPr>
      <w:r w:rsidRPr="006066B2">
        <w:t xml:space="preserve">(2) </w:t>
      </w:r>
      <w:bookmarkStart w:id="0" w:name="_Hlk190162659"/>
      <w:r w:rsidRPr="006066B2">
        <w:t>Oružje se čuva u prostorima ustrojstvene jedinice odnosno pravosudnog tijela koje službenik pravosudne policije osigurava</w:t>
      </w:r>
      <w:bookmarkEnd w:id="0"/>
      <w:r w:rsidRPr="006066B2">
        <w:t xml:space="preserve">, a svako uzimanje i odlaganje </w:t>
      </w:r>
      <w:bookmarkStart w:id="1" w:name="_Hlk190162652"/>
      <w:r w:rsidRPr="006066B2">
        <w:t xml:space="preserve">oružja u metalni ormar ili sef </w:t>
      </w:r>
      <w:bookmarkEnd w:id="1"/>
      <w:r w:rsidRPr="006066B2">
        <w:t>kao i čišćenje te pucanje iz oružja mora se evidentirati u obrascu evidencije oružja.</w:t>
      </w:r>
    </w:p>
    <w:p w14:paraId="33B06D3B" w14:textId="3DB983D3" w:rsidR="006A260B" w:rsidRPr="006066B2" w:rsidRDefault="006A260B" w:rsidP="00744FB5">
      <w:pPr>
        <w:jc w:val="both"/>
      </w:pPr>
      <w:r w:rsidRPr="006066B2">
        <w:t xml:space="preserve">(3) </w:t>
      </w:r>
      <w:r w:rsidR="007853A2" w:rsidRPr="006066B2">
        <w:t xml:space="preserve">U slučaju kada službenik pravosudne policije </w:t>
      </w:r>
      <w:r w:rsidR="00DE2FEB" w:rsidRPr="006066B2">
        <w:t>obavlja poslove osiguran</w:t>
      </w:r>
      <w:r w:rsidR="007853A2" w:rsidRPr="006066B2">
        <w:t>ja pravosudnih tijela</w:t>
      </w:r>
      <w:r w:rsidR="00DE2FEB" w:rsidRPr="006066B2">
        <w:t xml:space="preserve"> na </w:t>
      </w:r>
      <w:r w:rsidR="007853A2" w:rsidRPr="006066B2">
        <w:t>mjestu</w:t>
      </w:r>
      <w:r w:rsidR="00DE2FEB" w:rsidRPr="006066B2">
        <w:t xml:space="preserve"> različitom od uobičajenog mjesta rada</w:t>
      </w:r>
      <w:r w:rsidR="007853A2" w:rsidRPr="006066B2">
        <w:t>, mo</w:t>
      </w:r>
      <w:r w:rsidR="00DE2FEB" w:rsidRPr="006066B2">
        <w:t xml:space="preserve">že </w:t>
      </w:r>
      <w:r w:rsidR="007853A2" w:rsidRPr="006066B2">
        <w:t>privremeno zadužiti oružje koje se čuva na tom mjestu uz obvezu evidentiranja propisanu u stavku 2. ovoga članka.</w:t>
      </w:r>
    </w:p>
    <w:p w14:paraId="7273946D" w14:textId="74057C24" w:rsidR="00744FB5" w:rsidRPr="006066B2" w:rsidRDefault="00744FB5" w:rsidP="00744FB5">
      <w:pPr>
        <w:jc w:val="both"/>
      </w:pPr>
      <w:r w:rsidRPr="006066B2">
        <w:t xml:space="preserve">(3) Sadržaj obrasca iz stavka </w:t>
      </w:r>
      <w:r w:rsidR="001B4106" w:rsidRPr="006066B2">
        <w:t>2</w:t>
      </w:r>
      <w:r w:rsidRPr="006066B2">
        <w:t>. ovoga članka propisuje čelnik upravne organizacije nadležne za osiguranje pravosudnih tijela.</w:t>
      </w:r>
      <w:r w:rsidR="00F46627" w:rsidRPr="006066B2">
        <w:t>“.</w:t>
      </w:r>
    </w:p>
    <w:p w14:paraId="099586F6" w14:textId="7657EFF2" w:rsidR="002236D3" w:rsidRPr="006066B2" w:rsidRDefault="0083559E" w:rsidP="006066B2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066B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F46627" w:rsidRPr="006066B2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6066B2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6683ECC" w14:textId="38FCCE63" w:rsidR="00303E74" w:rsidRPr="006066B2" w:rsidRDefault="00303E74" w:rsidP="00303E74">
      <w:pPr>
        <w:spacing w:before="100" w:beforeAutospacing="1" w:after="100" w:afterAutospacing="1"/>
        <w:jc w:val="both"/>
      </w:pPr>
      <w:r w:rsidRPr="006066B2">
        <w:t>Uputu iz članka 23.c stavka 2. i sadržaj obrasca iz članka 23.e</w:t>
      </w:r>
      <w:r w:rsidR="003C340C" w:rsidRPr="006066B2">
        <w:t xml:space="preserve"> stavka 3. </w:t>
      </w:r>
      <w:r w:rsidR="00B36A5F" w:rsidRPr="006066B2">
        <w:t>koji su dodani člankom 1. ovoga Pravilnika</w:t>
      </w:r>
      <w:r w:rsidR="003C340C" w:rsidRPr="006066B2">
        <w:t xml:space="preserve"> </w:t>
      </w:r>
      <w:r w:rsidRPr="006066B2">
        <w:t>čelnik upravne organizacije nadležne za osiguranje pravosudnih tijela donijet će u roku od 60 dana od dana stupanja na snagu ovog</w:t>
      </w:r>
      <w:r w:rsidR="003C340C" w:rsidRPr="006066B2">
        <w:t>a</w:t>
      </w:r>
      <w:r w:rsidRPr="006066B2">
        <w:t xml:space="preserve"> Pravilnika.</w:t>
      </w:r>
    </w:p>
    <w:p w14:paraId="5CC89570" w14:textId="511B80D1" w:rsidR="003C340C" w:rsidRPr="006066B2" w:rsidRDefault="003C340C" w:rsidP="006066B2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066B2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3.</w:t>
      </w:r>
    </w:p>
    <w:p w14:paraId="3EC1244A" w14:textId="77777777" w:rsidR="0083559E" w:rsidRPr="006066B2" w:rsidRDefault="0083559E" w:rsidP="0083559E">
      <w:pPr>
        <w:spacing w:before="100" w:beforeAutospacing="1" w:after="100" w:afterAutospacing="1"/>
        <w:jc w:val="both"/>
      </w:pPr>
      <w:r w:rsidRPr="006066B2">
        <w:t>Ovaj Pravilnik stupa na snagu osmoga dana od dana objave u „Narodnim novinama“.</w:t>
      </w:r>
    </w:p>
    <w:p w14:paraId="129A0ED7" w14:textId="34EA061B" w:rsidR="0083559E" w:rsidRPr="006066B2" w:rsidRDefault="0083559E" w:rsidP="0083559E">
      <w:pPr>
        <w:tabs>
          <w:tab w:val="left" w:pos="1134"/>
        </w:tabs>
      </w:pPr>
      <w:r w:rsidRPr="006066B2">
        <w:t>KLASA:</w:t>
      </w:r>
      <w:r w:rsidRPr="006066B2">
        <w:tab/>
      </w:r>
      <w:r w:rsidRPr="006066B2">
        <w:tab/>
      </w:r>
    </w:p>
    <w:p w14:paraId="3B380D6C" w14:textId="10F8FD06" w:rsidR="0083559E" w:rsidRPr="006066B2" w:rsidRDefault="0083559E" w:rsidP="0083559E">
      <w:pPr>
        <w:tabs>
          <w:tab w:val="left" w:pos="1134"/>
        </w:tabs>
      </w:pPr>
      <w:r w:rsidRPr="006066B2">
        <w:t>URBROJ:</w:t>
      </w:r>
      <w:r w:rsidRPr="006066B2">
        <w:tab/>
      </w:r>
      <w:r w:rsidRPr="006066B2">
        <w:tab/>
      </w:r>
    </w:p>
    <w:p w14:paraId="7067AE5D" w14:textId="77777777" w:rsidR="0083559E" w:rsidRPr="006066B2" w:rsidRDefault="0083559E" w:rsidP="0083559E">
      <w:pPr>
        <w:tabs>
          <w:tab w:val="left" w:pos="1134"/>
        </w:tabs>
      </w:pPr>
    </w:p>
    <w:p w14:paraId="54992696" w14:textId="3B0F8009" w:rsidR="0083559E" w:rsidRPr="006066B2" w:rsidRDefault="0083559E" w:rsidP="0083559E">
      <w:pPr>
        <w:tabs>
          <w:tab w:val="left" w:pos="1134"/>
        </w:tabs>
      </w:pPr>
      <w:r w:rsidRPr="006066B2">
        <w:t xml:space="preserve">Zagreb, </w:t>
      </w:r>
      <w:r w:rsidRPr="006066B2">
        <w:tab/>
      </w:r>
      <w:r w:rsidRPr="006066B2">
        <w:tab/>
      </w:r>
    </w:p>
    <w:p w14:paraId="1E07A251" w14:textId="77777777" w:rsidR="00D15310" w:rsidRPr="006066B2" w:rsidRDefault="00D15310" w:rsidP="0083559E"/>
    <w:sectPr w:rsidR="00D15310" w:rsidRPr="006066B2" w:rsidSect="007C1FE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970E4" w14:textId="77777777" w:rsidR="00EA3A38" w:rsidRDefault="00EA3A38">
      <w:r>
        <w:separator/>
      </w:r>
    </w:p>
  </w:endnote>
  <w:endnote w:type="continuationSeparator" w:id="0">
    <w:p w14:paraId="31A8C443" w14:textId="77777777" w:rsidR="00EA3A38" w:rsidRDefault="00EA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BA73" w14:textId="77777777" w:rsidR="00EA3A38" w:rsidRDefault="00EA3A38">
      <w:r>
        <w:separator/>
      </w:r>
    </w:p>
  </w:footnote>
  <w:footnote w:type="continuationSeparator" w:id="0">
    <w:p w14:paraId="6842C05E" w14:textId="77777777" w:rsidR="00EA3A38" w:rsidRDefault="00EA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621F5"/>
    <w:multiLevelType w:val="multilevel"/>
    <w:tmpl w:val="CC78D0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93C28FC"/>
    <w:multiLevelType w:val="hybridMultilevel"/>
    <w:tmpl w:val="0E066AE8"/>
    <w:lvl w:ilvl="0" w:tplc="E826B05C">
      <w:start w:val="1"/>
      <w:numFmt w:val="decimal"/>
      <w:lvlText w:val="%1."/>
      <w:lvlJc w:val="left"/>
      <w:pPr>
        <w:ind w:left="720" w:hanging="360"/>
      </w:pPr>
    </w:lvl>
    <w:lvl w:ilvl="1" w:tplc="60340860">
      <w:start w:val="1"/>
      <w:numFmt w:val="lowerLetter"/>
      <w:lvlText w:val="%2."/>
      <w:lvlJc w:val="left"/>
      <w:pPr>
        <w:ind w:left="1440" w:hanging="360"/>
      </w:pPr>
    </w:lvl>
    <w:lvl w:ilvl="2" w:tplc="A338429C">
      <w:start w:val="1"/>
      <w:numFmt w:val="lowerRoman"/>
      <w:lvlText w:val="%3."/>
      <w:lvlJc w:val="right"/>
      <w:pPr>
        <w:ind w:left="2160" w:hanging="180"/>
      </w:pPr>
    </w:lvl>
    <w:lvl w:ilvl="3" w:tplc="B9683CD8">
      <w:start w:val="1"/>
      <w:numFmt w:val="decimal"/>
      <w:lvlText w:val="%4."/>
      <w:lvlJc w:val="left"/>
      <w:pPr>
        <w:ind w:left="2880" w:hanging="360"/>
      </w:pPr>
    </w:lvl>
    <w:lvl w:ilvl="4" w:tplc="8F8A43F4">
      <w:start w:val="1"/>
      <w:numFmt w:val="lowerLetter"/>
      <w:lvlText w:val="%5."/>
      <w:lvlJc w:val="left"/>
      <w:pPr>
        <w:ind w:left="3600" w:hanging="360"/>
      </w:pPr>
    </w:lvl>
    <w:lvl w:ilvl="5" w:tplc="42D2CB22">
      <w:start w:val="1"/>
      <w:numFmt w:val="lowerRoman"/>
      <w:lvlText w:val="%6."/>
      <w:lvlJc w:val="right"/>
      <w:pPr>
        <w:ind w:left="4320" w:hanging="180"/>
      </w:pPr>
    </w:lvl>
    <w:lvl w:ilvl="6" w:tplc="5ABE9A80">
      <w:start w:val="1"/>
      <w:numFmt w:val="decimal"/>
      <w:lvlText w:val="%7."/>
      <w:lvlJc w:val="left"/>
      <w:pPr>
        <w:ind w:left="5040" w:hanging="360"/>
      </w:pPr>
    </w:lvl>
    <w:lvl w:ilvl="7" w:tplc="CD8AC500">
      <w:start w:val="1"/>
      <w:numFmt w:val="lowerLetter"/>
      <w:lvlText w:val="%8."/>
      <w:lvlJc w:val="left"/>
      <w:pPr>
        <w:ind w:left="5760" w:hanging="360"/>
      </w:pPr>
    </w:lvl>
    <w:lvl w:ilvl="8" w:tplc="11F897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B2B"/>
    <w:multiLevelType w:val="multilevel"/>
    <w:tmpl w:val="1EF642D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22D6D15"/>
    <w:multiLevelType w:val="multilevel"/>
    <w:tmpl w:val="2AF8D2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9787594"/>
    <w:multiLevelType w:val="multilevel"/>
    <w:tmpl w:val="2188C8F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972324981">
    <w:abstractNumId w:val="0"/>
  </w:num>
  <w:num w:numId="2" w16cid:durableId="2007244005">
    <w:abstractNumId w:val="2"/>
  </w:num>
  <w:num w:numId="3" w16cid:durableId="47606814">
    <w:abstractNumId w:val="3"/>
  </w:num>
  <w:num w:numId="4" w16cid:durableId="5253923">
    <w:abstractNumId w:val="4"/>
  </w:num>
  <w:num w:numId="5" w16cid:durableId="134841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10"/>
    <w:rsid w:val="000B21D7"/>
    <w:rsid w:val="000F3FD4"/>
    <w:rsid w:val="001145B6"/>
    <w:rsid w:val="001B4106"/>
    <w:rsid w:val="002236D3"/>
    <w:rsid w:val="002F2BF6"/>
    <w:rsid w:val="00303E74"/>
    <w:rsid w:val="00345A14"/>
    <w:rsid w:val="003814B8"/>
    <w:rsid w:val="003C340C"/>
    <w:rsid w:val="0042259D"/>
    <w:rsid w:val="00425506"/>
    <w:rsid w:val="0045468A"/>
    <w:rsid w:val="00463B8C"/>
    <w:rsid w:val="004D3B7F"/>
    <w:rsid w:val="004F50F9"/>
    <w:rsid w:val="0053284A"/>
    <w:rsid w:val="00543373"/>
    <w:rsid w:val="005E4A61"/>
    <w:rsid w:val="006066B2"/>
    <w:rsid w:val="006141B2"/>
    <w:rsid w:val="00632940"/>
    <w:rsid w:val="00651C25"/>
    <w:rsid w:val="006673F9"/>
    <w:rsid w:val="006A260B"/>
    <w:rsid w:val="00744FB5"/>
    <w:rsid w:val="007853A2"/>
    <w:rsid w:val="007A0A5A"/>
    <w:rsid w:val="0083559E"/>
    <w:rsid w:val="00870621"/>
    <w:rsid w:val="00882E1E"/>
    <w:rsid w:val="008844A5"/>
    <w:rsid w:val="00885552"/>
    <w:rsid w:val="00957782"/>
    <w:rsid w:val="00962459"/>
    <w:rsid w:val="00962E9C"/>
    <w:rsid w:val="009631CC"/>
    <w:rsid w:val="00A02609"/>
    <w:rsid w:val="00A64078"/>
    <w:rsid w:val="00B17BEA"/>
    <w:rsid w:val="00B36A5F"/>
    <w:rsid w:val="00BD0099"/>
    <w:rsid w:val="00C364CD"/>
    <w:rsid w:val="00C85734"/>
    <w:rsid w:val="00CA6B20"/>
    <w:rsid w:val="00CC46AE"/>
    <w:rsid w:val="00D15310"/>
    <w:rsid w:val="00D96A77"/>
    <w:rsid w:val="00DB6722"/>
    <w:rsid w:val="00DE2FEB"/>
    <w:rsid w:val="00E441BA"/>
    <w:rsid w:val="00E5686A"/>
    <w:rsid w:val="00EA3A38"/>
    <w:rsid w:val="00F00F24"/>
    <w:rsid w:val="00F12C37"/>
    <w:rsid w:val="00F46627"/>
    <w:rsid w:val="00FB44DB"/>
    <w:rsid w:val="00F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A237"/>
  <w15:docId w15:val="{65C7B114-576E-4057-BC5B-4D5A65C2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locked/>
    <w:rsid w:val="00606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3559E"/>
    <w:rPr>
      <w:sz w:val="24"/>
      <w:szCs w:val="24"/>
    </w:rPr>
  </w:style>
  <w:style w:type="paragraph" w:styleId="Revizija">
    <w:name w:val="Revision"/>
    <w:hidden/>
    <w:uiPriority w:val="99"/>
    <w:semiHidden/>
    <w:rsid w:val="00744FB5"/>
    <w:rPr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qFormat/>
    <w:locked/>
    <w:rsid w:val="006066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6066B2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6066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Vlatka Havidić</cp:lastModifiedBy>
  <cp:revision>3</cp:revision>
  <cp:lastPrinted>2013-10-21T09:54:00Z</cp:lastPrinted>
  <dcterms:created xsi:type="dcterms:W3CDTF">2025-02-24T12:32:00Z</dcterms:created>
  <dcterms:modified xsi:type="dcterms:W3CDTF">2025-02-24T13:54:00Z</dcterms:modified>
</cp:coreProperties>
</file>