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659FA" w14:textId="77777777" w:rsidR="003223E0" w:rsidRPr="00D17965" w:rsidRDefault="003223E0" w:rsidP="00D17965">
      <w:pPr>
        <w:pStyle w:val="Naslov"/>
      </w:pPr>
      <w:r w:rsidRPr="00D17965">
        <w:t>PRILOG 5.</w:t>
      </w:r>
    </w:p>
    <w:p w14:paraId="14B697A7" w14:textId="77777777" w:rsidR="003223E0" w:rsidRPr="00D17965" w:rsidRDefault="003223E0" w:rsidP="00D17965">
      <w:pPr>
        <w:pStyle w:val="Naslov"/>
      </w:pPr>
      <w:r w:rsidRPr="00D17965">
        <w:t>OBRAZAC NAKNADNE PROCJENE UČINAKA PROPISA</w:t>
      </w:r>
    </w:p>
    <w:p w14:paraId="65EA24A6" w14:textId="77777777" w:rsidR="00AC28A8" w:rsidRPr="00665B2E" w:rsidRDefault="00AC28A8" w:rsidP="00665B2E">
      <w:pPr>
        <w:shd w:val="clear" w:color="auto" w:fill="FFFFFF" w:themeFill="background1"/>
        <w:jc w:val="center"/>
        <w:rPr>
          <w:b/>
        </w:rPr>
      </w:pPr>
    </w:p>
    <w:p w14:paraId="4A320A03" w14:textId="0A811031" w:rsidR="003223E0" w:rsidRPr="00665B2E" w:rsidRDefault="003223E0" w:rsidP="00AC28A8">
      <w:pPr>
        <w:pStyle w:val="Naslov1"/>
      </w:pPr>
      <w:r w:rsidRPr="00665B2E">
        <w:t>1.</w:t>
      </w:r>
      <w:r w:rsidR="00AC28A8">
        <w:t xml:space="preserve"> </w:t>
      </w:r>
      <w:r w:rsidRPr="00665B2E">
        <w:t>OPĆE INFORMACIJE</w:t>
      </w:r>
    </w:p>
    <w:tbl>
      <w:tblPr>
        <w:tblStyle w:val="Reetkatablice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698"/>
        <w:gridCol w:w="988"/>
        <w:gridCol w:w="5386"/>
      </w:tblGrid>
      <w:tr w:rsidR="000213BB" w:rsidRPr="00665B2E" w14:paraId="6908EAD5" w14:textId="77777777" w:rsidTr="00665B2E">
        <w:tc>
          <w:tcPr>
            <w:tcW w:w="851" w:type="dxa"/>
          </w:tcPr>
          <w:p w14:paraId="0EB81F47" w14:textId="77777777" w:rsidR="000213BB" w:rsidRPr="00665B2E" w:rsidRDefault="000213BB" w:rsidP="00665B2E">
            <w:pPr>
              <w:shd w:val="clear" w:color="auto" w:fill="FFFFFF" w:themeFill="background1"/>
            </w:pPr>
            <w:r w:rsidRPr="00665B2E">
              <w:t>1.1.</w:t>
            </w:r>
          </w:p>
        </w:tc>
        <w:tc>
          <w:tcPr>
            <w:tcW w:w="2698" w:type="dxa"/>
          </w:tcPr>
          <w:p w14:paraId="48949F37" w14:textId="77777777" w:rsidR="000213BB" w:rsidRPr="00665B2E" w:rsidRDefault="000213BB" w:rsidP="00665B2E">
            <w:pPr>
              <w:shd w:val="clear" w:color="auto" w:fill="FFFFFF" w:themeFill="background1"/>
            </w:pPr>
            <w:r w:rsidRPr="00665B2E">
              <w:t>Naziv zakona:</w:t>
            </w:r>
          </w:p>
        </w:tc>
        <w:tc>
          <w:tcPr>
            <w:tcW w:w="6374" w:type="dxa"/>
            <w:gridSpan w:val="2"/>
            <w:shd w:val="clear" w:color="auto" w:fill="FFFFFF" w:themeFill="background1"/>
          </w:tcPr>
          <w:p w14:paraId="08ACD235" w14:textId="40E64263" w:rsidR="000213BB" w:rsidRPr="009A3D7E" w:rsidRDefault="00A862D1" w:rsidP="00665B2E">
            <w:pPr>
              <w:shd w:val="clear" w:color="auto" w:fill="FFFFFF" w:themeFill="background1"/>
              <w:rPr>
                <w:szCs w:val="24"/>
              </w:rPr>
            </w:pPr>
            <w:r w:rsidRPr="009A3D7E">
              <w:rPr>
                <w:b/>
                <w:bCs/>
                <w:color w:val="231F20"/>
                <w:szCs w:val="24"/>
                <w:shd w:val="clear" w:color="auto" w:fill="FFFFFF"/>
              </w:rPr>
              <w:t>Zakona o dodatnom porezu na dobit</w:t>
            </w:r>
          </w:p>
        </w:tc>
      </w:tr>
      <w:tr w:rsidR="000213BB" w:rsidRPr="00665B2E" w14:paraId="5CE0B32D" w14:textId="77777777" w:rsidTr="00665B2E">
        <w:tc>
          <w:tcPr>
            <w:tcW w:w="851" w:type="dxa"/>
          </w:tcPr>
          <w:p w14:paraId="1625D455" w14:textId="77777777" w:rsidR="000213BB" w:rsidRPr="00665B2E" w:rsidRDefault="000213BB" w:rsidP="00665B2E">
            <w:pPr>
              <w:shd w:val="clear" w:color="auto" w:fill="FFFFFF" w:themeFill="background1"/>
            </w:pPr>
            <w:r w:rsidRPr="00665B2E">
              <w:t>1.2.</w:t>
            </w:r>
          </w:p>
        </w:tc>
        <w:tc>
          <w:tcPr>
            <w:tcW w:w="2698" w:type="dxa"/>
          </w:tcPr>
          <w:p w14:paraId="444F8A62" w14:textId="77777777" w:rsidR="000213BB" w:rsidRPr="00665B2E" w:rsidRDefault="000213BB" w:rsidP="00665B2E">
            <w:pPr>
              <w:shd w:val="clear" w:color="auto" w:fill="FFFFFF" w:themeFill="background1"/>
            </w:pPr>
            <w:r w:rsidRPr="00665B2E">
              <w:t>Broj "Narodnih novina"</w:t>
            </w:r>
          </w:p>
        </w:tc>
        <w:tc>
          <w:tcPr>
            <w:tcW w:w="6374" w:type="dxa"/>
            <w:gridSpan w:val="2"/>
            <w:shd w:val="clear" w:color="auto" w:fill="FFFFFF" w:themeFill="background1"/>
          </w:tcPr>
          <w:p w14:paraId="3A7CB2B6" w14:textId="35F29A68" w:rsidR="000213BB" w:rsidRPr="00665B2E" w:rsidRDefault="00D5585E" w:rsidP="00665B2E">
            <w:pPr>
              <w:shd w:val="clear" w:color="auto" w:fill="FFFFFF" w:themeFill="background1"/>
            </w:pPr>
            <w:r w:rsidRPr="00665B2E">
              <w:rPr>
                <w:rFonts w:eastAsia="Times New Roman"/>
                <w:szCs w:val="24"/>
              </w:rPr>
              <w:t>1</w:t>
            </w:r>
            <w:r w:rsidR="00A862D1">
              <w:rPr>
                <w:rFonts w:eastAsia="Times New Roman"/>
                <w:szCs w:val="24"/>
              </w:rPr>
              <w:t>51</w:t>
            </w:r>
            <w:r w:rsidRPr="00665B2E">
              <w:rPr>
                <w:rFonts w:eastAsia="Times New Roman"/>
                <w:szCs w:val="24"/>
              </w:rPr>
              <w:t>/</w:t>
            </w:r>
            <w:r w:rsidR="00A862D1">
              <w:rPr>
                <w:rFonts w:eastAsia="Times New Roman"/>
                <w:szCs w:val="24"/>
              </w:rPr>
              <w:t>22, - ispravak 9/23</w:t>
            </w:r>
          </w:p>
        </w:tc>
      </w:tr>
      <w:tr w:rsidR="000213BB" w:rsidRPr="00665B2E" w14:paraId="57544DBC" w14:textId="77777777" w:rsidTr="00665B2E">
        <w:tc>
          <w:tcPr>
            <w:tcW w:w="851" w:type="dxa"/>
          </w:tcPr>
          <w:p w14:paraId="3346B4FE" w14:textId="77777777" w:rsidR="000213BB" w:rsidRPr="00665B2E" w:rsidRDefault="000213BB" w:rsidP="00665B2E">
            <w:pPr>
              <w:shd w:val="clear" w:color="auto" w:fill="FFFFFF" w:themeFill="background1"/>
            </w:pPr>
            <w:r w:rsidRPr="00665B2E">
              <w:t>1.3.</w:t>
            </w:r>
          </w:p>
        </w:tc>
        <w:tc>
          <w:tcPr>
            <w:tcW w:w="2698" w:type="dxa"/>
          </w:tcPr>
          <w:p w14:paraId="3A9A407A" w14:textId="77777777" w:rsidR="000213BB" w:rsidRPr="00665B2E" w:rsidRDefault="000213BB" w:rsidP="00665B2E">
            <w:pPr>
              <w:shd w:val="clear" w:color="auto" w:fill="FFFFFF" w:themeFill="background1"/>
            </w:pPr>
            <w:r w:rsidRPr="00665B2E">
              <w:t>Program rada Vlade Republike Hrvatske, akt planiranja ili reformska mjera:</w:t>
            </w:r>
          </w:p>
        </w:tc>
        <w:tc>
          <w:tcPr>
            <w:tcW w:w="988" w:type="dxa"/>
            <w:shd w:val="clear" w:color="auto" w:fill="FFFFFF" w:themeFill="background1"/>
          </w:tcPr>
          <w:p w14:paraId="4AA857BE" w14:textId="77777777" w:rsidR="000213BB" w:rsidRPr="00665B2E" w:rsidRDefault="000213BB" w:rsidP="00665B2E">
            <w:pPr>
              <w:shd w:val="clear" w:color="auto" w:fill="FFFFFF" w:themeFill="background1"/>
            </w:pPr>
            <w:r w:rsidRPr="00665B2E">
              <w:t>Da/Ne:</w:t>
            </w:r>
          </w:p>
          <w:p w14:paraId="373B028B" w14:textId="2C9FAA2B" w:rsidR="000213BB" w:rsidRPr="009A6225" w:rsidRDefault="009A6225" w:rsidP="00665B2E">
            <w:pPr>
              <w:shd w:val="clear" w:color="auto" w:fill="FFFFFF" w:themeFill="background1"/>
              <w:rPr>
                <w:b/>
                <w:bCs/>
              </w:rPr>
            </w:pPr>
            <w:r w:rsidRPr="009A6225">
              <w:rPr>
                <w:b/>
                <w:bCs/>
              </w:rPr>
              <w:t>Da</w:t>
            </w:r>
          </w:p>
        </w:tc>
        <w:tc>
          <w:tcPr>
            <w:tcW w:w="5386" w:type="dxa"/>
            <w:shd w:val="clear" w:color="auto" w:fill="FFFFFF" w:themeFill="background1"/>
          </w:tcPr>
          <w:p w14:paraId="110CEA42" w14:textId="77777777" w:rsidR="00A433CF" w:rsidRDefault="000213BB" w:rsidP="00665B2E">
            <w:pPr>
              <w:shd w:val="clear" w:color="auto" w:fill="FFFFFF" w:themeFill="background1"/>
              <w:rPr>
                <w:szCs w:val="24"/>
              </w:rPr>
            </w:pPr>
            <w:r w:rsidRPr="00665B2E">
              <w:t>Naziv akta:</w:t>
            </w:r>
            <w:r w:rsidR="000D1E2A" w:rsidRPr="00665B2E">
              <w:rPr>
                <w:szCs w:val="24"/>
              </w:rPr>
              <w:t xml:space="preserve"> </w:t>
            </w:r>
          </w:p>
          <w:p w14:paraId="0B5502AD" w14:textId="0F667BBC" w:rsidR="000D1E2A" w:rsidRPr="00A433CF" w:rsidRDefault="00221CF8" w:rsidP="00665B2E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147. sjednica Vlade Republike Hrvatske, 2022 godine - </w:t>
            </w:r>
            <w:r w:rsidR="007C5514" w:rsidRPr="0017133E">
              <w:rPr>
                <w:szCs w:val="24"/>
              </w:rPr>
              <w:t>Jesenski paket mjera za zaštitu građana i poduzetnika</w:t>
            </w:r>
            <w:r w:rsidR="009A6225">
              <w:t xml:space="preserve"> </w:t>
            </w:r>
          </w:p>
        </w:tc>
      </w:tr>
      <w:tr w:rsidR="000213BB" w:rsidRPr="00665B2E" w14:paraId="3DF1B822" w14:textId="77777777" w:rsidTr="00665B2E">
        <w:tc>
          <w:tcPr>
            <w:tcW w:w="851" w:type="dxa"/>
          </w:tcPr>
          <w:p w14:paraId="5837098D" w14:textId="77777777" w:rsidR="000213BB" w:rsidRPr="00665B2E" w:rsidRDefault="000213BB" w:rsidP="00665B2E">
            <w:pPr>
              <w:shd w:val="clear" w:color="auto" w:fill="FFFFFF" w:themeFill="background1"/>
            </w:pPr>
            <w:r w:rsidRPr="00665B2E">
              <w:t>1.4.</w:t>
            </w:r>
          </w:p>
        </w:tc>
        <w:tc>
          <w:tcPr>
            <w:tcW w:w="2698" w:type="dxa"/>
          </w:tcPr>
          <w:p w14:paraId="52764169" w14:textId="77777777" w:rsidR="000213BB" w:rsidRPr="00665B2E" w:rsidRDefault="000213BB" w:rsidP="00665B2E">
            <w:pPr>
              <w:shd w:val="clear" w:color="auto" w:fill="FFFFFF" w:themeFill="background1"/>
            </w:pPr>
            <w:r w:rsidRPr="00665B2E">
              <w:t>Plan usklađivanja zakonodavstva Republike Hrvatske s pravnom stečevinom Europske unije</w:t>
            </w:r>
          </w:p>
        </w:tc>
        <w:tc>
          <w:tcPr>
            <w:tcW w:w="988" w:type="dxa"/>
            <w:shd w:val="clear" w:color="auto" w:fill="FFFFFF" w:themeFill="background1"/>
          </w:tcPr>
          <w:p w14:paraId="1DB83529" w14:textId="77777777" w:rsidR="000213BB" w:rsidRPr="00A433CF" w:rsidRDefault="000213BB" w:rsidP="00665B2E">
            <w:pPr>
              <w:shd w:val="clear" w:color="auto" w:fill="FFFFFF" w:themeFill="background1"/>
              <w:rPr>
                <w:szCs w:val="24"/>
              </w:rPr>
            </w:pPr>
            <w:r w:rsidRPr="00A433CF">
              <w:rPr>
                <w:szCs w:val="24"/>
              </w:rPr>
              <w:t>Da/Ne:</w:t>
            </w:r>
          </w:p>
          <w:p w14:paraId="3EDC1B78" w14:textId="4F356237" w:rsidR="000213BB" w:rsidRPr="00A433CF" w:rsidRDefault="00A12090" w:rsidP="00665B2E">
            <w:pPr>
              <w:shd w:val="clear" w:color="auto" w:fill="FFFFFF" w:themeFill="background1"/>
              <w:rPr>
                <w:b/>
                <w:bCs/>
                <w:szCs w:val="24"/>
              </w:rPr>
            </w:pPr>
            <w:r w:rsidRPr="00A433CF">
              <w:rPr>
                <w:b/>
                <w:bCs/>
                <w:szCs w:val="24"/>
              </w:rPr>
              <w:t>D</w:t>
            </w:r>
            <w:r w:rsidR="00A433CF" w:rsidRPr="00A433CF">
              <w:rPr>
                <w:b/>
                <w:bCs/>
                <w:szCs w:val="24"/>
              </w:rPr>
              <w:t>a</w:t>
            </w:r>
          </w:p>
        </w:tc>
        <w:tc>
          <w:tcPr>
            <w:tcW w:w="5386" w:type="dxa"/>
            <w:shd w:val="clear" w:color="auto" w:fill="FFFFFF" w:themeFill="background1"/>
          </w:tcPr>
          <w:p w14:paraId="1D169F91" w14:textId="77777777" w:rsidR="000213BB" w:rsidRPr="00A433CF" w:rsidRDefault="000213BB" w:rsidP="00665B2E">
            <w:pPr>
              <w:shd w:val="clear" w:color="auto" w:fill="FFFFFF" w:themeFill="background1"/>
              <w:rPr>
                <w:szCs w:val="24"/>
              </w:rPr>
            </w:pPr>
            <w:r w:rsidRPr="00A433CF">
              <w:rPr>
                <w:szCs w:val="24"/>
              </w:rPr>
              <w:t>Naziv pravne stečevine EU:</w:t>
            </w:r>
          </w:p>
          <w:p w14:paraId="07F43068" w14:textId="1333CC74" w:rsidR="000D1E2A" w:rsidRPr="00A433CF" w:rsidRDefault="00A12090" w:rsidP="00A433CF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A433CF">
              <w:rPr>
                <w:szCs w:val="24"/>
              </w:rPr>
              <w:t>Uredba Vijeća (EU) 2022/1854 od 6. listopada 2022. o hitnoj intervenciji za rješavanje pitanja visokih cijena energije</w:t>
            </w:r>
            <w:r w:rsidR="00A433CF" w:rsidRPr="00A433CF">
              <w:rPr>
                <w:szCs w:val="24"/>
              </w:rPr>
              <w:t xml:space="preserve"> (</w:t>
            </w:r>
            <w:r w:rsidR="00A433CF" w:rsidRPr="00A433CF">
              <w:rPr>
                <w:rStyle w:val="Istaknuto"/>
                <w:i w:val="0"/>
                <w:iCs w:val="0"/>
                <w:szCs w:val="24"/>
                <w:shd w:val="clear" w:color="auto" w:fill="FFFFFF"/>
              </w:rPr>
              <w:t>SL L 261I, 7.10.2022)</w:t>
            </w:r>
          </w:p>
        </w:tc>
      </w:tr>
    </w:tbl>
    <w:p w14:paraId="5387DDD2" w14:textId="77777777" w:rsidR="003223E0" w:rsidRPr="00665B2E" w:rsidRDefault="003223E0" w:rsidP="00AC28A8">
      <w:pPr>
        <w:pStyle w:val="Naslov1"/>
      </w:pPr>
      <w:r w:rsidRPr="00665B2E">
        <w:t>2.</w:t>
      </w:r>
      <w:r w:rsidRPr="00665B2E">
        <w:tab/>
        <w:t>ANALIZA POSTIGNUTIH REZULTATA PRIMJENE ZAKONA</w:t>
      </w:r>
    </w:p>
    <w:tbl>
      <w:tblPr>
        <w:tblStyle w:val="Reetkatablice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0213BB" w:rsidRPr="00665B2E" w14:paraId="2E8DEA78" w14:textId="77777777" w:rsidTr="00665B2E">
        <w:tc>
          <w:tcPr>
            <w:tcW w:w="851" w:type="dxa"/>
          </w:tcPr>
          <w:p w14:paraId="0A0F3CDE" w14:textId="77777777" w:rsidR="000213BB" w:rsidRPr="00665B2E" w:rsidRDefault="000213BB" w:rsidP="00665B2E">
            <w:pPr>
              <w:shd w:val="clear" w:color="auto" w:fill="FFFFFF" w:themeFill="background1"/>
            </w:pPr>
            <w:r w:rsidRPr="00665B2E">
              <w:t>2.1.</w:t>
            </w:r>
          </w:p>
        </w:tc>
        <w:tc>
          <w:tcPr>
            <w:tcW w:w="9072" w:type="dxa"/>
            <w:shd w:val="clear" w:color="auto" w:fill="FFFFFF" w:themeFill="background1"/>
          </w:tcPr>
          <w:p w14:paraId="43DA8F79" w14:textId="08A2C301" w:rsidR="00497EB9" w:rsidRPr="0017133E" w:rsidRDefault="00497EB9" w:rsidP="00AA4A7A">
            <w:pPr>
              <w:pStyle w:val="Naslov"/>
              <w:contextualSpacing/>
              <w:jc w:val="both"/>
              <w:rPr>
                <w:b w:val="0"/>
              </w:rPr>
            </w:pPr>
            <w:bookmarkStart w:id="0" w:name="_Hlk114042201"/>
            <w:r w:rsidRPr="00A91DAE">
              <w:rPr>
                <w:b w:val="0"/>
                <w:color w:val="000000" w:themeColor="text1"/>
              </w:rPr>
              <w:t>Početak velikih globalnih poremećaja</w:t>
            </w:r>
            <w:r w:rsidR="00A433CF" w:rsidRPr="00A91DAE">
              <w:rPr>
                <w:b w:val="0"/>
                <w:color w:val="000000" w:themeColor="text1"/>
              </w:rPr>
              <w:t xml:space="preserve"> u 2022. godini je </w:t>
            </w:r>
            <w:r w:rsidRPr="0017133E">
              <w:rPr>
                <w:b w:val="0"/>
              </w:rPr>
              <w:t xml:space="preserve">negativno utjecao na građane i poduzetnike. Nekoliko je uzroka poremećaja, a glavni je ruska agresija na Ukrajinu koja je izazvala dubok poremećaj u opskrbi energenata i hrane u Europi te narušila odnose Zapada i Rusije. Na globalni poremećaj dodatno su utjecale klimatske promjene koje su, radi rekordnih suša i razornih poplava, pridonijele poskupljenju hrane i energenata, a na što je utjecalo i zatvaranje Kine uslijed pandemije. Sve navedeno dovelo je do neravnoteže na tržištu izazvane velikom potražnjom i nedovoljnom ponudom. U tim uvjetima stanovništvo je </w:t>
            </w:r>
            <w:r w:rsidR="009A3D7E">
              <w:rPr>
                <w:b w:val="0"/>
              </w:rPr>
              <w:t xml:space="preserve">bilo </w:t>
            </w:r>
            <w:r w:rsidRPr="0017133E">
              <w:rPr>
                <w:b w:val="0"/>
              </w:rPr>
              <w:t>suočeno sa stalnim rastom cijena ključnih proizvoda, a poduzetn</w:t>
            </w:r>
            <w:r w:rsidR="009A3D7E">
              <w:rPr>
                <w:b w:val="0"/>
              </w:rPr>
              <w:t xml:space="preserve">ici su </w:t>
            </w:r>
            <w:r w:rsidRPr="0017133E">
              <w:rPr>
                <w:b w:val="0"/>
              </w:rPr>
              <w:t>posl</w:t>
            </w:r>
            <w:r w:rsidR="009A3D7E">
              <w:rPr>
                <w:b w:val="0"/>
              </w:rPr>
              <w:t>ovali</w:t>
            </w:r>
            <w:r w:rsidRPr="0017133E">
              <w:rPr>
                <w:b w:val="0"/>
              </w:rPr>
              <w:t xml:space="preserve"> u uvjetima stalnog rasta troškova poslovanja</w:t>
            </w:r>
            <w:bookmarkEnd w:id="0"/>
            <w:r w:rsidRPr="0017133E">
              <w:rPr>
                <w:b w:val="0"/>
              </w:rPr>
              <w:t xml:space="preserve">. </w:t>
            </w:r>
          </w:p>
          <w:p w14:paraId="3E67B05B" w14:textId="77777777" w:rsidR="00344BB8" w:rsidRPr="0017133E" w:rsidRDefault="00344BB8" w:rsidP="00497EB9">
            <w:pPr>
              <w:pStyle w:val="Naslov"/>
              <w:contextualSpacing/>
              <w:jc w:val="both"/>
              <w:rPr>
                <w:b w:val="0"/>
              </w:rPr>
            </w:pPr>
          </w:p>
          <w:p w14:paraId="24BE6635" w14:textId="7A60DC6F" w:rsidR="00221CF8" w:rsidRPr="00221CF8" w:rsidRDefault="00344BB8" w:rsidP="00221CF8">
            <w:pPr>
              <w:jc w:val="both"/>
              <w:rPr>
                <w:szCs w:val="24"/>
                <w:shd w:val="clear" w:color="auto" w:fill="FFFFFF"/>
              </w:rPr>
            </w:pPr>
            <w:r w:rsidRPr="00166700">
              <w:rPr>
                <w:rFonts w:eastAsia="Times New Roman"/>
                <w:bCs/>
                <w:color w:val="000000" w:themeColor="text1"/>
                <w:szCs w:val="24"/>
              </w:rPr>
              <w:t>Zbog niza naprijed opisanih  negativnih okolnosti na globalnom nivou i u državi, Vlada R</w:t>
            </w:r>
            <w:r w:rsidR="005033A4">
              <w:rPr>
                <w:rFonts w:eastAsia="Times New Roman"/>
                <w:bCs/>
                <w:color w:val="000000" w:themeColor="text1"/>
                <w:szCs w:val="24"/>
              </w:rPr>
              <w:t>epublike Hrvatske</w:t>
            </w:r>
            <w:r w:rsidRPr="00166700">
              <w:rPr>
                <w:rFonts w:eastAsia="Times New Roman"/>
                <w:bCs/>
                <w:color w:val="000000" w:themeColor="text1"/>
                <w:szCs w:val="24"/>
              </w:rPr>
              <w:t xml:space="preserve"> je 8. rujna 2022. </w:t>
            </w:r>
            <w:r w:rsidR="00221CF8" w:rsidRPr="00166700">
              <w:rPr>
                <w:rFonts w:eastAsia="Times New Roman"/>
                <w:bCs/>
                <w:color w:val="000000" w:themeColor="text1"/>
                <w:szCs w:val="24"/>
              </w:rPr>
              <w:t>na 147. Sjednici Vlade predstav</w:t>
            </w:r>
            <w:r w:rsidR="009A3D7E" w:rsidRPr="00166700">
              <w:rPr>
                <w:rFonts w:eastAsia="Times New Roman"/>
                <w:bCs/>
                <w:color w:val="000000" w:themeColor="text1"/>
                <w:szCs w:val="24"/>
              </w:rPr>
              <w:t>ila</w:t>
            </w:r>
            <w:r w:rsidRPr="00166700">
              <w:rPr>
                <w:rFonts w:eastAsia="Times New Roman"/>
                <w:bCs/>
                <w:color w:val="000000" w:themeColor="text1"/>
                <w:szCs w:val="24"/>
              </w:rPr>
              <w:t xml:space="preserve"> snažan, pravedan i sveobuhvatan </w:t>
            </w:r>
            <w:r w:rsidR="009A3D7E" w:rsidRPr="00166700">
              <w:rPr>
                <w:rFonts w:eastAsia="Times New Roman"/>
                <w:bCs/>
                <w:color w:val="000000" w:themeColor="text1"/>
                <w:szCs w:val="24"/>
              </w:rPr>
              <w:t>„</w:t>
            </w:r>
            <w:r w:rsidRPr="005033A4">
              <w:rPr>
                <w:rFonts w:eastAsia="Times New Roman"/>
                <w:bCs/>
                <w:i/>
                <w:iCs/>
                <w:color w:val="000000" w:themeColor="text1"/>
                <w:szCs w:val="24"/>
              </w:rPr>
              <w:t>Jesenski paket mjera za zaštitu građana i poduzetnika“ vrijedan</w:t>
            </w:r>
            <w:r w:rsidRPr="00166700">
              <w:rPr>
                <w:rFonts w:eastAsia="Times New Roman"/>
                <w:bCs/>
                <w:color w:val="000000" w:themeColor="text1"/>
                <w:szCs w:val="24"/>
              </w:rPr>
              <w:t xml:space="preserve"> 2,78 milijardi eura (21 milijardu kuna</w:t>
            </w:r>
            <w:r w:rsidRPr="00166700">
              <w:rPr>
                <w:szCs w:val="24"/>
              </w:rPr>
              <w:t>).</w:t>
            </w:r>
          </w:p>
          <w:p w14:paraId="427572B3" w14:textId="77777777" w:rsidR="00221CF8" w:rsidRPr="0017133E" w:rsidRDefault="00221CF8" w:rsidP="00344BB8">
            <w:pPr>
              <w:pStyle w:val="Bodytext10"/>
              <w:ind w:firstLine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CC30C" w14:textId="6E975210" w:rsidR="00DA4A48" w:rsidRDefault="00344BB8" w:rsidP="00AA4A7A">
            <w:pPr>
              <w:pStyle w:val="Bodytext1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33E">
              <w:rPr>
                <w:rFonts w:ascii="Times New Roman" w:hAnsi="Times New Roman" w:cs="Times New Roman"/>
                <w:sz w:val="24"/>
                <w:szCs w:val="24"/>
              </w:rPr>
              <w:t>Jesenski paket mjera donio je ublažavanje rasta cijena energije za kućanstva, javni, neprofitni sektor i poduzetnike i ograničio cijene osnovnih prehrambenih namirnica – pojeftinjenje košarice za 30%. Taj paket mjera je donesen kako bi se građanima osigurala „topla zima“, a ugroženim</w:t>
            </w:r>
            <w:r w:rsidRPr="001713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poduzetnicima nastavak poslovanja. Pored navedenoga, Jesenskim paketom </w:t>
            </w:r>
            <w:r w:rsidR="00A433CF">
              <w:rPr>
                <w:rFonts w:ascii="Times New Roman" w:hAnsi="Times New Roman" w:cs="Times New Roman"/>
                <w:bCs/>
                <w:sz w:val="24"/>
                <w:szCs w:val="24"/>
              </w:rPr>
              <w:t>mjera</w:t>
            </w:r>
            <w:r w:rsidR="005033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za </w:t>
            </w:r>
            <w:r w:rsidR="005033A4" w:rsidRPr="005033A4">
              <w:rPr>
                <w:rFonts w:ascii="Times New Roman" w:hAnsi="Times New Roman" w:cs="Times New Roman"/>
                <w:bCs/>
                <w:sz w:val="24"/>
                <w:szCs w:val="24"/>
              </w:rPr>
              <w:t>zaštitu građana i poduzetnika</w:t>
            </w:r>
            <w:r w:rsidR="00A433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7133E">
              <w:rPr>
                <w:rFonts w:ascii="Times New Roman" w:hAnsi="Times New Roman" w:cs="Times New Roman"/>
                <w:bCs/>
                <w:sz w:val="24"/>
                <w:szCs w:val="24"/>
              </w:rPr>
              <w:t>povećan je iznos i broj korisnika socijalnih naknada, osigurana je jednokratna naknada za umirovljenike i nezaposlene. Osigurana je isplata posebnog novčanog primanja za korisnike dječjeg doplatka, kao i potpore studentima, poljoprivrednicima i ribarima te potpore javnom prijevozu putnika, uz porezne olakšice za zaposlene. Također su donesene mjere za poticanje zelene tranzicije, energetske učinkovitosti, izgradnje sunčanih elektrana te mjere HBOR-a putem kredita i jamstava za poduzetnike i drugo.</w:t>
            </w:r>
            <w:r w:rsidR="007C5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FD19D5" w14:textId="77777777" w:rsidR="00AA4A7A" w:rsidRDefault="00AA4A7A" w:rsidP="00AA4A7A">
            <w:pPr>
              <w:pStyle w:val="Bodytext1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3C928" w14:textId="716FC37A" w:rsidR="00221CF8" w:rsidRPr="006B1D37" w:rsidRDefault="00344BB8" w:rsidP="00221CF8">
            <w:pPr>
              <w:jc w:val="both"/>
              <w:rPr>
                <w:b/>
              </w:rPr>
            </w:pPr>
            <w:r w:rsidRPr="0017133E">
              <w:rPr>
                <w:szCs w:val="24"/>
              </w:rPr>
              <w:t xml:space="preserve">Međutim, </w:t>
            </w:r>
            <w:r w:rsidR="00DA4A48">
              <w:rPr>
                <w:szCs w:val="24"/>
              </w:rPr>
              <w:t>osim</w:t>
            </w:r>
            <w:r w:rsidRPr="0017133E">
              <w:rPr>
                <w:szCs w:val="24"/>
              </w:rPr>
              <w:t xml:space="preserve"> toga </w:t>
            </w:r>
            <w:r w:rsidR="00DA4A48">
              <w:rPr>
                <w:szCs w:val="24"/>
              </w:rPr>
              <w:t xml:space="preserve">što </w:t>
            </w:r>
            <w:r w:rsidR="00851B4E">
              <w:rPr>
                <w:szCs w:val="24"/>
              </w:rPr>
              <w:t xml:space="preserve">je </w:t>
            </w:r>
            <w:r w:rsidR="00DA4A48">
              <w:rPr>
                <w:szCs w:val="24"/>
              </w:rPr>
              <w:t xml:space="preserve">uočeno kako određene skupine </w:t>
            </w:r>
            <w:r w:rsidRPr="0017133E">
              <w:rPr>
                <w:szCs w:val="24"/>
              </w:rPr>
              <w:t>građan</w:t>
            </w:r>
            <w:r w:rsidR="00DA4A48">
              <w:rPr>
                <w:szCs w:val="24"/>
              </w:rPr>
              <w:t>a</w:t>
            </w:r>
            <w:r w:rsidRPr="0017133E">
              <w:rPr>
                <w:szCs w:val="24"/>
              </w:rPr>
              <w:t xml:space="preserve"> i poduzetnici trebaju snažnu i brzu pomoć države kako bi prevlada</w:t>
            </w:r>
            <w:r w:rsidR="009A3D7E">
              <w:rPr>
                <w:szCs w:val="24"/>
              </w:rPr>
              <w:t>li</w:t>
            </w:r>
            <w:r w:rsidRPr="0017133E">
              <w:rPr>
                <w:szCs w:val="24"/>
              </w:rPr>
              <w:t xml:space="preserve"> teret negativnih okolnosti, uočeno je kako unatoč negativnim okolnostima neki poduzetnici i u takvim uvjetima ostvaruju povećanu dobit</w:t>
            </w:r>
            <w:r w:rsidRPr="0017133E">
              <w:rPr>
                <w:color w:val="000000" w:themeColor="text1"/>
                <w:szCs w:val="24"/>
              </w:rPr>
              <w:t xml:space="preserve">, veću od očekivane. </w:t>
            </w:r>
            <w:r w:rsidR="00221CF8">
              <w:rPr>
                <w:bCs/>
              </w:rPr>
              <w:t>Tako je u sklopu Jesenskog paketa mjera</w:t>
            </w:r>
            <w:r w:rsidR="005033A4">
              <w:t xml:space="preserve"> za </w:t>
            </w:r>
            <w:r w:rsidR="005033A4" w:rsidRPr="005033A4">
              <w:rPr>
                <w:bCs/>
              </w:rPr>
              <w:t xml:space="preserve">zaštitu građana i </w:t>
            </w:r>
            <w:r w:rsidR="005033A4" w:rsidRPr="005033A4">
              <w:rPr>
                <w:bCs/>
              </w:rPr>
              <w:lastRenderedPageBreak/>
              <w:t>poduzetnika</w:t>
            </w:r>
            <w:r w:rsidR="00221CF8">
              <w:rPr>
                <w:bCs/>
              </w:rPr>
              <w:t xml:space="preserve"> 202</w:t>
            </w:r>
            <w:r w:rsidR="00BB2AA6">
              <w:rPr>
                <w:bCs/>
              </w:rPr>
              <w:t>2. godine,</w:t>
            </w:r>
            <w:r w:rsidR="00221CF8">
              <w:rPr>
                <w:bCs/>
              </w:rPr>
              <w:t xml:space="preserve"> </w:t>
            </w:r>
            <w:r w:rsidR="00221CF8" w:rsidRPr="00376908">
              <w:rPr>
                <w:bCs/>
              </w:rPr>
              <w:t>uz ostale mjere, obveznicima poreza na dobit koji</w:t>
            </w:r>
            <w:r w:rsidR="00510869">
              <w:rPr>
                <w:bCs/>
              </w:rPr>
              <w:t xml:space="preserve"> su</w:t>
            </w:r>
            <w:r w:rsidR="00221CF8" w:rsidRPr="00376908">
              <w:rPr>
                <w:bCs/>
              </w:rPr>
              <w:t xml:space="preserve"> </w:t>
            </w:r>
            <w:r w:rsidR="00221CF8" w:rsidRPr="00786B6E">
              <w:rPr>
                <w:bCs/>
              </w:rPr>
              <w:t>unatoč gospodarskim poremećajima i energetskoj krizi ostvar</w:t>
            </w:r>
            <w:r w:rsidR="00510869">
              <w:rPr>
                <w:bCs/>
              </w:rPr>
              <w:t>ili</w:t>
            </w:r>
            <w:r w:rsidR="00221CF8" w:rsidRPr="00786B6E">
              <w:rPr>
                <w:bCs/>
              </w:rPr>
              <w:t xml:space="preserve"> povećanu dobit neovisno o tome koju djelatnost </w:t>
            </w:r>
            <w:r w:rsidR="00510869">
              <w:rPr>
                <w:bCs/>
              </w:rPr>
              <w:t xml:space="preserve">su </w:t>
            </w:r>
            <w:r w:rsidR="00221CF8" w:rsidRPr="00786B6E">
              <w:rPr>
                <w:bCs/>
              </w:rPr>
              <w:t>obavlja</w:t>
            </w:r>
            <w:r w:rsidR="00510869">
              <w:rPr>
                <w:bCs/>
              </w:rPr>
              <w:t>li</w:t>
            </w:r>
            <w:r w:rsidR="00221CF8" w:rsidRPr="00786B6E">
              <w:rPr>
                <w:bCs/>
              </w:rPr>
              <w:t>, određena izvanredna, jednokratna solidarna mjera odnosno obveza plaćanja dodatnog poreza na dobit.</w:t>
            </w:r>
          </w:p>
          <w:p w14:paraId="3CD99102" w14:textId="77777777" w:rsidR="00221CF8" w:rsidRDefault="00221CF8" w:rsidP="00851B4E">
            <w:pPr>
              <w:contextualSpacing/>
              <w:jc w:val="both"/>
              <w:rPr>
                <w:szCs w:val="24"/>
              </w:rPr>
            </w:pPr>
          </w:p>
          <w:p w14:paraId="01B28FDC" w14:textId="47D86FA0" w:rsidR="00FA3DC9" w:rsidRDefault="0022020B" w:rsidP="006F60D4">
            <w:pPr>
              <w:contextualSpacing/>
              <w:jc w:val="both"/>
              <w:rPr>
                <w:i/>
                <w:iCs/>
                <w:szCs w:val="24"/>
              </w:rPr>
            </w:pPr>
            <w:r w:rsidRPr="0017133E">
              <w:rPr>
                <w:szCs w:val="24"/>
              </w:rPr>
              <w:t>Taj porez je uveden putem Zakona</w:t>
            </w:r>
            <w:r w:rsidR="00A91DAE">
              <w:rPr>
                <w:szCs w:val="24"/>
              </w:rPr>
              <w:t xml:space="preserve"> </w:t>
            </w:r>
            <w:r w:rsidR="00FB1A2E">
              <w:rPr>
                <w:szCs w:val="24"/>
              </w:rPr>
              <w:t>o dodatnom porezu na dobit</w:t>
            </w:r>
            <w:r w:rsidR="008C3B31">
              <w:rPr>
                <w:szCs w:val="24"/>
              </w:rPr>
              <w:t xml:space="preserve"> (dalje: Zakon)</w:t>
            </w:r>
            <w:r w:rsidR="00FB1A2E">
              <w:rPr>
                <w:szCs w:val="24"/>
              </w:rPr>
              <w:t>.</w:t>
            </w:r>
            <w:r w:rsidRPr="0017133E">
              <w:rPr>
                <w:szCs w:val="24"/>
              </w:rPr>
              <w:t xml:space="preserve"> </w:t>
            </w:r>
            <w:r w:rsidR="00851B4E">
              <w:rPr>
                <w:szCs w:val="24"/>
              </w:rPr>
              <w:t>U članku</w:t>
            </w:r>
            <w:r w:rsidR="00851B4E" w:rsidRPr="0017133E">
              <w:rPr>
                <w:szCs w:val="24"/>
              </w:rPr>
              <w:t xml:space="preserve"> 1. Zakona navodi se</w:t>
            </w:r>
            <w:r w:rsidR="005033A4">
              <w:rPr>
                <w:szCs w:val="24"/>
              </w:rPr>
              <w:t>:</w:t>
            </w:r>
            <w:r w:rsidR="00510869">
              <w:rPr>
                <w:szCs w:val="24"/>
              </w:rPr>
              <w:t xml:space="preserve"> </w:t>
            </w:r>
            <w:r w:rsidR="005033A4">
              <w:rPr>
                <w:szCs w:val="24"/>
              </w:rPr>
              <w:t>„</w:t>
            </w:r>
            <w:r w:rsidR="005033A4">
              <w:rPr>
                <w:i/>
                <w:iCs/>
                <w:szCs w:val="24"/>
              </w:rPr>
              <w:t>D</w:t>
            </w:r>
            <w:r w:rsidR="00851B4E" w:rsidRPr="0017133E">
              <w:rPr>
                <w:i/>
                <w:iCs/>
                <w:szCs w:val="24"/>
              </w:rPr>
              <w:t xml:space="preserve">odatni porez na dobit utvrđuje </w:t>
            </w:r>
            <w:r w:rsidR="005033A4">
              <w:rPr>
                <w:i/>
                <w:iCs/>
                <w:szCs w:val="24"/>
              </w:rPr>
              <w:t xml:space="preserve">se </w:t>
            </w:r>
            <w:r w:rsidR="00851B4E" w:rsidRPr="0017133E">
              <w:rPr>
                <w:i/>
                <w:iCs/>
                <w:szCs w:val="24"/>
              </w:rPr>
              <w:t>i plaća u uvjetima nepovoljnih gospodarskih okolnosti</w:t>
            </w:r>
            <w:r w:rsidR="00851B4E" w:rsidRPr="0017133E">
              <w:rPr>
                <w:b/>
                <w:bCs/>
                <w:i/>
                <w:iCs/>
                <w:szCs w:val="24"/>
              </w:rPr>
              <w:t xml:space="preserve"> </w:t>
            </w:r>
            <w:r w:rsidR="00851B4E" w:rsidRPr="0017133E">
              <w:rPr>
                <w:i/>
                <w:iCs/>
                <w:szCs w:val="24"/>
              </w:rPr>
              <w:t>u Republici Hrvatskoj u skladu s odredbama ovoga Zakona na načelima pravednosti, jednakosti i razmjernosti prema kojima je svatko dužan sudjelovati u podmirenju javnih troškova u skladu sa svojim gospodarskim mogućnostima</w:t>
            </w:r>
            <w:r w:rsidR="005033A4">
              <w:rPr>
                <w:i/>
                <w:iCs/>
                <w:szCs w:val="24"/>
              </w:rPr>
              <w:t>.“</w:t>
            </w:r>
            <w:r w:rsidR="00510869">
              <w:rPr>
                <w:i/>
                <w:iCs/>
                <w:szCs w:val="24"/>
              </w:rPr>
              <w:t>.</w:t>
            </w:r>
            <w:r w:rsidR="00851B4E" w:rsidRPr="0017133E">
              <w:rPr>
                <w:i/>
                <w:iCs/>
                <w:szCs w:val="24"/>
              </w:rPr>
              <w:t xml:space="preserve"> </w:t>
            </w:r>
          </w:p>
          <w:p w14:paraId="6C1431E5" w14:textId="77777777" w:rsidR="00BB2AA6" w:rsidRPr="00BB2AA6" w:rsidRDefault="00BB2AA6" w:rsidP="006F60D4">
            <w:pPr>
              <w:contextualSpacing/>
              <w:jc w:val="both"/>
              <w:rPr>
                <w:i/>
                <w:iCs/>
                <w:szCs w:val="24"/>
              </w:rPr>
            </w:pPr>
          </w:p>
          <w:p w14:paraId="296FEF33" w14:textId="62E0097A" w:rsidR="00344BB8" w:rsidRPr="00FB1A2E" w:rsidRDefault="00851B4E" w:rsidP="00BB2AA6">
            <w:pPr>
              <w:contextualSpacing/>
              <w:jc w:val="both"/>
              <w:rPr>
                <w:i/>
                <w:iCs/>
                <w:color w:val="231F20"/>
                <w:shd w:val="clear" w:color="auto" w:fill="FFFFFF"/>
              </w:rPr>
            </w:pPr>
            <w:r w:rsidRPr="00FB1A2E">
              <w:rPr>
                <w:szCs w:val="24"/>
              </w:rPr>
              <w:t xml:space="preserve">Ta jednokratna izvanredna mjera </w:t>
            </w:r>
            <w:r w:rsidR="00344BB8" w:rsidRPr="00FB1A2E">
              <w:rPr>
                <w:szCs w:val="24"/>
              </w:rPr>
              <w:t>poveć</w:t>
            </w:r>
            <w:r w:rsidR="006B1D37" w:rsidRPr="00FB1A2E">
              <w:rPr>
                <w:szCs w:val="24"/>
              </w:rPr>
              <w:t>ala</w:t>
            </w:r>
            <w:r w:rsidR="00344BB8" w:rsidRPr="00FB1A2E">
              <w:rPr>
                <w:szCs w:val="24"/>
              </w:rPr>
              <w:t xml:space="preserve"> </w:t>
            </w:r>
            <w:r w:rsidRPr="00FB1A2E">
              <w:rPr>
                <w:szCs w:val="24"/>
              </w:rPr>
              <w:t xml:space="preserve">je </w:t>
            </w:r>
            <w:r w:rsidR="00344BB8" w:rsidRPr="00FB1A2E">
              <w:rPr>
                <w:szCs w:val="24"/>
              </w:rPr>
              <w:t>mogućnost države u kreiranju novih paketa mjera pomoći građanima u potrebi</w:t>
            </w:r>
            <w:r w:rsidRPr="00FB1A2E">
              <w:rPr>
                <w:szCs w:val="24"/>
              </w:rPr>
              <w:t>. U članku</w:t>
            </w:r>
            <w:r w:rsidR="00344BB8" w:rsidRPr="00FB1A2E">
              <w:rPr>
                <w:szCs w:val="24"/>
              </w:rPr>
              <w:t xml:space="preserve"> </w:t>
            </w:r>
            <w:r w:rsidR="00BB2AA6" w:rsidRPr="00FB1A2E">
              <w:rPr>
                <w:szCs w:val="24"/>
              </w:rPr>
              <w:t>3. stavku 2</w:t>
            </w:r>
            <w:r w:rsidR="00344BB8" w:rsidRPr="00FB1A2E">
              <w:rPr>
                <w:szCs w:val="24"/>
              </w:rPr>
              <w:t>. Zakona navodi</w:t>
            </w:r>
            <w:r w:rsidR="00BB2AA6" w:rsidRPr="00FB1A2E">
              <w:rPr>
                <w:szCs w:val="24"/>
              </w:rPr>
              <w:t xml:space="preserve"> se:</w:t>
            </w:r>
            <w:r w:rsidR="00BB2AA6" w:rsidRPr="00FB1A2E">
              <w:rPr>
                <w:i/>
                <w:iCs/>
                <w:szCs w:val="24"/>
              </w:rPr>
              <w:t xml:space="preserve"> </w:t>
            </w:r>
            <w:r w:rsidR="005033A4">
              <w:rPr>
                <w:i/>
                <w:iCs/>
                <w:szCs w:val="24"/>
              </w:rPr>
              <w:t>„</w:t>
            </w:r>
            <w:r w:rsidR="00BB2AA6" w:rsidRPr="00FB1A2E">
              <w:rPr>
                <w:i/>
                <w:iCs/>
                <w:color w:val="231F20"/>
                <w:shd w:val="clear" w:color="auto" w:fill="FFFFFF"/>
              </w:rPr>
              <w:t>Iznos prikupljen od dodatnog poreza na dobit, sukladno ovom Zakonu, bit će u cijelosti usmjeren na mjere pomoći za socijalno ugrožene građane, uključujući umirovljenike i druge ranjive skupine u društvu.</w:t>
            </w:r>
            <w:r w:rsidR="005033A4">
              <w:rPr>
                <w:i/>
                <w:iCs/>
                <w:color w:val="231F20"/>
                <w:shd w:val="clear" w:color="auto" w:fill="FFFFFF"/>
              </w:rPr>
              <w:t>“</w:t>
            </w:r>
            <w:r w:rsidR="00510869">
              <w:rPr>
                <w:i/>
                <w:iCs/>
                <w:color w:val="231F20"/>
                <w:shd w:val="clear" w:color="auto" w:fill="FFFFFF"/>
              </w:rPr>
              <w:t>.</w:t>
            </w:r>
          </w:p>
          <w:p w14:paraId="578F98D9" w14:textId="77777777" w:rsidR="00EE7DB7" w:rsidRPr="00FB1A2E" w:rsidRDefault="00EE7DB7" w:rsidP="00BB2AA6">
            <w:pPr>
              <w:contextualSpacing/>
              <w:jc w:val="both"/>
              <w:rPr>
                <w:i/>
                <w:iCs/>
                <w:color w:val="231F20"/>
                <w:shd w:val="clear" w:color="auto" w:fill="FFFFFF"/>
              </w:rPr>
            </w:pPr>
          </w:p>
          <w:p w14:paraId="2A524DB3" w14:textId="42C81D4B" w:rsidR="00EE7DB7" w:rsidRPr="0017133E" w:rsidRDefault="00EE7DB7" w:rsidP="00EE7DB7">
            <w:pPr>
              <w:pStyle w:val="Bodytext10"/>
              <w:spacing w:after="0" w:line="240" w:lineRule="auto"/>
              <w:contextualSpacing/>
              <w:jc w:val="both"/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</w:pPr>
            <w:r w:rsidRPr="0017133E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 xml:space="preserve">Prema </w:t>
            </w:r>
            <w:r w:rsidR="00FB1A2E" w:rsidRPr="00BA55EE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tom</w:t>
            </w:r>
            <w:r w:rsidRPr="00BA55EE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 xml:space="preserve"> Zakonu obveznici dodatnog poreza na dobit</w:t>
            </w:r>
            <w:r w:rsidR="00FB1A2E" w:rsidRPr="00BA55EE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 xml:space="preserve"> za porezno razdoblje 2022. </w:t>
            </w:r>
            <w:r w:rsidRPr="00BA55EE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su</w:t>
            </w:r>
            <w:r w:rsidR="00166700" w:rsidRPr="00BA55EE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 xml:space="preserve"> bili </w:t>
            </w:r>
            <w:r w:rsidRPr="00BA55EE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6700" w:rsidRPr="00BA55EE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 xml:space="preserve">obveznici </w:t>
            </w:r>
            <w:r w:rsidRPr="00BA55EE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 xml:space="preserve">poreza na dobit utvrđeni u skladu s posebnim propisom o oporezivanju dobiti, koji </w:t>
            </w:r>
            <w:r w:rsidR="00166700" w:rsidRPr="00BA55EE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 xml:space="preserve">su </w:t>
            </w:r>
            <w:r w:rsidRPr="00BA55EE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nakon završetka poreznog razdoblja iz 2022. godine ispu</w:t>
            </w:r>
            <w:r w:rsidR="00166700" w:rsidRPr="00BA55EE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nili</w:t>
            </w:r>
            <w:r w:rsidRPr="00BA55EE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 xml:space="preserve"> dva uvjeta: </w:t>
            </w:r>
          </w:p>
          <w:p w14:paraId="327B9C6D" w14:textId="77777777" w:rsidR="00EE7DB7" w:rsidRPr="0017133E" w:rsidRDefault="00EE7DB7" w:rsidP="00EE7DB7">
            <w:pPr>
              <w:pStyle w:val="Bodytext10"/>
              <w:spacing w:after="0" w:line="240" w:lineRule="auto"/>
              <w:contextualSpacing/>
              <w:jc w:val="both"/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</w:pPr>
          </w:p>
          <w:p w14:paraId="4B2CD79D" w14:textId="3F510F9A" w:rsidR="00EE7DB7" w:rsidRPr="00BA55EE" w:rsidRDefault="00EE7DB7" w:rsidP="00EE7DB7">
            <w:pPr>
              <w:pStyle w:val="Bodytext10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</w:pPr>
            <w:r w:rsidRPr="00BA55EE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ostvar</w:t>
            </w:r>
            <w:r w:rsidR="00166700" w:rsidRPr="00BA55EE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ili</w:t>
            </w:r>
            <w:r w:rsidRPr="00BA55EE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 xml:space="preserve"> prihode veće od 300.000.000,00 kuna</w:t>
            </w:r>
            <w:r w:rsidR="00BA55EE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 xml:space="preserve"> (39,81 milijuna eura)</w:t>
            </w:r>
            <w:r w:rsidRPr="00BA55EE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. Izabrani kriterij prihoda je</w:t>
            </w:r>
            <w:r w:rsidR="00166700" w:rsidRPr="00BA55EE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 xml:space="preserve"> bio</w:t>
            </w:r>
            <w:r w:rsidRPr="00BA55EE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 xml:space="preserve"> jedan od kriterija iz Zakona o računovodstvu (Narodne novine, br. 78/15., 134/15., 120/16., 116/18., 42/20., 47/20. i 114/22.) koji </w:t>
            </w:r>
            <w:r w:rsidR="005033A4" w:rsidRPr="00BA55EE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 xml:space="preserve">je </w:t>
            </w:r>
            <w:r w:rsidRPr="00BA55EE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poduzetnike odnosno obveznike poreza na dobit razvrstava</w:t>
            </w:r>
            <w:r w:rsidR="00166700" w:rsidRPr="00BA55EE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o</w:t>
            </w:r>
            <w:r w:rsidRPr="00BA55EE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 xml:space="preserve"> u velike poduzetnike. </w:t>
            </w:r>
          </w:p>
          <w:p w14:paraId="12588FF5" w14:textId="77777777" w:rsidR="00EE7DB7" w:rsidRPr="0017133E" w:rsidRDefault="00EE7DB7" w:rsidP="00EE7DB7">
            <w:pPr>
              <w:pStyle w:val="Bodytext10"/>
              <w:spacing w:after="0" w:line="240" w:lineRule="auto"/>
              <w:ind w:left="1080"/>
              <w:contextualSpacing/>
              <w:jc w:val="both"/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</w:pPr>
          </w:p>
          <w:p w14:paraId="6A976F63" w14:textId="6FF60D50" w:rsidR="00EE7DB7" w:rsidRPr="0017133E" w:rsidRDefault="00EE7DB7" w:rsidP="00EE7DB7">
            <w:pPr>
              <w:pStyle w:val="Bodytext10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</w:pPr>
            <w:r w:rsidRPr="0017133E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utvrd</w:t>
            </w:r>
            <w:r w:rsidR="00166700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ili</w:t>
            </w:r>
            <w:r w:rsidRPr="0017133E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 xml:space="preserve"> oporezivu dobit za 2022. godinu u iznosu većem za 20% u odnosu na prosjek oporezive dobiti iz četiri prethodna porezna razdoblja. Prethodna porezna razdoblja </w:t>
            </w:r>
            <w:r w:rsidR="00166700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>su ona</w:t>
            </w:r>
            <w:r w:rsidRPr="0017133E">
              <w:rPr>
                <w:rStyle w:val="Bodytext1"/>
                <w:rFonts w:ascii="Times New Roman" w:hAnsi="Times New Roman" w:cs="Times New Roman"/>
                <w:sz w:val="24"/>
                <w:szCs w:val="24"/>
              </w:rPr>
              <w:t xml:space="preserve"> od 1. siječnja 2018.</w:t>
            </w:r>
          </w:p>
          <w:p w14:paraId="650FCDAD" w14:textId="77777777" w:rsidR="00EE7DB7" w:rsidRPr="00BB2AA6" w:rsidRDefault="00EE7DB7" w:rsidP="00BB2AA6">
            <w:pPr>
              <w:contextualSpacing/>
              <w:jc w:val="both"/>
              <w:rPr>
                <w:rFonts w:ascii="Minion Pro Cond" w:hAnsi="Minion Pro Cond"/>
                <w:i/>
                <w:iCs/>
                <w:color w:val="231F20"/>
                <w:shd w:val="clear" w:color="auto" w:fill="FFFFFF"/>
              </w:rPr>
            </w:pPr>
          </w:p>
          <w:p w14:paraId="253DFB5E" w14:textId="35D90001" w:rsidR="00EE7DB7" w:rsidRDefault="00EE7DB7" w:rsidP="00EE7DB7">
            <w:pPr>
              <w:jc w:val="both"/>
              <w:rPr>
                <w:szCs w:val="24"/>
              </w:rPr>
            </w:pPr>
            <w:r w:rsidRPr="00140E2C">
              <w:rPr>
                <w:szCs w:val="24"/>
              </w:rPr>
              <w:t>Zakon</w:t>
            </w:r>
            <w:r w:rsidR="00FB1A2E">
              <w:rPr>
                <w:szCs w:val="24"/>
              </w:rPr>
              <w:t>om</w:t>
            </w:r>
            <w:r w:rsidRPr="00140E2C">
              <w:rPr>
                <w:szCs w:val="24"/>
              </w:rPr>
              <w:t xml:space="preserve"> je propisano </w:t>
            </w:r>
            <w:r w:rsidRPr="00FB1A2E">
              <w:rPr>
                <w:szCs w:val="24"/>
              </w:rPr>
              <w:t>kako je dodatn</w:t>
            </w:r>
            <w:r w:rsidR="00FB1A2E" w:rsidRPr="00FB1A2E">
              <w:rPr>
                <w:szCs w:val="24"/>
              </w:rPr>
              <w:t>i</w:t>
            </w:r>
            <w:r w:rsidRPr="00140E2C">
              <w:rPr>
                <w:szCs w:val="24"/>
              </w:rPr>
              <w:t xml:space="preserve"> porez na dobit prihod državnog proračuna, ali i kako se iznos prikupljen od dodatnog </w:t>
            </w:r>
            <w:r w:rsidRPr="00BA55EE">
              <w:rPr>
                <w:szCs w:val="24"/>
              </w:rPr>
              <w:t>poreza na dobit u cijelosti usmj</w:t>
            </w:r>
            <w:r w:rsidR="00A03CEC" w:rsidRPr="00BA55EE">
              <w:rPr>
                <w:szCs w:val="24"/>
              </w:rPr>
              <w:t>erava</w:t>
            </w:r>
            <w:r w:rsidRPr="00BA55EE">
              <w:rPr>
                <w:szCs w:val="24"/>
              </w:rPr>
              <w:t xml:space="preserve"> na mjere pomoći za socijalno ugrožene građane, uključujući umirovljenike i druge ranjive skupine u društvu. Dodatni porez na dobit prema Zakonu obračun</w:t>
            </w:r>
            <w:r w:rsidR="001F698C" w:rsidRPr="00BA55EE">
              <w:rPr>
                <w:szCs w:val="24"/>
              </w:rPr>
              <w:t>avao se</w:t>
            </w:r>
            <w:r w:rsidRPr="00BA55EE">
              <w:rPr>
                <w:szCs w:val="24"/>
              </w:rPr>
              <w:t xml:space="preserve"> i plaća</w:t>
            </w:r>
            <w:r w:rsidR="00A03CEC" w:rsidRPr="00BA55EE">
              <w:rPr>
                <w:szCs w:val="24"/>
              </w:rPr>
              <w:t>o</w:t>
            </w:r>
            <w:r w:rsidRPr="00BA55EE">
              <w:rPr>
                <w:szCs w:val="24"/>
              </w:rPr>
              <w:t xml:space="preserve"> na utvrđenu poreznu osnovicu samo za jedno porezno razdoblje i to započeto od 1. siječnja 2022</w:t>
            </w:r>
            <w:r w:rsidR="00517D73" w:rsidRPr="00BA55EE">
              <w:rPr>
                <w:szCs w:val="24"/>
              </w:rPr>
              <w:t>. godine</w:t>
            </w:r>
            <w:r w:rsidR="00517D73">
              <w:rPr>
                <w:szCs w:val="24"/>
              </w:rPr>
              <w:t>,</w:t>
            </w:r>
            <w:r w:rsidRPr="0017133E">
              <w:rPr>
                <w:szCs w:val="24"/>
              </w:rPr>
              <w:t xml:space="preserve"> </w:t>
            </w:r>
            <w:r w:rsidR="008C3B31">
              <w:rPr>
                <w:szCs w:val="24"/>
              </w:rPr>
              <w:t>primjenom porezne stope</w:t>
            </w:r>
            <w:r w:rsidRPr="0017133E">
              <w:rPr>
                <w:szCs w:val="24"/>
              </w:rPr>
              <w:t xml:space="preserve"> od 33%. </w:t>
            </w:r>
          </w:p>
          <w:p w14:paraId="0042B65D" w14:textId="33A6129D" w:rsidR="00A572CD" w:rsidRPr="00322F6D" w:rsidRDefault="00A572CD" w:rsidP="00A572CD">
            <w:pPr>
              <w:jc w:val="both"/>
              <w:rPr>
                <w:szCs w:val="24"/>
              </w:rPr>
            </w:pPr>
            <w:r w:rsidRPr="00322F6D">
              <w:rPr>
                <w:szCs w:val="24"/>
              </w:rPr>
              <w:t>Cilj i svrha Zakona je</w:t>
            </w:r>
            <w:r w:rsidR="00517D73">
              <w:rPr>
                <w:szCs w:val="24"/>
              </w:rPr>
              <w:t xml:space="preserve"> bila</w:t>
            </w:r>
            <w:r w:rsidRPr="00322F6D">
              <w:rPr>
                <w:szCs w:val="24"/>
              </w:rPr>
              <w:t xml:space="preserve"> provedba jednokratne mjere naplate poreza s točno određenom solidarnom svrhom</w:t>
            </w:r>
            <w:r>
              <w:rPr>
                <w:szCs w:val="24"/>
              </w:rPr>
              <w:t>,</w:t>
            </w:r>
            <w:r w:rsidRPr="00322F6D">
              <w:rPr>
                <w:szCs w:val="24"/>
              </w:rPr>
              <w:t xml:space="preserve"> </w:t>
            </w:r>
            <w:r w:rsidR="0034008C">
              <w:rPr>
                <w:szCs w:val="24"/>
              </w:rPr>
              <w:t xml:space="preserve">a </w:t>
            </w:r>
            <w:r w:rsidRPr="00322F6D">
              <w:rPr>
                <w:szCs w:val="24"/>
              </w:rPr>
              <w:t>donesen</w:t>
            </w:r>
            <w:r w:rsidR="001F698C">
              <w:rPr>
                <w:szCs w:val="24"/>
              </w:rPr>
              <w:t xml:space="preserve"> je</w:t>
            </w:r>
            <w:r w:rsidRPr="00322F6D">
              <w:rPr>
                <w:szCs w:val="24"/>
              </w:rPr>
              <w:t xml:space="preserve"> i proveden u sklopu </w:t>
            </w:r>
            <w:r>
              <w:rPr>
                <w:szCs w:val="24"/>
              </w:rPr>
              <w:t>p</w:t>
            </w:r>
            <w:r w:rsidRPr="00322F6D">
              <w:rPr>
                <w:szCs w:val="24"/>
              </w:rPr>
              <w:t>a</w:t>
            </w:r>
            <w:r w:rsidR="00204879">
              <w:rPr>
                <w:szCs w:val="24"/>
              </w:rPr>
              <w:t>keta</w:t>
            </w:r>
            <w:r w:rsidRPr="00322F6D">
              <w:rPr>
                <w:szCs w:val="24"/>
              </w:rPr>
              <w:t xml:space="preserve"> pomoći građanima i poduzetn</w:t>
            </w:r>
            <w:r w:rsidR="00A03CEC">
              <w:rPr>
                <w:szCs w:val="24"/>
              </w:rPr>
              <w:t>icima.</w:t>
            </w:r>
          </w:p>
          <w:p w14:paraId="5D111EEB" w14:textId="77777777" w:rsidR="00BB2AA6" w:rsidRPr="00BB2AA6" w:rsidRDefault="00BB2AA6" w:rsidP="00BB2AA6">
            <w:pPr>
              <w:contextualSpacing/>
              <w:jc w:val="both"/>
              <w:rPr>
                <w:i/>
                <w:iCs/>
                <w:szCs w:val="24"/>
              </w:rPr>
            </w:pPr>
          </w:p>
          <w:p w14:paraId="5B8DA3B3" w14:textId="1A767067" w:rsidR="00937439" w:rsidRPr="00517D73" w:rsidRDefault="00A572CD" w:rsidP="00937439">
            <w:pPr>
              <w:jc w:val="both"/>
              <w:rPr>
                <w:i/>
                <w:iCs/>
                <w:szCs w:val="24"/>
              </w:rPr>
            </w:pPr>
            <w:r>
              <w:rPr>
                <w:rFonts w:eastAsiaTheme="minorHAnsi"/>
                <w:szCs w:val="24"/>
              </w:rPr>
              <w:t>Nadalje, e</w:t>
            </w:r>
            <w:r w:rsidR="00497EB9" w:rsidRPr="0017133E">
              <w:rPr>
                <w:rFonts w:eastAsiaTheme="minorHAnsi"/>
                <w:szCs w:val="24"/>
              </w:rPr>
              <w:t>nergetska kriza negativno je utjecala na sve države članice Europske unije, iako u različitoj mjeri. Veliko povećanje cijena energije znatno</w:t>
            </w:r>
            <w:r w:rsidR="00E51858" w:rsidRPr="0017133E">
              <w:rPr>
                <w:rFonts w:eastAsiaTheme="minorHAnsi"/>
                <w:szCs w:val="24"/>
              </w:rPr>
              <w:t xml:space="preserve"> je</w:t>
            </w:r>
            <w:r w:rsidR="00497EB9" w:rsidRPr="0017133E">
              <w:rPr>
                <w:rFonts w:eastAsiaTheme="minorHAnsi"/>
                <w:szCs w:val="24"/>
              </w:rPr>
              <w:t xml:space="preserve"> doprin</w:t>
            </w:r>
            <w:r w:rsidR="00E51858" w:rsidRPr="0017133E">
              <w:rPr>
                <w:rFonts w:eastAsiaTheme="minorHAnsi"/>
                <w:szCs w:val="24"/>
              </w:rPr>
              <w:t>ijelo</w:t>
            </w:r>
            <w:r w:rsidR="00497EB9" w:rsidRPr="0017133E">
              <w:rPr>
                <w:rFonts w:eastAsiaTheme="minorHAnsi"/>
                <w:szCs w:val="24"/>
              </w:rPr>
              <w:t xml:space="preserve"> općoj inflaciji u </w:t>
            </w:r>
            <w:proofErr w:type="spellStart"/>
            <w:r w:rsidR="00497EB9" w:rsidRPr="0017133E">
              <w:rPr>
                <w:rFonts w:eastAsiaTheme="minorHAnsi"/>
                <w:szCs w:val="24"/>
              </w:rPr>
              <w:t>europodručju</w:t>
            </w:r>
            <w:proofErr w:type="spellEnd"/>
            <w:r w:rsidR="00497EB9" w:rsidRPr="0017133E">
              <w:rPr>
                <w:rFonts w:eastAsiaTheme="minorHAnsi"/>
                <w:szCs w:val="24"/>
              </w:rPr>
              <w:t xml:space="preserve"> i uspor</w:t>
            </w:r>
            <w:r w:rsidR="00E51858" w:rsidRPr="0017133E">
              <w:rPr>
                <w:rFonts w:eastAsiaTheme="minorHAnsi"/>
                <w:szCs w:val="24"/>
              </w:rPr>
              <w:t>ilo</w:t>
            </w:r>
            <w:r w:rsidR="00497EB9" w:rsidRPr="0017133E">
              <w:rPr>
                <w:rFonts w:eastAsiaTheme="minorHAnsi"/>
                <w:szCs w:val="24"/>
              </w:rPr>
              <w:t xml:space="preserve"> gospodarski rast u Europskoj uniji.</w:t>
            </w:r>
            <w:r w:rsidR="00497EB9" w:rsidRPr="0017133E">
              <w:rPr>
                <w:bCs/>
                <w:szCs w:val="24"/>
              </w:rPr>
              <w:t xml:space="preserve"> </w:t>
            </w:r>
            <w:r w:rsidR="00521FED" w:rsidRPr="0017133E">
              <w:rPr>
                <w:bCs/>
                <w:szCs w:val="24"/>
              </w:rPr>
              <w:t xml:space="preserve">Kako bi se ublažio </w:t>
            </w:r>
            <w:r w:rsidR="00497EB9" w:rsidRPr="0017133E">
              <w:rPr>
                <w:bCs/>
                <w:szCs w:val="24"/>
              </w:rPr>
              <w:t xml:space="preserve">problem rasta cijena energije </w:t>
            </w:r>
            <w:r w:rsidR="00521FED" w:rsidRPr="0017133E">
              <w:rPr>
                <w:bCs/>
                <w:szCs w:val="24"/>
              </w:rPr>
              <w:t xml:space="preserve">donesena je </w:t>
            </w:r>
            <w:r w:rsidR="00497EB9" w:rsidRPr="0017133E">
              <w:rPr>
                <w:szCs w:val="24"/>
              </w:rPr>
              <w:t xml:space="preserve">Uredba Vijeća (EU) 2022/1854 od 6. listopada 2022. o hitnoj intervenciji za </w:t>
            </w:r>
            <w:r w:rsidR="00497EB9" w:rsidRPr="00BA55EE">
              <w:rPr>
                <w:szCs w:val="24"/>
              </w:rPr>
              <w:t>rješavanje pitanja visokih cijena energije</w:t>
            </w:r>
            <w:r w:rsidR="00497EB9" w:rsidRPr="00BA55EE">
              <w:rPr>
                <w:rFonts w:eastAsiaTheme="minorHAnsi"/>
                <w:szCs w:val="24"/>
              </w:rPr>
              <w:t xml:space="preserve"> (dalje u tekstu: Uredba). </w:t>
            </w:r>
            <w:r w:rsidR="00937439" w:rsidRPr="00BA55EE">
              <w:rPr>
                <w:szCs w:val="24"/>
              </w:rPr>
              <w:t>Poglavlj</w:t>
            </w:r>
            <w:r w:rsidR="00204879" w:rsidRPr="00BA55EE">
              <w:rPr>
                <w:szCs w:val="24"/>
              </w:rPr>
              <w:t>e</w:t>
            </w:r>
            <w:r w:rsidR="00937439" w:rsidRPr="00BA55EE">
              <w:rPr>
                <w:szCs w:val="24"/>
              </w:rPr>
              <w:t xml:space="preserve"> III. Uredbe  sadrži </w:t>
            </w:r>
            <w:r w:rsidR="007C5514" w:rsidRPr="00BA55EE">
              <w:rPr>
                <w:szCs w:val="24"/>
              </w:rPr>
              <w:t xml:space="preserve"> </w:t>
            </w:r>
            <w:r w:rsidR="00937439" w:rsidRPr="00BA55EE">
              <w:rPr>
                <w:i/>
                <w:iCs/>
                <w:szCs w:val="24"/>
              </w:rPr>
              <w:t>Mjere koje se odnose na sektore sirove nafte, prirodnog plina, ugljena i rafinerija</w:t>
            </w:r>
            <w:r w:rsidR="007C5514" w:rsidRPr="00BA55EE">
              <w:rPr>
                <w:szCs w:val="24"/>
              </w:rPr>
              <w:t>,</w:t>
            </w:r>
            <w:r w:rsidR="00937439" w:rsidRPr="00BA55EE">
              <w:rPr>
                <w:szCs w:val="24"/>
              </w:rPr>
              <w:t xml:space="preserve"> dok član</w:t>
            </w:r>
            <w:r w:rsidR="00992617" w:rsidRPr="00BA55EE">
              <w:rPr>
                <w:szCs w:val="24"/>
              </w:rPr>
              <w:t>ak</w:t>
            </w:r>
            <w:r w:rsidR="00937439" w:rsidRPr="00BA55EE">
              <w:rPr>
                <w:szCs w:val="24"/>
              </w:rPr>
              <w:t xml:space="preserve"> 14. </w:t>
            </w:r>
            <w:r w:rsidR="001F698C" w:rsidRPr="00BA55EE">
              <w:rPr>
                <w:szCs w:val="24"/>
              </w:rPr>
              <w:t xml:space="preserve">iz Poglavlja </w:t>
            </w:r>
            <w:r w:rsidR="00937439" w:rsidRPr="00BA55EE">
              <w:rPr>
                <w:szCs w:val="24"/>
              </w:rPr>
              <w:t xml:space="preserve">III. Uredbe sadrži </w:t>
            </w:r>
            <w:r w:rsidR="00937439" w:rsidRPr="00BA55EE">
              <w:rPr>
                <w:i/>
                <w:iCs/>
                <w:szCs w:val="24"/>
              </w:rPr>
              <w:t>Potporu krajnjim kupcima energije putem privremenog solidarnog doprinosa</w:t>
            </w:r>
            <w:r w:rsidR="00786B6E" w:rsidRPr="00517D73">
              <w:rPr>
                <w:i/>
                <w:iCs/>
                <w:szCs w:val="24"/>
              </w:rPr>
              <w:t>.</w:t>
            </w:r>
          </w:p>
          <w:p w14:paraId="0C64AE4C" w14:textId="77777777" w:rsidR="00497EB9" w:rsidRPr="0017133E" w:rsidRDefault="00497EB9" w:rsidP="00497EB9">
            <w:pPr>
              <w:jc w:val="both"/>
              <w:rPr>
                <w:rFonts w:eastAsiaTheme="minorHAnsi"/>
                <w:szCs w:val="24"/>
              </w:rPr>
            </w:pPr>
          </w:p>
          <w:p w14:paraId="0D7F42E6" w14:textId="3B5F53E2" w:rsidR="00497EB9" w:rsidRDefault="00497EB9" w:rsidP="00497EB9">
            <w:pPr>
              <w:jc w:val="both"/>
              <w:rPr>
                <w:rFonts w:eastAsiaTheme="minorHAnsi"/>
                <w:szCs w:val="24"/>
              </w:rPr>
            </w:pPr>
            <w:r w:rsidRPr="0017133E">
              <w:rPr>
                <w:rFonts w:eastAsiaTheme="minorHAnsi"/>
                <w:szCs w:val="24"/>
              </w:rPr>
              <w:lastRenderedPageBreak/>
              <w:t xml:space="preserve">Obzirom da je energetska kriza zajednička kriza svih država članica Uredba je odredila zajednički pristup usmjeren prema potrošačima i proizvođačima energije. Tako je među ostalim, odredila državama članicama obvezu </w:t>
            </w:r>
            <w:r w:rsidRPr="0017133E">
              <w:rPr>
                <w:szCs w:val="24"/>
              </w:rPr>
              <w:t xml:space="preserve">smanjenja potrošnje električne energije, obvezu prikupljanja viška prihoda od prodaje električne energije iznad gornje granice tržišnih prihoda, način raspodjele viška prihoda te obvezu </w:t>
            </w:r>
            <w:r w:rsidRPr="0017133E">
              <w:rPr>
                <w:rFonts w:eastAsiaTheme="minorHAnsi"/>
                <w:szCs w:val="24"/>
              </w:rPr>
              <w:t xml:space="preserve">prikupljanja solidarnog doprinosa. </w:t>
            </w:r>
          </w:p>
          <w:p w14:paraId="2F09D7BF" w14:textId="77777777" w:rsidR="0034008C" w:rsidRDefault="0034008C" w:rsidP="00497EB9">
            <w:pPr>
              <w:jc w:val="both"/>
              <w:rPr>
                <w:rFonts w:eastAsiaTheme="minorHAnsi"/>
                <w:szCs w:val="24"/>
              </w:rPr>
            </w:pPr>
          </w:p>
          <w:p w14:paraId="0398CDE1" w14:textId="69A922D4" w:rsidR="0034008C" w:rsidRPr="0017133E" w:rsidRDefault="0034008C" w:rsidP="0034008C">
            <w:pPr>
              <w:pStyle w:val="Bodytext1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33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Naime, prema Uredbi, bilo je primjereno poduzeti mjere na razini Europske unije uvođenjem solidarnog doprinosa za poduzetnike koji obavljaju djelatnosti u sektorima sirove nafte, prirodnog plina, ugljena i rafinerija, a koji od te djelatnosti ostvaruju minimalno 75% prihoda, kako bi se ublažili izravni gospodarski učinci naglog porasta cijena energije na proračune javnih tijela, krajnje kupce i poduzeća u cijeloj Europskoj uniji. Solidarni doprinos je izvanredan i strogo privremen, a </w:t>
            </w:r>
            <w:r w:rsidRPr="0017133E">
              <w:rPr>
                <w:rFonts w:ascii="Times New Roman" w:hAnsi="Times New Roman" w:cs="Times New Roman"/>
                <w:sz w:val="24"/>
                <w:szCs w:val="24"/>
              </w:rPr>
              <w:t>obuhvaća 2022. i/ili 2023. godinu</w:t>
            </w:r>
            <w:r w:rsidRPr="0017133E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. </w:t>
            </w:r>
            <w:r w:rsidRPr="0017133E">
              <w:rPr>
                <w:rFonts w:ascii="Times New Roman" w:hAnsi="Times New Roman" w:cs="Times New Roman"/>
                <w:sz w:val="24"/>
                <w:szCs w:val="24"/>
              </w:rPr>
              <w:t>Osnovica solidarnog doprinosa je višak dobiti koji se definira kao oporeziva dobit poreznog razdoblja, ako je za više od 20% veća od prosjeka oporezive dobiti ostvarene u četiri porezna razdoblja koja su počela 1. siječnja 2018. ili nakon tog datuma. Stopa za izračun solidarnog doprinosa</w:t>
            </w:r>
            <w:r w:rsidR="00467481">
              <w:rPr>
                <w:rFonts w:ascii="Times New Roman" w:hAnsi="Times New Roman" w:cs="Times New Roman"/>
                <w:sz w:val="24"/>
                <w:szCs w:val="24"/>
              </w:rPr>
              <w:t xml:space="preserve"> je</w:t>
            </w:r>
            <w:r w:rsidRPr="0017133E">
              <w:rPr>
                <w:rFonts w:ascii="Times New Roman" w:hAnsi="Times New Roman" w:cs="Times New Roman"/>
                <w:sz w:val="24"/>
                <w:szCs w:val="24"/>
              </w:rPr>
              <w:t xml:space="preserve"> najmanje 33%. </w:t>
            </w:r>
            <w:r w:rsidR="00467481">
              <w:rPr>
                <w:rFonts w:ascii="Times New Roman" w:hAnsi="Times New Roman" w:cs="Times New Roman"/>
                <w:sz w:val="24"/>
                <w:szCs w:val="24"/>
              </w:rPr>
              <w:t>Prema Uredbi s</w:t>
            </w:r>
            <w:r w:rsidRPr="0017133E">
              <w:rPr>
                <w:rFonts w:ascii="Times New Roman" w:hAnsi="Times New Roman" w:cs="Times New Roman"/>
                <w:sz w:val="24"/>
                <w:szCs w:val="24"/>
              </w:rPr>
              <w:t>olidarni doprinos se primjenjuje usporedno s uobičajenim porezom na dobit koji svaka država članica naplaćuje istim subjektima.</w:t>
            </w:r>
          </w:p>
          <w:p w14:paraId="08903D4C" w14:textId="7E00763F" w:rsidR="006F60D4" w:rsidRPr="008300E0" w:rsidRDefault="0034008C" w:rsidP="00EE7DB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rFonts w:eastAsiaTheme="minorHAnsi"/>
                <w:szCs w:val="24"/>
              </w:rPr>
              <w:t>Obzirom da su određeni obveznici poreza na dobit i pod određenim uvjetima</w:t>
            </w:r>
            <w:r w:rsidR="00BB2AA6">
              <w:rPr>
                <w:rFonts w:eastAsiaTheme="minorHAnsi"/>
                <w:szCs w:val="24"/>
              </w:rPr>
              <w:t xml:space="preserve"> </w:t>
            </w:r>
            <w:r w:rsidR="00F33E3D">
              <w:rPr>
                <w:rFonts w:eastAsiaTheme="minorHAnsi"/>
                <w:szCs w:val="24"/>
              </w:rPr>
              <w:t>obveznici primjene solidarnog dopri</w:t>
            </w:r>
            <w:r w:rsidR="00EE7DB7">
              <w:rPr>
                <w:rFonts w:eastAsiaTheme="minorHAnsi"/>
                <w:szCs w:val="24"/>
              </w:rPr>
              <w:t>nosa,</w:t>
            </w:r>
            <w:r>
              <w:rPr>
                <w:rFonts w:eastAsiaTheme="minorHAnsi"/>
                <w:szCs w:val="24"/>
              </w:rPr>
              <w:t xml:space="preserve"> pri čemu se izračun obveze solidarnog doprinosa izračunava</w:t>
            </w:r>
            <w:r w:rsidR="00A03CEC">
              <w:rPr>
                <w:rFonts w:eastAsiaTheme="minorHAnsi"/>
                <w:szCs w:val="24"/>
              </w:rPr>
              <w:t>o</w:t>
            </w:r>
            <w:r>
              <w:rPr>
                <w:rFonts w:eastAsiaTheme="minorHAnsi"/>
                <w:szCs w:val="24"/>
              </w:rPr>
              <w:t xml:space="preserve"> prema formuli kao i za dodatni porez na dobit, </w:t>
            </w:r>
            <w:r w:rsidR="006F60D4">
              <w:rPr>
                <w:rFonts w:eastAsiaTheme="minorHAnsi"/>
                <w:szCs w:val="24"/>
              </w:rPr>
              <w:t>poglavlje III.</w:t>
            </w:r>
            <w:r w:rsidR="008703B5" w:rsidRPr="0017133E">
              <w:rPr>
                <w:rFonts w:eastAsiaTheme="minorHAnsi"/>
                <w:szCs w:val="24"/>
              </w:rPr>
              <w:t xml:space="preserve"> </w:t>
            </w:r>
            <w:r w:rsidR="008703B5" w:rsidRPr="0017133E">
              <w:rPr>
                <w:szCs w:val="24"/>
              </w:rPr>
              <w:t>Uredb</w:t>
            </w:r>
            <w:r w:rsidR="006F60D4">
              <w:rPr>
                <w:szCs w:val="24"/>
              </w:rPr>
              <w:t>e</w:t>
            </w:r>
            <w:r>
              <w:rPr>
                <w:szCs w:val="24"/>
              </w:rPr>
              <w:t xml:space="preserve"> se </w:t>
            </w:r>
            <w:r w:rsidR="00EE7DB7">
              <w:rPr>
                <w:szCs w:val="24"/>
              </w:rPr>
              <w:t xml:space="preserve"> </w:t>
            </w:r>
            <w:r w:rsidR="00344BB8" w:rsidRPr="0017133E">
              <w:rPr>
                <w:rFonts w:eastAsiaTheme="minorHAnsi"/>
                <w:szCs w:val="24"/>
              </w:rPr>
              <w:t>prov</w:t>
            </w:r>
            <w:r w:rsidR="00937439" w:rsidRPr="0017133E">
              <w:rPr>
                <w:rFonts w:eastAsiaTheme="minorHAnsi"/>
                <w:szCs w:val="24"/>
              </w:rPr>
              <w:t>el</w:t>
            </w:r>
            <w:r w:rsidR="006F60D4">
              <w:rPr>
                <w:rFonts w:eastAsiaTheme="minorHAnsi"/>
                <w:szCs w:val="24"/>
              </w:rPr>
              <w:t>o</w:t>
            </w:r>
            <w:r w:rsidR="00344BB8" w:rsidRPr="0017133E">
              <w:rPr>
                <w:rFonts w:eastAsiaTheme="minorHAnsi"/>
                <w:szCs w:val="24"/>
              </w:rPr>
              <w:t xml:space="preserve"> putem ovoga Zakona</w:t>
            </w:r>
            <w:r w:rsidR="00EE7DB7">
              <w:rPr>
                <w:rFonts w:eastAsiaTheme="minorHAnsi"/>
                <w:szCs w:val="24"/>
              </w:rPr>
              <w:t xml:space="preserve">. </w:t>
            </w:r>
            <w:r w:rsidR="00EE7DB7" w:rsidRPr="008300E0">
              <w:rPr>
                <w:rFonts w:eastAsiaTheme="minorHAnsi"/>
                <w:szCs w:val="24"/>
              </w:rPr>
              <w:t xml:space="preserve">Naime, </w:t>
            </w:r>
            <w:r w:rsidR="004121FB" w:rsidRPr="008300E0">
              <w:rPr>
                <w:szCs w:val="24"/>
              </w:rPr>
              <w:t>Zakonom je propisano ako obveznik poreza na dobit ispunjava uvjete vezane uz plaćanje solidarnog doprinosa, isti je obveznik plaćanja solidarnog doprinosa</w:t>
            </w:r>
            <w:r w:rsidR="00A572CD" w:rsidRPr="008300E0">
              <w:rPr>
                <w:szCs w:val="24"/>
              </w:rPr>
              <w:t xml:space="preserve">. </w:t>
            </w:r>
            <w:r w:rsidR="00A572CD" w:rsidRPr="008300E0">
              <w:rPr>
                <w:color w:val="231F20"/>
                <w:szCs w:val="24"/>
                <w:shd w:val="clear" w:color="auto" w:fill="FFFFFF"/>
              </w:rPr>
              <w:t>Obveznik plaćanja solidarnog doprinosa</w:t>
            </w:r>
            <w:r w:rsidR="008300E0">
              <w:rPr>
                <w:color w:val="231F20"/>
                <w:szCs w:val="24"/>
                <w:shd w:val="clear" w:color="auto" w:fill="FFFFFF"/>
              </w:rPr>
              <w:t xml:space="preserve">, </w:t>
            </w:r>
            <w:r w:rsidR="00A572CD" w:rsidRPr="008300E0">
              <w:rPr>
                <w:color w:val="231F20"/>
                <w:szCs w:val="24"/>
                <w:shd w:val="clear" w:color="auto" w:fill="FFFFFF"/>
              </w:rPr>
              <w:t>a koji je obveznik plaćanja poreza na dobit u skladu s propisom o oporezivanju dobiti na odgovarajući način primjenjuje odredbe Zakona</w:t>
            </w:r>
            <w:r w:rsidR="008300E0">
              <w:rPr>
                <w:color w:val="231F20"/>
                <w:szCs w:val="24"/>
                <w:shd w:val="clear" w:color="auto" w:fill="FFFFFF"/>
              </w:rPr>
              <w:t xml:space="preserve">. </w:t>
            </w:r>
            <w:r w:rsidR="00AB54A1" w:rsidRPr="008300E0">
              <w:rPr>
                <w:szCs w:val="24"/>
              </w:rPr>
              <w:t>Obveza plaćanja solidarnog doprinosa</w:t>
            </w:r>
            <w:r w:rsidR="006F60D4" w:rsidRPr="008300E0">
              <w:rPr>
                <w:szCs w:val="24"/>
              </w:rPr>
              <w:t xml:space="preserve"> p</w:t>
            </w:r>
            <w:r w:rsidR="00AB54A1" w:rsidRPr="008300E0">
              <w:rPr>
                <w:szCs w:val="24"/>
              </w:rPr>
              <w:t>ostoj</w:t>
            </w:r>
            <w:r w:rsidR="00517D73">
              <w:rPr>
                <w:szCs w:val="24"/>
              </w:rPr>
              <w:t>ala je</w:t>
            </w:r>
            <w:r w:rsidR="006F60D4" w:rsidRPr="008300E0">
              <w:rPr>
                <w:szCs w:val="24"/>
              </w:rPr>
              <w:t xml:space="preserve"> neovisno o visini ostvarenih prihoda</w:t>
            </w:r>
            <w:r w:rsidR="008300E0">
              <w:rPr>
                <w:szCs w:val="24"/>
              </w:rPr>
              <w:t xml:space="preserve">. </w:t>
            </w:r>
            <w:r w:rsidR="006F60D4" w:rsidRPr="008300E0">
              <w:rPr>
                <w:szCs w:val="24"/>
              </w:rPr>
              <w:t xml:space="preserve"> </w:t>
            </w:r>
          </w:p>
          <w:p w14:paraId="703AA79D" w14:textId="18498D92" w:rsidR="008703B5" w:rsidRPr="008300E0" w:rsidRDefault="008703B5" w:rsidP="00A12090">
            <w:pPr>
              <w:jc w:val="both"/>
              <w:rPr>
                <w:szCs w:val="24"/>
              </w:rPr>
            </w:pPr>
          </w:p>
          <w:p w14:paraId="574598CA" w14:textId="77C911E5" w:rsidR="00C92172" w:rsidRPr="0017133E" w:rsidRDefault="002203AE" w:rsidP="00C9217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Cilj</w:t>
            </w:r>
            <w:r w:rsidR="001D61EE" w:rsidRPr="00322F6D">
              <w:rPr>
                <w:szCs w:val="24"/>
              </w:rPr>
              <w:t xml:space="preserve"> i svrha Zakona </w:t>
            </w:r>
            <w:r w:rsidR="008300E0">
              <w:rPr>
                <w:szCs w:val="24"/>
              </w:rPr>
              <w:t>je</w:t>
            </w:r>
            <w:r w:rsidR="00517D73">
              <w:rPr>
                <w:szCs w:val="24"/>
              </w:rPr>
              <w:t xml:space="preserve"> bila</w:t>
            </w:r>
            <w:r w:rsidR="008300E0">
              <w:rPr>
                <w:szCs w:val="24"/>
              </w:rPr>
              <w:t xml:space="preserve"> </w:t>
            </w:r>
            <w:r w:rsidR="001D61EE" w:rsidRPr="00322F6D">
              <w:rPr>
                <w:szCs w:val="24"/>
              </w:rPr>
              <w:t xml:space="preserve">provedba jednokratne mjere </w:t>
            </w:r>
            <w:r w:rsidR="00467481">
              <w:rPr>
                <w:szCs w:val="24"/>
              </w:rPr>
              <w:t xml:space="preserve">predviđene </w:t>
            </w:r>
            <w:r w:rsidR="00467481" w:rsidRPr="0017133E">
              <w:rPr>
                <w:szCs w:val="24"/>
              </w:rPr>
              <w:t>Jesenski</w:t>
            </w:r>
            <w:r w:rsidR="00467481">
              <w:rPr>
                <w:szCs w:val="24"/>
              </w:rPr>
              <w:t>m</w:t>
            </w:r>
            <w:r w:rsidR="00467481" w:rsidRPr="0017133E">
              <w:rPr>
                <w:szCs w:val="24"/>
              </w:rPr>
              <w:t xml:space="preserve"> paket</w:t>
            </w:r>
            <w:r w:rsidR="00467481">
              <w:rPr>
                <w:szCs w:val="24"/>
              </w:rPr>
              <w:t>om</w:t>
            </w:r>
            <w:r w:rsidR="00467481" w:rsidRPr="0017133E">
              <w:rPr>
                <w:szCs w:val="24"/>
              </w:rPr>
              <w:t xml:space="preserve"> mjera za zaštitu građana i poduzetnika</w:t>
            </w:r>
            <w:r w:rsidR="00467481">
              <w:t xml:space="preserve"> </w:t>
            </w:r>
            <w:r>
              <w:rPr>
                <w:szCs w:val="24"/>
              </w:rPr>
              <w:t xml:space="preserve">i dodatno provedba </w:t>
            </w:r>
            <w:r w:rsidR="008300E0">
              <w:rPr>
                <w:szCs w:val="24"/>
              </w:rPr>
              <w:t xml:space="preserve">poglavlja </w:t>
            </w:r>
            <w:r w:rsidRPr="0017133E">
              <w:rPr>
                <w:szCs w:val="24"/>
              </w:rPr>
              <w:t xml:space="preserve">III. </w:t>
            </w:r>
            <w:r w:rsidR="00C92172" w:rsidRPr="0017133E">
              <w:rPr>
                <w:szCs w:val="24"/>
              </w:rPr>
              <w:t xml:space="preserve">Uredbe </w:t>
            </w:r>
          </w:p>
          <w:p w14:paraId="310BD8EE" w14:textId="439DE7BB" w:rsidR="002203AE" w:rsidRPr="00665B2E" w:rsidRDefault="002203AE" w:rsidP="00467481">
            <w:pPr>
              <w:jc w:val="both"/>
              <w:rPr>
                <w:i/>
              </w:rPr>
            </w:pPr>
          </w:p>
        </w:tc>
      </w:tr>
    </w:tbl>
    <w:p w14:paraId="471BDAD0" w14:textId="1E484F28" w:rsidR="003223E0" w:rsidRPr="00665B2E" w:rsidRDefault="003223E0" w:rsidP="00AC28A8">
      <w:pPr>
        <w:pStyle w:val="Naslov1"/>
      </w:pPr>
      <w:r w:rsidRPr="00665B2E">
        <w:lastRenderedPageBreak/>
        <w:t>3.</w:t>
      </w:r>
      <w:r w:rsidRPr="00665B2E">
        <w:tab/>
        <w:t>ANALIZA IZRAVNIH UČINAKA NASTALIH PRIMJENOM</w:t>
      </w:r>
      <w:r w:rsidR="00AC28A8">
        <w:t xml:space="preserve"> </w:t>
      </w:r>
      <w:r w:rsidRPr="00665B2E">
        <w:t xml:space="preserve">ZAKONA </w:t>
      </w:r>
    </w:p>
    <w:tbl>
      <w:tblPr>
        <w:tblStyle w:val="Reetkatablice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0213BB" w:rsidRPr="00665B2E" w14:paraId="73F26AC9" w14:textId="77777777" w:rsidTr="00D5585E">
        <w:tc>
          <w:tcPr>
            <w:tcW w:w="851" w:type="dxa"/>
          </w:tcPr>
          <w:p w14:paraId="015A0AE5" w14:textId="77777777" w:rsidR="000213BB" w:rsidRPr="00665B2E" w:rsidRDefault="000213BB" w:rsidP="00665B2E">
            <w:pPr>
              <w:shd w:val="clear" w:color="auto" w:fill="FFFFFF" w:themeFill="background1"/>
            </w:pPr>
            <w:r w:rsidRPr="00665B2E">
              <w:t>3.1.</w:t>
            </w:r>
          </w:p>
        </w:tc>
        <w:tc>
          <w:tcPr>
            <w:tcW w:w="9072" w:type="dxa"/>
          </w:tcPr>
          <w:p w14:paraId="7660A04C" w14:textId="77777777" w:rsidR="000213BB" w:rsidRPr="00665B2E" w:rsidRDefault="000213BB" w:rsidP="00665B2E">
            <w:pPr>
              <w:shd w:val="clear" w:color="auto" w:fill="FFFFFF" w:themeFill="background1"/>
            </w:pPr>
            <w:r w:rsidRPr="00665B2E">
              <w:rPr>
                <w:b/>
              </w:rPr>
              <w:t>Analiza gospodarskih učinaka primjene Zakona</w:t>
            </w:r>
          </w:p>
        </w:tc>
      </w:tr>
      <w:tr w:rsidR="002E57F9" w:rsidRPr="00665B2E" w14:paraId="4655E807" w14:textId="77777777" w:rsidTr="00665B2E">
        <w:tc>
          <w:tcPr>
            <w:tcW w:w="851" w:type="dxa"/>
            <w:shd w:val="clear" w:color="auto" w:fill="FFFFFF" w:themeFill="background1"/>
          </w:tcPr>
          <w:p w14:paraId="35F78B0B" w14:textId="77777777" w:rsidR="002E57F9" w:rsidRPr="00665B2E" w:rsidRDefault="002E57F9" w:rsidP="002E57F9">
            <w:pPr>
              <w:shd w:val="clear" w:color="auto" w:fill="FFFFFF" w:themeFill="background1"/>
            </w:pPr>
          </w:p>
        </w:tc>
        <w:tc>
          <w:tcPr>
            <w:tcW w:w="9072" w:type="dxa"/>
            <w:shd w:val="clear" w:color="auto" w:fill="FFFFFF" w:themeFill="background1"/>
          </w:tcPr>
          <w:p w14:paraId="05FC97BD" w14:textId="6D2949D1" w:rsidR="00140E2C" w:rsidRPr="00140E2C" w:rsidRDefault="008300E0" w:rsidP="001B38B8">
            <w:pPr>
              <w:shd w:val="clear" w:color="auto" w:fill="FFFFFF" w:themeFill="background1"/>
              <w:jc w:val="both"/>
              <w:rPr>
                <w:i/>
                <w:iCs/>
              </w:rPr>
            </w:pPr>
            <w:r w:rsidRPr="00665B2E">
              <w:rPr>
                <w:szCs w:val="24"/>
              </w:rPr>
              <w:t xml:space="preserve">Primjena ovog Zakona nije </w:t>
            </w:r>
            <w:r>
              <w:rPr>
                <w:szCs w:val="24"/>
              </w:rPr>
              <w:t xml:space="preserve">imala gospodarskih učinaka. </w:t>
            </w:r>
          </w:p>
        </w:tc>
      </w:tr>
      <w:tr w:rsidR="002E57F9" w:rsidRPr="00665B2E" w14:paraId="3103CBF1" w14:textId="77777777" w:rsidTr="00D5585E">
        <w:tc>
          <w:tcPr>
            <w:tcW w:w="851" w:type="dxa"/>
          </w:tcPr>
          <w:p w14:paraId="68B3417D" w14:textId="77777777" w:rsidR="002E57F9" w:rsidRPr="00665B2E" w:rsidRDefault="002E57F9" w:rsidP="002E57F9">
            <w:pPr>
              <w:shd w:val="clear" w:color="auto" w:fill="FFFFFF" w:themeFill="background1"/>
            </w:pPr>
            <w:r w:rsidRPr="00665B2E">
              <w:t>3.2.</w:t>
            </w:r>
          </w:p>
        </w:tc>
        <w:tc>
          <w:tcPr>
            <w:tcW w:w="9072" w:type="dxa"/>
          </w:tcPr>
          <w:p w14:paraId="3FE4364C" w14:textId="77777777" w:rsidR="002E57F9" w:rsidRPr="00665B2E" w:rsidRDefault="002E57F9" w:rsidP="002E57F9">
            <w:pPr>
              <w:shd w:val="clear" w:color="auto" w:fill="FFFFFF" w:themeFill="background1"/>
              <w:rPr>
                <w:b/>
              </w:rPr>
            </w:pPr>
            <w:r w:rsidRPr="00665B2E">
              <w:rPr>
                <w:b/>
              </w:rPr>
              <w:t xml:space="preserve">Analiza učinaka primjene Zakona na zaštitu tržišnog natjecanja </w:t>
            </w:r>
          </w:p>
        </w:tc>
      </w:tr>
      <w:tr w:rsidR="002E57F9" w:rsidRPr="00665B2E" w14:paraId="2D5790CD" w14:textId="77777777" w:rsidTr="00665B2E">
        <w:tc>
          <w:tcPr>
            <w:tcW w:w="851" w:type="dxa"/>
            <w:shd w:val="clear" w:color="auto" w:fill="FFFFFF" w:themeFill="background1"/>
          </w:tcPr>
          <w:p w14:paraId="79B39737" w14:textId="77777777" w:rsidR="002E57F9" w:rsidRPr="00665B2E" w:rsidRDefault="002E57F9" w:rsidP="002E57F9">
            <w:pPr>
              <w:shd w:val="clear" w:color="auto" w:fill="FFFFFF" w:themeFill="background1"/>
            </w:pPr>
          </w:p>
        </w:tc>
        <w:tc>
          <w:tcPr>
            <w:tcW w:w="9072" w:type="dxa"/>
            <w:shd w:val="clear" w:color="auto" w:fill="FFFFFF" w:themeFill="background1"/>
          </w:tcPr>
          <w:p w14:paraId="40202C7D" w14:textId="69ACCCD0" w:rsidR="002E57F9" w:rsidRPr="00665B2E" w:rsidRDefault="002E57F9" w:rsidP="002E57F9">
            <w:pPr>
              <w:shd w:val="clear" w:color="auto" w:fill="FFFFFF" w:themeFill="background1"/>
              <w:jc w:val="both"/>
              <w:rPr>
                <w:i/>
              </w:rPr>
            </w:pPr>
            <w:r w:rsidRPr="00665B2E">
              <w:rPr>
                <w:szCs w:val="24"/>
              </w:rPr>
              <w:t xml:space="preserve">Primjena ovog Zakona nije utjecala na </w:t>
            </w:r>
            <w:r w:rsidRPr="002E57F9">
              <w:rPr>
                <w:bCs/>
              </w:rPr>
              <w:t>zaštitu tržišnog natjecanja</w:t>
            </w:r>
          </w:p>
        </w:tc>
      </w:tr>
      <w:tr w:rsidR="002E57F9" w:rsidRPr="00665B2E" w14:paraId="465330A2" w14:textId="77777777" w:rsidTr="00D5585E">
        <w:tc>
          <w:tcPr>
            <w:tcW w:w="851" w:type="dxa"/>
          </w:tcPr>
          <w:p w14:paraId="135AD6B3" w14:textId="77777777" w:rsidR="002E57F9" w:rsidRPr="00665B2E" w:rsidRDefault="002E57F9" w:rsidP="002E57F9">
            <w:pPr>
              <w:shd w:val="clear" w:color="auto" w:fill="FFFFFF" w:themeFill="background1"/>
            </w:pPr>
            <w:r w:rsidRPr="00665B2E">
              <w:t>3.3.</w:t>
            </w:r>
          </w:p>
        </w:tc>
        <w:tc>
          <w:tcPr>
            <w:tcW w:w="9072" w:type="dxa"/>
          </w:tcPr>
          <w:p w14:paraId="1EEB5CC8" w14:textId="77777777" w:rsidR="002E57F9" w:rsidRPr="00665B2E" w:rsidRDefault="002E57F9" w:rsidP="002E57F9">
            <w:pPr>
              <w:shd w:val="clear" w:color="auto" w:fill="FFFFFF" w:themeFill="background1"/>
            </w:pPr>
            <w:r w:rsidRPr="00665B2E">
              <w:rPr>
                <w:b/>
              </w:rPr>
              <w:t>Analiza socijalnih učinaka primjene Zakona</w:t>
            </w:r>
          </w:p>
        </w:tc>
      </w:tr>
      <w:tr w:rsidR="002E57F9" w:rsidRPr="00665B2E" w14:paraId="5327B692" w14:textId="77777777" w:rsidTr="00665B2E">
        <w:tc>
          <w:tcPr>
            <w:tcW w:w="851" w:type="dxa"/>
            <w:shd w:val="clear" w:color="auto" w:fill="FFFFFF" w:themeFill="background1"/>
          </w:tcPr>
          <w:p w14:paraId="007D97BD" w14:textId="77777777" w:rsidR="002E57F9" w:rsidRPr="00665B2E" w:rsidRDefault="002E57F9" w:rsidP="002E57F9">
            <w:pPr>
              <w:shd w:val="clear" w:color="auto" w:fill="FFFFFF" w:themeFill="background1"/>
            </w:pPr>
          </w:p>
        </w:tc>
        <w:tc>
          <w:tcPr>
            <w:tcW w:w="9072" w:type="dxa"/>
            <w:shd w:val="clear" w:color="auto" w:fill="FFFFFF" w:themeFill="background1"/>
          </w:tcPr>
          <w:p w14:paraId="158DDA0D" w14:textId="371247A9" w:rsidR="002E57F9" w:rsidRPr="0049258D" w:rsidRDefault="001D1AFC" w:rsidP="00ED7174">
            <w:pPr>
              <w:jc w:val="both"/>
              <w:rPr>
                <w:rFonts w:eastAsia="Times New Roman"/>
                <w:szCs w:val="24"/>
              </w:rPr>
            </w:pPr>
            <w:r w:rsidRPr="0049258D">
              <w:rPr>
                <w:rFonts w:eastAsia="Times New Roman"/>
                <w:szCs w:val="24"/>
              </w:rPr>
              <w:t>Obveza dodatnog poreza na dobit</w:t>
            </w:r>
            <w:r w:rsidR="00322F6D" w:rsidRPr="0049258D">
              <w:rPr>
                <w:rFonts w:eastAsia="Times New Roman"/>
                <w:szCs w:val="24"/>
              </w:rPr>
              <w:t xml:space="preserve"> prema Zakonu</w:t>
            </w:r>
            <w:r w:rsidRPr="0049258D">
              <w:rPr>
                <w:rFonts w:eastAsia="Times New Roman"/>
                <w:szCs w:val="24"/>
              </w:rPr>
              <w:t xml:space="preserve"> se utvrđivala samo </w:t>
            </w:r>
            <w:r w:rsidR="00322F6D" w:rsidRPr="0049258D">
              <w:rPr>
                <w:rFonts w:eastAsia="Times New Roman"/>
                <w:szCs w:val="24"/>
              </w:rPr>
              <w:t>za jedno porezno razdoblje i to započeto nakon 1. siječnja 2022. godine,</w:t>
            </w:r>
            <w:r w:rsidRPr="0049258D">
              <w:rPr>
                <w:rFonts w:eastAsia="Times New Roman"/>
                <w:szCs w:val="24"/>
              </w:rPr>
              <w:t xml:space="preserve"> te je s te osnove</w:t>
            </w:r>
            <w:r w:rsidR="008300E0">
              <w:rPr>
                <w:rFonts w:eastAsia="Times New Roman"/>
                <w:szCs w:val="24"/>
              </w:rPr>
              <w:t xml:space="preserve"> za to porez</w:t>
            </w:r>
            <w:r w:rsidR="00204879">
              <w:rPr>
                <w:rFonts w:eastAsia="Times New Roman"/>
                <w:szCs w:val="24"/>
              </w:rPr>
              <w:t>no</w:t>
            </w:r>
            <w:r w:rsidR="008300E0">
              <w:rPr>
                <w:rFonts w:eastAsia="Times New Roman"/>
                <w:szCs w:val="24"/>
              </w:rPr>
              <w:t xml:space="preserve"> razdoblje</w:t>
            </w:r>
            <w:r w:rsidR="004E2CED">
              <w:rPr>
                <w:rFonts w:eastAsia="Times New Roman"/>
                <w:szCs w:val="24"/>
              </w:rPr>
              <w:t xml:space="preserve"> </w:t>
            </w:r>
            <w:r w:rsidR="007225CD">
              <w:rPr>
                <w:rFonts w:eastAsia="Times New Roman"/>
                <w:szCs w:val="24"/>
              </w:rPr>
              <w:t xml:space="preserve">prikupljeno </w:t>
            </w:r>
            <w:r w:rsidRPr="0049258D">
              <w:rPr>
                <w:rFonts w:eastAsia="Times New Roman"/>
                <w:szCs w:val="24"/>
              </w:rPr>
              <w:t>260.823.56</w:t>
            </w:r>
            <w:r w:rsidR="00FB0CA0">
              <w:rPr>
                <w:rFonts w:eastAsia="Times New Roman"/>
                <w:szCs w:val="24"/>
              </w:rPr>
              <w:t>0,99</w:t>
            </w:r>
            <w:r w:rsidRPr="0049258D">
              <w:rPr>
                <w:rFonts w:eastAsia="Times New Roman"/>
                <w:szCs w:val="24"/>
              </w:rPr>
              <w:t xml:space="preserve"> eura (1.965.175.120,</w:t>
            </w:r>
            <w:r w:rsidR="00ED7174" w:rsidRPr="0049258D">
              <w:rPr>
                <w:rFonts w:eastAsia="Times New Roman"/>
                <w:szCs w:val="24"/>
              </w:rPr>
              <w:t>35 kuna)</w:t>
            </w:r>
            <w:r w:rsidR="0016386E">
              <w:rPr>
                <w:rFonts w:eastAsia="Times New Roman"/>
                <w:szCs w:val="24"/>
              </w:rPr>
              <w:t>.</w:t>
            </w:r>
            <w:r w:rsidR="00967DBF">
              <w:rPr>
                <w:rFonts w:eastAsia="Times New Roman"/>
                <w:szCs w:val="24"/>
              </w:rPr>
              <w:t xml:space="preserve"> U obrazložen</w:t>
            </w:r>
            <w:r w:rsidR="00204879">
              <w:rPr>
                <w:rFonts w:eastAsia="Times New Roman"/>
                <w:szCs w:val="24"/>
              </w:rPr>
              <w:t>j</w:t>
            </w:r>
            <w:r w:rsidR="00967DBF">
              <w:rPr>
                <w:rFonts w:eastAsia="Times New Roman"/>
                <w:szCs w:val="24"/>
              </w:rPr>
              <w:t xml:space="preserve">u Prijedloga </w:t>
            </w:r>
            <w:r w:rsidR="00967DBF" w:rsidRPr="00AB56EC">
              <w:t>Zakona</w:t>
            </w:r>
            <w:r w:rsidR="00967DBF">
              <w:t xml:space="preserve"> navedena je procjen</w:t>
            </w:r>
            <w:r w:rsidR="002916A5">
              <w:t>a</w:t>
            </w:r>
            <w:r w:rsidR="00967DBF">
              <w:t xml:space="preserve"> </w:t>
            </w:r>
            <w:r w:rsidR="00967DBF" w:rsidRPr="00AB56EC">
              <w:t>kako će se dodatnim porezom na dobit ostvariti dodatni prihodi u iznosu od 1,5 milijardi kuna</w:t>
            </w:r>
            <w:r w:rsidR="00967DBF">
              <w:t xml:space="preserve"> (cca 200 tisuća eura)</w:t>
            </w:r>
            <w:r w:rsidR="00967DBF" w:rsidRPr="00AB56EC">
              <w:t>.</w:t>
            </w:r>
          </w:p>
          <w:p w14:paraId="4DBB63D1" w14:textId="55A322EB" w:rsidR="00140E2C" w:rsidRPr="00862A99" w:rsidRDefault="00ED7174" w:rsidP="00862A99">
            <w:pPr>
              <w:shd w:val="clear" w:color="auto" w:fill="FFFFFF" w:themeFill="background1"/>
              <w:spacing w:before="120" w:after="120"/>
              <w:jc w:val="both"/>
              <w:rPr>
                <w:color w:val="000000"/>
                <w:szCs w:val="24"/>
              </w:rPr>
            </w:pPr>
            <w:r w:rsidRPr="0049258D">
              <w:rPr>
                <w:szCs w:val="24"/>
              </w:rPr>
              <w:t>Kako je Zakon</w:t>
            </w:r>
            <w:r w:rsidR="001D61EE" w:rsidRPr="0049258D">
              <w:rPr>
                <w:szCs w:val="24"/>
              </w:rPr>
              <w:t xml:space="preserve"> i donesen radi ispunjenja jednokratne solidarne mjere </w:t>
            </w:r>
            <w:r w:rsidR="00204879">
              <w:rPr>
                <w:szCs w:val="24"/>
              </w:rPr>
              <w:t xml:space="preserve">s ciljem da se </w:t>
            </w:r>
            <w:r w:rsidR="00FA3DC9" w:rsidRPr="0049258D">
              <w:rPr>
                <w:szCs w:val="24"/>
              </w:rPr>
              <w:t>prikupl</w:t>
            </w:r>
            <w:r w:rsidR="008F2540">
              <w:rPr>
                <w:szCs w:val="24"/>
              </w:rPr>
              <w:t>jena</w:t>
            </w:r>
            <w:r w:rsidR="00C61020">
              <w:rPr>
                <w:szCs w:val="24"/>
              </w:rPr>
              <w:t xml:space="preserve"> sredstava u</w:t>
            </w:r>
            <w:r w:rsidR="00AA4A7A" w:rsidRPr="00AA4A7A">
              <w:rPr>
                <w:color w:val="231F20"/>
                <w:shd w:val="clear" w:color="auto" w:fill="FFFFFF"/>
              </w:rPr>
              <w:t xml:space="preserve"> cijelosti usmjer</w:t>
            </w:r>
            <w:r w:rsidR="00C61020">
              <w:rPr>
                <w:color w:val="231F20"/>
                <w:shd w:val="clear" w:color="auto" w:fill="FFFFFF"/>
              </w:rPr>
              <w:t>e</w:t>
            </w:r>
            <w:r w:rsidR="00AA4A7A" w:rsidRPr="00AA4A7A">
              <w:rPr>
                <w:color w:val="231F20"/>
                <w:shd w:val="clear" w:color="auto" w:fill="FFFFFF"/>
              </w:rPr>
              <w:t xml:space="preserve"> na mjere pomoći za socijalno ugrožene građane, uključujući umirovljenike i druge ranjive skupine u društvu</w:t>
            </w:r>
            <w:r w:rsidR="007225CD">
              <w:rPr>
                <w:color w:val="231F20"/>
                <w:shd w:val="clear" w:color="auto" w:fill="FFFFFF"/>
              </w:rPr>
              <w:t>, t</w:t>
            </w:r>
            <w:r w:rsidR="00967DBF">
              <w:rPr>
                <w:color w:val="231F20"/>
                <w:shd w:val="clear" w:color="auto" w:fill="FFFFFF"/>
              </w:rPr>
              <w:t>ako je svih 260.826.56</w:t>
            </w:r>
            <w:r w:rsidR="00FB0CA0">
              <w:rPr>
                <w:color w:val="231F20"/>
                <w:shd w:val="clear" w:color="auto" w:fill="FFFFFF"/>
              </w:rPr>
              <w:t>0,99</w:t>
            </w:r>
            <w:r w:rsidR="00967DBF">
              <w:rPr>
                <w:color w:val="231F20"/>
                <w:shd w:val="clear" w:color="auto" w:fill="FFFFFF"/>
              </w:rPr>
              <w:t xml:space="preserve"> eura </w:t>
            </w:r>
            <w:r w:rsidR="001C157D">
              <w:rPr>
                <w:color w:val="231F20"/>
                <w:shd w:val="clear" w:color="auto" w:fill="FFFFFF"/>
              </w:rPr>
              <w:t>posredstvom nadležnih ministarst</w:t>
            </w:r>
            <w:r w:rsidR="00204879">
              <w:rPr>
                <w:color w:val="231F20"/>
                <w:shd w:val="clear" w:color="auto" w:fill="FFFFFF"/>
              </w:rPr>
              <w:t>ava</w:t>
            </w:r>
            <w:r w:rsidR="001C157D">
              <w:rPr>
                <w:color w:val="231F20"/>
                <w:shd w:val="clear" w:color="auto" w:fill="FFFFFF"/>
              </w:rPr>
              <w:t xml:space="preserve"> </w:t>
            </w:r>
            <w:r w:rsidR="00862A99">
              <w:rPr>
                <w:color w:val="231F20"/>
                <w:shd w:val="clear" w:color="auto" w:fill="FFFFFF"/>
              </w:rPr>
              <w:t xml:space="preserve">i </w:t>
            </w:r>
            <w:r w:rsidR="00204879">
              <w:rPr>
                <w:color w:val="231F20"/>
                <w:shd w:val="clear" w:color="auto" w:fill="FFFFFF"/>
              </w:rPr>
              <w:t xml:space="preserve">bilo </w:t>
            </w:r>
            <w:r w:rsidR="001C157D">
              <w:rPr>
                <w:color w:val="231F20"/>
                <w:shd w:val="clear" w:color="auto" w:fill="FFFFFF"/>
              </w:rPr>
              <w:t>usmjereno na te mjere</w:t>
            </w:r>
            <w:r w:rsidR="0049258D" w:rsidRPr="00C61020">
              <w:rPr>
                <w:szCs w:val="24"/>
              </w:rPr>
              <w:t>.</w:t>
            </w:r>
            <w:r w:rsidR="00C61020" w:rsidRPr="00C61020">
              <w:rPr>
                <w:szCs w:val="24"/>
              </w:rPr>
              <w:t xml:space="preserve"> </w:t>
            </w:r>
            <w:r w:rsidR="001C157D">
              <w:rPr>
                <w:szCs w:val="24"/>
              </w:rPr>
              <w:t>Tijekom 2023. godine</w:t>
            </w:r>
            <w:r w:rsidR="00C61020" w:rsidRPr="00C61020">
              <w:rPr>
                <w:szCs w:val="24"/>
              </w:rPr>
              <w:t xml:space="preserve"> utrošeno je </w:t>
            </w:r>
            <w:r w:rsidR="00C61020" w:rsidRPr="00C61020">
              <w:rPr>
                <w:color w:val="000000"/>
                <w:szCs w:val="24"/>
              </w:rPr>
              <w:t>284.131.563,05 eura</w:t>
            </w:r>
            <w:r w:rsidR="001C157D">
              <w:rPr>
                <w:color w:val="000000"/>
                <w:szCs w:val="24"/>
              </w:rPr>
              <w:t xml:space="preserve">, dakle i više od iznosa prikupljenog dodatnim porezom na </w:t>
            </w:r>
            <w:r w:rsidR="001C157D">
              <w:rPr>
                <w:color w:val="000000"/>
                <w:szCs w:val="24"/>
              </w:rPr>
              <w:lastRenderedPageBreak/>
              <w:t>dobit na financiranje mjera pomoći</w:t>
            </w:r>
            <w:r w:rsidR="00F21363">
              <w:rPr>
                <w:color w:val="000000"/>
                <w:szCs w:val="24"/>
              </w:rPr>
              <w:t xml:space="preserve"> socijalno ugroženih građana</w:t>
            </w:r>
            <w:r w:rsidR="00862A99">
              <w:rPr>
                <w:color w:val="000000"/>
                <w:szCs w:val="24"/>
              </w:rPr>
              <w:t>. Iz mjera pomoći za socijalno ugrožene građane tijekom 2023. godine</w:t>
            </w:r>
            <w:r w:rsidR="001C157D">
              <w:rPr>
                <w:color w:val="000000"/>
                <w:szCs w:val="24"/>
              </w:rPr>
              <w:t xml:space="preserve"> izdvajamo: </w:t>
            </w:r>
          </w:p>
          <w:p w14:paraId="2CE96DAA" w14:textId="77777777" w:rsidR="00DC4371" w:rsidRDefault="00DC4371" w:rsidP="00DC4371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Jednokratno novčano primanje korisnicima mirovine radi ublažavanja posljedica porasta cijena energenata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40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210.483.057,48 eura </w:t>
            </w:r>
          </w:p>
          <w:p w14:paraId="6D781438" w14:textId="77777777" w:rsidR="00F21363" w:rsidRPr="00140E2C" w:rsidRDefault="00F21363" w:rsidP="00F21363">
            <w:pPr>
              <w:pStyle w:val="Odlomakpopisa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Jednokratno novčano primanje korisnicima prava u  sustavu socijalne skrbi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40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2BB1095" w14:textId="5C03D5B5" w:rsidR="00F21363" w:rsidRPr="00F21363" w:rsidRDefault="00F21363" w:rsidP="00F21363">
            <w:pPr>
              <w:pStyle w:val="Odlomakpopis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22.575.750,00 eur</w:t>
            </w:r>
            <w:r w:rsidRPr="00140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  <w:p w14:paraId="61F1B094" w14:textId="5B2D4007" w:rsidR="00E40728" w:rsidRDefault="00E40728" w:rsidP="00F21363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Jednokratno novčano primanje korisnicima doplatka za djecu radi ublažavanja posljedica porasta cijena energenata</w:t>
            </w:r>
            <w:r w:rsidR="0020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40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18.725.219,51 eura </w:t>
            </w:r>
          </w:p>
          <w:p w14:paraId="1950FB8A" w14:textId="42D8F84F" w:rsidR="00862A99" w:rsidRPr="00862A99" w:rsidRDefault="00862A99" w:rsidP="00862A99">
            <w:pPr>
              <w:pStyle w:val="Odlomakpopisa"/>
              <w:numPr>
                <w:ilvl w:val="0"/>
                <w:numId w:val="4"/>
              </w:numPr>
              <w:jc w:val="both"/>
              <w:rPr>
                <w:rFonts w:eastAsia="Times New Roman"/>
                <w:color w:val="000000"/>
                <w:szCs w:val="24"/>
              </w:rPr>
            </w:pPr>
            <w:r w:rsidRPr="00862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Isplata novčanog primanja nezaposlenim osobama radi ublažavanja posljedica porasta cijena</w:t>
            </w:r>
            <w:r w:rsidR="00204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62A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15.907.955,74 </w:t>
            </w:r>
            <w:r w:rsidR="008C3B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eura</w:t>
            </w:r>
          </w:p>
          <w:p w14:paraId="1264C718" w14:textId="56532107" w:rsidR="0049258D" w:rsidRPr="00140E2C" w:rsidRDefault="0049258D" w:rsidP="00140E2C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Naknad</w:t>
            </w:r>
            <w:r w:rsidR="00786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140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troškova ogrjeva i dijelom troškova stanovanja  korisnicima zajamčene minimalne naknade</w:t>
            </w:r>
            <w:r w:rsidR="00DC4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40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3.422.078,07 eura</w:t>
            </w:r>
          </w:p>
          <w:p w14:paraId="3F36A13C" w14:textId="47EA95DF" w:rsidR="0049258D" w:rsidRPr="00140E2C" w:rsidRDefault="0049258D" w:rsidP="00140E2C">
            <w:pPr>
              <w:pStyle w:val="Odlomakpopisa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0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Provedb</w:t>
            </w:r>
            <w:r w:rsidR="00786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140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mjere za smanjenje utjecaja porasta cijena energenata na pružatelje socijalnih usluga u Republici Hrvatskoj</w:t>
            </w:r>
            <w:r w:rsidR="00DC4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40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3.001.056,10 eura</w:t>
            </w:r>
          </w:p>
          <w:p w14:paraId="224B33F4" w14:textId="77777777" w:rsidR="00862A99" w:rsidRPr="00862A99" w:rsidRDefault="00862A99" w:rsidP="00862A99">
            <w:pPr>
              <w:pStyle w:val="Odlomakpopisa"/>
              <w:jc w:val="both"/>
              <w:rPr>
                <w:rFonts w:eastAsia="Times New Roman"/>
                <w:color w:val="000000"/>
                <w:szCs w:val="24"/>
              </w:rPr>
            </w:pPr>
          </w:p>
          <w:p w14:paraId="3DA84C5A" w14:textId="7DBCADD5" w:rsidR="002E57F9" w:rsidRPr="007225CD" w:rsidRDefault="0049258D" w:rsidP="008B1463">
            <w:pPr>
              <w:jc w:val="both"/>
              <w:rPr>
                <w:szCs w:val="24"/>
                <w:shd w:val="clear" w:color="auto" w:fill="FFFFFF"/>
              </w:rPr>
            </w:pPr>
            <w:r w:rsidRPr="0049258D">
              <w:rPr>
                <w:szCs w:val="24"/>
                <w:shd w:val="clear" w:color="auto" w:fill="FFFFFF"/>
              </w:rPr>
              <w:t>Tako su u skladu s člankom 2. Zakona prikupljena sredstva</w:t>
            </w:r>
            <w:r w:rsidR="00140E2C">
              <w:rPr>
                <w:szCs w:val="24"/>
                <w:shd w:val="clear" w:color="auto" w:fill="FFFFFF"/>
              </w:rPr>
              <w:t xml:space="preserve"> od</w:t>
            </w:r>
            <w:r w:rsidRPr="0049258D">
              <w:rPr>
                <w:szCs w:val="24"/>
                <w:shd w:val="clear" w:color="auto" w:fill="FFFFFF"/>
              </w:rPr>
              <w:t xml:space="preserve"> </w:t>
            </w:r>
            <w:r w:rsidR="00140E2C" w:rsidRPr="0049258D">
              <w:rPr>
                <w:rFonts w:eastAsia="Times New Roman"/>
                <w:szCs w:val="24"/>
              </w:rPr>
              <w:t>260.823.56</w:t>
            </w:r>
            <w:r w:rsidR="00FB0CA0">
              <w:rPr>
                <w:rFonts w:eastAsia="Times New Roman"/>
                <w:szCs w:val="24"/>
              </w:rPr>
              <w:t>0,99</w:t>
            </w:r>
            <w:r w:rsidR="00140E2C" w:rsidRPr="0049258D">
              <w:rPr>
                <w:rFonts w:eastAsia="Times New Roman"/>
                <w:szCs w:val="24"/>
              </w:rPr>
              <w:t xml:space="preserve"> eura </w:t>
            </w:r>
            <w:r w:rsidRPr="0049258D">
              <w:rPr>
                <w:szCs w:val="24"/>
                <w:shd w:val="clear" w:color="auto" w:fill="FFFFFF"/>
              </w:rPr>
              <w:t>iskorištena za</w:t>
            </w:r>
            <w:r w:rsidRPr="0049258D">
              <w:rPr>
                <w:szCs w:val="24"/>
              </w:rPr>
              <w:t xml:space="preserve"> mjere pomoći za socijalno ugrožene građane, uključujući umirovljenike i druge ranjive skupine u društvu</w:t>
            </w:r>
            <w:r w:rsidR="007225CD">
              <w:rPr>
                <w:szCs w:val="24"/>
              </w:rPr>
              <w:t xml:space="preserve">. </w:t>
            </w:r>
            <w:r w:rsidR="00151C06" w:rsidRPr="0049258D">
              <w:rPr>
                <w:szCs w:val="24"/>
              </w:rPr>
              <w:t>Stoga je ovaj Zakon imao pozitivan socijalni učinak</w:t>
            </w:r>
            <w:r w:rsidR="00386BD3">
              <w:rPr>
                <w:szCs w:val="24"/>
              </w:rPr>
              <w:t xml:space="preserve">. </w:t>
            </w:r>
            <w:r w:rsidR="00151C06" w:rsidRPr="0049258D">
              <w:rPr>
                <w:szCs w:val="24"/>
              </w:rPr>
              <w:t xml:space="preserve"> </w:t>
            </w:r>
          </w:p>
          <w:p w14:paraId="747FEE8E" w14:textId="5A43C8BF" w:rsidR="00EB5B21" w:rsidRDefault="00EB5B21" w:rsidP="008B1463">
            <w:pPr>
              <w:jc w:val="both"/>
              <w:rPr>
                <w:szCs w:val="24"/>
              </w:rPr>
            </w:pPr>
          </w:p>
          <w:p w14:paraId="6D32DBD0" w14:textId="18BAD56E" w:rsidR="00386BD3" w:rsidRPr="0049258D" w:rsidRDefault="00DC4371" w:rsidP="00DE7E3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Obveza plaćanja solidarnog doprinosa </w:t>
            </w:r>
            <w:r w:rsidR="00905FE3">
              <w:rPr>
                <w:szCs w:val="24"/>
              </w:rPr>
              <w:t xml:space="preserve">iz Uredbe </w:t>
            </w:r>
            <w:r>
              <w:rPr>
                <w:szCs w:val="24"/>
              </w:rPr>
              <w:t>nije utvrđen</w:t>
            </w:r>
            <w:r w:rsidR="007225CD">
              <w:rPr>
                <w:szCs w:val="24"/>
              </w:rPr>
              <w:t>a,</w:t>
            </w:r>
            <w:r>
              <w:rPr>
                <w:szCs w:val="24"/>
              </w:rPr>
              <w:t xml:space="preserve"> </w:t>
            </w:r>
            <w:r w:rsidR="00DE7E3E">
              <w:rPr>
                <w:szCs w:val="24"/>
              </w:rPr>
              <w:t>tako nije bilo niti prikupljenih sredst</w:t>
            </w:r>
            <w:r w:rsidR="00204879">
              <w:rPr>
                <w:szCs w:val="24"/>
              </w:rPr>
              <w:t>a</w:t>
            </w:r>
            <w:r w:rsidR="00DE7E3E">
              <w:rPr>
                <w:szCs w:val="24"/>
              </w:rPr>
              <w:t xml:space="preserve">va s te osnove, </w:t>
            </w:r>
            <w:r>
              <w:rPr>
                <w:szCs w:val="24"/>
              </w:rPr>
              <w:t>kao što nije bilo niti očekivano prilikom donošenja Zakona</w:t>
            </w:r>
            <w:r w:rsidR="00DE7E3E">
              <w:rPr>
                <w:szCs w:val="24"/>
              </w:rPr>
              <w:t xml:space="preserve">. </w:t>
            </w:r>
          </w:p>
        </w:tc>
      </w:tr>
      <w:tr w:rsidR="002E57F9" w:rsidRPr="00665B2E" w14:paraId="2B599321" w14:textId="77777777" w:rsidTr="00665B2E">
        <w:tc>
          <w:tcPr>
            <w:tcW w:w="851" w:type="dxa"/>
            <w:shd w:val="clear" w:color="auto" w:fill="FFFFFF" w:themeFill="background1"/>
          </w:tcPr>
          <w:p w14:paraId="3593D5BB" w14:textId="77777777" w:rsidR="002E57F9" w:rsidRPr="00665B2E" w:rsidRDefault="002E57F9" w:rsidP="002E57F9">
            <w:pPr>
              <w:shd w:val="clear" w:color="auto" w:fill="FFFFFF" w:themeFill="background1"/>
            </w:pPr>
            <w:r w:rsidRPr="00665B2E">
              <w:lastRenderedPageBreak/>
              <w:t>3.4.</w:t>
            </w:r>
          </w:p>
        </w:tc>
        <w:tc>
          <w:tcPr>
            <w:tcW w:w="9072" w:type="dxa"/>
            <w:shd w:val="clear" w:color="auto" w:fill="FFFFFF" w:themeFill="background1"/>
          </w:tcPr>
          <w:p w14:paraId="037B46D9" w14:textId="77777777" w:rsidR="002E57F9" w:rsidRPr="0017133E" w:rsidRDefault="002E57F9" w:rsidP="002E57F9">
            <w:pPr>
              <w:shd w:val="clear" w:color="auto" w:fill="FFFFFF" w:themeFill="background1"/>
              <w:rPr>
                <w:b/>
                <w:szCs w:val="24"/>
              </w:rPr>
            </w:pPr>
            <w:r w:rsidRPr="0017133E">
              <w:rPr>
                <w:b/>
                <w:szCs w:val="24"/>
              </w:rPr>
              <w:t>Analiza učinaka primjene Zakona na rad i tržište rada</w:t>
            </w:r>
          </w:p>
        </w:tc>
      </w:tr>
      <w:tr w:rsidR="002E57F9" w:rsidRPr="00665B2E" w14:paraId="33A7FF3C" w14:textId="77777777" w:rsidTr="00665B2E">
        <w:tc>
          <w:tcPr>
            <w:tcW w:w="851" w:type="dxa"/>
            <w:shd w:val="clear" w:color="auto" w:fill="FFFFFF" w:themeFill="background1"/>
          </w:tcPr>
          <w:p w14:paraId="266E177B" w14:textId="77777777" w:rsidR="002E57F9" w:rsidRPr="00665B2E" w:rsidRDefault="002E57F9" w:rsidP="002E57F9">
            <w:pPr>
              <w:shd w:val="clear" w:color="auto" w:fill="FFFFFF" w:themeFill="background1"/>
            </w:pPr>
          </w:p>
        </w:tc>
        <w:tc>
          <w:tcPr>
            <w:tcW w:w="9072" w:type="dxa"/>
            <w:shd w:val="clear" w:color="auto" w:fill="FFFFFF" w:themeFill="background1"/>
          </w:tcPr>
          <w:p w14:paraId="68878FE4" w14:textId="77777777" w:rsidR="002E57F9" w:rsidRPr="0017133E" w:rsidRDefault="002E57F9" w:rsidP="002E57F9">
            <w:pPr>
              <w:shd w:val="clear" w:color="auto" w:fill="FFFFFF" w:themeFill="background1"/>
              <w:spacing w:before="120" w:after="120"/>
              <w:jc w:val="both"/>
              <w:rPr>
                <w:rFonts w:eastAsia="Times New Roman"/>
                <w:i/>
                <w:iCs/>
                <w:szCs w:val="24"/>
                <w:bdr w:val="none" w:sz="0" w:space="0" w:color="auto" w:frame="1"/>
              </w:rPr>
            </w:pPr>
            <w:r w:rsidRPr="0017133E">
              <w:rPr>
                <w:szCs w:val="24"/>
              </w:rPr>
              <w:t>Primjena ovog Zakona nije utjecala na tržište rada.</w:t>
            </w:r>
          </w:p>
        </w:tc>
      </w:tr>
      <w:tr w:rsidR="002E57F9" w:rsidRPr="00665B2E" w14:paraId="04FF4E6C" w14:textId="77777777" w:rsidTr="00665B2E">
        <w:tc>
          <w:tcPr>
            <w:tcW w:w="851" w:type="dxa"/>
            <w:shd w:val="clear" w:color="auto" w:fill="FFFFFF" w:themeFill="background1"/>
          </w:tcPr>
          <w:p w14:paraId="4EF77FBB" w14:textId="77777777" w:rsidR="002E57F9" w:rsidRPr="00665B2E" w:rsidRDefault="002E57F9" w:rsidP="002E57F9">
            <w:pPr>
              <w:shd w:val="clear" w:color="auto" w:fill="FFFFFF" w:themeFill="background1"/>
            </w:pPr>
            <w:r w:rsidRPr="00665B2E">
              <w:t>3.5.</w:t>
            </w:r>
          </w:p>
        </w:tc>
        <w:tc>
          <w:tcPr>
            <w:tcW w:w="9072" w:type="dxa"/>
            <w:shd w:val="clear" w:color="auto" w:fill="FFFFFF" w:themeFill="background1"/>
          </w:tcPr>
          <w:p w14:paraId="07EC0819" w14:textId="77777777" w:rsidR="002E57F9" w:rsidRPr="0017133E" w:rsidRDefault="002E57F9" w:rsidP="002E57F9">
            <w:pPr>
              <w:shd w:val="clear" w:color="auto" w:fill="FFFFFF" w:themeFill="background1"/>
              <w:rPr>
                <w:b/>
                <w:szCs w:val="24"/>
              </w:rPr>
            </w:pPr>
            <w:r w:rsidRPr="0017133E">
              <w:rPr>
                <w:b/>
                <w:szCs w:val="24"/>
              </w:rPr>
              <w:t>Analiza učinaka primjene Zakona na zaštitu okoliša</w:t>
            </w:r>
          </w:p>
        </w:tc>
      </w:tr>
      <w:tr w:rsidR="002E57F9" w:rsidRPr="00665B2E" w14:paraId="2F7BF78C" w14:textId="77777777" w:rsidTr="00665B2E">
        <w:tc>
          <w:tcPr>
            <w:tcW w:w="851" w:type="dxa"/>
            <w:shd w:val="clear" w:color="auto" w:fill="FFFFFF" w:themeFill="background1"/>
          </w:tcPr>
          <w:p w14:paraId="51704692" w14:textId="77777777" w:rsidR="002E57F9" w:rsidRPr="00665B2E" w:rsidRDefault="002E57F9" w:rsidP="002E57F9">
            <w:pPr>
              <w:shd w:val="clear" w:color="auto" w:fill="FFFFFF" w:themeFill="background1"/>
            </w:pPr>
          </w:p>
        </w:tc>
        <w:tc>
          <w:tcPr>
            <w:tcW w:w="9072" w:type="dxa"/>
            <w:shd w:val="clear" w:color="auto" w:fill="FFFFFF" w:themeFill="background1"/>
          </w:tcPr>
          <w:p w14:paraId="5B5037DD" w14:textId="77777777" w:rsidR="002E57F9" w:rsidRPr="0017133E" w:rsidRDefault="002E57F9" w:rsidP="002E57F9">
            <w:pPr>
              <w:shd w:val="clear" w:color="auto" w:fill="FFFFFF" w:themeFill="background1"/>
              <w:spacing w:before="120" w:after="120"/>
              <w:jc w:val="both"/>
              <w:rPr>
                <w:rFonts w:eastAsia="Times New Roman"/>
                <w:i/>
                <w:iCs/>
                <w:szCs w:val="24"/>
                <w:bdr w:val="none" w:sz="0" w:space="0" w:color="auto" w:frame="1"/>
              </w:rPr>
            </w:pPr>
            <w:r w:rsidRPr="0017133E">
              <w:rPr>
                <w:szCs w:val="24"/>
              </w:rPr>
              <w:t>Primjena ovog Zakona nije utjecala na zaštitu okoliša.</w:t>
            </w:r>
          </w:p>
        </w:tc>
      </w:tr>
      <w:tr w:rsidR="002E57F9" w:rsidRPr="00665B2E" w14:paraId="3F807730" w14:textId="77777777" w:rsidTr="00665B2E">
        <w:tc>
          <w:tcPr>
            <w:tcW w:w="851" w:type="dxa"/>
            <w:shd w:val="clear" w:color="auto" w:fill="FFFFFF" w:themeFill="background1"/>
          </w:tcPr>
          <w:p w14:paraId="41D47CAB" w14:textId="77777777" w:rsidR="002E57F9" w:rsidRPr="00665B2E" w:rsidRDefault="002E57F9" w:rsidP="002E57F9">
            <w:pPr>
              <w:shd w:val="clear" w:color="auto" w:fill="FFFFFF" w:themeFill="background1"/>
            </w:pPr>
            <w:r w:rsidRPr="00665B2E">
              <w:t>3.6.</w:t>
            </w:r>
          </w:p>
        </w:tc>
        <w:tc>
          <w:tcPr>
            <w:tcW w:w="9072" w:type="dxa"/>
            <w:shd w:val="clear" w:color="auto" w:fill="FFFFFF" w:themeFill="background1"/>
          </w:tcPr>
          <w:p w14:paraId="0FBF788D" w14:textId="77777777" w:rsidR="002E57F9" w:rsidRPr="0017133E" w:rsidRDefault="002E57F9" w:rsidP="002E57F9">
            <w:pPr>
              <w:shd w:val="clear" w:color="auto" w:fill="FFFFFF" w:themeFill="background1"/>
              <w:rPr>
                <w:b/>
                <w:szCs w:val="24"/>
              </w:rPr>
            </w:pPr>
            <w:r w:rsidRPr="0017133E">
              <w:rPr>
                <w:b/>
                <w:szCs w:val="24"/>
              </w:rPr>
              <w:t>Analiza učinaka primjene Zakona na zaštitu ljudskih prava</w:t>
            </w:r>
          </w:p>
        </w:tc>
      </w:tr>
      <w:tr w:rsidR="002E57F9" w:rsidRPr="00665B2E" w14:paraId="31E00F7C" w14:textId="77777777" w:rsidTr="00665B2E">
        <w:tc>
          <w:tcPr>
            <w:tcW w:w="851" w:type="dxa"/>
            <w:shd w:val="clear" w:color="auto" w:fill="FFFFFF" w:themeFill="background1"/>
          </w:tcPr>
          <w:p w14:paraId="3E694E98" w14:textId="77777777" w:rsidR="002E57F9" w:rsidRPr="00665B2E" w:rsidRDefault="002E57F9" w:rsidP="002E57F9">
            <w:pPr>
              <w:shd w:val="clear" w:color="auto" w:fill="FFFFFF" w:themeFill="background1"/>
            </w:pPr>
          </w:p>
        </w:tc>
        <w:tc>
          <w:tcPr>
            <w:tcW w:w="9072" w:type="dxa"/>
            <w:shd w:val="clear" w:color="auto" w:fill="FFFFFF" w:themeFill="background1"/>
          </w:tcPr>
          <w:p w14:paraId="68F8F51C" w14:textId="77777777" w:rsidR="002E57F9" w:rsidRPr="0017133E" w:rsidRDefault="002E57F9" w:rsidP="002E57F9">
            <w:pPr>
              <w:shd w:val="clear" w:color="auto" w:fill="FFFFFF" w:themeFill="background1"/>
              <w:spacing w:before="120" w:after="120"/>
              <w:jc w:val="both"/>
              <w:rPr>
                <w:rFonts w:eastAsia="Times New Roman"/>
                <w:i/>
                <w:iCs/>
                <w:szCs w:val="24"/>
                <w:bdr w:val="none" w:sz="0" w:space="0" w:color="auto" w:frame="1"/>
              </w:rPr>
            </w:pPr>
            <w:r w:rsidRPr="0017133E">
              <w:rPr>
                <w:szCs w:val="24"/>
              </w:rPr>
              <w:t>Primjena ovog Zakona nije utjecala na zaštitu ljudskih prava.</w:t>
            </w:r>
          </w:p>
        </w:tc>
      </w:tr>
    </w:tbl>
    <w:p w14:paraId="77E23BC3" w14:textId="77777777" w:rsidR="003223E0" w:rsidRPr="0017133E" w:rsidRDefault="003223E0" w:rsidP="00AC28A8">
      <w:pPr>
        <w:pStyle w:val="Naslov1"/>
      </w:pPr>
      <w:r w:rsidRPr="00665B2E">
        <w:t>4.</w:t>
      </w:r>
      <w:r w:rsidRPr="00665B2E">
        <w:tab/>
      </w:r>
      <w:r w:rsidRPr="0017133E">
        <w:t>SAVJETOVANJE I KONZULTACIJE</w:t>
      </w:r>
    </w:p>
    <w:tbl>
      <w:tblPr>
        <w:tblStyle w:val="Reetkatablice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2E57F9" w:rsidRPr="00665B2E" w14:paraId="201B230B" w14:textId="77777777" w:rsidTr="00665B2E">
        <w:trPr>
          <w:trHeight w:val="529"/>
        </w:trPr>
        <w:tc>
          <w:tcPr>
            <w:tcW w:w="851" w:type="dxa"/>
            <w:shd w:val="clear" w:color="auto" w:fill="FFFFFF" w:themeFill="background1"/>
          </w:tcPr>
          <w:p w14:paraId="421CA611" w14:textId="77777777" w:rsidR="002E57F9" w:rsidRPr="00665B2E" w:rsidRDefault="002E57F9" w:rsidP="002E57F9">
            <w:pPr>
              <w:shd w:val="clear" w:color="auto" w:fill="FFFFFF" w:themeFill="background1"/>
            </w:pPr>
          </w:p>
        </w:tc>
        <w:tc>
          <w:tcPr>
            <w:tcW w:w="9072" w:type="dxa"/>
            <w:shd w:val="clear" w:color="auto" w:fill="FFFFFF" w:themeFill="background1"/>
          </w:tcPr>
          <w:p w14:paraId="601BA879" w14:textId="77777777" w:rsidR="002E57F9" w:rsidRPr="00665B2E" w:rsidRDefault="002E57F9" w:rsidP="002E57F9">
            <w:pPr>
              <w:shd w:val="clear" w:color="auto" w:fill="FFFFFF" w:themeFill="background1"/>
              <w:spacing w:before="120" w:after="120"/>
              <w:jc w:val="both"/>
              <w:rPr>
                <w:rFonts w:ascii="Minion Pro" w:eastAsia="Times New Roman" w:hAnsi="Minion Pro"/>
                <w:i/>
                <w:iCs/>
                <w:sz w:val="18"/>
                <w:szCs w:val="18"/>
                <w:bdr w:val="none" w:sz="0" w:space="0" w:color="auto" w:frame="1"/>
              </w:rPr>
            </w:pPr>
          </w:p>
        </w:tc>
      </w:tr>
    </w:tbl>
    <w:p w14:paraId="233C67B7" w14:textId="77777777" w:rsidR="003223E0" w:rsidRPr="00665B2E" w:rsidRDefault="003223E0" w:rsidP="00AC28A8">
      <w:pPr>
        <w:pStyle w:val="Naslov1"/>
      </w:pPr>
      <w:r w:rsidRPr="00665B2E">
        <w:t>5.</w:t>
      </w:r>
      <w:r w:rsidRPr="00665B2E">
        <w:tab/>
        <w:t>PREPORUKA O DALJNJEM POSTUPANJU</w:t>
      </w:r>
    </w:p>
    <w:tbl>
      <w:tblPr>
        <w:tblStyle w:val="Reetkatablice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2E57F9" w:rsidRPr="00665B2E" w14:paraId="359B9178" w14:textId="77777777" w:rsidTr="00665B2E">
        <w:tc>
          <w:tcPr>
            <w:tcW w:w="851" w:type="dxa"/>
            <w:shd w:val="clear" w:color="auto" w:fill="FFFFFF" w:themeFill="background1"/>
          </w:tcPr>
          <w:p w14:paraId="00684D32" w14:textId="77777777" w:rsidR="002E57F9" w:rsidRPr="00665B2E" w:rsidRDefault="002E57F9" w:rsidP="002E57F9">
            <w:pPr>
              <w:shd w:val="clear" w:color="auto" w:fill="FFFFFF" w:themeFill="background1"/>
            </w:pPr>
            <w:bookmarkStart w:id="1" w:name="_Hlk191033711"/>
          </w:p>
        </w:tc>
        <w:tc>
          <w:tcPr>
            <w:tcW w:w="9072" w:type="dxa"/>
            <w:shd w:val="clear" w:color="auto" w:fill="FFFFFF" w:themeFill="background1"/>
          </w:tcPr>
          <w:p w14:paraId="3C6624B9" w14:textId="3776BE7E" w:rsidR="002E57F9" w:rsidRPr="00F74439" w:rsidRDefault="002E57F9" w:rsidP="002E57F9">
            <w:pPr>
              <w:shd w:val="clear" w:color="auto" w:fill="FFFFFF" w:themeFill="background1"/>
              <w:spacing w:before="120" w:after="120"/>
              <w:jc w:val="both"/>
            </w:pPr>
          </w:p>
        </w:tc>
      </w:tr>
    </w:tbl>
    <w:p w14:paraId="68D72A95" w14:textId="77777777" w:rsidR="003223E0" w:rsidRPr="00665B2E" w:rsidRDefault="003223E0" w:rsidP="00AC28A8">
      <w:pPr>
        <w:pStyle w:val="Naslov1"/>
      </w:pPr>
      <w:r w:rsidRPr="00665B2E">
        <w:t xml:space="preserve">6. </w:t>
      </w:r>
      <w:r w:rsidRPr="00665B2E">
        <w:tab/>
        <w:t>PRILOZI</w:t>
      </w:r>
    </w:p>
    <w:tbl>
      <w:tblPr>
        <w:tblStyle w:val="Reetkatablice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2E57F9" w:rsidRPr="00665B2E" w14:paraId="0E5619F9" w14:textId="77777777" w:rsidTr="00665B2E">
        <w:tc>
          <w:tcPr>
            <w:tcW w:w="851" w:type="dxa"/>
            <w:shd w:val="clear" w:color="auto" w:fill="FFFFFF" w:themeFill="background1"/>
          </w:tcPr>
          <w:p w14:paraId="10676029" w14:textId="77777777" w:rsidR="002E57F9" w:rsidRPr="00665B2E" w:rsidRDefault="002E57F9" w:rsidP="002E57F9">
            <w:pPr>
              <w:shd w:val="clear" w:color="auto" w:fill="FFFFFF" w:themeFill="background1"/>
            </w:pPr>
          </w:p>
        </w:tc>
        <w:tc>
          <w:tcPr>
            <w:tcW w:w="9072" w:type="dxa"/>
            <w:shd w:val="clear" w:color="auto" w:fill="FFFFFF" w:themeFill="background1"/>
          </w:tcPr>
          <w:p w14:paraId="68E0ACE7" w14:textId="77777777" w:rsidR="002E57F9" w:rsidRPr="00665B2E" w:rsidRDefault="002E57F9" w:rsidP="002E57F9">
            <w:pPr>
              <w:shd w:val="clear" w:color="auto" w:fill="FFFFFF" w:themeFill="background1"/>
              <w:spacing w:before="120" w:after="120"/>
              <w:jc w:val="both"/>
              <w:rPr>
                <w:i/>
              </w:rPr>
            </w:pPr>
          </w:p>
        </w:tc>
      </w:tr>
    </w:tbl>
    <w:p w14:paraId="20AFD5EA" w14:textId="77777777" w:rsidR="003223E0" w:rsidRPr="00665B2E" w:rsidRDefault="003223E0" w:rsidP="00AC28A8">
      <w:pPr>
        <w:pStyle w:val="Naslov1"/>
      </w:pPr>
      <w:r w:rsidRPr="00665B2E">
        <w:t xml:space="preserve">7. </w:t>
      </w:r>
      <w:r w:rsidRPr="00665B2E">
        <w:tab/>
        <w:t>POTPIS ČELNIKA TIJELA</w:t>
      </w:r>
    </w:p>
    <w:tbl>
      <w:tblPr>
        <w:tblStyle w:val="Reetkatablice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2E57F9" w:rsidRPr="00665B2E" w14:paraId="590D0CBE" w14:textId="77777777" w:rsidTr="00665B2E">
        <w:tc>
          <w:tcPr>
            <w:tcW w:w="851" w:type="dxa"/>
            <w:shd w:val="clear" w:color="auto" w:fill="FFFFFF" w:themeFill="background1"/>
          </w:tcPr>
          <w:p w14:paraId="27406C45" w14:textId="77777777" w:rsidR="002E57F9" w:rsidRPr="00665B2E" w:rsidRDefault="002E57F9" w:rsidP="002E57F9">
            <w:pPr>
              <w:shd w:val="clear" w:color="auto" w:fill="FFFFFF" w:themeFill="background1"/>
            </w:pPr>
          </w:p>
        </w:tc>
        <w:tc>
          <w:tcPr>
            <w:tcW w:w="9072" w:type="dxa"/>
            <w:shd w:val="clear" w:color="auto" w:fill="FFFFFF" w:themeFill="background1"/>
          </w:tcPr>
          <w:p w14:paraId="7AB759F6" w14:textId="4A9DC768" w:rsidR="005C26BD" w:rsidRPr="003223E0" w:rsidRDefault="002E57F9" w:rsidP="002E57F9">
            <w:pPr>
              <w:shd w:val="clear" w:color="auto" w:fill="FFFFFF" w:themeFill="background1"/>
              <w:spacing w:after="48"/>
              <w:textAlignment w:val="baseline"/>
              <w:rPr>
                <w:rFonts w:eastAsia="Times New Roman"/>
              </w:rPr>
            </w:pPr>
            <w:r w:rsidRPr="00665B2E">
              <w:rPr>
                <w:rFonts w:eastAsia="Times New Roman"/>
                <w:szCs w:val="24"/>
              </w:rPr>
              <w:t>Potpis</w:t>
            </w:r>
            <w:r w:rsidRPr="00BA55EE">
              <w:rPr>
                <w:rFonts w:eastAsia="Times New Roman"/>
                <w:szCs w:val="24"/>
              </w:rPr>
              <w:t>:</w:t>
            </w:r>
            <w:r w:rsidRPr="00BA55EE">
              <w:rPr>
                <w:rFonts w:eastAsia="Times New Roman"/>
              </w:rPr>
              <w:t xml:space="preserve"> </w:t>
            </w:r>
            <w:r w:rsidR="005C26BD" w:rsidRPr="00BA55EE">
              <w:rPr>
                <w:rFonts w:eastAsia="Times New Roman"/>
              </w:rPr>
              <w:t xml:space="preserve">Potpredsjednik Vlade Republike Hrvatske, Ministar financija  </w:t>
            </w:r>
          </w:p>
          <w:p w14:paraId="0970892E" w14:textId="14AE3FA3" w:rsidR="002E57F9" w:rsidRDefault="005C26BD" w:rsidP="003223E0">
            <w:pPr>
              <w:shd w:val="clear" w:color="auto" w:fill="FFFFFF" w:themeFill="background1"/>
              <w:spacing w:after="48"/>
              <w:textAlignment w:val="baseline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</w:t>
            </w:r>
            <w:r w:rsidR="002E57F9" w:rsidRPr="00204879">
              <w:rPr>
                <w:rFonts w:eastAsia="Times New Roman"/>
              </w:rPr>
              <w:t xml:space="preserve">dr. sc. Marko </w:t>
            </w:r>
            <w:r w:rsidR="002E57F9">
              <w:rPr>
                <w:rFonts w:eastAsia="Times New Roman"/>
              </w:rPr>
              <w:t xml:space="preserve">Primorac </w:t>
            </w:r>
          </w:p>
          <w:p w14:paraId="7F1A2DEF" w14:textId="77777777" w:rsidR="003223E0" w:rsidRPr="003223E0" w:rsidRDefault="003223E0" w:rsidP="003223E0">
            <w:pPr>
              <w:shd w:val="clear" w:color="auto" w:fill="FFFFFF" w:themeFill="background1"/>
              <w:spacing w:after="48"/>
              <w:textAlignment w:val="baseline"/>
              <w:rPr>
                <w:rFonts w:eastAsia="Times New Roman"/>
              </w:rPr>
            </w:pPr>
          </w:p>
          <w:p w14:paraId="11CF4EC1" w14:textId="7BCC0A95" w:rsidR="002E57F9" w:rsidRPr="003223E0" w:rsidRDefault="002E57F9" w:rsidP="003223E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665B2E">
              <w:rPr>
                <w:rFonts w:eastAsia="Times New Roman"/>
                <w:szCs w:val="24"/>
              </w:rPr>
              <w:t>Datum:</w:t>
            </w:r>
            <w:r>
              <w:rPr>
                <w:rFonts w:eastAsia="Times New Roman"/>
                <w:color w:val="FF0000"/>
              </w:rPr>
              <w:t xml:space="preserve"> </w:t>
            </w:r>
            <w:r w:rsidR="00BA55EE">
              <w:rPr>
                <w:rFonts w:eastAsia="Times New Roman"/>
              </w:rPr>
              <w:t>4</w:t>
            </w:r>
            <w:r w:rsidR="00CB0126">
              <w:rPr>
                <w:rFonts w:eastAsia="Times New Roman"/>
              </w:rPr>
              <w:t xml:space="preserve">. </w:t>
            </w:r>
            <w:r w:rsidR="00BA55EE">
              <w:rPr>
                <w:rFonts w:eastAsia="Times New Roman"/>
              </w:rPr>
              <w:t>ožujka</w:t>
            </w:r>
            <w:r w:rsidRPr="00665B2E">
              <w:rPr>
                <w:rFonts w:eastAsia="Times New Roman"/>
              </w:rPr>
              <w:t xml:space="preserve"> 20</w:t>
            </w:r>
            <w:r>
              <w:rPr>
                <w:rFonts w:eastAsia="Times New Roman"/>
              </w:rPr>
              <w:t>25</w:t>
            </w:r>
            <w:r w:rsidRPr="00665B2E">
              <w:rPr>
                <w:rFonts w:eastAsia="Times New Roman"/>
              </w:rPr>
              <w:t>.</w:t>
            </w:r>
          </w:p>
        </w:tc>
      </w:tr>
      <w:bookmarkEnd w:id="1"/>
    </w:tbl>
    <w:p w14:paraId="456EA609" w14:textId="77777777" w:rsidR="00665B2E" w:rsidRPr="00BA55EE" w:rsidRDefault="00665B2E" w:rsidP="00D17965">
      <w:pPr>
        <w:shd w:val="clear" w:color="auto" w:fill="FFFFFF" w:themeFill="background1"/>
      </w:pPr>
    </w:p>
    <w:sectPr w:rsidR="00665B2E" w:rsidRPr="00BA5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 Cond">
    <w:altName w:val="Times New Roman"/>
    <w:charset w:val="00"/>
    <w:family w:val="auto"/>
    <w:pitch w:val="default"/>
  </w:font>
  <w:font w:name="Minion Pro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9136E"/>
    <w:multiLevelType w:val="hybridMultilevel"/>
    <w:tmpl w:val="92F2D0EE"/>
    <w:lvl w:ilvl="0" w:tplc="2D36C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FB73A1"/>
    <w:multiLevelType w:val="hybridMultilevel"/>
    <w:tmpl w:val="774E52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905DF"/>
    <w:multiLevelType w:val="hybridMultilevel"/>
    <w:tmpl w:val="528678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C8275F"/>
    <w:multiLevelType w:val="hybridMultilevel"/>
    <w:tmpl w:val="C23887B0"/>
    <w:lvl w:ilvl="0" w:tplc="909AE3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269924">
    <w:abstractNumId w:val="0"/>
  </w:num>
  <w:num w:numId="2" w16cid:durableId="19615651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721383">
    <w:abstractNumId w:val="1"/>
  </w:num>
  <w:num w:numId="4" w16cid:durableId="5441770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BB"/>
    <w:rsid w:val="000213BB"/>
    <w:rsid w:val="000523F6"/>
    <w:rsid w:val="000765A0"/>
    <w:rsid w:val="000A249E"/>
    <w:rsid w:val="000D1E2A"/>
    <w:rsid w:val="00137508"/>
    <w:rsid w:val="00140E2C"/>
    <w:rsid w:val="00151C06"/>
    <w:rsid w:val="0016386E"/>
    <w:rsid w:val="00166700"/>
    <w:rsid w:val="0017133E"/>
    <w:rsid w:val="001B38B8"/>
    <w:rsid w:val="001C157D"/>
    <w:rsid w:val="001D1AFC"/>
    <w:rsid w:val="001D61EE"/>
    <w:rsid w:val="001F698C"/>
    <w:rsid w:val="00204879"/>
    <w:rsid w:val="0022020B"/>
    <w:rsid w:val="002203AE"/>
    <w:rsid w:val="00221CF8"/>
    <w:rsid w:val="00241385"/>
    <w:rsid w:val="00241FF1"/>
    <w:rsid w:val="00243244"/>
    <w:rsid w:val="00261467"/>
    <w:rsid w:val="00281217"/>
    <w:rsid w:val="0028460E"/>
    <w:rsid w:val="002916A5"/>
    <w:rsid w:val="002D6825"/>
    <w:rsid w:val="002E57F9"/>
    <w:rsid w:val="002F4A4C"/>
    <w:rsid w:val="00303E69"/>
    <w:rsid w:val="00315959"/>
    <w:rsid w:val="003223E0"/>
    <w:rsid w:val="00322F6D"/>
    <w:rsid w:val="00336E11"/>
    <w:rsid w:val="0034008C"/>
    <w:rsid w:val="00343058"/>
    <w:rsid w:val="00343B29"/>
    <w:rsid w:val="00344BB8"/>
    <w:rsid w:val="00353122"/>
    <w:rsid w:val="00364CC7"/>
    <w:rsid w:val="00386BD3"/>
    <w:rsid w:val="003B41D3"/>
    <w:rsid w:val="003C160C"/>
    <w:rsid w:val="00400541"/>
    <w:rsid w:val="004039FA"/>
    <w:rsid w:val="004121FB"/>
    <w:rsid w:val="00467481"/>
    <w:rsid w:val="00472E8C"/>
    <w:rsid w:val="0049258D"/>
    <w:rsid w:val="00497EB9"/>
    <w:rsid w:val="004B3D5B"/>
    <w:rsid w:val="004E1435"/>
    <w:rsid w:val="004E2CED"/>
    <w:rsid w:val="005033A4"/>
    <w:rsid w:val="00510869"/>
    <w:rsid w:val="00517D73"/>
    <w:rsid w:val="00521FED"/>
    <w:rsid w:val="00574BFF"/>
    <w:rsid w:val="0058678C"/>
    <w:rsid w:val="005C26BD"/>
    <w:rsid w:val="00665B2E"/>
    <w:rsid w:val="00687061"/>
    <w:rsid w:val="006B0ED9"/>
    <w:rsid w:val="006B1D37"/>
    <w:rsid w:val="006F60D4"/>
    <w:rsid w:val="006F64D2"/>
    <w:rsid w:val="007225CD"/>
    <w:rsid w:val="007309A4"/>
    <w:rsid w:val="00773CEB"/>
    <w:rsid w:val="00786B6E"/>
    <w:rsid w:val="00786E18"/>
    <w:rsid w:val="007A7A6D"/>
    <w:rsid w:val="007B0989"/>
    <w:rsid w:val="007C5514"/>
    <w:rsid w:val="008300E0"/>
    <w:rsid w:val="00835F68"/>
    <w:rsid w:val="00851B4E"/>
    <w:rsid w:val="00856324"/>
    <w:rsid w:val="00862A99"/>
    <w:rsid w:val="00866107"/>
    <w:rsid w:val="008703B5"/>
    <w:rsid w:val="008B1463"/>
    <w:rsid w:val="008C3B31"/>
    <w:rsid w:val="008F2540"/>
    <w:rsid w:val="0090147A"/>
    <w:rsid w:val="00905FE3"/>
    <w:rsid w:val="00911E29"/>
    <w:rsid w:val="00937439"/>
    <w:rsid w:val="00967DBF"/>
    <w:rsid w:val="00972173"/>
    <w:rsid w:val="00992617"/>
    <w:rsid w:val="0099292F"/>
    <w:rsid w:val="0099742C"/>
    <w:rsid w:val="009A3D7E"/>
    <w:rsid w:val="009A6225"/>
    <w:rsid w:val="00A0267F"/>
    <w:rsid w:val="00A031AA"/>
    <w:rsid w:val="00A03CEC"/>
    <w:rsid w:val="00A12090"/>
    <w:rsid w:val="00A243F8"/>
    <w:rsid w:val="00A433CF"/>
    <w:rsid w:val="00A43E60"/>
    <w:rsid w:val="00A572CD"/>
    <w:rsid w:val="00A70780"/>
    <w:rsid w:val="00A862D1"/>
    <w:rsid w:val="00A91DAE"/>
    <w:rsid w:val="00AA4A7A"/>
    <w:rsid w:val="00AB54A1"/>
    <w:rsid w:val="00AC28A8"/>
    <w:rsid w:val="00AE050F"/>
    <w:rsid w:val="00B71262"/>
    <w:rsid w:val="00B73AC1"/>
    <w:rsid w:val="00BA55EE"/>
    <w:rsid w:val="00BB2AA6"/>
    <w:rsid w:val="00C61020"/>
    <w:rsid w:val="00C92172"/>
    <w:rsid w:val="00CB0126"/>
    <w:rsid w:val="00CC2401"/>
    <w:rsid w:val="00CF7E4C"/>
    <w:rsid w:val="00D17965"/>
    <w:rsid w:val="00D5585E"/>
    <w:rsid w:val="00D61C08"/>
    <w:rsid w:val="00D80283"/>
    <w:rsid w:val="00D82708"/>
    <w:rsid w:val="00DA4A48"/>
    <w:rsid w:val="00DB32C0"/>
    <w:rsid w:val="00DB53A3"/>
    <w:rsid w:val="00DC2D0C"/>
    <w:rsid w:val="00DC4371"/>
    <w:rsid w:val="00DD59C6"/>
    <w:rsid w:val="00DE7E3E"/>
    <w:rsid w:val="00DF75FB"/>
    <w:rsid w:val="00E40728"/>
    <w:rsid w:val="00E51858"/>
    <w:rsid w:val="00E54379"/>
    <w:rsid w:val="00EB5B21"/>
    <w:rsid w:val="00EB7A78"/>
    <w:rsid w:val="00EC08CA"/>
    <w:rsid w:val="00ED2278"/>
    <w:rsid w:val="00ED7174"/>
    <w:rsid w:val="00EE7DB7"/>
    <w:rsid w:val="00F12CAE"/>
    <w:rsid w:val="00F21363"/>
    <w:rsid w:val="00F33B16"/>
    <w:rsid w:val="00F33E3D"/>
    <w:rsid w:val="00F41AFC"/>
    <w:rsid w:val="00F557A3"/>
    <w:rsid w:val="00F55B72"/>
    <w:rsid w:val="00F70F91"/>
    <w:rsid w:val="00F74439"/>
    <w:rsid w:val="00FA3DC9"/>
    <w:rsid w:val="00FB0CA0"/>
    <w:rsid w:val="00FB1A2E"/>
    <w:rsid w:val="00FB1EB1"/>
    <w:rsid w:val="00FF4CF9"/>
    <w:rsid w:val="00FF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2B4C2"/>
  <w15:docId w15:val="{AC7891F5-FF41-4471-85F5-134B3CCC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3BB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AC28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link w:val="Naslov3Char"/>
    <w:uiPriority w:val="9"/>
    <w:qFormat/>
    <w:rsid w:val="00221CF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021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497EB9"/>
    <w:pPr>
      <w:jc w:val="center"/>
    </w:pPr>
    <w:rPr>
      <w:rFonts w:eastAsia="Times New Roman"/>
      <w:b/>
      <w:bCs/>
      <w:szCs w:val="24"/>
    </w:rPr>
  </w:style>
  <w:style w:type="character" w:customStyle="1" w:styleId="NaslovChar">
    <w:name w:val="Naslov Char"/>
    <w:basedOn w:val="Zadanifontodlomka"/>
    <w:link w:val="Naslov"/>
    <w:rsid w:val="00497EB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Bodytext1">
    <w:name w:val="Body text|1_"/>
    <w:basedOn w:val="Zadanifontodlomka"/>
    <w:link w:val="Bodytext10"/>
    <w:rsid w:val="00A12090"/>
    <w:rPr>
      <w:rFonts w:ascii="Arial" w:eastAsia="Arial" w:hAnsi="Arial" w:cs="Arial"/>
      <w:sz w:val="18"/>
    </w:rPr>
  </w:style>
  <w:style w:type="paragraph" w:customStyle="1" w:styleId="Bodytext10">
    <w:name w:val="Body text|1"/>
    <w:basedOn w:val="Normal"/>
    <w:link w:val="Bodytext1"/>
    <w:rsid w:val="00A12090"/>
    <w:pPr>
      <w:widowControl w:val="0"/>
      <w:spacing w:after="220" w:line="276" w:lineRule="auto"/>
    </w:pPr>
    <w:rPr>
      <w:rFonts w:ascii="Arial" w:eastAsia="Arial" w:hAnsi="Arial" w:cs="Arial"/>
      <w:sz w:val="18"/>
      <w:lang w:eastAsia="en-US"/>
    </w:rPr>
  </w:style>
  <w:style w:type="character" w:styleId="Naglaeno">
    <w:name w:val="Strong"/>
    <w:basedOn w:val="Zadanifontodlomka"/>
    <w:uiPriority w:val="22"/>
    <w:qFormat/>
    <w:rsid w:val="00687061"/>
    <w:rPr>
      <w:b/>
      <w:bCs/>
    </w:rPr>
  </w:style>
  <w:style w:type="paragraph" w:styleId="Odlomakpopisa">
    <w:name w:val="List Paragraph"/>
    <w:basedOn w:val="Normal"/>
    <w:uiPriority w:val="34"/>
    <w:qFormat/>
    <w:rsid w:val="001D1AFC"/>
    <w:pPr>
      <w:ind w:left="720"/>
    </w:pPr>
    <w:rPr>
      <w:rFonts w:ascii="Calibri" w:eastAsiaTheme="minorHAnsi" w:hAnsi="Calibri" w:cs="Calibri"/>
      <w:sz w:val="22"/>
      <w:lang w:eastAsia="en-US"/>
      <w14:ligatures w14:val="standardContextual"/>
    </w:rPr>
  </w:style>
  <w:style w:type="character" w:styleId="Istaknuto">
    <w:name w:val="Emphasis"/>
    <w:basedOn w:val="Zadanifontodlomka"/>
    <w:uiPriority w:val="20"/>
    <w:qFormat/>
    <w:rsid w:val="00A433CF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221CF8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A91DA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A91DA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A91DAE"/>
    <w:rPr>
      <w:rFonts w:ascii="Times New Roman" w:eastAsia="Calibri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91DA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91DAE"/>
    <w:rPr>
      <w:rFonts w:ascii="Times New Roman" w:eastAsia="Calibri" w:hAnsi="Times New Roman" w:cs="Times New Roman"/>
      <w:b/>
      <w:bCs/>
      <w:sz w:val="20"/>
      <w:szCs w:val="20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AC28A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5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1731</Words>
  <Characters>9870</Characters>
  <Application>Microsoft Office Word</Application>
  <DocSecurity>0</DocSecurity>
  <Lines>82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11578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</dc:creator>
  <cp:lastModifiedBy>Monika Prekrat</cp:lastModifiedBy>
  <cp:revision>3</cp:revision>
  <cp:lastPrinted>2025-04-01T11:40:00Z</cp:lastPrinted>
  <dcterms:created xsi:type="dcterms:W3CDTF">2025-04-01T11:04:00Z</dcterms:created>
  <dcterms:modified xsi:type="dcterms:W3CDTF">2025-04-01T11:46:00Z</dcterms:modified>
</cp:coreProperties>
</file>