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D4E55" w14:textId="2378D1E6" w:rsidR="002A03CE" w:rsidRPr="002A03CE" w:rsidRDefault="002A03CE" w:rsidP="002A03CE">
      <w:pPr>
        <w:pStyle w:val="Naslov1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3E47468" w14:textId="77777777" w:rsidR="006D0660" w:rsidRDefault="006D0660" w:rsidP="006D0660">
      <w:pPr>
        <w:pStyle w:val="Naslov"/>
      </w:pPr>
      <w:bookmarkStart w:id="0" w:name="_Hlk157685030"/>
      <w:r w:rsidRPr="00127FD2">
        <w:t>OBRAZAC ISKAZA O PROCJENI UČINAKA PROPISA</w:t>
      </w:r>
    </w:p>
    <w:p w14:paraId="60290002" w14:textId="77777777" w:rsidR="006D0660" w:rsidRPr="006D0660" w:rsidRDefault="006D0660" w:rsidP="006D0660"/>
    <w:p w14:paraId="262BDBC0" w14:textId="77777777" w:rsidR="006D0660" w:rsidRDefault="006D0660" w:rsidP="006D0660">
      <w:pPr>
        <w:pStyle w:val="Naslov1"/>
      </w:pPr>
      <w:r w:rsidRPr="00127FD2">
        <w:t>1.</w:t>
      </w:r>
      <w:r w:rsidRPr="00127FD2">
        <w:tab/>
        <w:t>OPĆE INFORMACIJE</w:t>
      </w:r>
    </w:p>
    <w:p w14:paraId="282B956F" w14:textId="77777777" w:rsidR="006D0660" w:rsidRPr="00127FD2" w:rsidRDefault="006D0660" w:rsidP="003C5672">
      <w:pPr>
        <w:tabs>
          <w:tab w:val="left" w:pos="674"/>
        </w:tabs>
        <w:ind w:left="-176"/>
        <w:rPr>
          <w:b/>
        </w:rPr>
      </w:pP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1560"/>
        <w:gridCol w:w="4819"/>
      </w:tblGrid>
      <w:tr w:rsidR="00FB4F83" w:rsidRPr="00127FD2" w14:paraId="54BD13CA" w14:textId="77777777" w:rsidTr="003C5672">
        <w:tc>
          <w:tcPr>
            <w:tcW w:w="850" w:type="dxa"/>
          </w:tcPr>
          <w:p w14:paraId="7F02185C" w14:textId="77777777" w:rsidR="00FB4F83" w:rsidRPr="00127FD2" w:rsidRDefault="00FB4F83" w:rsidP="003C5672">
            <w:r>
              <w:t>1.1.</w:t>
            </w:r>
          </w:p>
        </w:tc>
        <w:tc>
          <w:tcPr>
            <w:tcW w:w="2694" w:type="dxa"/>
          </w:tcPr>
          <w:p w14:paraId="0E6D8AD8" w14:textId="77777777" w:rsidR="00FB4F83" w:rsidRPr="00127FD2" w:rsidRDefault="00FB4F83" w:rsidP="003C5672">
            <w:r>
              <w:t>Stručni nositelj: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1B74390B" w14:textId="7CE53CFF" w:rsidR="00FB4F83" w:rsidRPr="00127FD2" w:rsidRDefault="00D64744" w:rsidP="003C5672">
            <w:r>
              <w:t>Ministarstvo financija</w:t>
            </w:r>
          </w:p>
        </w:tc>
      </w:tr>
      <w:tr w:rsidR="00FB4F83" w:rsidRPr="00127FD2" w14:paraId="19BB89AF" w14:textId="77777777" w:rsidTr="003C5672">
        <w:tc>
          <w:tcPr>
            <w:tcW w:w="850" w:type="dxa"/>
          </w:tcPr>
          <w:p w14:paraId="74AD2072" w14:textId="77777777" w:rsidR="00FB4F83" w:rsidRPr="00127FD2" w:rsidRDefault="00FB4F83" w:rsidP="003C5672">
            <w:r>
              <w:t>1.2</w:t>
            </w:r>
            <w:r w:rsidRPr="00127FD2">
              <w:t>.</w:t>
            </w:r>
          </w:p>
        </w:tc>
        <w:tc>
          <w:tcPr>
            <w:tcW w:w="2694" w:type="dxa"/>
          </w:tcPr>
          <w:p w14:paraId="30C29D1E" w14:textId="77777777" w:rsidR="00FB4F83" w:rsidRPr="00127FD2" w:rsidRDefault="00FB4F83" w:rsidP="003C5672">
            <w:r w:rsidRPr="00127FD2">
              <w:t>Naziv</w:t>
            </w:r>
            <w:r>
              <w:t xml:space="preserve"> propisa</w:t>
            </w:r>
            <w:r w:rsidRPr="00127FD2">
              <w:t>: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35124A5C" w14:textId="16BD2E9D" w:rsidR="00FB4F83" w:rsidRPr="00127FD2" w:rsidRDefault="00A0506F" w:rsidP="003C5672">
            <w:r>
              <w:t xml:space="preserve">Nacrt prijedloga zakona o izmjeni Zakona </w:t>
            </w:r>
            <w:r w:rsidR="009747E0">
              <w:t>o administrativnoj suradnji u području poreza</w:t>
            </w:r>
          </w:p>
        </w:tc>
      </w:tr>
      <w:tr w:rsidR="00FB4F83" w:rsidRPr="00127FD2" w14:paraId="641E11A2" w14:textId="77777777" w:rsidTr="003C5672">
        <w:tc>
          <w:tcPr>
            <w:tcW w:w="850" w:type="dxa"/>
          </w:tcPr>
          <w:p w14:paraId="4A9DC562" w14:textId="77777777" w:rsidR="00FB4F83" w:rsidRPr="00127FD2" w:rsidRDefault="00FB4F83" w:rsidP="003C5672">
            <w:r>
              <w:t>1.3</w:t>
            </w:r>
            <w:r w:rsidRPr="00127FD2">
              <w:t>.</w:t>
            </w:r>
          </w:p>
        </w:tc>
        <w:tc>
          <w:tcPr>
            <w:tcW w:w="2694" w:type="dxa"/>
          </w:tcPr>
          <w:p w14:paraId="21AA0D08" w14:textId="77777777" w:rsidR="00FB4F83" w:rsidRPr="00127FD2" w:rsidRDefault="00FB4F83" w:rsidP="003C5672">
            <w:r w:rsidRPr="00127FD2">
              <w:t>Program rada Vlade Republike Hrvatske, akt</w:t>
            </w:r>
            <w:r>
              <w:t xml:space="preserve"> strateškog</w:t>
            </w:r>
            <w:r w:rsidRPr="00127FD2">
              <w:t xml:space="preserve"> planiranja ili reformska mjera:</w:t>
            </w:r>
          </w:p>
        </w:tc>
        <w:tc>
          <w:tcPr>
            <w:tcW w:w="1560" w:type="dxa"/>
            <w:shd w:val="clear" w:color="auto" w:fill="auto"/>
          </w:tcPr>
          <w:p w14:paraId="13C2A9E0" w14:textId="77777777" w:rsidR="00FB4F83" w:rsidRPr="00127FD2" w:rsidRDefault="00FB4F83" w:rsidP="003C5672">
            <w:r w:rsidRPr="00127FD2">
              <w:t>Da/Ne:</w:t>
            </w:r>
          </w:p>
          <w:p w14:paraId="2DFBB22B" w14:textId="25480422" w:rsidR="00FB4F83" w:rsidRPr="00127FD2" w:rsidRDefault="00D64744" w:rsidP="003C5672">
            <w:r>
              <w:t>Ne</w:t>
            </w:r>
          </w:p>
        </w:tc>
        <w:tc>
          <w:tcPr>
            <w:tcW w:w="4819" w:type="dxa"/>
            <w:shd w:val="clear" w:color="auto" w:fill="auto"/>
          </w:tcPr>
          <w:p w14:paraId="2BEEF383" w14:textId="77777777" w:rsidR="00FB4F83" w:rsidRPr="00127FD2" w:rsidRDefault="00FB4F83" w:rsidP="003C5672">
            <w:r w:rsidRPr="00127FD2">
              <w:t>Naziv akta:</w:t>
            </w:r>
          </w:p>
          <w:p w14:paraId="0900C4E8" w14:textId="77777777" w:rsidR="00FB4F83" w:rsidRPr="00127FD2" w:rsidRDefault="00FB4F83" w:rsidP="003C5672"/>
          <w:p w14:paraId="7D8EA35D" w14:textId="77777777" w:rsidR="00FB4F83" w:rsidRPr="00127FD2" w:rsidRDefault="00FB4F83" w:rsidP="003C5672">
            <w:r w:rsidRPr="00127FD2">
              <w:t>Opis mjere:</w:t>
            </w:r>
          </w:p>
        </w:tc>
      </w:tr>
      <w:tr w:rsidR="00FB4F83" w:rsidRPr="00127FD2" w14:paraId="4F750B0A" w14:textId="77777777" w:rsidTr="003C5672">
        <w:tc>
          <w:tcPr>
            <w:tcW w:w="850" w:type="dxa"/>
          </w:tcPr>
          <w:p w14:paraId="70974E96" w14:textId="77777777" w:rsidR="00FB4F83" w:rsidRPr="00127FD2" w:rsidRDefault="00FB4F83" w:rsidP="003C5672">
            <w:r>
              <w:t>1.4</w:t>
            </w:r>
            <w:r w:rsidRPr="00127FD2">
              <w:t>.</w:t>
            </w:r>
          </w:p>
        </w:tc>
        <w:tc>
          <w:tcPr>
            <w:tcW w:w="2694" w:type="dxa"/>
          </w:tcPr>
          <w:p w14:paraId="77AECF6B" w14:textId="77777777" w:rsidR="00FB4F83" w:rsidRPr="00127FD2" w:rsidRDefault="00FB4F83" w:rsidP="003C5672">
            <w:r w:rsidRPr="00127FD2">
              <w:t>Plan usklađivanja zakonodavstva Republike Hrvatske s pravnom stečevinom Europske unije</w:t>
            </w:r>
          </w:p>
        </w:tc>
        <w:tc>
          <w:tcPr>
            <w:tcW w:w="1560" w:type="dxa"/>
            <w:shd w:val="clear" w:color="auto" w:fill="auto"/>
          </w:tcPr>
          <w:p w14:paraId="085830B0" w14:textId="77777777" w:rsidR="00FB4F83" w:rsidRPr="00127FD2" w:rsidRDefault="00FB4F83" w:rsidP="003C5672">
            <w:r w:rsidRPr="00127FD2">
              <w:t>Da/Ne:</w:t>
            </w:r>
          </w:p>
          <w:p w14:paraId="3A508A4F" w14:textId="3F5D5682" w:rsidR="00FB4F83" w:rsidRPr="00127FD2" w:rsidRDefault="009747E0" w:rsidP="003C5672">
            <w:r>
              <w:t>Da</w:t>
            </w:r>
          </w:p>
        </w:tc>
        <w:tc>
          <w:tcPr>
            <w:tcW w:w="4819" w:type="dxa"/>
            <w:shd w:val="clear" w:color="auto" w:fill="auto"/>
          </w:tcPr>
          <w:p w14:paraId="10ECA08C" w14:textId="77777777" w:rsidR="00FB4F83" w:rsidRDefault="00FB4F83" w:rsidP="003C5672">
            <w:r w:rsidRPr="00127FD2">
              <w:t>Naziv pravne stečevine:</w:t>
            </w:r>
          </w:p>
          <w:p w14:paraId="756036A5" w14:textId="4DD2F2C0" w:rsidR="00EF64A6" w:rsidRDefault="00F24A95" w:rsidP="00F24A95">
            <w:pPr>
              <w:jc w:val="both"/>
            </w:pPr>
            <w:r>
              <w:t xml:space="preserve">Direktiva Vijeća (EU) 2023/2226 od 17. listopada 2023. o izmjeni Direktive 2011/16/EU o administrativnoj suradnji u području oporezivanja </w:t>
            </w:r>
          </w:p>
          <w:p w14:paraId="3D597C3B" w14:textId="77777777" w:rsidR="00C75074" w:rsidRDefault="00C75074" w:rsidP="00F24A9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Uredba Vijeća (EU) 2025/517 od 11. ožujka 2025. o izmjeni Uredbe (EU) br. 904/2010 o administrativnoj suradnji i suzbijanju prijevare u području poreza na dodanu vrijednost potrebnih u digitalno doba  </w:t>
            </w:r>
          </w:p>
          <w:p w14:paraId="3ED6BF48" w14:textId="1B004F41" w:rsidR="006F7C01" w:rsidRPr="00127FD2" w:rsidRDefault="006F7C01" w:rsidP="00F24A95">
            <w:pPr>
              <w:jc w:val="both"/>
            </w:pPr>
            <w:r>
              <w:rPr>
                <w:szCs w:val="24"/>
              </w:rPr>
              <w:t>Direktiva Vijeća (EU)</w:t>
            </w:r>
            <w:r w:rsidR="00635C69">
              <w:rPr>
                <w:szCs w:val="24"/>
              </w:rPr>
              <w:t xml:space="preserve"> 2025/872 od 14. travnja 2025.</w:t>
            </w:r>
            <w:bookmarkStart w:id="1" w:name="_Hlk196381122"/>
            <w:r w:rsidR="00635C6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 izmjeni Direktive 2011/16/EU o administrativnoj suradnji u području oporezivanja </w:t>
            </w:r>
            <w:bookmarkEnd w:id="1"/>
          </w:p>
        </w:tc>
      </w:tr>
    </w:tbl>
    <w:p w14:paraId="36703D89" w14:textId="77777777" w:rsidR="006D0660" w:rsidRPr="00127FD2" w:rsidRDefault="006D0660" w:rsidP="006D0660">
      <w:pPr>
        <w:pStyle w:val="Naslov1"/>
      </w:pPr>
      <w:r w:rsidRPr="00127FD2">
        <w:t>2.</w:t>
      </w:r>
      <w:r w:rsidRPr="00127FD2">
        <w:tab/>
      </w:r>
      <w:r>
        <w:t xml:space="preserve">UTVRĐIVANJE </w:t>
      </w:r>
      <w:r w:rsidRPr="00127FD2">
        <w:t>PROBLEM</w:t>
      </w:r>
      <w:r>
        <w:t>A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FB4F83" w:rsidRPr="00127FD2" w14:paraId="2780EB2C" w14:textId="77777777" w:rsidTr="003C5672">
        <w:trPr>
          <w:trHeight w:val="410"/>
        </w:trPr>
        <w:tc>
          <w:tcPr>
            <w:tcW w:w="850" w:type="dxa"/>
          </w:tcPr>
          <w:p w14:paraId="23BAD007" w14:textId="77777777" w:rsidR="00FB4F83" w:rsidRPr="00127FD2" w:rsidRDefault="00FB4F83" w:rsidP="003C5672">
            <w:pPr>
              <w:jc w:val="both"/>
            </w:pPr>
            <w:r w:rsidRPr="00127FD2">
              <w:t>2.1.</w:t>
            </w:r>
          </w:p>
        </w:tc>
        <w:tc>
          <w:tcPr>
            <w:tcW w:w="9073" w:type="dxa"/>
          </w:tcPr>
          <w:p w14:paraId="25B8A2D7" w14:textId="547A03C7" w:rsidR="00FA1720" w:rsidRDefault="00FA1720" w:rsidP="00FA1720">
            <w:pPr>
              <w:jc w:val="both"/>
              <w:rPr>
                <w:szCs w:val="24"/>
              </w:rPr>
            </w:pPr>
            <w:r>
              <w:rPr>
                <w:bCs/>
                <w:iCs/>
              </w:rPr>
              <w:t xml:space="preserve">Zakon o administrativnoj suradnji potrebno je uskladiti s </w:t>
            </w:r>
            <w:r>
              <w:t xml:space="preserve">Direktivom Vijeća (EU) 2023/2226 od 17. listopada 2023. o izmjeni Direktive 2011/16/EU o administrativnoj suradnji u području oporezivanja,  </w:t>
            </w:r>
            <w:r>
              <w:rPr>
                <w:szCs w:val="24"/>
              </w:rPr>
              <w:t xml:space="preserve">Direktivom Vijeća (EU) 2025/872 od 14. travnja 2025. o izmjeni Direktive 2011/16/EU o administrativnoj suradnji u području oporezivanja te osigurati provedbu Uredbe Vijeća (EU) 2025/517 od 11. ožujka 2025. o izmjeni Uredbe (EU) br. 904/2010 o administrativnoj suradnji i suzbijanju prijevare u području poreza na dodanu vrijednost potrebnih u digitalno doba  u skladu s obvezama koje je Republika Hrvatska preuzela na temelju punopravnog članstva u Europskoj uniji. </w:t>
            </w:r>
          </w:p>
          <w:p w14:paraId="77177EC0" w14:textId="77777777" w:rsidR="00FA1720" w:rsidRDefault="00FA1720" w:rsidP="00FA1720">
            <w:pPr>
              <w:jc w:val="both"/>
              <w:rPr>
                <w:szCs w:val="24"/>
              </w:rPr>
            </w:pPr>
          </w:p>
          <w:p w14:paraId="032178DC" w14:textId="60A0799E" w:rsidR="00E7420D" w:rsidRPr="00E7420D" w:rsidRDefault="00E7420D" w:rsidP="00E7420D">
            <w:pPr>
              <w:jc w:val="both"/>
              <w:rPr>
                <w:bCs/>
                <w:iCs/>
              </w:rPr>
            </w:pPr>
            <w:r w:rsidRPr="00E7420D">
              <w:rPr>
                <w:bCs/>
                <w:iCs/>
              </w:rPr>
              <w:t>Novi modeli poslovanja brzo se razvijaju i postojeće odredbe D</w:t>
            </w:r>
            <w:r>
              <w:rPr>
                <w:bCs/>
                <w:iCs/>
              </w:rPr>
              <w:t>irektive 2011/16/EU</w:t>
            </w:r>
            <w:r w:rsidR="002469F1">
              <w:rPr>
                <w:bCs/>
                <w:iCs/>
              </w:rPr>
              <w:t xml:space="preserve"> </w:t>
            </w:r>
            <w:r w:rsidRPr="00E7420D">
              <w:rPr>
                <w:bCs/>
                <w:iCs/>
              </w:rPr>
              <w:t xml:space="preserve">nisu dostatne u smislu ispunjavanja cilja administrativne suradnje. Konkretno, u okviru razmjene informacija nije obuhvaćena pojava alternativnih sredstava plaćanja i ulaganja, kao što je </w:t>
            </w:r>
            <w:proofErr w:type="spellStart"/>
            <w:r w:rsidRPr="003F384E">
              <w:rPr>
                <w:bCs/>
                <w:iCs/>
              </w:rPr>
              <w:t>kriptoimovina</w:t>
            </w:r>
            <w:proofErr w:type="spellEnd"/>
            <w:r w:rsidRPr="00E7420D">
              <w:rPr>
                <w:bCs/>
                <w:iCs/>
              </w:rPr>
              <w:t xml:space="preserve">. </w:t>
            </w:r>
            <w:r w:rsidR="003F384E">
              <w:rPr>
                <w:bCs/>
                <w:iCs/>
              </w:rPr>
              <w:t xml:space="preserve">Ulaganje u </w:t>
            </w:r>
            <w:proofErr w:type="spellStart"/>
            <w:r w:rsidR="003F384E">
              <w:rPr>
                <w:bCs/>
                <w:iCs/>
              </w:rPr>
              <w:t>k</w:t>
            </w:r>
            <w:r w:rsidRPr="003F384E">
              <w:rPr>
                <w:bCs/>
                <w:iCs/>
              </w:rPr>
              <w:t>riptoimovin</w:t>
            </w:r>
            <w:r w:rsidR="003F384E">
              <w:rPr>
                <w:bCs/>
                <w:iCs/>
              </w:rPr>
              <w:t>u</w:t>
            </w:r>
            <w:proofErr w:type="spellEnd"/>
            <w:r w:rsidR="00BD0203">
              <w:rPr>
                <w:bCs/>
                <w:iCs/>
              </w:rPr>
              <w:t xml:space="preserve"> posljedično dovodi do </w:t>
            </w:r>
            <w:r w:rsidRPr="00E7420D">
              <w:rPr>
                <w:bCs/>
                <w:iCs/>
              </w:rPr>
              <w:t>nov</w:t>
            </w:r>
            <w:r w:rsidR="00BD0203">
              <w:rPr>
                <w:bCs/>
                <w:iCs/>
              </w:rPr>
              <w:t>ih</w:t>
            </w:r>
            <w:r w:rsidRPr="00E7420D">
              <w:rPr>
                <w:bCs/>
                <w:iCs/>
              </w:rPr>
              <w:t xml:space="preserve"> rizik</w:t>
            </w:r>
            <w:r w:rsidR="00BD0203">
              <w:rPr>
                <w:bCs/>
                <w:iCs/>
              </w:rPr>
              <w:t>a</w:t>
            </w:r>
            <w:r w:rsidRPr="00E7420D">
              <w:rPr>
                <w:bCs/>
                <w:iCs/>
              </w:rPr>
              <w:t xml:space="preserve"> utaje poreza,</w:t>
            </w:r>
            <w:r w:rsidR="002469F1">
              <w:rPr>
                <w:bCs/>
                <w:iCs/>
              </w:rPr>
              <w:t xml:space="preserve"> </w:t>
            </w:r>
            <w:r w:rsidRPr="00E7420D">
              <w:rPr>
                <w:bCs/>
                <w:iCs/>
              </w:rPr>
              <w:t xml:space="preserve">s obzirom da je  posljednjih godina zabilježen brzi rast tržišta </w:t>
            </w:r>
            <w:proofErr w:type="spellStart"/>
            <w:r w:rsidRPr="00E7420D">
              <w:rPr>
                <w:bCs/>
                <w:iCs/>
              </w:rPr>
              <w:t>kriptoimovine</w:t>
            </w:r>
            <w:proofErr w:type="spellEnd"/>
            <w:r>
              <w:rPr>
                <w:bCs/>
                <w:iCs/>
              </w:rPr>
              <w:t>, a prije donošenja Direktive Vijeća (EU) 2023/2226</w:t>
            </w:r>
            <w:r w:rsidRPr="00E7420D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nije bilo omogućeno </w:t>
            </w:r>
            <w:r w:rsidRPr="00E7420D">
              <w:rPr>
                <w:bCs/>
                <w:iCs/>
              </w:rPr>
              <w:t>poreznim tijelima prikupljanje i razmjen</w:t>
            </w:r>
            <w:r>
              <w:rPr>
                <w:bCs/>
                <w:iCs/>
              </w:rPr>
              <w:t>a</w:t>
            </w:r>
            <w:r w:rsidRPr="00E7420D">
              <w:rPr>
                <w:bCs/>
                <w:iCs/>
              </w:rPr>
              <w:t xml:space="preserve"> informacija koje bi im bile potrebne za oporezivanje prihoda od </w:t>
            </w:r>
            <w:proofErr w:type="spellStart"/>
            <w:r w:rsidRPr="003F384E">
              <w:rPr>
                <w:bCs/>
                <w:iCs/>
              </w:rPr>
              <w:t>kriptoimovine</w:t>
            </w:r>
            <w:proofErr w:type="spellEnd"/>
            <w:r w:rsidRPr="00E7420D">
              <w:rPr>
                <w:bCs/>
                <w:iCs/>
              </w:rPr>
              <w:t>.</w:t>
            </w:r>
          </w:p>
          <w:p w14:paraId="3626524F" w14:textId="77777777" w:rsidR="00E7420D" w:rsidRPr="00E7420D" w:rsidRDefault="00E7420D" w:rsidP="00E7420D">
            <w:pPr>
              <w:jc w:val="both"/>
              <w:rPr>
                <w:bCs/>
                <w:iCs/>
              </w:rPr>
            </w:pPr>
          </w:p>
          <w:p w14:paraId="0104AF34" w14:textId="2A7832B0" w:rsidR="00FB4F83" w:rsidRDefault="00232627" w:rsidP="00F3322A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Budući d</w:t>
            </w:r>
            <w:r w:rsidR="007469B8">
              <w:rPr>
                <w:bCs/>
                <w:iCs/>
              </w:rPr>
              <w:t>a</w:t>
            </w:r>
            <w:r>
              <w:rPr>
                <w:bCs/>
                <w:iCs/>
              </w:rPr>
              <w:t xml:space="preserve"> </w:t>
            </w:r>
            <w:proofErr w:type="spellStart"/>
            <w:r w:rsidR="003F384E">
              <w:rPr>
                <w:bCs/>
                <w:iCs/>
              </w:rPr>
              <w:t>kriptov</w:t>
            </w:r>
            <w:r w:rsidR="00E7420D" w:rsidRPr="00E7420D">
              <w:rPr>
                <w:bCs/>
                <w:iCs/>
              </w:rPr>
              <w:t>alute</w:t>
            </w:r>
            <w:proofErr w:type="spellEnd"/>
            <w:r>
              <w:rPr>
                <w:bCs/>
                <w:iCs/>
              </w:rPr>
              <w:t xml:space="preserve"> do sad </w:t>
            </w:r>
            <w:r w:rsidR="00E7420D" w:rsidRPr="00E7420D">
              <w:rPr>
                <w:bCs/>
                <w:iCs/>
              </w:rPr>
              <w:t xml:space="preserve"> nisu obuhvaćene automatskom razmjenom informacija</w:t>
            </w:r>
            <w:r w:rsidR="003F384E">
              <w:rPr>
                <w:bCs/>
                <w:iCs/>
              </w:rPr>
              <w:t xml:space="preserve"> te </w:t>
            </w:r>
            <w:r w:rsidR="00E7420D" w:rsidRPr="00E7420D">
              <w:rPr>
                <w:bCs/>
                <w:iCs/>
              </w:rPr>
              <w:t>novac koji se drži u takvim elektroničkim instrumentima ostaje izvan sustava oporezivanja</w:t>
            </w:r>
            <w:r w:rsidR="00A35652">
              <w:rPr>
                <w:bCs/>
                <w:iCs/>
              </w:rPr>
              <w:t xml:space="preserve">, </w:t>
            </w:r>
            <w:r>
              <w:rPr>
                <w:bCs/>
                <w:iCs/>
              </w:rPr>
              <w:t xml:space="preserve"> </w:t>
            </w:r>
            <w:r w:rsidR="002F1CFC">
              <w:rPr>
                <w:bCs/>
                <w:iCs/>
              </w:rPr>
              <w:t>u</w:t>
            </w:r>
            <w:r w:rsidR="00AC2E69">
              <w:rPr>
                <w:bCs/>
                <w:iCs/>
              </w:rPr>
              <w:t xml:space="preserve">vođenje automatske razmjene informacija </w:t>
            </w:r>
            <w:r w:rsidR="00E33BC9">
              <w:rPr>
                <w:bCs/>
                <w:iCs/>
              </w:rPr>
              <w:t xml:space="preserve">o </w:t>
            </w:r>
            <w:proofErr w:type="spellStart"/>
            <w:r w:rsidR="00E33BC9">
              <w:rPr>
                <w:bCs/>
                <w:iCs/>
              </w:rPr>
              <w:t>kriptoimovini</w:t>
            </w:r>
            <w:proofErr w:type="spellEnd"/>
            <w:r w:rsidR="00E33BC9">
              <w:rPr>
                <w:bCs/>
                <w:iCs/>
              </w:rPr>
              <w:t xml:space="preserve"> </w:t>
            </w:r>
            <w:r w:rsidR="002F1CFC">
              <w:rPr>
                <w:bCs/>
                <w:iCs/>
              </w:rPr>
              <w:t xml:space="preserve">kako na EU tako i </w:t>
            </w:r>
            <w:r w:rsidR="00AC2E69">
              <w:rPr>
                <w:bCs/>
                <w:iCs/>
              </w:rPr>
              <w:t xml:space="preserve">na globalnoj razini </w:t>
            </w:r>
            <w:r w:rsidR="00CD0E42">
              <w:rPr>
                <w:bCs/>
                <w:iCs/>
              </w:rPr>
              <w:t xml:space="preserve">predstavlja temeljni instrument </w:t>
            </w:r>
            <w:r w:rsidR="00AC2E69">
              <w:rPr>
                <w:bCs/>
                <w:iCs/>
              </w:rPr>
              <w:t xml:space="preserve">za </w:t>
            </w:r>
            <w:r w:rsidR="00E7420D" w:rsidRPr="00E7420D">
              <w:rPr>
                <w:bCs/>
                <w:iCs/>
              </w:rPr>
              <w:t>povećanje porezne transparentnosti</w:t>
            </w:r>
            <w:r w:rsidR="00AC2E69">
              <w:rPr>
                <w:bCs/>
                <w:iCs/>
              </w:rPr>
              <w:t xml:space="preserve"> </w:t>
            </w:r>
            <w:r w:rsidR="00E33BC9">
              <w:rPr>
                <w:bCs/>
                <w:iCs/>
              </w:rPr>
              <w:t xml:space="preserve">i borbe protiv poreznih prijevara i utaja.  EU kontinuirano zagovara koordinirani pristup </w:t>
            </w:r>
            <w:r w:rsidR="00CD0E42">
              <w:rPr>
                <w:bCs/>
                <w:iCs/>
              </w:rPr>
              <w:t>s OECD-om</w:t>
            </w:r>
            <w:r w:rsidR="00DC2E9F">
              <w:rPr>
                <w:bCs/>
                <w:iCs/>
              </w:rPr>
              <w:t xml:space="preserve"> u cilju </w:t>
            </w:r>
            <w:r w:rsidR="00CD0E42">
              <w:rPr>
                <w:bCs/>
                <w:iCs/>
              </w:rPr>
              <w:t xml:space="preserve"> </w:t>
            </w:r>
            <w:r w:rsidR="00DC2E9F">
              <w:rPr>
                <w:bCs/>
                <w:iCs/>
              </w:rPr>
              <w:t>p</w:t>
            </w:r>
            <w:r w:rsidR="00CD0E42">
              <w:rPr>
                <w:bCs/>
                <w:iCs/>
              </w:rPr>
              <w:t>ovećanj</w:t>
            </w:r>
            <w:r w:rsidR="00DC2E9F">
              <w:rPr>
                <w:bCs/>
                <w:iCs/>
              </w:rPr>
              <w:t>a</w:t>
            </w:r>
            <w:r w:rsidR="00CD0E42">
              <w:rPr>
                <w:bCs/>
                <w:iCs/>
              </w:rPr>
              <w:t xml:space="preserve"> </w:t>
            </w:r>
            <w:r w:rsidR="00E7420D" w:rsidRPr="00E7420D">
              <w:rPr>
                <w:bCs/>
                <w:iCs/>
              </w:rPr>
              <w:t>učinkovitost</w:t>
            </w:r>
            <w:r w:rsidR="00CD0E42">
              <w:rPr>
                <w:bCs/>
                <w:iCs/>
              </w:rPr>
              <w:t xml:space="preserve">i </w:t>
            </w:r>
            <w:r w:rsidR="00E7420D" w:rsidRPr="00E7420D">
              <w:rPr>
                <w:bCs/>
                <w:iCs/>
              </w:rPr>
              <w:t>razmjene informacija i smanji</w:t>
            </w:r>
            <w:r w:rsidR="00CD0E42">
              <w:rPr>
                <w:bCs/>
                <w:iCs/>
              </w:rPr>
              <w:t>vanj</w:t>
            </w:r>
            <w:r w:rsidR="00DC2E9F">
              <w:rPr>
                <w:bCs/>
                <w:iCs/>
              </w:rPr>
              <w:t>a</w:t>
            </w:r>
            <w:r w:rsidR="00E7420D" w:rsidRPr="00E7420D">
              <w:rPr>
                <w:bCs/>
                <w:iCs/>
              </w:rPr>
              <w:t xml:space="preserve"> administrativno</w:t>
            </w:r>
            <w:r w:rsidR="00CD0E42">
              <w:rPr>
                <w:bCs/>
                <w:iCs/>
              </w:rPr>
              <w:t>g</w:t>
            </w:r>
            <w:r w:rsidR="00E7420D" w:rsidRPr="00E7420D">
              <w:rPr>
                <w:bCs/>
                <w:iCs/>
              </w:rPr>
              <w:t xml:space="preserve"> opterećenj</w:t>
            </w:r>
            <w:r w:rsidR="00CD0E42">
              <w:rPr>
                <w:bCs/>
                <w:iCs/>
              </w:rPr>
              <w:t>a</w:t>
            </w:r>
            <w:r w:rsidR="00DC2E9F">
              <w:rPr>
                <w:bCs/>
                <w:iCs/>
              </w:rPr>
              <w:t>. Stoga je</w:t>
            </w:r>
            <w:r w:rsidR="00F3322A">
              <w:rPr>
                <w:bCs/>
                <w:iCs/>
              </w:rPr>
              <w:t xml:space="preserve"> </w:t>
            </w:r>
            <w:r w:rsidR="00E7420D" w:rsidRPr="00E7420D">
              <w:rPr>
                <w:bCs/>
                <w:iCs/>
              </w:rPr>
              <w:t>važno</w:t>
            </w:r>
            <w:r w:rsidR="00F3322A">
              <w:rPr>
                <w:bCs/>
                <w:iCs/>
              </w:rPr>
              <w:t xml:space="preserve"> </w:t>
            </w:r>
            <w:r w:rsidR="00DC2E9F">
              <w:rPr>
                <w:bCs/>
                <w:iCs/>
              </w:rPr>
              <w:t>o</w:t>
            </w:r>
            <w:r w:rsidR="00E7420D" w:rsidRPr="00E7420D">
              <w:rPr>
                <w:bCs/>
                <w:iCs/>
              </w:rPr>
              <w:t>sigurati dosljednost između međunarodnih pravila OECD-a i EU-a</w:t>
            </w:r>
            <w:r w:rsidR="00DC2E9F">
              <w:rPr>
                <w:bCs/>
                <w:iCs/>
              </w:rPr>
              <w:t xml:space="preserve"> što je rezultiralo unošenjem p</w:t>
            </w:r>
            <w:r w:rsidR="00E7420D" w:rsidRPr="00E7420D">
              <w:rPr>
                <w:bCs/>
                <w:iCs/>
              </w:rPr>
              <w:t>ravila  dogovore</w:t>
            </w:r>
            <w:r w:rsidR="00DC2E9F">
              <w:rPr>
                <w:bCs/>
                <w:iCs/>
              </w:rPr>
              <w:t>nih</w:t>
            </w:r>
            <w:r w:rsidR="00E7420D" w:rsidRPr="00E7420D">
              <w:rPr>
                <w:bCs/>
                <w:iCs/>
              </w:rPr>
              <w:t xml:space="preserve"> na OECD razini koja se odnose na razmjenu informacija </w:t>
            </w:r>
            <w:r w:rsidR="00DC2E9F">
              <w:rPr>
                <w:bCs/>
                <w:iCs/>
              </w:rPr>
              <w:t xml:space="preserve">o </w:t>
            </w:r>
            <w:proofErr w:type="spellStart"/>
            <w:r w:rsidR="00DC2E9F">
              <w:rPr>
                <w:bCs/>
                <w:iCs/>
              </w:rPr>
              <w:t>kriptoimovini</w:t>
            </w:r>
            <w:proofErr w:type="spellEnd"/>
            <w:r w:rsidR="00DC2E9F">
              <w:rPr>
                <w:bCs/>
                <w:iCs/>
              </w:rPr>
              <w:t xml:space="preserve"> u </w:t>
            </w:r>
            <w:r w:rsidR="00E7420D" w:rsidRPr="00E7420D">
              <w:rPr>
                <w:bCs/>
                <w:iCs/>
              </w:rPr>
              <w:t xml:space="preserve"> </w:t>
            </w:r>
            <w:r w:rsidR="00F3322A">
              <w:rPr>
                <w:bCs/>
                <w:iCs/>
              </w:rPr>
              <w:t>Direktivu 2011/16/EU</w:t>
            </w:r>
            <w:r w:rsidR="00F3322A" w:rsidRPr="00FE527B">
              <w:rPr>
                <w:bCs/>
                <w:iCs/>
              </w:rPr>
              <w:t>.</w:t>
            </w:r>
            <w:r w:rsidR="00F3322A">
              <w:rPr>
                <w:bCs/>
                <w:iCs/>
              </w:rPr>
              <w:t xml:space="preserve"> </w:t>
            </w:r>
          </w:p>
          <w:p w14:paraId="50FE3F5A" w14:textId="77777777" w:rsidR="00637936" w:rsidRDefault="00637936" w:rsidP="00F3322A">
            <w:pPr>
              <w:jc w:val="both"/>
              <w:rPr>
                <w:bCs/>
                <w:iCs/>
              </w:rPr>
            </w:pPr>
          </w:p>
          <w:p w14:paraId="0095DBAE" w14:textId="3928DD80" w:rsidR="00E30EA7" w:rsidRDefault="00E30EA7" w:rsidP="00E30EA7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Nadalje, </w:t>
            </w:r>
            <w:r w:rsidR="00422D52">
              <w:rPr>
                <w:bCs/>
                <w:iCs/>
              </w:rPr>
              <w:t xml:space="preserve">u okviru međunarodnih inicijativa </w:t>
            </w:r>
            <w:r w:rsidR="001E5D61">
              <w:rPr>
                <w:bCs/>
                <w:iCs/>
              </w:rPr>
              <w:t>postignut je s</w:t>
            </w:r>
            <w:r w:rsidR="001E5D61" w:rsidRPr="00E30EA7">
              <w:rPr>
                <w:bCs/>
                <w:iCs/>
              </w:rPr>
              <w:t xml:space="preserve">porazum o smanjenju porezne osnovice i premještanja dobiti (BEPS) koji su postigle članice  OECD/G20 </w:t>
            </w:r>
            <w:proofErr w:type="spellStart"/>
            <w:r w:rsidR="001E5D61" w:rsidRPr="00E30EA7">
              <w:rPr>
                <w:bCs/>
                <w:iCs/>
              </w:rPr>
              <w:t>Uključivog</w:t>
            </w:r>
            <w:proofErr w:type="spellEnd"/>
            <w:r w:rsidR="001E5D61" w:rsidRPr="00E30EA7">
              <w:rPr>
                <w:bCs/>
                <w:iCs/>
              </w:rPr>
              <w:t xml:space="preserve"> okvira (u daljnjem tekstu OECD/G20 IF). OECD je već razvio standardni predložak (</w:t>
            </w:r>
            <w:proofErr w:type="spellStart"/>
            <w:r w:rsidR="001E5D61" w:rsidRPr="00E30EA7">
              <w:rPr>
                <w:bCs/>
                <w:iCs/>
              </w:rPr>
              <w:t>GloBE</w:t>
            </w:r>
            <w:proofErr w:type="spellEnd"/>
            <w:r w:rsidR="001E5D61" w:rsidRPr="00E30EA7">
              <w:rPr>
                <w:bCs/>
                <w:iCs/>
              </w:rPr>
              <w:t xml:space="preserve"> </w:t>
            </w:r>
            <w:proofErr w:type="spellStart"/>
            <w:r w:rsidR="001E5D61" w:rsidRPr="00E30EA7">
              <w:rPr>
                <w:bCs/>
                <w:iCs/>
              </w:rPr>
              <w:t>Information</w:t>
            </w:r>
            <w:proofErr w:type="spellEnd"/>
            <w:r w:rsidR="001E5D61" w:rsidRPr="00E30EA7">
              <w:rPr>
                <w:bCs/>
                <w:iCs/>
              </w:rPr>
              <w:t xml:space="preserve"> </w:t>
            </w:r>
            <w:proofErr w:type="spellStart"/>
            <w:r w:rsidR="001E5D61" w:rsidRPr="00E30EA7">
              <w:rPr>
                <w:bCs/>
                <w:iCs/>
              </w:rPr>
              <w:t>Return</w:t>
            </w:r>
            <w:proofErr w:type="spellEnd"/>
            <w:r w:rsidR="001E5D61" w:rsidRPr="00E30EA7">
              <w:rPr>
                <w:bCs/>
                <w:iCs/>
              </w:rPr>
              <w:t xml:space="preserve"> ili GIR</w:t>
            </w:r>
            <w:r w:rsidR="001E5D61">
              <w:rPr>
                <w:bCs/>
                <w:iCs/>
              </w:rPr>
              <w:t xml:space="preserve">).  </w:t>
            </w:r>
            <w:bookmarkStart w:id="2" w:name="_Hlk197949921"/>
            <w:r w:rsidR="001E5D61">
              <w:rPr>
                <w:bCs/>
                <w:iCs/>
              </w:rPr>
              <w:t xml:space="preserve">Kako bi osigurala </w:t>
            </w:r>
            <w:r w:rsidR="00910D3D">
              <w:rPr>
                <w:bCs/>
                <w:iCs/>
              </w:rPr>
              <w:t>jedinstveni</w:t>
            </w:r>
            <w:r w:rsidR="001E5D61">
              <w:rPr>
                <w:bCs/>
                <w:iCs/>
              </w:rPr>
              <w:t xml:space="preserve"> pristup u provedbi Globalnog modela pravila protiv smanjena porezne osnovice, E</w:t>
            </w:r>
            <w:r w:rsidR="00A35652">
              <w:rPr>
                <w:bCs/>
                <w:iCs/>
              </w:rPr>
              <w:t>U</w:t>
            </w:r>
            <w:r w:rsidR="001E5D61">
              <w:rPr>
                <w:bCs/>
                <w:iCs/>
              </w:rPr>
              <w:t xml:space="preserve"> je doni</w:t>
            </w:r>
            <w:r w:rsidR="00A35652">
              <w:rPr>
                <w:bCs/>
                <w:iCs/>
              </w:rPr>
              <w:t>o</w:t>
            </w:r>
            <w:r w:rsidR="001E5D61">
              <w:rPr>
                <w:bCs/>
                <w:iCs/>
              </w:rPr>
              <w:t xml:space="preserve">  </w:t>
            </w:r>
            <w:r w:rsidRPr="00E30EA7">
              <w:rPr>
                <w:bCs/>
                <w:iCs/>
              </w:rPr>
              <w:t>Direktiv</w:t>
            </w:r>
            <w:r w:rsidR="001E5D61">
              <w:rPr>
                <w:bCs/>
                <w:iCs/>
              </w:rPr>
              <w:t>u</w:t>
            </w:r>
            <w:r w:rsidRPr="00E30EA7">
              <w:rPr>
                <w:bCs/>
                <w:iCs/>
              </w:rPr>
              <w:t xml:space="preserve"> Vijeća (EU) 2022/2523 od 14. prosinca 2022. o osiguravanju globalne minimalne razine oporezivanja za skupine multinacionalnih poduzeća i velike domaće skupine u </w:t>
            </w:r>
            <w:r w:rsidR="00D40EBA">
              <w:rPr>
                <w:bCs/>
                <w:iCs/>
              </w:rPr>
              <w:t xml:space="preserve">Europskoj uniji </w:t>
            </w:r>
            <w:r w:rsidRPr="00E30EA7">
              <w:rPr>
                <w:bCs/>
                <w:iCs/>
              </w:rPr>
              <w:t xml:space="preserve">(dalje u tekstu: Direktiva o Stupu 2) </w:t>
            </w:r>
            <w:r w:rsidR="001E5D61">
              <w:rPr>
                <w:bCs/>
                <w:iCs/>
              </w:rPr>
              <w:t xml:space="preserve">kojom je </w:t>
            </w:r>
            <w:r w:rsidRPr="00E30EA7">
              <w:rPr>
                <w:bCs/>
                <w:iCs/>
              </w:rPr>
              <w:t xml:space="preserve">implementiran </w:t>
            </w:r>
            <w:r w:rsidR="00A35652">
              <w:rPr>
                <w:bCs/>
                <w:iCs/>
              </w:rPr>
              <w:t xml:space="preserve"> </w:t>
            </w:r>
            <w:r w:rsidRPr="00E30EA7">
              <w:rPr>
                <w:bCs/>
                <w:iCs/>
              </w:rPr>
              <w:t>standardni predložak (</w:t>
            </w:r>
            <w:proofErr w:type="spellStart"/>
            <w:r w:rsidRPr="00E30EA7">
              <w:rPr>
                <w:bCs/>
                <w:iCs/>
              </w:rPr>
              <w:t>GloBE</w:t>
            </w:r>
            <w:proofErr w:type="spellEnd"/>
            <w:r w:rsidRPr="00E30EA7">
              <w:rPr>
                <w:bCs/>
                <w:iCs/>
              </w:rPr>
              <w:t xml:space="preserve"> </w:t>
            </w:r>
            <w:proofErr w:type="spellStart"/>
            <w:r w:rsidRPr="00E30EA7">
              <w:rPr>
                <w:bCs/>
                <w:iCs/>
              </w:rPr>
              <w:t>Information</w:t>
            </w:r>
            <w:proofErr w:type="spellEnd"/>
            <w:r w:rsidRPr="00E30EA7">
              <w:rPr>
                <w:bCs/>
                <w:iCs/>
              </w:rPr>
              <w:t xml:space="preserve"> </w:t>
            </w:r>
            <w:proofErr w:type="spellStart"/>
            <w:r w:rsidRPr="00E30EA7">
              <w:rPr>
                <w:bCs/>
                <w:iCs/>
              </w:rPr>
              <w:t>Return</w:t>
            </w:r>
            <w:proofErr w:type="spellEnd"/>
            <w:r w:rsidRPr="00E30EA7">
              <w:rPr>
                <w:bCs/>
                <w:iCs/>
              </w:rPr>
              <w:t xml:space="preserve"> ili GIR). </w:t>
            </w:r>
          </w:p>
          <w:bookmarkEnd w:id="2"/>
          <w:p w14:paraId="2237CEE3" w14:textId="77777777" w:rsidR="00E30EA7" w:rsidRPr="00E30EA7" w:rsidRDefault="00E30EA7" w:rsidP="00E30EA7">
            <w:pPr>
              <w:jc w:val="both"/>
              <w:rPr>
                <w:bCs/>
                <w:iCs/>
              </w:rPr>
            </w:pPr>
          </w:p>
          <w:p w14:paraId="62008875" w14:textId="77777777" w:rsidR="00A35652" w:rsidRDefault="00E30EA7" w:rsidP="00E30EA7">
            <w:pPr>
              <w:jc w:val="both"/>
              <w:rPr>
                <w:bCs/>
                <w:iCs/>
              </w:rPr>
            </w:pPr>
            <w:r w:rsidRPr="00E30EA7">
              <w:rPr>
                <w:bCs/>
                <w:iCs/>
              </w:rPr>
              <w:t xml:space="preserve">Direktiva o Stupu 2 slijedi Globalni model pravila protiv smanjena porezne osnovice (Stup 2) (Model pravila OECD-a) dogovoren između članica OECD/G20 IF,  14. prosinca 2021. te  uvodi minimalnu razinu oporezivanja dobiti multinacionalnih poduzeća (dalje u tekstu: MNP) odnosno pravilo o uključivanju dobiti i pravilo o prenisko oporezivanoj dobiti.  Također,  omogućuje </w:t>
            </w:r>
            <w:r w:rsidR="00A35652">
              <w:rPr>
                <w:bCs/>
                <w:iCs/>
              </w:rPr>
              <w:t xml:space="preserve">državama članicama </w:t>
            </w:r>
            <w:r w:rsidRPr="00E30EA7">
              <w:rPr>
                <w:bCs/>
                <w:iCs/>
              </w:rPr>
              <w:t xml:space="preserve">uvođenje kvalificiranog domaćeg dopunskog poreza. </w:t>
            </w:r>
            <w:r w:rsidR="00A35652">
              <w:rPr>
                <w:bCs/>
                <w:iCs/>
              </w:rPr>
              <w:t>Č</w:t>
            </w:r>
            <w:r w:rsidRPr="00E30EA7">
              <w:rPr>
                <w:bCs/>
                <w:iCs/>
              </w:rPr>
              <w:t xml:space="preserve">lanak 44. Direktive o Stupu 2, sastavnim subjektima MNP-a propisuje obvezu podnošenja prijave s informacijama o dopunskom porezu ili  obvezu obavješćivanja (notifikacije). </w:t>
            </w:r>
          </w:p>
          <w:p w14:paraId="4BA128AB" w14:textId="77777777" w:rsidR="00A35652" w:rsidRDefault="00A35652" w:rsidP="00E30EA7">
            <w:pPr>
              <w:jc w:val="both"/>
              <w:rPr>
                <w:bCs/>
                <w:iCs/>
              </w:rPr>
            </w:pPr>
          </w:p>
          <w:p w14:paraId="729951E0" w14:textId="497FEC83" w:rsidR="00E30EA7" w:rsidRPr="00E30EA7" w:rsidRDefault="00E30EA7" w:rsidP="00E30EA7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Kako bi se</w:t>
            </w:r>
            <w:r w:rsidR="00910D3D">
              <w:rPr>
                <w:bCs/>
                <w:iCs/>
              </w:rPr>
              <w:t xml:space="preserve"> omogućila provedba članka 44. Direktive o Stupu 2</w:t>
            </w:r>
            <w:r w:rsidR="00A35652">
              <w:rPr>
                <w:bCs/>
                <w:iCs/>
              </w:rPr>
              <w:t xml:space="preserve">, EU je </w:t>
            </w:r>
            <w:r w:rsidR="00910D3D">
              <w:rPr>
                <w:bCs/>
                <w:iCs/>
              </w:rPr>
              <w:t xml:space="preserve"> donijela  </w:t>
            </w:r>
            <w:r>
              <w:rPr>
                <w:szCs w:val="24"/>
              </w:rPr>
              <w:t>Direktiv</w:t>
            </w:r>
            <w:r w:rsidR="00910D3D">
              <w:rPr>
                <w:szCs w:val="24"/>
              </w:rPr>
              <w:t>u</w:t>
            </w:r>
            <w:r>
              <w:rPr>
                <w:szCs w:val="24"/>
              </w:rPr>
              <w:t xml:space="preserve"> Vijeća (EU)</w:t>
            </w:r>
            <w:r w:rsidR="009A06FC">
              <w:rPr>
                <w:szCs w:val="24"/>
              </w:rPr>
              <w:t xml:space="preserve"> 2025/872 od 14. travnja 2025. o izmjeni Direktive 2011/16/EU o administrativnoj suradnji i u području oporezivanja kojom se </w:t>
            </w:r>
            <w:r w:rsidR="009A06FC">
              <w:rPr>
                <w:color w:val="FF0000"/>
                <w:szCs w:val="24"/>
              </w:rPr>
              <w:t xml:space="preserve"> </w:t>
            </w:r>
            <w:r w:rsidRPr="00E30EA7">
              <w:rPr>
                <w:bCs/>
                <w:iCs/>
              </w:rPr>
              <w:t>prenosi standardni predložak GIR u skladu s obvezom podnošenja podataka o dopunskom porezu</w:t>
            </w:r>
            <w:r w:rsidR="00910D3D">
              <w:rPr>
                <w:bCs/>
                <w:iCs/>
              </w:rPr>
              <w:t xml:space="preserve">. </w:t>
            </w:r>
          </w:p>
          <w:p w14:paraId="50CB6F7D" w14:textId="1D240CA6" w:rsidR="00637936" w:rsidRPr="00D64744" w:rsidRDefault="00910D3D" w:rsidP="00F3322A">
            <w:pPr>
              <w:jc w:val="both"/>
              <w:rPr>
                <w:iCs/>
              </w:rPr>
            </w:pPr>
            <w:r>
              <w:rPr>
                <w:iCs/>
              </w:rPr>
              <w:t>.</w:t>
            </w:r>
          </w:p>
        </w:tc>
      </w:tr>
      <w:tr w:rsidR="00FB4F83" w:rsidRPr="00127FD2" w14:paraId="3E83FCC2" w14:textId="77777777" w:rsidTr="003C5672">
        <w:trPr>
          <w:trHeight w:val="384"/>
        </w:trPr>
        <w:tc>
          <w:tcPr>
            <w:tcW w:w="850" w:type="dxa"/>
          </w:tcPr>
          <w:p w14:paraId="17CACBE2" w14:textId="77777777" w:rsidR="00FB4F83" w:rsidRPr="00127FD2" w:rsidRDefault="00FB4F83" w:rsidP="003C5672">
            <w:pPr>
              <w:jc w:val="both"/>
            </w:pPr>
            <w:r w:rsidRPr="00127FD2">
              <w:lastRenderedPageBreak/>
              <w:t>2.2.</w:t>
            </w:r>
          </w:p>
        </w:tc>
        <w:tc>
          <w:tcPr>
            <w:tcW w:w="9073" w:type="dxa"/>
          </w:tcPr>
          <w:p w14:paraId="78A6497B" w14:textId="77777777" w:rsidR="00FB4F83" w:rsidRDefault="00FB4F83" w:rsidP="003C5672">
            <w:pPr>
              <w:jc w:val="both"/>
            </w:pPr>
            <w:r w:rsidRPr="00127FD2">
              <w:t>Izvor podataka:</w:t>
            </w:r>
          </w:p>
          <w:p w14:paraId="59FC48DC" w14:textId="05C33CE9" w:rsidR="00F24A95" w:rsidRPr="00127FD2" w:rsidRDefault="00F24A95" w:rsidP="003C5672">
            <w:pPr>
              <w:jc w:val="both"/>
            </w:pPr>
          </w:p>
        </w:tc>
      </w:tr>
      <w:tr w:rsidR="00FB4F83" w:rsidRPr="00127FD2" w14:paraId="2D86FC85" w14:textId="77777777" w:rsidTr="003C5672">
        <w:trPr>
          <w:trHeight w:val="384"/>
        </w:trPr>
        <w:tc>
          <w:tcPr>
            <w:tcW w:w="850" w:type="dxa"/>
          </w:tcPr>
          <w:p w14:paraId="68847A56" w14:textId="77777777" w:rsidR="00FB4F83" w:rsidRPr="00127FD2" w:rsidRDefault="00FB4F83" w:rsidP="003C5672">
            <w:pPr>
              <w:jc w:val="both"/>
              <w:rPr>
                <w:b/>
              </w:rPr>
            </w:pPr>
          </w:p>
        </w:tc>
        <w:tc>
          <w:tcPr>
            <w:tcW w:w="9073" w:type="dxa"/>
          </w:tcPr>
          <w:p w14:paraId="398889C1" w14:textId="77777777" w:rsidR="00A0506F" w:rsidRDefault="00D040DF" w:rsidP="009747E0">
            <w:pPr>
              <w:jc w:val="both"/>
            </w:pPr>
            <w:r>
              <w:t xml:space="preserve">Izvješće Europskog revizorskog suda od 26. siječnja 2021. u kojem se navodi da je pravni okvir Direktive 2011/16/EU čvrst, ali je potrebno ojačati neke odredbe kako bi se iskoristio puni potencijal razmjene informacija </w:t>
            </w:r>
            <w:bookmarkStart w:id="3" w:name="_Hlk197949587"/>
            <w:r>
              <w:t>i podigla njena učinkovitost u cilju borbe protiv poreznih prijevara i utaja te podizanja transparentnosti</w:t>
            </w:r>
            <w:r w:rsidR="00296391">
              <w:t xml:space="preserve"> </w:t>
            </w:r>
            <w:bookmarkEnd w:id="3"/>
            <w:r w:rsidR="00296391">
              <w:t xml:space="preserve">dovelo je do preispitivanja postojećeg sustava automatske razmjene informacija u cilju njegovog poboljšanja što je rezultiralo donošenjem Direktive </w:t>
            </w:r>
            <w:r>
              <w:t xml:space="preserve"> Vijeća (EU) 2023/2226</w:t>
            </w:r>
            <w:r w:rsidR="00296391">
              <w:t xml:space="preserve">. Ovom direktivom se </w:t>
            </w:r>
            <w:r w:rsidR="00FB72E3">
              <w:t xml:space="preserve"> proširuje predmetni obuhvat razmjene informacija o </w:t>
            </w:r>
            <w:proofErr w:type="spellStart"/>
            <w:r w:rsidR="00FB72E3" w:rsidRPr="00DC2E9F">
              <w:t>kriptoimovini</w:t>
            </w:r>
            <w:proofErr w:type="spellEnd"/>
            <w:r w:rsidR="00FB72E3">
              <w:t xml:space="preserve"> kako bi se podigla učinkovitost borbe protiv poreznih prijevara, utaja i izbjegavanja plaćanja poreza</w:t>
            </w:r>
            <w:r w:rsidR="00637936">
              <w:t>.</w:t>
            </w:r>
          </w:p>
          <w:p w14:paraId="23F386B0" w14:textId="77777777" w:rsidR="00E451B9" w:rsidRDefault="00E451B9" w:rsidP="009747E0">
            <w:pPr>
              <w:jc w:val="both"/>
            </w:pPr>
          </w:p>
          <w:p w14:paraId="599ECAB9" w14:textId="04E3AE28" w:rsidR="00637936" w:rsidRDefault="00874B9B" w:rsidP="009747E0">
            <w:pPr>
              <w:jc w:val="both"/>
            </w:pPr>
            <w:r>
              <w:rPr>
                <w:szCs w:val="24"/>
              </w:rPr>
              <w:t>Nadalje, n</w:t>
            </w:r>
            <w:r w:rsidR="009A06FC">
              <w:rPr>
                <w:szCs w:val="24"/>
              </w:rPr>
              <w:t xml:space="preserve">a temelju </w:t>
            </w:r>
            <w:r w:rsidR="00E451B9">
              <w:rPr>
                <w:szCs w:val="24"/>
              </w:rPr>
              <w:t>Direktiv</w:t>
            </w:r>
            <w:r w:rsidR="009A06FC">
              <w:rPr>
                <w:szCs w:val="24"/>
              </w:rPr>
              <w:t>e</w:t>
            </w:r>
            <w:r w:rsidR="00E451B9">
              <w:rPr>
                <w:szCs w:val="24"/>
              </w:rPr>
              <w:t xml:space="preserve"> Vijeća (EU)</w:t>
            </w:r>
            <w:r w:rsidR="00635C69">
              <w:rPr>
                <w:szCs w:val="24"/>
              </w:rPr>
              <w:t xml:space="preserve"> 2025/872 od 14. travnja 2025. o izmjeni Direktive 2011/16/EU o administrativnoj suradnji u području oporezivanja</w:t>
            </w:r>
            <w:r w:rsidR="00E451B9">
              <w:rPr>
                <w:szCs w:val="24"/>
              </w:rPr>
              <w:t xml:space="preserve"> </w:t>
            </w:r>
            <w:r w:rsidR="00E451B9" w:rsidRPr="00E30EA7">
              <w:rPr>
                <w:bCs/>
                <w:iCs/>
              </w:rPr>
              <w:t>u pravo EU</w:t>
            </w:r>
            <w:r w:rsidR="009A06FC">
              <w:rPr>
                <w:bCs/>
                <w:iCs/>
              </w:rPr>
              <w:t>-a se</w:t>
            </w:r>
            <w:r w:rsidR="00E451B9" w:rsidRPr="00E30EA7">
              <w:rPr>
                <w:bCs/>
                <w:iCs/>
              </w:rPr>
              <w:t xml:space="preserve"> prenosi standardni predložak GIR u skladu s obvezom podnošenja podataka o dopunskom porezu iz članka 44. Direktive o Stupu</w:t>
            </w:r>
            <w:r w:rsidR="00910D3D">
              <w:rPr>
                <w:bCs/>
                <w:iCs/>
              </w:rPr>
              <w:t xml:space="preserve"> 2.</w:t>
            </w:r>
          </w:p>
          <w:p w14:paraId="3D56299B" w14:textId="3EEBB222" w:rsidR="00637936" w:rsidRPr="00D64744" w:rsidRDefault="00637936" w:rsidP="009747E0">
            <w:pPr>
              <w:jc w:val="both"/>
              <w:rPr>
                <w:szCs w:val="24"/>
              </w:rPr>
            </w:pPr>
          </w:p>
        </w:tc>
      </w:tr>
    </w:tbl>
    <w:p w14:paraId="3E8EDA4C" w14:textId="77777777" w:rsidR="006D0660" w:rsidRPr="00127FD2" w:rsidRDefault="006D0660" w:rsidP="006D0660">
      <w:pPr>
        <w:pStyle w:val="Naslov1"/>
      </w:pPr>
      <w:r w:rsidRPr="00127FD2">
        <w:lastRenderedPageBreak/>
        <w:t>3.</w:t>
      </w:r>
      <w:r w:rsidRPr="00127FD2">
        <w:tab/>
      </w:r>
      <w:r>
        <w:t xml:space="preserve">UTVRĐIVANJE </w:t>
      </w:r>
      <w:r w:rsidRPr="00127FD2">
        <w:t>POSEBN</w:t>
      </w:r>
      <w:r>
        <w:t>OG</w:t>
      </w:r>
      <w:r w:rsidRPr="00127FD2">
        <w:t xml:space="preserve"> CILJ</w:t>
      </w:r>
      <w:r>
        <w:t>A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FB4F83" w:rsidRPr="00127FD2" w14:paraId="17A6BD11" w14:textId="77777777" w:rsidTr="003C5672">
        <w:trPr>
          <w:trHeight w:val="384"/>
        </w:trPr>
        <w:tc>
          <w:tcPr>
            <w:tcW w:w="850" w:type="dxa"/>
          </w:tcPr>
          <w:p w14:paraId="5A1647F9" w14:textId="77777777" w:rsidR="00FB4F83" w:rsidRPr="00127FD2" w:rsidRDefault="00FB4F83" w:rsidP="003C5672">
            <w:pPr>
              <w:jc w:val="both"/>
              <w:rPr>
                <w:bCs/>
              </w:rPr>
            </w:pPr>
            <w:r w:rsidRPr="00127FD2">
              <w:rPr>
                <w:bCs/>
              </w:rPr>
              <w:t>3.1.</w:t>
            </w:r>
          </w:p>
        </w:tc>
        <w:tc>
          <w:tcPr>
            <w:tcW w:w="9073" w:type="dxa"/>
          </w:tcPr>
          <w:p w14:paraId="23D403E9" w14:textId="77777777" w:rsidR="00FB4F83" w:rsidRPr="00127FD2" w:rsidRDefault="00FB4F83" w:rsidP="003C5672">
            <w:pPr>
              <w:jc w:val="both"/>
            </w:pPr>
            <w:r w:rsidRPr="00127FD2">
              <w:t>Opis posebnog cilja</w:t>
            </w:r>
          </w:p>
        </w:tc>
      </w:tr>
      <w:tr w:rsidR="00FB4F83" w:rsidRPr="00127FD2" w14:paraId="241532C7" w14:textId="77777777" w:rsidTr="003C5672">
        <w:trPr>
          <w:trHeight w:val="384"/>
        </w:trPr>
        <w:tc>
          <w:tcPr>
            <w:tcW w:w="850" w:type="dxa"/>
          </w:tcPr>
          <w:p w14:paraId="72AFEA39" w14:textId="77777777" w:rsidR="00FB4F83" w:rsidRPr="00127FD2" w:rsidRDefault="00FB4F83" w:rsidP="003C5672">
            <w:pPr>
              <w:jc w:val="both"/>
              <w:rPr>
                <w:bCs/>
              </w:rPr>
            </w:pPr>
          </w:p>
        </w:tc>
        <w:tc>
          <w:tcPr>
            <w:tcW w:w="9073" w:type="dxa"/>
          </w:tcPr>
          <w:p w14:paraId="359F7087" w14:textId="77777777" w:rsidR="005B7373" w:rsidRDefault="005B7373" w:rsidP="003C567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Cilj izmjene Zakona o administrativnoj suradnji u području poreza je </w:t>
            </w:r>
          </w:p>
          <w:p w14:paraId="649EC026" w14:textId="77777777" w:rsidR="005B7373" w:rsidRPr="005B7373" w:rsidRDefault="005B7373" w:rsidP="005B7373">
            <w:pPr>
              <w:pStyle w:val="Odlomakpopisa"/>
              <w:numPr>
                <w:ilvl w:val="0"/>
                <w:numId w:val="9"/>
              </w:numPr>
              <w:jc w:val="both"/>
              <w:rPr>
                <w:i/>
                <w:szCs w:val="24"/>
              </w:rPr>
            </w:pPr>
            <w:r w:rsidRPr="005B7373">
              <w:rPr>
                <w:szCs w:val="24"/>
              </w:rPr>
              <w:t xml:space="preserve">proširiti automatsku razmjenu informacija na </w:t>
            </w:r>
            <w:proofErr w:type="spellStart"/>
            <w:r w:rsidRPr="005B7373">
              <w:rPr>
                <w:szCs w:val="24"/>
              </w:rPr>
              <w:t>kriptoimovinu</w:t>
            </w:r>
            <w:proofErr w:type="spellEnd"/>
            <w:r w:rsidRPr="005B7373">
              <w:rPr>
                <w:szCs w:val="24"/>
              </w:rPr>
              <w:t xml:space="preserve">, elektronički novac, </w:t>
            </w:r>
            <w:proofErr w:type="spellStart"/>
            <w:r w:rsidRPr="005B7373">
              <w:rPr>
                <w:szCs w:val="24"/>
              </w:rPr>
              <w:t>neskrbničke</w:t>
            </w:r>
            <w:proofErr w:type="spellEnd"/>
            <w:r w:rsidRPr="005B7373">
              <w:rPr>
                <w:szCs w:val="24"/>
              </w:rPr>
              <w:t xml:space="preserve"> dividende, prethodna porezna mišljenja s prekograničnim učinkom koja se odnose na fizičke osobe ako je iznos transakcije iznad 1,5 milijuna eura u cilju borbe protiv poreznih prijevara i evazije te podizanja transparentnosti o prihodima.</w:t>
            </w:r>
          </w:p>
          <w:p w14:paraId="61B97D9F" w14:textId="297521BF" w:rsidR="00FB4F83" w:rsidRPr="005B7373" w:rsidRDefault="005B7373" w:rsidP="005B7373">
            <w:pPr>
              <w:pStyle w:val="Odlomakpopisa"/>
              <w:numPr>
                <w:ilvl w:val="0"/>
                <w:numId w:val="9"/>
              </w:numPr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5B7373">
              <w:rPr>
                <w:szCs w:val="24"/>
              </w:rPr>
              <w:t>na temelju obveznog podnošenja informacija o dopunskom porezu omogućiti provedbu odgovarajuće procjene rizika, evaluacija ispravnosti porezne obveze te praćenje primjenjuju li skupine MNP-a i velike domaće skupine ispravno utvrđena pravila u Direktivi o Stupu</w:t>
            </w:r>
          </w:p>
        </w:tc>
      </w:tr>
      <w:tr w:rsidR="00FB4F83" w:rsidRPr="00127FD2" w14:paraId="3542C8D9" w14:textId="77777777" w:rsidTr="003C5672">
        <w:trPr>
          <w:trHeight w:val="384"/>
        </w:trPr>
        <w:tc>
          <w:tcPr>
            <w:tcW w:w="850" w:type="dxa"/>
          </w:tcPr>
          <w:p w14:paraId="5C49B2FD" w14:textId="77777777" w:rsidR="00FB4F83" w:rsidRPr="00127FD2" w:rsidRDefault="00FB4F83" w:rsidP="003C5672">
            <w:pPr>
              <w:jc w:val="both"/>
              <w:rPr>
                <w:bCs/>
              </w:rPr>
            </w:pPr>
            <w:r w:rsidRPr="00127FD2">
              <w:rPr>
                <w:bCs/>
              </w:rPr>
              <w:t>3.2.</w:t>
            </w:r>
          </w:p>
        </w:tc>
        <w:tc>
          <w:tcPr>
            <w:tcW w:w="9073" w:type="dxa"/>
          </w:tcPr>
          <w:p w14:paraId="126484AE" w14:textId="77777777" w:rsidR="00FB4F83" w:rsidRPr="00127FD2" w:rsidRDefault="00FB4F83" w:rsidP="003C5672">
            <w:pPr>
              <w:jc w:val="both"/>
            </w:pPr>
            <w:r w:rsidRPr="00127FD2">
              <w:t>Opis svrhe propisa</w:t>
            </w:r>
          </w:p>
        </w:tc>
      </w:tr>
      <w:tr w:rsidR="00FB4F83" w:rsidRPr="00127FD2" w14:paraId="10BB975D" w14:textId="77777777" w:rsidTr="003C5672">
        <w:trPr>
          <w:trHeight w:val="384"/>
        </w:trPr>
        <w:tc>
          <w:tcPr>
            <w:tcW w:w="850" w:type="dxa"/>
          </w:tcPr>
          <w:p w14:paraId="5E200B2A" w14:textId="77777777" w:rsidR="00FB4F83" w:rsidRPr="00127FD2" w:rsidRDefault="00FB4F83" w:rsidP="003C5672">
            <w:pPr>
              <w:jc w:val="both"/>
              <w:rPr>
                <w:bCs/>
              </w:rPr>
            </w:pPr>
          </w:p>
        </w:tc>
        <w:tc>
          <w:tcPr>
            <w:tcW w:w="9073" w:type="dxa"/>
          </w:tcPr>
          <w:p w14:paraId="7A5FE759" w14:textId="581868ED" w:rsidR="00A0506F" w:rsidRDefault="00F7078B" w:rsidP="003C5672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Svrha</w:t>
            </w:r>
            <w:r w:rsidR="00944FEA">
              <w:rPr>
                <w:szCs w:val="24"/>
              </w:rPr>
              <w:t xml:space="preserve"> </w:t>
            </w:r>
            <w:r w:rsidR="005A7465">
              <w:rPr>
                <w:szCs w:val="24"/>
              </w:rPr>
              <w:t xml:space="preserve"> izmjena</w:t>
            </w:r>
            <w:r>
              <w:rPr>
                <w:szCs w:val="24"/>
              </w:rPr>
              <w:t xml:space="preserve"> </w:t>
            </w:r>
            <w:r w:rsidR="00256D22">
              <w:rPr>
                <w:szCs w:val="24"/>
              </w:rPr>
              <w:t>Zakona</w:t>
            </w:r>
            <w:r w:rsidR="005A7465">
              <w:rPr>
                <w:szCs w:val="24"/>
              </w:rPr>
              <w:t xml:space="preserve"> o administrativnoj suradnji u području poreza</w:t>
            </w:r>
            <w:r w:rsidR="00874B9B">
              <w:rPr>
                <w:szCs w:val="24"/>
              </w:rPr>
              <w:t xml:space="preserve"> je</w:t>
            </w:r>
            <w:r w:rsidR="005A7465">
              <w:rPr>
                <w:szCs w:val="24"/>
              </w:rPr>
              <w:t xml:space="preserve"> </w:t>
            </w:r>
            <w:r w:rsidR="00256D22">
              <w:rPr>
                <w:szCs w:val="24"/>
              </w:rPr>
              <w:t>usklađivanje s pravnom stečevinom EU</w:t>
            </w:r>
            <w:r w:rsidR="00944FEA">
              <w:rPr>
                <w:szCs w:val="24"/>
              </w:rPr>
              <w:t>-a</w:t>
            </w:r>
            <w:r w:rsidR="00256D22">
              <w:rPr>
                <w:szCs w:val="24"/>
              </w:rPr>
              <w:t xml:space="preserve"> u području administrativne suradnje u području poreza kako bi se osigurao pravni okvir ne temelju kojeg</w:t>
            </w:r>
            <w:r w:rsidR="00353061">
              <w:rPr>
                <w:szCs w:val="24"/>
              </w:rPr>
              <w:t xml:space="preserve"> </w:t>
            </w:r>
            <w:r w:rsidR="00256D22">
              <w:rPr>
                <w:szCs w:val="24"/>
              </w:rPr>
              <w:t xml:space="preserve">će </w:t>
            </w:r>
            <w:r w:rsidR="00EF2942">
              <w:rPr>
                <w:szCs w:val="24"/>
              </w:rPr>
              <w:t xml:space="preserve">izvještajni </w:t>
            </w:r>
            <w:r w:rsidR="00123251">
              <w:rPr>
                <w:szCs w:val="24"/>
              </w:rPr>
              <w:t>pružatelji</w:t>
            </w:r>
            <w:r w:rsidR="00EF2942">
              <w:rPr>
                <w:szCs w:val="24"/>
              </w:rPr>
              <w:t xml:space="preserve"> usluga povezanih s </w:t>
            </w:r>
            <w:r w:rsidR="00EF2942" w:rsidRPr="00944FEA">
              <w:rPr>
                <w:szCs w:val="24"/>
              </w:rPr>
              <w:t>kripto</w:t>
            </w:r>
            <w:r w:rsidR="00353061" w:rsidRPr="00944FEA">
              <w:rPr>
                <w:szCs w:val="24"/>
              </w:rPr>
              <w:t xml:space="preserve"> i</w:t>
            </w:r>
            <w:r w:rsidR="00EF2942" w:rsidRPr="00944FEA">
              <w:rPr>
                <w:szCs w:val="24"/>
              </w:rPr>
              <w:t>m</w:t>
            </w:r>
            <w:r w:rsidR="00353061" w:rsidRPr="00944FEA">
              <w:rPr>
                <w:szCs w:val="24"/>
              </w:rPr>
              <w:t>o</w:t>
            </w:r>
            <w:r w:rsidR="00EF2942" w:rsidRPr="00944FEA">
              <w:rPr>
                <w:szCs w:val="24"/>
              </w:rPr>
              <w:t>vnom</w:t>
            </w:r>
            <w:r w:rsidR="00EF2942">
              <w:rPr>
                <w:szCs w:val="24"/>
              </w:rPr>
              <w:t xml:space="preserve"> moći ispuniti </w:t>
            </w:r>
            <w:r w:rsidR="00123251">
              <w:rPr>
                <w:szCs w:val="24"/>
              </w:rPr>
              <w:t>zahtjeve</w:t>
            </w:r>
            <w:r w:rsidR="00EF2942">
              <w:rPr>
                <w:szCs w:val="24"/>
              </w:rPr>
              <w:t xml:space="preserve"> za izvješćivanjem i provesti postupke dubinske analize za </w:t>
            </w:r>
            <w:r w:rsidR="00123251">
              <w:rPr>
                <w:szCs w:val="24"/>
              </w:rPr>
              <w:t>pojedinačne</w:t>
            </w:r>
            <w:r w:rsidR="00EF2942">
              <w:rPr>
                <w:szCs w:val="24"/>
              </w:rPr>
              <w:t xml:space="preserve"> </w:t>
            </w:r>
            <w:r w:rsidR="00123251">
              <w:rPr>
                <w:szCs w:val="24"/>
              </w:rPr>
              <w:t>korisnike</w:t>
            </w:r>
            <w:r w:rsidR="00EF2942">
              <w:rPr>
                <w:szCs w:val="24"/>
              </w:rPr>
              <w:t xml:space="preserve"> </w:t>
            </w:r>
            <w:proofErr w:type="spellStart"/>
            <w:r w:rsidR="00123251">
              <w:rPr>
                <w:szCs w:val="24"/>
              </w:rPr>
              <w:t>kriptoimovine</w:t>
            </w:r>
            <w:proofErr w:type="spellEnd"/>
            <w:r w:rsidR="00EF2942">
              <w:rPr>
                <w:szCs w:val="24"/>
              </w:rPr>
              <w:t xml:space="preserve"> i za subjekte korisnike </w:t>
            </w:r>
            <w:proofErr w:type="spellStart"/>
            <w:r w:rsidR="00123251">
              <w:rPr>
                <w:szCs w:val="24"/>
              </w:rPr>
              <w:t>kriptoimovine</w:t>
            </w:r>
            <w:proofErr w:type="spellEnd"/>
            <w:r w:rsidR="00EF2942">
              <w:rPr>
                <w:szCs w:val="24"/>
              </w:rPr>
              <w:t xml:space="preserve">. </w:t>
            </w:r>
            <w:r w:rsidR="00123251">
              <w:rPr>
                <w:szCs w:val="24"/>
              </w:rPr>
              <w:t>Također</w:t>
            </w:r>
            <w:r w:rsidR="005A7465">
              <w:rPr>
                <w:szCs w:val="24"/>
              </w:rPr>
              <w:t xml:space="preserve">, osigurat će se </w:t>
            </w:r>
            <w:r w:rsidR="005D2D7A">
              <w:rPr>
                <w:szCs w:val="24"/>
              </w:rPr>
              <w:t>zakonodavni okvir</w:t>
            </w:r>
            <w:r w:rsidR="00944FEA">
              <w:rPr>
                <w:szCs w:val="24"/>
              </w:rPr>
              <w:t xml:space="preserve"> </w:t>
            </w:r>
            <w:r w:rsidR="005A7465">
              <w:rPr>
                <w:szCs w:val="24"/>
              </w:rPr>
              <w:t xml:space="preserve">za </w:t>
            </w:r>
            <w:r w:rsidR="00123251">
              <w:rPr>
                <w:szCs w:val="24"/>
              </w:rPr>
              <w:t>automatsk</w:t>
            </w:r>
            <w:r w:rsidR="005A7465">
              <w:rPr>
                <w:szCs w:val="24"/>
              </w:rPr>
              <w:t>u</w:t>
            </w:r>
            <w:r w:rsidR="00123251">
              <w:rPr>
                <w:szCs w:val="24"/>
              </w:rPr>
              <w:t xml:space="preserve"> razmjena informacija o prethodnim poreznim </w:t>
            </w:r>
            <w:r w:rsidR="005A7465">
              <w:rPr>
                <w:szCs w:val="24"/>
              </w:rPr>
              <w:t>mišljenjima</w:t>
            </w:r>
            <w:r w:rsidR="00123251">
              <w:rPr>
                <w:szCs w:val="24"/>
              </w:rPr>
              <w:t xml:space="preserve"> </w:t>
            </w:r>
            <w:r w:rsidR="005A7465">
              <w:rPr>
                <w:szCs w:val="24"/>
              </w:rPr>
              <w:t>s</w:t>
            </w:r>
            <w:r w:rsidR="00123251">
              <w:rPr>
                <w:szCs w:val="24"/>
              </w:rPr>
              <w:t xml:space="preserve"> prekograničnim učinkom</w:t>
            </w:r>
            <w:r w:rsidR="00CD108F">
              <w:rPr>
                <w:szCs w:val="24"/>
              </w:rPr>
              <w:t xml:space="preserve"> </w:t>
            </w:r>
            <w:r w:rsidR="00123251" w:rsidRPr="005D2D7A">
              <w:rPr>
                <w:szCs w:val="24"/>
              </w:rPr>
              <w:t>koj</w:t>
            </w:r>
            <w:r w:rsidR="00CD108F">
              <w:rPr>
                <w:szCs w:val="24"/>
              </w:rPr>
              <w:t>a</w:t>
            </w:r>
            <w:r w:rsidR="00123251">
              <w:rPr>
                <w:szCs w:val="24"/>
              </w:rPr>
              <w:t xml:space="preserve"> se odnose na fizičke osobe </w:t>
            </w:r>
            <w:r w:rsidR="008B7423">
              <w:rPr>
                <w:szCs w:val="24"/>
              </w:rPr>
              <w:t xml:space="preserve">ako je iznos transakcije iznad 1,5 milijuna </w:t>
            </w:r>
            <w:r w:rsidR="00123251">
              <w:rPr>
                <w:szCs w:val="24"/>
              </w:rPr>
              <w:t>eur</w:t>
            </w:r>
            <w:r w:rsidR="008B7423">
              <w:rPr>
                <w:szCs w:val="24"/>
              </w:rPr>
              <w:t>a te</w:t>
            </w:r>
            <w:r w:rsidR="00123251">
              <w:rPr>
                <w:szCs w:val="24"/>
              </w:rPr>
              <w:t xml:space="preserve"> automatska razmjena </w:t>
            </w:r>
            <w:r w:rsidR="008B7423">
              <w:rPr>
                <w:szCs w:val="24"/>
              </w:rPr>
              <w:t>informacija</w:t>
            </w:r>
            <w:r w:rsidR="00123251">
              <w:rPr>
                <w:szCs w:val="24"/>
              </w:rPr>
              <w:t xml:space="preserve"> o </w:t>
            </w:r>
            <w:proofErr w:type="spellStart"/>
            <w:r w:rsidR="008B7423" w:rsidRPr="005D2D7A">
              <w:rPr>
                <w:szCs w:val="24"/>
              </w:rPr>
              <w:t>neskrbničkim</w:t>
            </w:r>
            <w:proofErr w:type="spellEnd"/>
            <w:r w:rsidR="00123251">
              <w:rPr>
                <w:szCs w:val="24"/>
              </w:rPr>
              <w:t xml:space="preserve"> </w:t>
            </w:r>
            <w:r w:rsidR="008B7423">
              <w:rPr>
                <w:szCs w:val="24"/>
              </w:rPr>
              <w:t>dividendama</w:t>
            </w:r>
            <w:r w:rsidR="00BE679C">
              <w:rPr>
                <w:szCs w:val="24"/>
              </w:rPr>
              <w:t>.</w:t>
            </w:r>
          </w:p>
          <w:p w14:paraId="534E7374" w14:textId="77777777" w:rsidR="00BE679C" w:rsidRDefault="00BE679C" w:rsidP="003C5672">
            <w:pPr>
              <w:contextualSpacing/>
              <w:jc w:val="both"/>
              <w:rPr>
                <w:szCs w:val="24"/>
              </w:rPr>
            </w:pPr>
          </w:p>
          <w:p w14:paraId="0E593E66" w14:textId="41C5DD5D" w:rsidR="00A0506F" w:rsidRPr="00A0506F" w:rsidRDefault="00BE679C" w:rsidP="00C8464F">
            <w:pPr>
              <w:contextualSpacing/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 xml:space="preserve">Također, </w:t>
            </w:r>
            <w:r w:rsidR="00637936">
              <w:rPr>
                <w:szCs w:val="24"/>
              </w:rPr>
              <w:t>svrha je propisivanje pravnog okvira za automatsku razmjen</w:t>
            </w:r>
            <w:r w:rsidR="00D40EBA">
              <w:rPr>
                <w:szCs w:val="24"/>
              </w:rPr>
              <w:t>u podatka o</w:t>
            </w:r>
            <w:r w:rsidR="00C8464F">
              <w:rPr>
                <w:szCs w:val="24"/>
              </w:rPr>
              <w:t xml:space="preserve"> prijavama s informacijama o </w:t>
            </w:r>
            <w:r w:rsidR="00D40EBA">
              <w:rPr>
                <w:szCs w:val="24"/>
              </w:rPr>
              <w:t xml:space="preserve"> dopunskom porezu </w:t>
            </w:r>
            <w:bookmarkStart w:id="4" w:name="_Hlk197950004"/>
            <w:r w:rsidR="00D40EBA">
              <w:rPr>
                <w:szCs w:val="24"/>
              </w:rPr>
              <w:t xml:space="preserve">kako bi </w:t>
            </w:r>
            <w:r w:rsidR="00C8464F">
              <w:rPr>
                <w:szCs w:val="24"/>
              </w:rPr>
              <w:t xml:space="preserve">porezne uprave provele odgovarajuću procjenu rizika, evaluirale ispravnost porezne obveze i pratile primjenjuju li skupine MNP-a i velike domaće skupine ispravno utvrđena pravila u Direktivi o Stupu 2. </w:t>
            </w:r>
            <w:bookmarkEnd w:id="4"/>
          </w:p>
        </w:tc>
      </w:tr>
      <w:tr w:rsidR="00FB4F83" w:rsidRPr="00127FD2" w14:paraId="32C820A0" w14:textId="77777777" w:rsidTr="003C5672">
        <w:trPr>
          <w:trHeight w:val="384"/>
        </w:trPr>
        <w:tc>
          <w:tcPr>
            <w:tcW w:w="850" w:type="dxa"/>
          </w:tcPr>
          <w:p w14:paraId="07AA8921" w14:textId="77777777" w:rsidR="00FB4F83" w:rsidRPr="00127FD2" w:rsidRDefault="00FB4F83" w:rsidP="003C5672">
            <w:pPr>
              <w:jc w:val="both"/>
              <w:rPr>
                <w:bCs/>
              </w:rPr>
            </w:pPr>
            <w:r w:rsidRPr="00127FD2">
              <w:rPr>
                <w:bCs/>
              </w:rPr>
              <w:t>3.3.</w:t>
            </w:r>
          </w:p>
        </w:tc>
        <w:tc>
          <w:tcPr>
            <w:tcW w:w="9073" w:type="dxa"/>
          </w:tcPr>
          <w:p w14:paraId="345B6F43" w14:textId="5F003054" w:rsidR="00FB4F83" w:rsidRPr="00127FD2" w:rsidRDefault="00FB4F83" w:rsidP="003C5672">
            <w:pPr>
              <w:contextualSpacing/>
              <w:jc w:val="both"/>
            </w:pPr>
            <w:r w:rsidRPr="00127FD2">
              <w:t xml:space="preserve">Razmotrena druga moguća normativna i </w:t>
            </w:r>
            <w:proofErr w:type="spellStart"/>
            <w:r w:rsidR="00901097" w:rsidRPr="005769E1">
              <w:t>nenormativna</w:t>
            </w:r>
            <w:proofErr w:type="spellEnd"/>
            <w:r w:rsidRPr="00127FD2">
              <w:t xml:space="preserve"> rješenja</w:t>
            </w:r>
          </w:p>
        </w:tc>
      </w:tr>
      <w:tr w:rsidR="00FB4F83" w:rsidRPr="00127FD2" w14:paraId="0161F278" w14:textId="77777777" w:rsidTr="003C5672">
        <w:trPr>
          <w:trHeight w:val="384"/>
        </w:trPr>
        <w:tc>
          <w:tcPr>
            <w:tcW w:w="850" w:type="dxa"/>
          </w:tcPr>
          <w:p w14:paraId="4298784F" w14:textId="77777777" w:rsidR="00FB4F83" w:rsidRPr="00127FD2" w:rsidRDefault="00FB4F83" w:rsidP="003C5672">
            <w:pPr>
              <w:jc w:val="both"/>
              <w:rPr>
                <w:bCs/>
              </w:rPr>
            </w:pPr>
          </w:p>
        </w:tc>
        <w:tc>
          <w:tcPr>
            <w:tcW w:w="9073" w:type="dxa"/>
          </w:tcPr>
          <w:p w14:paraId="6E4C54E6" w14:textId="2C7919A3" w:rsidR="00FB4F83" w:rsidRPr="009F7AC4" w:rsidRDefault="00F7078B" w:rsidP="003C5672">
            <w:pPr>
              <w:contextualSpacing/>
              <w:jc w:val="both"/>
              <w:rPr>
                <w:bCs/>
                <w:iCs/>
                <w:szCs w:val="24"/>
              </w:rPr>
            </w:pPr>
            <w:r w:rsidRPr="009F7AC4">
              <w:rPr>
                <w:color w:val="000000"/>
                <w:szCs w:val="24"/>
              </w:rPr>
              <w:t xml:space="preserve">Cilj koji se želi postići ostvaruje se isključivo normativnim rješenjem, budući da je </w:t>
            </w:r>
            <w:r w:rsidR="008B7423">
              <w:rPr>
                <w:color w:val="000000"/>
                <w:szCs w:val="24"/>
              </w:rPr>
              <w:t xml:space="preserve">za </w:t>
            </w:r>
            <w:r w:rsidR="00123251">
              <w:rPr>
                <w:color w:val="000000"/>
                <w:szCs w:val="24"/>
              </w:rPr>
              <w:t xml:space="preserve">provođenje dubinske </w:t>
            </w:r>
            <w:r w:rsidR="008B7423">
              <w:rPr>
                <w:color w:val="000000"/>
                <w:szCs w:val="24"/>
              </w:rPr>
              <w:t>analize klijenata</w:t>
            </w:r>
            <w:r w:rsidR="00123251">
              <w:rPr>
                <w:color w:val="000000"/>
                <w:szCs w:val="24"/>
              </w:rPr>
              <w:t xml:space="preserve"> i pravila </w:t>
            </w:r>
            <w:r w:rsidR="008B7423">
              <w:rPr>
                <w:color w:val="000000"/>
                <w:szCs w:val="24"/>
              </w:rPr>
              <w:t>izvješćivanja</w:t>
            </w:r>
            <w:r w:rsidR="00123251">
              <w:rPr>
                <w:color w:val="000000"/>
                <w:szCs w:val="24"/>
              </w:rPr>
              <w:t xml:space="preserve"> </w:t>
            </w:r>
            <w:r w:rsidRPr="009F7AC4">
              <w:rPr>
                <w:color w:val="000000"/>
                <w:szCs w:val="24"/>
              </w:rPr>
              <w:t>potrebno</w:t>
            </w:r>
            <w:r w:rsidR="00256D22">
              <w:rPr>
                <w:color w:val="000000"/>
                <w:szCs w:val="24"/>
              </w:rPr>
              <w:t xml:space="preserve"> </w:t>
            </w:r>
            <w:r w:rsidR="00123251">
              <w:rPr>
                <w:color w:val="000000"/>
                <w:szCs w:val="24"/>
              </w:rPr>
              <w:t xml:space="preserve">osigurati </w:t>
            </w:r>
            <w:r w:rsidR="00256D22">
              <w:rPr>
                <w:color w:val="000000"/>
                <w:szCs w:val="24"/>
              </w:rPr>
              <w:t xml:space="preserve"> pravn</w:t>
            </w:r>
            <w:r w:rsidR="00123251">
              <w:rPr>
                <w:color w:val="000000"/>
                <w:szCs w:val="24"/>
              </w:rPr>
              <w:t>i</w:t>
            </w:r>
            <w:r w:rsidR="008B7423">
              <w:rPr>
                <w:color w:val="000000"/>
                <w:szCs w:val="24"/>
              </w:rPr>
              <w:t xml:space="preserve"> okvir.</w:t>
            </w:r>
            <w:r w:rsidR="00256D22">
              <w:rPr>
                <w:color w:val="000000"/>
                <w:szCs w:val="24"/>
              </w:rPr>
              <w:t xml:space="preserve"> </w:t>
            </w:r>
            <w:r w:rsidRPr="009F7AC4">
              <w:rPr>
                <w:szCs w:val="24"/>
              </w:rPr>
              <w:t xml:space="preserve">Navedeni ishod nije moguće postići </w:t>
            </w:r>
            <w:proofErr w:type="spellStart"/>
            <w:r w:rsidRPr="00187951">
              <w:rPr>
                <w:szCs w:val="24"/>
              </w:rPr>
              <w:t>ne</w:t>
            </w:r>
            <w:r w:rsidR="00187951" w:rsidRPr="00187951">
              <w:rPr>
                <w:szCs w:val="24"/>
              </w:rPr>
              <w:t>n</w:t>
            </w:r>
            <w:r w:rsidRPr="00187951">
              <w:rPr>
                <w:szCs w:val="24"/>
              </w:rPr>
              <w:t>ormativnim</w:t>
            </w:r>
            <w:proofErr w:type="spellEnd"/>
            <w:r w:rsidRPr="009F7AC4">
              <w:rPr>
                <w:szCs w:val="24"/>
              </w:rPr>
              <w:t xml:space="preserve"> rješenjem.</w:t>
            </w:r>
          </w:p>
        </w:tc>
      </w:tr>
      <w:tr w:rsidR="00FB4F83" w:rsidRPr="00127FD2" w14:paraId="57FC52A3" w14:textId="77777777" w:rsidTr="003C5672">
        <w:trPr>
          <w:trHeight w:val="384"/>
        </w:trPr>
        <w:tc>
          <w:tcPr>
            <w:tcW w:w="850" w:type="dxa"/>
          </w:tcPr>
          <w:p w14:paraId="259FA343" w14:textId="77777777" w:rsidR="00FB4F83" w:rsidRPr="00127FD2" w:rsidRDefault="00FB4F83" w:rsidP="003C5672">
            <w:pPr>
              <w:jc w:val="both"/>
              <w:rPr>
                <w:bCs/>
              </w:rPr>
            </w:pPr>
            <w:r w:rsidRPr="00127FD2">
              <w:rPr>
                <w:bCs/>
              </w:rPr>
              <w:t>3.</w:t>
            </w:r>
            <w:r>
              <w:rPr>
                <w:bCs/>
              </w:rPr>
              <w:t>4</w:t>
            </w:r>
            <w:r w:rsidRPr="00127FD2">
              <w:rPr>
                <w:bCs/>
              </w:rPr>
              <w:t>.</w:t>
            </w:r>
          </w:p>
        </w:tc>
        <w:tc>
          <w:tcPr>
            <w:tcW w:w="9073" w:type="dxa"/>
          </w:tcPr>
          <w:p w14:paraId="7847079F" w14:textId="77777777" w:rsidR="00FB4F83" w:rsidRPr="00127FD2" w:rsidRDefault="00FB4F83" w:rsidP="003C5672">
            <w:pPr>
              <w:contextualSpacing/>
              <w:jc w:val="both"/>
              <w:rPr>
                <w:iCs/>
                <w:szCs w:val="24"/>
              </w:rPr>
            </w:pPr>
            <w:r w:rsidRPr="00127FD2">
              <w:rPr>
                <w:bCs/>
                <w:szCs w:val="24"/>
              </w:rPr>
              <w:t>Izvor podataka:</w:t>
            </w:r>
          </w:p>
        </w:tc>
      </w:tr>
      <w:tr w:rsidR="00FB4F83" w:rsidRPr="00127FD2" w14:paraId="58C123E7" w14:textId="77777777" w:rsidTr="003C5672">
        <w:trPr>
          <w:trHeight w:val="384"/>
        </w:trPr>
        <w:tc>
          <w:tcPr>
            <w:tcW w:w="850" w:type="dxa"/>
          </w:tcPr>
          <w:p w14:paraId="05FB20CB" w14:textId="77777777" w:rsidR="00FB4F83" w:rsidRPr="00127FD2" w:rsidRDefault="00FB4F83" w:rsidP="003C5672">
            <w:pPr>
              <w:jc w:val="both"/>
              <w:rPr>
                <w:bCs/>
              </w:rPr>
            </w:pPr>
          </w:p>
        </w:tc>
        <w:tc>
          <w:tcPr>
            <w:tcW w:w="9073" w:type="dxa"/>
          </w:tcPr>
          <w:p w14:paraId="459186BA" w14:textId="77777777" w:rsidR="00BA23A4" w:rsidRDefault="00BA23A4" w:rsidP="00BA23A4">
            <w:pPr>
              <w:jc w:val="both"/>
            </w:pPr>
            <w:r>
              <w:t xml:space="preserve">Izvješće Europskog revizorskog suda od 26. siječnja 2021. u kojem se navodi da je pravni okvir Direktive 2011/16/EU čvrst, ali je potrebno ojačati neke odredbe kako bi se iskoristio puni potencijal razmjene informacija i podigla njena učinkovitost u cilju borbe protiv poreznih prijevara i utaja te podizanja transparentnosti dovelo je do preispitivanja postojećeg sustava automatske razmjene informacija u cilju njegovog poboljšanja što je rezultiralo donošenjem Direktive  Vijeća (EU) 2023/2226. Ovom direktivom se  proširuje predmetni obuhvat razmjene informacija o </w:t>
            </w:r>
            <w:proofErr w:type="spellStart"/>
            <w:r w:rsidRPr="00DC2E9F">
              <w:t>kriptoimovini</w:t>
            </w:r>
            <w:proofErr w:type="spellEnd"/>
            <w:r>
              <w:t xml:space="preserve"> kako bi se podigla učinkovitost borbe protiv poreznih prijevara, utaja i izbjegavanja plaćanja poreza.</w:t>
            </w:r>
          </w:p>
          <w:p w14:paraId="7E4748C3" w14:textId="77777777" w:rsidR="00BA23A4" w:rsidRDefault="00BA23A4" w:rsidP="00BA23A4">
            <w:pPr>
              <w:jc w:val="both"/>
            </w:pPr>
          </w:p>
          <w:p w14:paraId="0D433C2F" w14:textId="37BA5324" w:rsidR="00BA23A4" w:rsidRDefault="00BA23A4" w:rsidP="00BA23A4">
            <w:pPr>
              <w:jc w:val="both"/>
            </w:pPr>
            <w:r>
              <w:rPr>
                <w:szCs w:val="24"/>
              </w:rPr>
              <w:t xml:space="preserve"> Direktiva Vijeća (EU) 2025/872 od 14. travnja 2025. o izmjeni Direktive 2011/16/EU o administrativnoj suradnji u području oporezivanja kojom se  </w:t>
            </w:r>
            <w:r w:rsidRPr="00E30EA7">
              <w:rPr>
                <w:bCs/>
                <w:iCs/>
              </w:rPr>
              <w:t>u pravo EU</w:t>
            </w:r>
            <w:r>
              <w:rPr>
                <w:bCs/>
                <w:iCs/>
              </w:rPr>
              <w:t xml:space="preserve">-a </w:t>
            </w:r>
            <w:r w:rsidRPr="00E30EA7">
              <w:rPr>
                <w:bCs/>
                <w:iCs/>
              </w:rPr>
              <w:t xml:space="preserve"> prenosi standardni predložak GIR u skladu s obvezom podnošenja podataka o dopunskom porezu iz članka 44. Direktive o Stupu</w:t>
            </w:r>
            <w:r>
              <w:rPr>
                <w:bCs/>
                <w:iCs/>
              </w:rPr>
              <w:t xml:space="preserve"> 2.</w:t>
            </w:r>
          </w:p>
          <w:p w14:paraId="0E25BC9A" w14:textId="373072BC" w:rsidR="00FB4F83" w:rsidRPr="00127FD2" w:rsidRDefault="00FB4F83" w:rsidP="003C5672">
            <w:pPr>
              <w:contextualSpacing/>
              <w:jc w:val="both"/>
              <w:rPr>
                <w:iCs/>
                <w:szCs w:val="24"/>
              </w:rPr>
            </w:pPr>
          </w:p>
        </w:tc>
      </w:tr>
    </w:tbl>
    <w:p w14:paraId="07A8824B" w14:textId="77777777" w:rsidR="006D0660" w:rsidRPr="00127FD2" w:rsidRDefault="006D0660" w:rsidP="006D0660">
      <w:pPr>
        <w:pStyle w:val="Naslov1"/>
      </w:pPr>
      <w:r w:rsidRPr="00127FD2">
        <w:lastRenderedPageBreak/>
        <w:t>4.</w:t>
      </w:r>
      <w:r w:rsidRPr="00127FD2">
        <w:tab/>
        <w:t xml:space="preserve">UTVRĐIVANJE UČINAKA I ADRESATA 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4254"/>
        <w:gridCol w:w="4819"/>
      </w:tblGrid>
      <w:tr w:rsidR="00FB4F83" w:rsidRPr="00127FD2" w14:paraId="6C3C96DE" w14:textId="77777777" w:rsidTr="003C5672">
        <w:trPr>
          <w:trHeight w:val="608"/>
        </w:trPr>
        <w:tc>
          <w:tcPr>
            <w:tcW w:w="850" w:type="dxa"/>
          </w:tcPr>
          <w:p w14:paraId="29A7BF68" w14:textId="77777777" w:rsidR="00FB4F83" w:rsidRPr="00127FD2" w:rsidRDefault="00FB4F83" w:rsidP="003C5672">
            <w:pPr>
              <w:jc w:val="both"/>
            </w:pPr>
            <w:r w:rsidRPr="00127FD2">
              <w:t>4.1.</w:t>
            </w:r>
          </w:p>
        </w:tc>
        <w:tc>
          <w:tcPr>
            <w:tcW w:w="9073" w:type="dxa"/>
            <w:gridSpan w:val="2"/>
          </w:tcPr>
          <w:p w14:paraId="2366CFC6" w14:textId="77777777" w:rsidR="00FB4F83" w:rsidRPr="00127FD2" w:rsidRDefault="00FB4F83" w:rsidP="003C5672">
            <w:pPr>
              <w:jc w:val="both"/>
            </w:pPr>
            <w:r w:rsidRPr="00127FD2">
              <w:t>Posebni cilj:</w:t>
            </w:r>
          </w:p>
          <w:p w14:paraId="46AF9DE6" w14:textId="19B9D447" w:rsidR="005B7373" w:rsidRDefault="00A0506F" w:rsidP="00214E6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Cilj izmjene Zakona o </w:t>
            </w:r>
            <w:r w:rsidR="00123251">
              <w:rPr>
                <w:szCs w:val="24"/>
              </w:rPr>
              <w:t xml:space="preserve">administrativnoj suradnji u području poreza </w:t>
            </w:r>
            <w:r w:rsidR="00FF5111">
              <w:rPr>
                <w:szCs w:val="24"/>
              </w:rPr>
              <w:t>je</w:t>
            </w:r>
            <w:r w:rsidR="005B7373">
              <w:rPr>
                <w:szCs w:val="24"/>
              </w:rPr>
              <w:t>:</w:t>
            </w:r>
          </w:p>
          <w:p w14:paraId="7DFF5C06" w14:textId="2E9FE9FF" w:rsidR="005B7373" w:rsidRPr="005B7373" w:rsidRDefault="00FF5111" w:rsidP="005B7373">
            <w:pPr>
              <w:pStyle w:val="Odlomakpopisa"/>
              <w:numPr>
                <w:ilvl w:val="0"/>
                <w:numId w:val="9"/>
              </w:numPr>
              <w:jc w:val="both"/>
            </w:pPr>
            <w:r w:rsidRPr="005B7373">
              <w:rPr>
                <w:szCs w:val="24"/>
              </w:rPr>
              <w:t xml:space="preserve"> </w:t>
            </w:r>
            <w:r w:rsidR="00F66CC5" w:rsidRPr="005B7373">
              <w:rPr>
                <w:szCs w:val="24"/>
              </w:rPr>
              <w:t xml:space="preserve">proširiti automatsku razmjenu informacija na </w:t>
            </w:r>
            <w:proofErr w:type="spellStart"/>
            <w:r w:rsidR="00F66CC5" w:rsidRPr="005B7373">
              <w:rPr>
                <w:szCs w:val="24"/>
              </w:rPr>
              <w:t>kriptoimovinu</w:t>
            </w:r>
            <w:proofErr w:type="spellEnd"/>
            <w:r w:rsidR="00F66CC5" w:rsidRPr="005B7373">
              <w:rPr>
                <w:szCs w:val="24"/>
              </w:rPr>
              <w:t xml:space="preserve">, elektronički novac, </w:t>
            </w:r>
            <w:proofErr w:type="spellStart"/>
            <w:r w:rsidR="00C42B08" w:rsidRPr="005B7373">
              <w:rPr>
                <w:szCs w:val="24"/>
              </w:rPr>
              <w:t>ne</w:t>
            </w:r>
            <w:r w:rsidR="00B44861" w:rsidRPr="005B7373">
              <w:rPr>
                <w:szCs w:val="24"/>
              </w:rPr>
              <w:t>s</w:t>
            </w:r>
            <w:r w:rsidR="00C42B08" w:rsidRPr="005B7373">
              <w:rPr>
                <w:szCs w:val="24"/>
              </w:rPr>
              <w:t>krbničke</w:t>
            </w:r>
            <w:proofErr w:type="spellEnd"/>
            <w:r w:rsidR="00F66CC5" w:rsidRPr="005B7373">
              <w:rPr>
                <w:szCs w:val="24"/>
              </w:rPr>
              <w:t xml:space="preserve"> dividende, prethodna porezna mišljenja s prekograničnim učinkom koj</w:t>
            </w:r>
            <w:r w:rsidR="00CD108F" w:rsidRPr="005B7373">
              <w:rPr>
                <w:szCs w:val="24"/>
              </w:rPr>
              <w:t>a</w:t>
            </w:r>
            <w:r w:rsidR="00F66CC5" w:rsidRPr="005B7373">
              <w:rPr>
                <w:szCs w:val="24"/>
              </w:rPr>
              <w:t xml:space="preserve"> se odnose na fizičke osobe ako je iznos transakcije iznad 1,5 milijuna eura u cilju borbe protiv poreznih prijevara i evazije te podizanja transparentnosti o prihodima. </w:t>
            </w:r>
          </w:p>
          <w:p w14:paraId="3A3DB459" w14:textId="73C59F8A" w:rsidR="00986B25" w:rsidRPr="00127FD2" w:rsidRDefault="00671949" w:rsidP="005B7373">
            <w:pPr>
              <w:pStyle w:val="Odlomakpopisa"/>
              <w:numPr>
                <w:ilvl w:val="0"/>
                <w:numId w:val="9"/>
              </w:numPr>
              <w:jc w:val="both"/>
            </w:pPr>
            <w:r>
              <w:rPr>
                <w:szCs w:val="24"/>
              </w:rPr>
              <w:t>na</w:t>
            </w:r>
            <w:r w:rsidR="00986B25" w:rsidRPr="005B7373">
              <w:rPr>
                <w:szCs w:val="24"/>
              </w:rPr>
              <w:t xml:space="preserve"> temelju obveznog podnošenja informacija o dopunskom porezu</w:t>
            </w:r>
            <w:r w:rsidR="00214E61" w:rsidRPr="005B7373">
              <w:rPr>
                <w:szCs w:val="24"/>
              </w:rPr>
              <w:t xml:space="preserve"> omogućit</w:t>
            </w:r>
            <w:r w:rsidR="00C05D0A">
              <w:rPr>
                <w:szCs w:val="24"/>
              </w:rPr>
              <w:t xml:space="preserve"> će se </w:t>
            </w:r>
            <w:r w:rsidR="00214E61" w:rsidRPr="005B7373">
              <w:rPr>
                <w:szCs w:val="24"/>
              </w:rPr>
              <w:t xml:space="preserve"> provedb</w:t>
            </w:r>
            <w:r w:rsidR="00C05D0A">
              <w:rPr>
                <w:szCs w:val="24"/>
              </w:rPr>
              <w:t>a</w:t>
            </w:r>
            <w:r w:rsidR="00214E61" w:rsidRPr="005B7373">
              <w:rPr>
                <w:szCs w:val="24"/>
              </w:rPr>
              <w:t xml:space="preserve"> odgovarajuće procjene rizika, evaluacija ispravnosti porezne obveze te praćenje primjenjuju li skupine MNP-a i velike domaće skupine ispravno utvrđena pravila u Direktivi o Stupu 2. </w:t>
            </w:r>
          </w:p>
        </w:tc>
      </w:tr>
      <w:tr w:rsidR="00FB4F83" w:rsidRPr="00127FD2" w14:paraId="6414F7A1" w14:textId="77777777" w:rsidTr="003C5672">
        <w:trPr>
          <w:trHeight w:val="335"/>
        </w:trPr>
        <w:tc>
          <w:tcPr>
            <w:tcW w:w="850" w:type="dxa"/>
          </w:tcPr>
          <w:p w14:paraId="6B74A900" w14:textId="77777777" w:rsidR="00FB4F83" w:rsidRPr="00127FD2" w:rsidRDefault="00FB4F83" w:rsidP="003C5672">
            <w:pPr>
              <w:jc w:val="both"/>
            </w:pPr>
            <w:r w:rsidRPr="00127FD2">
              <w:t>4.1.1.</w:t>
            </w:r>
          </w:p>
        </w:tc>
        <w:tc>
          <w:tcPr>
            <w:tcW w:w="4254" w:type="dxa"/>
          </w:tcPr>
          <w:p w14:paraId="758443A2" w14:textId="77777777" w:rsidR="00FB4F83" w:rsidRPr="00127FD2" w:rsidRDefault="00FB4F83" w:rsidP="003C5672">
            <w:pPr>
              <w:jc w:val="both"/>
            </w:pPr>
            <w:r w:rsidRPr="00127FD2">
              <w:t>Učinci na gospodarstvo:</w:t>
            </w:r>
          </w:p>
        </w:tc>
        <w:tc>
          <w:tcPr>
            <w:tcW w:w="4819" w:type="dxa"/>
          </w:tcPr>
          <w:p w14:paraId="6E238793" w14:textId="77777777" w:rsidR="00FB4F83" w:rsidRPr="00127FD2" w:rsidRDefault="00FB4F83" w:rsidP="003C5672">
            <w:pPr>
              <w:jc w:val="both"/>
            </w:pPr>
            <w:r w:rsidRPr="00127FD2">
              <w:t>Adresati:</w:t>
            </w:r>
          </w:p>
        </w:tc>
      </w:tr>
      <w:tr w:rsidR="00FB4F83" w:rsidRPr="00127FD2" w14:paraId="2A024F9B" w14:textId="77777777" w:rsidTr="003C5672">
        <w:trPr>
          <w:trHeight w:val="335"/>
        </w:trPr>
        <w:tc>
          <w:tcPr>
            <w:tcW w:w="850" w:type="dxa"/>
          </w:tcPr>
          <w:p w14:paraId="136CC49E" w14:textId="77777777" w:rsidR="00FB4F83" w:rsidRPr="00127FD2" w:rsidRDefault="00FB4F83" w:rsidP="003C5672">
            <w:pPr>
              <w:jc w:val="both"/>
            </w:pPr>
          </w:p>
        </w:tc>
        <w:tc>
          <w:tcPr>
            <w:tcW w:w="4254" w:type="dxa"/>
          </w:tcPr>
          <w:p w14:paraId="0FD50A6A" w14:textId="46F8403C" w:rsidR="00214E61" w:rsidRPr="00091B6C" w:rsidRDefault="00125D54" w:rsidP="00214E61">
            <w:pPr>
              <w:spacing w:after="160" w:line="259" w:lineRule="auto"/>
              <w:jc w:val="both"/>
              <w:rPr>
                <w:szCs w:val="24"/>
              </w:rPr>
            </w:pPr>
            <w:r w:rsidRPr="00F91DB0">
              <w:rPr>
                <w:szCs w:val="24"/>
              </w:rPr>
              <w:t>Obveza prijavljivanja p</w:t>
            </w:r>
            <w:r>
              <w:rPr>
                <w:szCs w:val="24"/>
              </w:rPr>
              <w:t xml:space="preserve">rihoda </w:t>
            </w:r>
            <w:r w:rsidRPr="00F91DB0">
              <w:rPr>
                <w:szCs w:val="24"/>
              </w:rPr>
              <w:t xml:space="preserve"> ostvarenih ulaganjem </w:t>
            </w:r>
            <w:r>
              <w:rPr>
                <w:szCs w:val="24"/>
              </w:rPr>
              <w:t xml:space="preserve">u </w:t>
            </w:r>
            <w:proofErr w:type="spellStart"/>
            <w:r w:rsidRPr="0009597F">
              <w:rPr>
                <w:szCs w:val="24"/>
              </w:rPr>
              <w:t>kriptoimovinu</w:t>
            </w:r>
            <w:proofErr w:type="spellEnd"/>
            <w:r>
              <w:rPr>
                <w:szCs w:val="24"/>
              </w:rPr>
              <w:t xml:space="preserve"> </w:t>
            </w:r>
            <w:r w:rsidR="00A8305B">
              <w:rPr>
                <w:szCs w:val="24"/>
              </w:rPr>
              <w:t xml:space="preserve">omogućit će </w:t>
            </w:r>
            <w:r w:rsidR="00731FD5">
              <w:rPr>
                <w:szCs w:val="24"/>
              </w:rPr>
              <w:t>prikup</w:t>
            </w:r>
            <w:r w:rsidR="00A8305B">
              <w:rPr>
                <w:szCs w:val="24"/>
              </w:rPr>
              <w:t>ljanje</w:t>
            </w:r>
            <w:r w:rsidR="009F60AC">
              <w:rPr>
                <w:szCs w:val="24"/>
              </w:rPr>
              <w:t xml:space="preserve"> šir</w:t>
            </w:r>
            <w:r w:rsidR="00A8305B">
              <w:rPr>
                <w:szCs w:val="24"/>
              </w:rPr>
              <w:t>eg</w:t>
            </w:r>
            <w:r w:rsidR="009F60AC">
              <w:rPr>
                <w:szCs w:val="24"/>
              </w:rPr>
              <w:t xml:space="preserve"> skup</w:t>
            </w:r>
            <w:r w:rsidR="0009597F">
              <w:rPr>
                <w:szCs w:val="24"/>
              </w:rPr>
              <w:t>a</w:t>
            </w:r>
            <w:r w:rsidR="009F60AC">
              <w:rPr>
                <w:szCs w:val="24"/>
              </w:rPr>
              <w:t xml:space="preserve"> informacija</w:t>
            </w:r>
            <w:r w:rsidR="00731FD5">
              <w:rPr>
                <w:szCs w:val="24"/>
              </w:rPr>
              <w:t xml:space="preserve"> koje će se koristiti u porezne svrhe, </w:t>
            </w:r>
            <w:r w:rsidR="009F60AC">
              <w:rPr>
                <w:szCs w:val="24"/>
              </w:rPr>
              <w:t xml:space="preserve">podići transparentnost prihoda </w:t>
            </w:r>
            <w:r w:rsidR="00731FD5">
              <w:rPr>
                <w:szCs w:val="24"/>
              </w:rPr>
              <w:t xml:space="preserve">ostvarenih ulaganjem u </w:t>
            </w:r>
            <w:proofErr w:type="spellStart"/>
            <w:r w:rsidR="00731FD5" w:rsidRPr="0009597F">
              <w:rPr>
                <w:szCs w:val="24"/>
              </w:rPr>
              <w:t>k</w:t>
            </w:r>
            <w:r w:rsidR="009F60AC" w:rsidRPr="0009597F">
              <w:rPr>
                <w:szCs w:val="24"/>
              </w:rPr>
              <w:t>riptoimovinu</w:t>
            </w:r>
            <w:proofErr w:type="spellEnd"/>
            <w:r w:rsidR="00731FD5">
              <w:rPr>
                <w:szCs w:val="24"/>
              </w:rPr>
              <w:t xml:space="preserve">.  </w:t>
            </w:r>
            <w:r w:rsidR="00091B6C">
              <w:rPr>
                <w:szCs w:val="24"/>
              </w:rPr>
              <w:t xml:space="preserve">Nadalje,  </w:t>
            </w:r>
            <w:r w:rsidR="00AD15F0" w:rsidRPr="00091B6C">
              <w:rPr>
                <w:szCs w:val="24"/>
              </w:rPr>
              <w:t>razmjena informacija o prijavama s dopunskim</w:t>
            </w:r>
            <w:r w:rsidR="00874B9B">
              <w:rPr>
                <w:szCs w:val="24"/>
              </w:rPr>
              <w:t xml:space="preserve"> porezom</w:t>
            </w:r>
            <w:r w:rsidR="00AD15F0" w:rsidRPr="00091B6C">
              <w:rPr>
                <w:szCs w:val="24"/>
              </w:rPr>
              <w:t xml:space="preserve"> </w:t>
            </w:r>
            <w:r w:rsidR="00214E61" w:rsidRPr="00091B6C">
              <w:rPr>
                <w:szCs w:val="24"/>
              </w:rPr>
              <w:t>doprinijet će borbi protiv smanjenja porezne osnovice i premještanja dobiti.</w:t>
            </w:r>
          </w:p>
          <w:p w14:paraId="6485606B" w14:textId="77181DDA" w:rsidR="00214E61" w:rsidRDefault="00214E61" w:rsidP="00214E61">
            <w:pPr>
              <w:spacing w:after="160" w:line="259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Proširenje automatske razmjene informacija će pridonijeti   pozitivnoj percepciji načela  pravednosti u oporezivanju i pravednoj raspodjeli poreznog tereta što u širem smislu ima pozitivan utjecaj na gospodarstvo.</w:t>
            </w:r>
          </w:p>
          <w:p w14:paraId="0C11FC2E" w14:textId="0756C556" w:rsidR="00593B24" w:rsidRPr="00593B24" w:rsidRDefault="00214E61" w:rsidP="00593B24">
            <w:pPr>
              <w:spacing w:after="160" w:line="259" w:lineRule="auto"/>
              <w:jc w:val="both"/>
              <w:rPr>
                <w:szCs w:val="24"/>
              </w:rPr>
            </w:pPr>
            <w:r w:rsidRPr="00593B24">
              <w:rPr>
                <w:szCs w:val="24"/>
              </w:rPr>
              <w:t xml:space="preserve"> </w:t>
            </w:r>
            <w:r w:rsidR="00593B24" w:rsidRPr="00593B24">
              <w:rPr>
                <w:szCs w:val="24"/>
              </w:rPr>
              <w:t>Nadalje,</w:t>
            </w:r>
            <w:r w:rsidR="00593B24">
              <w:rPr>
                <w:color w:val="FF0000"/>
                <w:szCs w:val="24"/>
              </w:rPr>
              <w:t xml:space="preserve"> </w:t>
            </w:r>
            <w:r w:rsidR="00593B24" w:rsidRPr="00593B24">
              <w:rPr>
                <w:szCs w:val="24"/>
              </w:rPr>
              <w:t>proširenje automatske razmjene informacija imat će u</w:t>
            </w:r>
            <w:r w:rsidR="00593B24">
              <w:rPr>
                <w:szCs w:val="24"/>
              </w:rPr>
              <w:t>tjecaj</w:t>
            </w:r>
            <w:r w:rsidR="00593B24" w:rsidRPr="00593B24">
              <w:rPr>
                <w:szCs w:val="24"/>
              </w:rPr>
              <w:t xml:space="preserve"> na</w:t>
            </w:r>
            <w:r w:rsidR="005D33B5">
              <w:rPr>
                <w:szCs w:val="24"/>
              </w:rPr>
              <w:t xml:space="preserve"> konkurentnost gospodarstva, odnosno na </w:t>
            </w:r>
            <w:r w:rsidR="00593B24" w:rsidRPr="00593B24">
              <w:rPr>
                <w:szCs w:val="24"/>
              </w:rPr>
              <w:t xml:space="preserve"> poslovno okruženje u kontekstu  razvijanj</w:t>
            </w:r>
            <w:r w:rsidR="00593B24">
              <w:rPr>
                <w:szCs w:val="24"/>
              </w:rPr>
              <w:t>a</w:t>
            </w:r>
            <w:r w:rsidR="00593B24" w:rsidRPr="00593B24">
              <w:rPr>
                <w:szCs w:val="24"/>
              </w:rPr>
              <w:t xml:space="preserve"> novih proizvoda, usluga i naprednih tehnologija, </w:t>
            </w:r>
            <w:r w:rsidR="00593B24">
              <w:rPr>
                <w:szCs w:val="24"/>
              </w:rPr>
              <w:t xml:space="preserve">što će doprinijeti </w:t>
            </w:r>
            <w:r w:rsidR="00593B24" w:rsidRPr="00593B24">
              <w:rPr>
                <w:szCs w:val="24"/>
              </w:rPr>
              <w:t>uklanjanj</w:t>
            </w:r>
            <w:r w:rsidR="00593B24">
              <w:rPr>
                <w:szCs w:val="24"/>
              </w:rPr>
              <w:t>u</w:t>
            </w:r>
            <w:r w:rsidR="00593B24" w:rsidRPr="00593B24">
              <w:rPr>
                <w:szCs w:val="24"/>
              </w:rPr>
              <w:t xml:space="preserve"> prepreka za razmjenu usluga</w:t>
            </w:r>
            <w:r w:rsidR="00593B24">
              <w:rPr>
                <w:szCs w:val="24"/>
              </w:rPr>
              <w:t>, rada</w:t>
            </w:r>
            <w:r w:rsidR="00593B24" w:rsidRPr="00593B24">
              <w:rPr>
                <w:szCs w:val="24"/>
              </w:rPr>
              <w:t xml:space="preserve"> i kapitala</w:t>
            </w:r>
            <w:r w:rsidR="005D33B5">
              <w:rPr>
                <w:szCs w:val="24"/>
              </w:rPr>
              <w:t xml:space="preserve"> prvenstveno na tržištu financijskih usluga te </w:t>
            </w:r>
            <w:r w:rsidR="00C05D0A">
              <w:rPr>
                <w:szCs w:val="24"/>
              </w:rPr>
              <w:t xml:space="preserve">u konačnici pozitivan </w:t>
            </w:r>
            <w:r w:rsidR="005D33B5">
              <w:rPr>
                <w:szCs w:val="24"/>
              </w:rPr>
              <w:t xml:space="preserve">utjecaj na </w:t>
            </w:r>
            <w:r w:rsidR="00100424">
              <w:rPr>
                <w:szCs w:val="24"/>
              </w:rPr>
              <w:t>gospodarstvo</w:t>
            </w:r>
          </w:p>
          <w:p w14:paraId="4EBF8ECE" w14:textId="3C6529A8" w:rsidR="00AD15F0" w:rsidRPr="00C245C0" w:rsidRDefault="00593B24" w:rsidP="00C05D0A">
            <w:pPr>
              <w:spacing w:after="160" w:line="259" w:lineRule="auto"/>
              <w:jc w:val="both"/>
              <w:rPr>
                <w:iCs/>
              </w:rPr>
            </w:pPr>
            <w:r>
              <w:rPr>
                <w:szCs w:val="24"/>
              </w:rPr>
              <w:t xml:space="preserve">Očekuje se i utjecaj na  </w:t>
            </w:r>
            <w:r w:rsidRPr="00593B24">
              <w:rPr>
                <w:szCs w:val="24"/>
              </w:rPr>
              <w:t>funkcioniranj</w:t>
            </w:r>
            <w:r>
              <w:rPr>
                <w:szCs w:val="24"/>
              </w:rPr>
              <w:t>e</w:t>
            </w:r>
            <w:r w:rsidRPr="00593B24">
              <w:rPr>
                <w:szCs w:val="24"/>
              </w:rPr>
              <w:t xml:space="preserve"> tržišta i tržišnog natjecanja koje uključuje dostupnost kapitala i financijskih instrumenata</w:t>
            </w:r>
            <w:r w:rsidR="005D33B5">
              <w:rPr>
                <w:szCs w:val="24"/>
              </w:rPr>
              <w:t xml:space="preserve">, </w:t>
            </w:r>
            <w:r w:rsidRPr="00593B24">
              <w:rPr>
                <w:szCs w:val="24"/>
              </w:rPr>
              <w:t xml:space="preserve"> </w:t>
            </w:r>
            <w:r w:rsidR="00BB095F">
              <w:rPr>
                <w:szCs w:val="24"/>
              </w:rPr>
              <w:t xml:space="preserve"> </w:t>
            </w:r>
            <w:r w:rsidRPr="00593B24">
              <w:rPr>
                <w:szCs w:val="24"/>
              </w:rPr>
              <w:t>djelovanje na regulirane djelatnosti</w:t>
            </w:r>
            <w:r w:rsidR="00BB095F">
              <w:rPr>
                <w:szCs w:val="24"/>
              </w:rPr>
              <w:t xml:space="preserve"> pružatelja usluga povezanih s kripto imovinom, u</w:t>
            </w:r>
            <w:r w:rsidR="005D33B5">
              <w:rPr>
                <w:szCs w:val="24"/>
              </w:rPr>
              <w:t xml:space="preserve">klanjanje </w:t>
            </w:r>
            <w:r w:rsidR="00100424">
              <w:rPr>
                <w:szCs w:val="24"/>
              </w:rPr>
              <w:t>diskriminirajućeg</w:t>
            </w:r>
            <w:r w:rsidR="005D33B5">
              <w:rPr>
                <w:szCs w:val="24"/>
              </w:rPr>
              <w:t xml:space="preserve"> položaja </w:t>
            </w:r>
            <w:r w:rsidR="00100424">
              <w:rPr>
                <w:szCs w:val="24"/>
              </w:rPr>
              <w:t xml:space="preserve">ulaganja u </w:t>
            </w:r>
            <w:r w:rsidR="00100424">
              <w:rPr>
                <w:szCs w:val="24"/>
              </w:rPr>
              <w:lastRenderedPageBreak/>
              <w:t>tradicionalne oblike držanja financijske imovine</w:t>
            </w:r>
            <w:r w:rsidR="00C05D0A">
              <w:rPr>
                <w:szCs w:val="24"/>
              </w:rPr>
              <w:t xml:space="preserve">. </w:t>
            </w:r>
          </w:p>
        </w:tc>
        <w:tc>
          <w:tcPr>
            <w:tcW w:w="4819" w:type="dxa"/>
          </w:tcPr>
          <w:p w14:paraId="6D4619E4" w14:textId="32FFBD50" w:rsidR="00A0506F" w:rsidRDefault="00B75487" w:rsidP="008F3ACE">
            <w:pPr>
              <w:jc w:val="both"/>
              <w:rPr>
                <w:iCs/>
              </w:rPr>
            </w:pPr>
            <w:r>
              <w:rPr>
                <w:iCs/>
              </w:rPr>
              <w:lastRenderedPageBreak/>
              <w:t xml:space="preserve">Izvještajni pružatelji usluga povezanih s </w:t>
            </w:r>
            <w:r w:rsidR="00731FD5">
              <w:rPr>
                <w:iCs/>
              </w:rPr>
              <w:t>kripto imovinom</w:t>
            </w:r>
            <w:r>
              <w:rPr>
                <w:iCs/>
              </w:rPr>
              <w:t xml:space="preserve"> </w:t>
            </w:r>
          </w:p>
          <w:p w14:paraId="3E13CC8D" w14:textId="77777777" w:rsidR="00B75487" w:rsidRDefault="00B75487" w:rsidP="008F3ACE">
            <w:pPr>
              <w:jc w:val="both"/>
              <w:rPr>
                <w:iCs/>
              </w:rPr>
            </w:pPr>
            <w:r>
              <w:rPr>
                <w:iCs/>
              </w:rPr>
              <w:t xml:space="preserve">Izvještajne financijske institucije </w:t>
            </w:r>
          </w:p>
          <w:p w14:paraId="5A1BFB9C" w14:textId="569DBEFC" w:rsidR="00F135B1" w:rsidRDefault="00F135B1" w:rsidP="008F3ACE">
            <w:pPr>
              <w:jc w:val="both"/>
              <w:rPr>
                <w:iCs/>
              </w:rPr>
            </w:pPr>
            <w:r>
              <w:rPr>
                <w:iCs/>
              </w:rPr>
              <w:t>Multinacionalna poduzeća</w:t>
            </w:r>
            <w:r w:rsidR="000E1FA3">
              <w:rPr>
                <w:iCs/>
              </w:rPr>
              <w:t xml:space="preserve"> </w:t>
            </w:r>
          </w:p>
          <w:p w14:paraId="25D65186" w14:textId="040BA4F8" w:rsidR="00AB1CDA" w:rsidRPr="006D1740" w:rsidRDefault="00AB1CDA" w:rsidP="00BB095F">
            <w:pPr>
              <w:pStyle w:val="box476324"/>
              <w:shd w:val="clear" w:color="auto" w:fill="FFFFFF"/>
              <w:spacing w:before="0" w:beforeAutospacing="0" w:after="48" w:afterAutospacing="0"/>
              <w:ind w:firstLine="408"/>
              <w:textAlignment w:val="baseline"/>
              <w:rPr>
                <w:iCs/>
              </w:rPr>
            </w:pPr>
          </w:p>
        </w:tc>
      </w:tr>
      <w:tr w:rsidR="00FB4F83" w:rsidRPr="00127FD2" w14:paraId="6C4DC5AF" w14:textId="77777777" w:rsidTr="003C5672">
        <w:trPr>
          <w:trHeight w:val="360"/>
        </w:trPr>
        <w:tc>
          <w:tcPr>
            <w:tcW w:w="850" w:type="dxa"/>
          </w:tcPr>
          <w:p w14:paraId="35B4C38D" w14:textId="77777777" w:rsidR="00FB4F83" w:rsidRPr="00127FD2" w:rsidRDefault="00FB4F83" w:rsidP="003C5672">
            <w:pPr>
              <w:jc w:val="both"/>
            </w:pPr>
            <w:r w:rsidRPr="00127FD2">
              <w:t>4.1.2.</w:t>
            </w:r>
          </w:p>
        </w:tc>
        <w:tc>
          <w:tcPr>
            <w:tcW w:w="4254" w:type="dxa"/>
          </w:tcPr>
          <w:p w14:paraId="72BED4AE" w14:textId="77777777" w:rsidR="00FB4F83" w:rsidRPr="00127FD2" w:rsidRDefault="00FB4F83" w:rsidP="003C5672">
            <w:pPr>
              <w:jc w:val="both"/>
            </w:pPr>
            <w:r w:rsidRPr="00127FD2">
              <w:t>Učinci na održivi razvoj:</w:t>
            </w:r>
          </w:p>
        </w:tc>
        <w:tc>
          <w:tcPr>
            <w:tcW w:w="4819" w:type="dxa"/>
          </w:tcPr>
          <w:p w14:paraId="1DF21CF6" w14:textId="77777777" w:rsidR="00FB4F83" w:rsidRPr="00127FD2" w:rsidRDefault="00FB4F83" w:rsidP="003C5672">
            <w:pPr>
              <w:jc w:val="both"/>
            </w:pPr>
            <w:r w:rsidRPr="00127FD2">
              <w:t>Adresati:</w:t>
            </w:r>
          </w:p>
        </w:tc>
      </w:tr>
      <w:tr w:rsidR="00FB4F83" w:rsidRPr="00127FD2" w14:paraId="27EC8875" w14:textId="77777777" w:rsidTr="003C5672">
        <w:trPr>
          <w:trHeight w:val="360"/>
        </w:trPr>
        <w:tc>
          <w:tcPr>
            <w:tcW w:w="850" w:type="dxa"/>
          </w:tcPr>
          <w:p w14:paraId="7EA5ACE0" w14:textId="77777777" w:rsidR="00FB4F83" w:rsidRPr="00127FD2" w:rsidRDefault="00FB4F83" w:rsidP="003C5672">
            <w:pPr>
              <w:jc w:val="both"/>
            </w:pPr>
          </w:p>
        </w:tc>
        <w:tc>
          <w:tcPr>
            <w:tcW w:w="4254" w:type="dxa"/>
          </w:tcPr>
          <w:p w14:paraId="34E61991" w14:textId="2B0EEDA2" w:rsidR="00FB4F83" w:rsidRPr="009E3677" w:rsidRDefault="009E3677" w:rsidP="003C5672">
            <w:pPr>
              <w:jc w:val="both"/>
              <w:rPr>
                <w:iCs/>
              </w:rPr>
            </w:pPr>
            <w:r w:rsidRPr="009E3677">
              <w:rPr>
                <w:iCs/>
              </w:rPr>
              <w:t xml:space="preserve">Nisu utvrđeni učinci na održivi razvoj. </w:t>
            </w:r>
          </w:p>
        </w:tc>
        <w:tc>
          <w:tcPr>
            <w:tcW w:w="4819" w:type="dxa"/>
          </w:tcPr>
          <w:p w14:paraId="7A6FA3D1" w14:textId="141FB174" w:rsidR="00FB4F83" w:rsidRPr="00A9431E" w:rsidRDefault="00A0506F" w:rsidP="003C5672">
            <w:pPr>
              <w:jc w:val="both"/>
            </w:pPr>
            <w:r>
              <w:t>Nisu utvrđeni adresati.</w:t>
            </w:r>
          </w:p>
        </w:tc>
      </w:tr>
      <w:tr w:rsidR="00FB4F83" w:rsidRPr="00127FD2" w14:paraId="7B2D97B8" w14:textId="77777777" w:rsidTr="003C5672">
        <w:trPr>
          <w:trHeight w:val="328"/>
        </w:trPr>
        <w:tc>
          <w:tcPr>
            <w:tcW w:w="850" w:type="dxa"/>
          </w:tcPr>
          <w:p w14:paraId="383BA9FA" w14:textId="77777777" w:rsidR="00FB4F83" w:rsidRPr="00127FD2" w:rsidRDefault="00FB4F83" w:rsidP="003C5672">
            <w:pPr>
              <w:jc w:val="both"/>
            </w:pPr>
            <w:r w:rsidRPr="00127FD2">
              <w:t>4.1.3.</w:t>
            </w:r>
          </w:p>
        </w:tc>
        <w:tc>
          <w:tcPr>
            <w:tcW w:w="4254" w:type="dxa"/>
          </w:tcPr>
          <w:p w14:paraId="63F49B82" w14:textId="77777777" w:rsidR="00FB4F83" w:rsidRPr="00127FD2" w:rsidRDefault="00FB4F83" w:rsidP="003C5672">
            <w:pPr>
              <w:jc w:val="both"/>
            </w:pPr>
            <w:r w:rsidRPr="00127FD2">
              <w:t>Učinci na socijalnu skrb:</w:t>
            </w:r>
          </w:p>
        </w:tc>
        <w:tc>
          <w:tcPr>
            <w:tcW w:w="4819" w:type="dxa"/>
          </w:tcPr>
          <w:p w14:paraId="39FEB334" w14:textId="77777777" w:rsidR="00FB4F83" w:rsidRPr="00127FD2" w:rsidRDefault="00FB4F83" w:rsidP="003C5672">
            <w:pPr>
              <w:jc w:val="both"/>
            </w:pPr>
            <w:r w:rsidRPr="00127FD2">
              <w:t>Adresati:</w:t>
            </w:r>
          </w:p>
        </w:tc>
      </w:tr>
      <w:tr w:rsidR="00FB4F83" w:rsidRPr="00127FD2" w14:paraId="721B89BB" w14:textId="77777777" w:rsidTr="003C5672">
        <w:trPr>
          <w:trHeight w:val="328"/>
        </w:trPr>
        <w:tc>
          <w:tcPr>
            <w:tcW w:w="850" w:type="dxa"/>
          </w:tcPr>
          <w:p w14:paraId="1F227923" w14:textId="77777777" w:rsidR="00FB4F83" w:rsidRPr="00127FD2" w:rsidRDefault="00FB4F83" w:rsidP="003C5672">
            <w:pPr>
              <w:jc w:val="both"/>
            </w:pPr>
          </w:p>
        </w:tc>
        <w:tc>
          <w:tcPr>
            <w:tcW w:w="4254" w:type="dxa"/>
          </w:tcPr>
          <w:p w14:paraId="088E00F8" w14:textId="7A4D2F1E" w:rsidR="00FB4F83" w:rsidRPr="00127FD2" w:rsidRDefault="009E3677" w:rsidP="003C5672">
            <w:pPr>
              <w:jc w:val="both"/>
              <w:rPr>
                <w:i/>
              </w:rPr>
            </w:pPr>
            <w:r w:rsidRPr="009E3677">
              <w:rPr>
                <w:iCs/>
              </w:rPr>
              <w:t xml:space="preserve">Nisu utvrđeni učinci na </w:t>
            </w:r>
            <w:r>
              <w:rPr>
                <w:iCs/>
              </w:rPr>
              <w:t>socijalnu skrb</w:t>
            </w:r>
            <w:r w:rsidRPr="009E3677">
              <w:rPr>
                <w:iCs/>
              </w:rPr>
              <w:t>.</w:t>
            </w:r>
          </w:p>
        </w:tc>
        <w:tc>
          <w:tcPr>
            <w:tcW w:w="4819" w:type="dxa"/>
          </w:tcPr>
          <w:p w14:paraId="4AC7E7FC" w14:textId="2DD61809" w:rsidR="00FB4F83" w:rsidRPr="00127FD2" w:rsidRDefault="00A0506F" w:rsidP="003C5672">
            <w:pPr>
              <w:jc w:val="both"/>
              <w:rPr>
                <w:i/>
              </w:rPr>
            </w:pPr>
            <w:r>
              <w:t>Nisu utvrđeni adresati.</w:t>
            </w:r>
          </w:p>
        </w:tc>
      </w:tr>
      <w:tr w:rsidR="00FB4F83" w:rsidRPr="00127FD2" w14:paraId="59DDA12A" w14:textId="77777777" w:rsidTr="003C5672">
        <w:trPr>
          <w:trHeight w:val="366"/>
        </w:trPr>
        <w:tc>
          <w:tcPr>
            <w:tcW w:w="850" w:type="dxa"/>
          </w:tcPr>
          <w:p w14:paraId="257FCD50" w14:textId="77777777" w:rsidR="00FB4F83" w:rsidRPr="00127FD2" w:rsidRDefault="00FB4F83" w:rsidP="003C5672">
            <w:pPr>
              <w:jc w:val="both"/>
            </w:pPr>
            <w:r w:rsidRPr="00127FD2">
              <w:t>4.1.4.</w:t>
            </w:r>
          </w:p>
        </w:tc>
        <w:tc>
          <w:tcPr>
            <w:tcW w:w="4254" w:type="dxa"/>
          </w:tcPr>
          <w:p w14:paraId="32F42BA3" w14:textId="77777777" w:rsidR="00FB4F83" w:rsidRPr="00127FD2" w:rsidRDefault="00FB4F83" w:rsidP="003C5672">
            <w:pPr>
              <w:jc w:val="both"/>
            </w:pPr>
            <w:r w:rsidRPr="00127FD2">
              <w:t>Učinci na zaštitu ljudskih prava:</w:t>
            </w:r>
          </w:p>
        </w:tc>
        <w:tc>
          <w:tcPr>
            <w:tcW w:w="4819" w:type="dxa"/>
          </w:tcPr>
          <w:p w14:paraId="5C3AE12F" w14:textId="77777777" w:rsidR="00FB4F83" w:rsidRPr="00127FD2" w:rsidRDefault="00FB4F83" w:rsidP="003C5672">
            <w:pPr>
              <w:jc w:val="both"/>
            </w:pPr>
            <w:r w:rsidRPr="00127FD2">
              <w:t>Adresati:</w:t>
            </w:r>
          </w:p>
        </w:tc>
      </w:tr>
      <w:tr w:rsidR="00FB4F83" w:rsidRPr="00127FD2" w14:paraId="0A623B0D" w14:textId="77777777" w:rsidTr="003C5672">
        <w:trPr>
          <w:trHeight w:val="366"/>
        </w:trPr>
        <w:tc>
          <w:tcPr>
            <w:tcW w:w="850" w:type="dxa"/>
          </w:tcPr>
          <w:p w14:paraId="267CA0FA" w14:textId="77777777" w:rsidR="00FB4F83" w:rsidRPr="00127FD2" w:rsidRDefault="00FB4F83" w:rsidP="003C5672">
            <w:pPr>
              <w:jc w:val="both"/>
            </w:pPr>
          </w:p>
        </w:tc>
        <w:tc>
          <w:tcPr>
            <w:tcW w:w="4254" w:type="dxa"/>
          </w:tcPr>
          <w:p w14:paraId="16384CB2" w14:textId="4354526C" w:rsidR="00FB4F83" w:rsidRPr="00127FD2" w:rsidRDefault="009E3677" w:rsidP="003C5672">
            <w:pPr>
              <w:jc w:val="both"/>
              <w:rPr>
                <w:i/>
              </w:rPr>
            </w:pPr>
            <w:r w:rsidRPr="009E3677">
              <w:rPr>
                <w:iCs/>
              </w:rPr>
              <w:t xml:space="preserve">Nisu utvrđeni učinci na </w:t>
            </w:r>
            <w:r>
              <w:rPr>
                <w:iCs/>
              </w:rPr>
              <w:t>zaštitu ljudskih prava</w:t>
            </w:r>
            <w:r w:rsidRPr="009E3677">
              <w:rPr>
                <w:iCs/>
              </w:rPr>
              <w:t>.</w:t>
            </w:r>
          </w:p>
        </w:tc>
        <w:tc>
          <w:tcPr>
            <w:tcW w:w="4819" w:type="dxa"/>
          </w:tcPr>
          <w:p w14:paraId="08E31325" w14:textId="0964F00F" w:rsidR="00FB4F83" w:rsidRPr="00127FD2" w:rsidRDefault="00A0506F" w:rsidP="003C5672">
            <w:pPr>
              <w:jc w:val="both"/>
              <w:rPr>
                <w:i/>
              </w:rPr>
            </w:pPr>
            <w:r>
              <w:t>Nisu utvrđeni adresati.</w:t>
            </w:r>
          </w:p>
        </w:tc>
      </w:tr>
      <w:tr w:rsidR="00FB4F83" w:rsidRPr="00127FD2" w14:paraId="1FC6EE7C" w14:textId="77777777" w:rsidTr="003C5672">
        <w:trPr>
          <w:trHeight w:val="319"/>
        </w:trPr>
        <w:tc>
          <w:tcPr>
            <w:tcW w:w="850" w:type="dxa"/>
          </w:tcPr>
          <w:p w14:paraId="75801592" w14:textId="77777777" w:rsidR="00FB4F83" w:rsidRPr="00127FD2" w:rsidRDefault="00FB4F83" w:rsidP="003C5672">
            <w:pPr>
              <w:jc w:val="both"/>
            </w:pPr>
            <w:r w:rsidRPr="00127FD2">
              <w:t>4.1.5.</w:t>
            </w:r>
          </w:p>
        </w:tc>
        <w:tc>
          <w:tcPr>
            <w:tcW w:w="4254" w:type="dxa"/>
          </w:tcPr>
          <w:p w14:paraId="4DC8768D" w14:textId="77777777" w:rsidR="00FB4F83" w:rsidRPr="00127FD2" w:rsidRDefault="00FB4F83" w:rsidP="003C5672">
            <w:pPr>
              <w:jc w:val="both"/>
            </w:pPr>
            <w:r w:rsidRPr="00127FD2">
              <w:t>Učinci na druga područja:</w:t>
            </w:r>
          </w:p>
        </w:tc>
        <w:tc>
          <w:tcPr>
            <w:tcW w:w="4819" w:type="dxa"/>
          </w:tcPr>
          <w:p w14:paraId="1E78EA73" w14:textId="77777777" w:rsidR="00FB4F83" w:rsidRPr="00127FD2" w:rsidRDefault="00FB4F83" w:rsidP="003C5672">
            <w:pPr>
              <w:jc w:val="both"/>
            </w:pPr>
            <w:r w:rsidRPr="00127FD2">
              <w:t>Adresati:</w:t>
            </w:r>
          </w:p>
        </w:tc>
      </w:tr>
      <w:tr w:rsidR="00FB4F83" w:rsidRPr="00127FD2" w14:paraId="08314B31" w14:textId="77777777" w:rsidTr="003C5672">
        <w:trPr>
          <w:trHeight w:val="319"/>
        </w:trPr>
        <w:tc>
          <w:tcPr>
            <w:tcW w:w="850" w:type="dxa"/>
          </w:tcPr>
          <w:p w14:paraId="2DB7C112" w14:textId="77777777" w:rsidR="00FB4F83" w:rsidRPr="00127FD2" w:rsidRDefault="00FB4F83" w:rsidP="003C5672">
            <w:pPr>
              <w:jc w:val="both"/>
            </w:pPr>
          </w:p>
        </w:tc>
        <w:tc>
          <w:tcPr>
            <w:tcW w:w="4254" w:type="dxa"/>
          </w:tcPr>
          <w:p w14:paraId="7D76A7F3" w14:textId="0C89EDA6" w:rsidR="00FB4F83" w:rsidRPr="00127FD2" w:rsidRDefault="009E3677" w:rsidP="003C5672">
            <w:pPr>
              <w:jc w:val="both"/>
              <w:rPr>
                <w:i/>
              </w:rPr>
            </w:pPr>
            <w:r w:rsidRPr="009E3677">
              <w:rPr>
                <w:iCs/>
              </w:rPr>
              <w:t xml:space="preserve">Nisu utvrđeni učinci na </w:t>
            </w:r>
            <w:r>
              <w:rPr>
                <w:iCs/>
              </w:rPr>
              <w:t xml:space="preserve">druga područja. </w:t>
            </w:r>
          </w:p>
        </w:tc>
        <w:tc>
          <w:tcPr>
            <w:tcW w:w="4819" w:type="dxa"/>
          </w:tcPr>
          <w:p w14:paraId="4C16225E" w14:textId="005A1A50" w:rsidR="00FB4F83" w:rsidRPr="00127FD2" w:rsidRDefault="00A0506F" w:rsidP="003C5672">
            <w:pPr>
              <w:jc w:val="both"/>
              <w:rPr>
                <w:i/>
              </w:rPr>
            </w:pPr>
            <w:r>
              <w:t>Nisu utvrđeni adresati.</w:t>
            </w:r>
          </w:p>
        </w:tc>
      </w:tr>
    </w:tbl>
    <w:p w14:paraId="765B0448" w14:textId="77777777" w:rsidR="006D0660" w:rsidRPr="00127FD2" w:rsidRDefault="006D0660" w:rsidP="006D0660">
      <w:pPr>
        <w:pStyle w:val="Naslov1"/>
      </w:pPr>
      <w:r w:rsidRPr="00127FD2">
        <w:t>5.</w:t>
      </w:r>
      <w:r w:rsidRPr="00127FD2">
        <w:tab/>
        <w:t xml:space="preserve">ANALIZA </w:t>
      </w:r>
      <w:r>
        <w:t xml:space="preserve">UTVRĐENIH </w:t>
      </w:r>
      <w:r w:rsidRPr="00127FD2">
        <w:t xml:space="preserve">UČINAKA I ADRESATA 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FB4F83" w:rsidRPr="00127FD2" w14:paraId="7BC17F66" w14:textId="77777777" w:rsidTr="003C5672">
        <w:tc>
          <w:tcPr>
            <w:tcW w:w="850" w:type="dxa"/>
          </w:tcPr>
          <w:p w14:paraId="3E81FAE2" w14:textId="77777777" w:rsidR="00FB4F83" w:rsidRPr="00127FD2" w:rsidRDefault="00FB4F83" w:rsidP="003C5672">
            <w:r w:rsidRPr="00127FD2">
              <w:t>5.1.</w:t>
            </w:r>
          </w:p>
        </w:tc>
        <w:tc>
          <w:tcPr>
            <w:tcW w:w="9073" w:type="dxa"/>
          </w:tcPr>
          <w:p w14:paraId="1B829602" w14:textId="77777777" w:rsidR="00FB4F83" w:rsidRPr="00127FD2" w:rsidRDefault="00FB4F83" w:rsidP="003C5672">
            <w:pPr>
              <w:tabs>
                <w:tab w:val="left" w:pos="5625"/>
              </w:tabs>
              <w:rPr>
                <w:bCs/>
              </w:rPr>
            </w:pPr>
            <w:r w:rsidRPr="00127FD2">
              <w:rPr>
                <w:bCs/>
              </w:rPr>
              <w:t>Analiza učinaka i adresata u području gospodarstva:</w:t>
            </w:r>
          </w:p>
        </w:tc>
      </w:tr>
      <w:tr w:rsidR="00F66CC5" w:rsidRPr="00127FD2" w14:paraId="1534159B" w14:textId="77777777" w:rsidTr="003C5672">
        <w:tc>
          <w:tcPr>
            <w:tcW w:w="850" w:type="dxa"/>
          </w:tcPr>
          <w:p w14:paraId="4941607E" w14:textId="77777777" w:rsidR="00F66CC5" w:rsidRPr="00127FD2" w:rsidRDefault="00F66CC5" w:rsidP="00F66CC5">
            <w:pPr>
              <w:jc w:val="both"/>
            </w:pPr>
          </w:p>
        </w:tc>
        <w:tc>
          <w:tcPr>
            <w:tcW w:w="9073" w:type="dxa"/>
          </w:tcPr>
          <w:p w14:paraId="67CC21B7" w14:textId="53E97F0E" w:rsidR="00091B6C" w:rsidRDefault="00F66CC5" w:rsidP="00F66CC5">
            <w:pPr>
              <w:spacing w:after="160" w:line="259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Uvođenje o</w:t>
            </w:r>
            <w:r w:rsidRPr="00F91DB0">
              <w:rPr>
                <w:szCs w:val="24"/>
              </w:rPr>
              <w:t>bvez</w:t>
            </w:r>
            <w:r>
              <w:rPr>
                <w:szCs w:val="24"/>
              </w:rPr>
              <w:t>e</w:t>
            </w:r>
            <w:r w:rsidRPr="00F91DB0">
              <w:rPr>
                <w:szCs w:val="24"/>
              </w:rPr>
              <w:t xml:space="preserve"> prijavljivanja p</w:t>
            </w:r>
            <w:r>
              <w:rPr>
                <w:szCs w:val="24"/>
              </w:rPr>
              <w:t xml:space="preserve">rihoda </w:t>
            </w:r>
            <w:r w:rsidRPr="00F91DB0">
              <w:rPr>
                <w:szCs w:val="24"/>
              </w:rPr>
              <w:t xml:space="preserve"> ostvarenih ulaganjem </w:t>
            </w:r>
            <w:r>
              <w:rPr>
                <w:szCs w:val="24"/>
              </w:rPr>
              <w:t xml:space="preserve">u </w:t>
            </w:r>
            <w:proofErr w:type="spellStart"/>
            <w:r w:rsidRPr="0009597F">
              <w:rPr>
                <w:szCs w:val="24"/>
              </w:rPr>
              <w:t>kriptoimovinu</w:t>
            </w:r>
            <w:proofErr w:type="spellEnd"/>
            <w:r>
              <w:rPr>
                <w:szCs w:val="24"/>
              </w:rPr>
              <w:t xml:space="preserve"> </w:t>
            </w:r>
            <w:r w:rsidR="00A8305B">
              <w:rPr>
                <w:szCs w:val="24"/>
              </w:rPr>
              <w:t xml:space="preserve">omogućit će </w:t>
            </w:r>
            <w:r>
              <w:rPr>
                <w:szCs w:val="24"/>
              </w:rPr>
              <w:t xml:space="preserve"> prikup</w:t>
            </w:r>
            <w:r w:rsidR="00A8305B">
              <w:rPr>
                <w:szCs w:val="24"/>
              </w:rPr>
              <w:t>ljanje</w:t>
            </w:r>
            <w:r w:rsidR="00C42B08">
              <w:rPr>
                <w:szCs w:val="24"/>
              </w:rPr>
              <w:t xml:space="preserve"> </w:t>
            </w:r>
            <w:r>
              <w:rPr>
                <w:szCs w:val="24"/>
              </w:rPr>
              <w:t>šir</w:t>
            </w:r>
            <w:r w:rsidR="00A8305B">
              <w:rPr>
                <w:szCs w:val="24"/>
              </w:rPr>
              <w:t xml:space="preserve">eg </w:t>
            </w:r>
            <w:r>
              <w:rPr>
                <w:szCs w:val="24"/>
              </w:rPr>
              <w:t>skup</w:t>
            </w:r>
            <w:r w:rsidR="00A8305B">
              <w:rPr>
                <w:szCs w:val="24"/>
              </w:rPr>
              <w:t>a</w:t>
            </w:r>
            <w:r>
              <w:rPr>
                <w:szCs w:val="24"/>
              </w:rPr>
              <w:t xml:space="preserve"> informacija koje će se koristiti u porezne svrhe, podići transparentnost prihoda ostvarenih ulaganjem u </w:t>
            </w:r>
            <w:proofErr w:type="spellStart"/>
            <w:r w:rsidRPr="0009597F">
              <w:rPr>
                <w:szCs w:val="24"/>
              </w:rPr>
              <w:t>kriptoimovinu</w:t>
            </w:r>
            <w:proofErr w:type="spellEnd"/>
            <w:r>
              <w:rPr>
                <w:szCs w:val="24"/>
              </w:rPr>
              <w:t>.</w:t>
            </w:r>
            <w:r w:rsidR="00091B6C">
              <w:rPr>
                <w:szCs w:val="24"/>
              </w:rPr>
              <w:t xml:space="preserve"> Također,</w:t>
            </w:r>
            <w:r w:rsidR="00C42B08">
              <w:rPr>
                <w:szCs w:val="24"/>
              </w:rPr>
              <w:t xml:space="preserve"> </w:t>
            </w:r>
            <w:r w:rsidR="00091B6C" w:rsidRPr="00091B6C">
              <w:rPr>
                <w:szCs w:val="24"/>
              </w:rPr>
              <w:t>razmjena informacija o prijavama s dopunskim</w:t>
            </w:r>
            <w:r w:rsidR="00874B9B">
              <w:rPr>
                <w:szCs w:val="24"/>
              </w:rPr>
              <w:t xml:space="preserve"> porezom</w:t>
            </w:r>
            <w:r w:rsidR="00091B6C" w:rsidRPr="00091B6C">
              <w:rPr>
                <w:szCs w:val="24"/>
              </w:rPr>
              <w:t xml:space="preserve"> doprinijet će borbi protiv smanjenja porezne osnovice i premještanja dobiti</w:t>
            </w:r>
            <w:r w:rsidR="00091B6C">
              <w:rPr>
                <w:szCs w:val="24"/>
              </w:rPr>
              <w:t xml:space="preserve">. </w:t>
            </w:r>
          </w:p>
          <w:p w14:paraId="6D252E81" w14:textId="77777777" w:rsidR="00F66CC5" w:rsidRDefault="00091B6C" w:rsidP="00F66CC5">
            <w:pPr>
              <w:spacing w:after="160" w:line="259" w:lineRule="auto"/>
              <w:jc w:val="both"/>
              <w:rPr>
                <w:color w:val="FF0000"/>
                <w:szCs w:val="24"/>
              </w:rPr>
            </w:pPr>
            <w:r>
              <w:rPr>
                <w:szCs w:val="24"/>
              </w:rPr>
              <w:t>Proširenje predmetnog obuhvata automatske razmjene informacija p</w:t>
            </w:r>
            <w:r w:rsidR="00F66CC5">
              <w:rPr>
                <w:szCs w:val="24"/>
              </w:rPr>
              <w:t xml:space="preserve">ridonijet će </w:t>
            </w:r>
            <w:r w:rsidR="0009597F">
              <w:rPr>
                <w:szCs w:val="24"/>
              </w:rPr>
              <w:t xml:space="preserve">i </w:t>
            </w:r>
            <w:r w:rsidR="00F66CC5">
              <w:rPr>
                <w:szCs w:val="24"/>
              </w:rPr>
              <w:t>pozitivnoj percepciji načela pravednosti u oporezivanu i pravednoj raspodjeli poreznog tereta što u širem smislu ima pozitivan utjecaj na gospodarstvo</w:t>
            </w:r>
            <w:r w:rsidR="00B47DE1">
              <w:rPr>
                <w:szCs w:val="24"/>
              </w:rPr>
              <w:t>.</w:t>
            </w:r>
            <w:r w:rsidR="00884648" w:rsidRPr="00AD15F0">
              <w:rPr>
                <w:color w:val="FF0000"/>
                <w:szCs w:val="24"/>
              </w:rPr>
              <w:t xml:space="preserve"> </w:t>
            </w:r>
          </w:p>
          <w:p w14:paraId="6C1FA61A" w14:textId="7D64AB75" w:rsidR="00DE21D9" w:rsidRPr="00C245C0" w:rsidRDefault="00DE21D9" w:rsidP="00F66CC5">
            <w:pPr>
              <w:spacing w:after="160" w:line="259" w:lineRule="auto"/>
              <w:jc w:val="both"/>
              <w:rPr>
                <w:bCs/>
                <w:iCs/>
              </w:rPr>
            </w:pPr>
            <w:r w:rsidRPr="00A91410">
              <w:rPr>
                <w:szCs w:val="24"/>
              </w:rPr>
              <w:t xml:space="preserve">Uvođenje automatske razmjene informacija o </w:t>
            </w:r>
            <w:proofErr w:type="spellStart"/>
            <w:r w:rsidRPr="00A91410">
              <w:rPr>
                <w:szCs w:val="24"/>
              </w:rPr>
              <w:t>kripotimovini</w:t>
            </w:r>
            <w:proofErr w:type="spellEnd"/>
            <w:r w:rsidRPr="00A91410">
              <w:rPr>
                <w:szCs w:val="24"/>
              </w:rPr>
              <w:t xml:space="preserve"> i elektroničkom novcu </w:t>
            </w:r>
            <w:r w:rsidR="00A91410" w:rsidRPr="00A91410">
              <w:rPr>
                <w:szCs w:val="24"/>
              </w:rPr>
              <w:t>zahtijevat</w:t>
            </w:r>
            <w:r w:rsidRPr="00A91410">
              <w:rPr>
                <w:szCs w:val="24"/>
              </w:rPr>
              <w:t xml:space="preserve"> će određene prilagodbe informatičkog sustava kod pružatelja usluga povezanih s </w:t>
            </w:r>
            <w:proofErr w:type="spellStart"/>
            <w:r w:rsidRPr="00A91410">
              <w:rPr>
                <w:szCs w:val="24"/>
              </w:rPr>
              <w:t>kriptoimovinom</w:t>
            </w:r>
            <w:proofErr w:type="spellEnd"/>
            <w:r w:rsidRPr="00A91410">
              <w:rPr>
                <w:szCs w:val="24"/>
              </w:rPr>
              <w:t xml:space="preserve"> i kreditnih institucija </w:t>
            </w:r>
            <w:r w:rsidR="00A91410" w:rsidRPr="00A91410">
              <w:rPr>
                <w:szCs w:val="24"/>
              </w:rPr>
              <w:t xml:space="preserve">te određene administrativne troškove radi prilagodbe procedura potrebnih za provedbu dubinske analize klijenata i pravila izvješćivanja. Također, </w:t>
            </w:r>
            <w:r w:rsidR="00A64483">
              <w:rPr>
                <w:szCs w:val="24"/>
              </w:rPr>
              <w:t xml:space="preserve">uvođenje automatske razmjene informacija o dopunskom porezu utjecat će na troškove prilagodbe </w:t>
            </w:r>
            <w:r w:rsidR="005935BA">
              <w:rPr>
                <w:szCs w:val="24"/>
              </w:rPr>
              <w:t xml:space="preserve">informatičkog sustava i </w:t>
            </w:r>
            <w:r w:rsidR="00A64483">
              <w:rPr>
                <w:szCs w:val="24"/>
              </w:rPr>
              <w:t xml:space="preserve">administrativnih procedura kod </w:t>
            </w:r>
            <w:r w:rsidR="00A91410" w:rsidRPr="00A91410">
              <w:rPr>
                <w:szCs w:val="24"/>
              </w:rPr>
              <w:t>sastavni</w:t>
            </w:r>
            <w:r w:rsidR="00A64483">
              <w:rPr>
                <w:szCs w:val="24"/>
              </w:rPr>
              <w:t>h</w:t>
            </w:r>
            <w:r w:rsidR="00A91410" w:rsidRPr="00A91410">
              <w:rPr>
                <w:szCs w:val="24"/>
              </w:rPr>
              <w:t xml:space="preserve"> subjek</w:t>
            </w:r>
            <w:r w:rsidR="005935BA">
              <w:rPr>
                <w:szCs w:val="24"/>
              </w:rPr>
              <w:t>ata</w:t>
            </w:r>
            <w:r w:rsidR="00A91410" w:rsidRPr="00A91410">
              <w:rPr>
                <w:szCs w:val="24"/>
              </w:rPr>
              <w:t xml:space="preserve"> multinacionalnih poduzeća</w:t>
            </w:r>
            <w:r w:rsidR="00C372F0">
              <w:rPr>
                <w:szCs w:val="24"/>
              </w:rPr>
              <w:t>.</w:t>
            </w:r>
          </w:p>
        </w:tc>
      </w:tr>
      <w:tr w:rsidR="00F66CC5" w:rsidRPr="00127FD2" w14:paraId="14612051" w14:textId="77777777" w:rsidTr="003C5672">
        <w:tc>
          <w:tcPr>
            <w:tcW w:w="850" w:type="dxa"/>
          </w:tcPr>
          <w:p w14:paraId="0A2D8CFD" w14:textId="77777777" w:rsidR="00F66CC5" w:rsidRPr="00127FD2" w:rsidRDefault="00F66CC5" w:rsidP="00F66CC5">
            <w:r w:rsidRPr="00127FD2">
              <w:t>5.2.</w:t>
            </w:r>
          </w:p>
        </w:tc>
        <w:tc>
          <w:tcPr>
            <w:tcW w:w="9073" w:type="dxa"/>
          </w:tcPr>
          <w:p w14:paraId="108689CC" w14:textId="77777777" w:rsidR="00F66CC5" w:rsidRPr="00127FD2" w:rsidRDefault="00F66CC5" w:rsidP="00F66CC5">
            <w:pPr>
              <w:rPr>
                <w:bCs/>
              </w:rPr>
            </w:pPr>
            <w:r w:rsidRPr="00127FD2">
              <w:rPr>
                <w:bCs/>
              </w:rPr>
              <w:t>Analiza učinaka i adresata u području održivog razvoja:</w:t>
            </w:r>
          </w:p>
        </w:tc>
      </w:tr>
      <w:tr w:rsidR="00F66CC5" w:rsidRPr="00127FD2" w14:paraId="0A6C7B69" w14:textId="77777777" w:rsidTr="003C5672">
        <w:tc>
          <w:tcPr>
            <w:tcW w:w="850" w:type="dxa"/>
          </w:tcPr>
          <w:p w14:paraId="6D2188A8" w14:textId="77777777" w:rsidR="00F66CC5" w:rsidRPr="00127FD2" w:rsidRDefault="00F66CC5" w:rsidP="00F66CC5"/>
        </w:tc>
        <w:tc>
          <w:tcPr>
            <w:tcW w:w="9073" w:type="dxa"/>
            <w:shd w:val="clear" w:color="auto" w:fill="auto"/>
          </w:tcPr>
          <w:p w14:paraId="3A848EF1" w14:textId="1CD13CEE" w:rsidR="00F66CC5" w:rsidRPr="004F3DE8" w:rsidRDefault="00F66CC5" w:rsidP="00F66CC5">
            <w:pPr>
              <w:jc w:val="both"/>
              <w:rPr>
                <w:bCs/>
                <w:szCs w:val="24"/>
              </w:rPr>
            </w:pPr>
            <w:r w:rsidRPr="004F3DE8">
              <w:rPr>
                <w:color w:val="000000"/>
                <w:szCs w:val="24"/>
              </w:rPr>
              <w:t xml:space="preserve">Nije utvrđen izravan učinak </w:t>
            </w:r>
            <w:r>
              <w:rPr>
                <w:color w:val="000000"/>
                <w:szCs w:val="24"/>
              </w:rPr>
              <w:t xml:space="preserve">u području održivog razvoja. </w:t>
            </w:r>
          </w:p>
        </w:tc>
      </w:tr>
      <w:tr w:rsidR="00F66CC5" w:rsidRPr="00127FD2" w14:paraId="7AA2EDF6" w14:textId="77777777" w:rsidTr="003C5672">
        <w:tc>
          <w:tcPr>
            <w:tcW w:w="850" w:type="dxa"/>
          </w:tcPr>
          <w:p w14:paraId="7EC72609" w14:textId="77777777" w:rsidR="00F66CC5" w:rsidRPr="00127FD2" w:rsidRDefault="00F66CC5" w:rsidP="00F66CC5">
            <w:r w:rsidRPr="00127FD2">
              <w:t>5.3.</w:t>
            </w:r>
          </w:p>
        </w:tc>
        <w:tc>
          <w:tcPr>
            <w:tcW w:w="9073" w:type="dxa"/>
          </w:tcPr>
          <w:p w14:paraId="390B1EA2" w14:textId="77777777" w:rsidR="00F66CC5" w:rsidRPr="00127FD2" w:rsidRDefault="00F66CC5" w:rsidP="00F66CC5">
            <w:pPr>
              <w:rPr>
                <w:bCs/>
              </w:rPr>
            </w:pPr>
            <w:r w:rsidRPr="00127FD2">
              <w:rPr>
                <w:bCs/>
              </w:rPr>
              <w:t>Analiza učinaka i adresata u području socijalne skrbi:</w:t>
            </w:r>
          </w:p>
        </w:tc>
      </w:tr>
      <w:tr w:rsidR="00F66CC5" w:rsidRPr="00127FD2" w14:paraId="281A4225" w14:textId="77777777" w:rsidTr="003C5672">
        <w:trPr>
          <w:trHeight w:val="269"/>
        </w:trPr>
        <w:tc>
          <w:tcPr>
            <w:tcW w:w="850" w:type="dxa"/>
          </w:tcPr>
          <w:p w14:paraId="578FF0A6" w14:textId="77777777" w:rsidR="00F66CC5" w:rsidRPr="00127FD2" w:rsidRDefault="00F66CC5" w:rsidP="00F66CC5"/>
        </w:tc>
        <w:tc>
          <w:tcPr>
            <w:tcW w:w="9073" w:type="dxa"/>
            <w:shd w:val="clear" w:color="auto" w:fill="auto"/>
          </w:tcPr>
          <w:p w14:paraId="480FFAED" w14:textId="7A60507F" w:rsidR="00F66CC5" w:rsidRPr="00127FD2" w:rsidRDefault="00F66CC5" w:rsidP="00F66CC5">
            <w:pPr>
              <w:jc w:val="both"/>
            </w:pPr>
            <w:r w:rsidRPr="004F3DE8">
              <w:rPr>
                <w:color w:val="000000"/>
                <w:szCs w:val="24"/>
              </w:rPr>
              <w:t xml:space="preserve">Nije utvrđen izravan učinak </w:t>
            </w:r>
            <w:r>
              <w:rPr>
                <w:color w:val="000000"/>
                <w:szCs w:val="24"/>
              </w:rPr>
              <w:t>u području socijalne skrbi</w:t>
            </w:r>
            <w:r w:rsidRPr="004F3DE8">
              <w:rPr>
                <w:color w:val="000000"/>
                <w:szCs w:val="24"/>
              </w:rPr>
              <w:t>.</w:t>
            </w:r>
          </w:p>
        </w:tc>
      </w:tr>
      <w:tr w:rsidR="00F66CC5" w:rsidRPr="00127FD2" w14:paraId="7863CC8F" w14:textId="77777777" w:rsidTr="003C5672">
        <w:tc>
          <w:tcPr>
            <w:tcW w:w="850" w:type="dxa"/>
          </w:tcPr>
          <w:p w14:paraId="12685C70" w14:textId="77777777" w:rsidR="00F66CC5" w:rsidRPr="00127FD2" w:rsidRDefault="00F66CC5" w:rsidP="00F66CC5">
            <w:r w:rsidRPr="00127FD2">
              <w:t>5.4.</w:t>
            </w:r>
          </w:p>
        </w:tc>
        <w:tc>
          <w:tcPr>
            <w:tcW w:w="9073" w:type="dxa"/>
          </w:tcPr>
          <w:p w14:paraId="48AEE3BE" w14:textId="77777777" w:rsidR="00F66CC5" w:rsidRPr="00127FD2" w:rsidRDefault="00F66CC5" w:rsidP="00F66CC5">
            <w:pPr>
              <w:rPr>
                <w:bCs/>
              </w:rPr>
            </w:pPr>
            <w:r w:rsidRPr="00127FD2">
              <w:rPr>
                <w:bCs/>
              </w:rPr>
              <w:t>Analiza učinaka i adresata u području zaštite ljudskih prava:</w:t>
            </w:r>
          </w:p>
        </w:tc>
      </w:tr>
      <w:tr w:rsidR="00F66CC5" w:rsidRPr="00127FD2" w14:paraId="59BCDBF5" w14:textId="77777777" w:rsidTr="003C5672">
        <w:trPr>
          <w:trHeight w:val="354"/>
        </w:trPr>
        <w:tc>
          <w:tcPr>
            <w:tcW w:w="850" w:type="dxa"/>
          </w:tcPr>
          <w:p w14:paraId="27AB704E" w14:textId="77777777" w:rsidR="00F66CC5" w:rsidRPr="00127FD2" w:rsidRDefault="00F66CC5" w:rsidP="00F66CC5"/>
        </w:tc>
        <w:tc>
          <w:tcPr>
            <w:tcW w:w="9073" w:type="dxa"/>
            <w:shd w:val="clear" w:color="auto" w:fill="auto"/>
          </w:tcPr>
          <w:p w14:paraId="7700189B" w14:textId="23B8193F" w:rsidR="00F66CC5" w:rsidRPr="00127FD2" w:rsidRDefault="00F66CC5" w:rsidP="00F66CC5">
            <w:pPr>
              <w:jc w:val="both"/>
            </w:pPr>
            <w:r w:rsidRPr="004F3DE8">
              <w:rPr>
                <w:color w:val="000000"/>
                <w:szCs w:val="24"/>
              </w:rPr>
              <w:t xml:space="preserve">Nije utvrđen izravan učinak </w:t>
            </w:r>
            <w:r>
              <w:rPr>
                <w:color w:val="000000"/>
                <w:szCs w:val="24"/>
              </w:rPr>
              <w:t>u području zaštite ljudskih prava</w:t>
            </w:r>
            <w:r w:rsidRPr="004F3DE8">
              <w:rPr>
                <w:color w:val="000000"/>
                <w:szCs w:val="24"/>
              </w:rPr>
              <w:t>.</w:t>
            </w:r>
          </w:p>
        </w:tc>
      </w:tr>
      <w:tr w:rsidR="00F66CC5" w:rsidRPr="00127FD2" w14:paraId="361FD6E9" w14:textId="77777777" w:rsidTr="003C5672">
        <w:trPr>
          <w:trHeight w:val="354"/>
        </w:trPr>
        <w:tc>
          <w:tcPr>
            <w:tcW w:w="850" w:type="dxa"/>
          </w:tcPr>
          <w:p w14:paraId="3D4F2457" w14:textId="77777777" w:rsidR="00F66CC5" w:rsidRPr="00127FD2" w:rsidRDefault="00F66CC5" w:rsidP="00F66CC5">
            <w:r w:rsidRPr="00127FD2">
              <w:t>5.5.</w:t>
            </w:r>
          </w:p>
        </w:tc>
        <w:tc>
          <w:tcPr>
            <w:tcW w:w="9073" w:type="dxa"/>
            <w:shd w:val="clear" w:color="auto" w:fill="auto"/>
          </w:tcPr>
          <w:p w14:paraId="2031EB62" w14:textId="77777777" w:rsidR="00F66CC5" w:rsidRPr="00127FD2" w:rsidRDefault="00F66CC5" w:rsidP="00F66CC5">
            <w:pPr>
              <w:jc w:val="both"/>
            </w:pPr>
            <w:r w:rsidRPr="00127FD2">
              <w:rPr>
                <w:bCs/>
              </w:rPr>
              <w:t>Analiza učinaka i adresata u drugim područjima:</w:t>
            </w:r>
          </w:p>
        </w:tc>
      </w:tr>
      <w:tr w:rsidR="00F66CC5" w:rsidRPr="00127FD2" w14:paraId="2FC6BE70" w14:textId="77777777" w:rsidTr="003C5672">
        <w:trPr>
          <w:trHeight w:val="354"/>
        </w:trPr>
        <w:tc>
          <w:tcPr>
            <w:tcW w:w="850" w:type="dxa"/>
          </w:tcPr>
          <w:p w14:paraId="7E8466FB" w14:textId="77777777" w:rsidR="00F66CC5" w:rsidRPr="00127FD2" w:rsidRDefault="00F66CC5" w:rsidP="00F66CC5"/>
        </w:tc>
        <w:tc>
          <w:tcPr>
            <w:tcW w:w="9073" w:type="dxa"/>
            <w:shd w:val="clear" w:color="auto" w:fill="auto"/>
          </w:tcPr>
          <w:p w14:paraId="386FB02F" w14:textId="11983F60" w:rsidR="00F66CC5" w:rsidRPr="00127FD2" w:rsidRDefault="00F66CC5" w:rsidP="00F66CC5">
            <w:pPr>
              <w:jc w:val="both"/>
            </w:pPr>
            <w:r w:rsidRPr="004F3DE8">
              <w:rPr>
                <w:color w:val="000000"/>
                <w:szCs w:val="24"/>
              </w:rPr>
              <w:t xml:space="preserve">Nije utvrđen izravan učinak </w:t>
            </w:r>
            <w:r>
              <w:rPr>
                <w:color w:val="000000"/>
                <w:szCs w:val="24"/>
              </w:rPr>
              <w:t xml:space="preserve">u drugim područjima. </w:t>
            </w:r>
          </w:p>
        </w:tc>
      </w:tr>
      <w:tr w:rsidR="00F66CC5" w:rsidRPr="00127FD2" w14:paraId="32D6376B" w14:textId="77777777" w:rsidTr="003C5672">
        <w:trPr>
          <w:trHeight w:val="354"/>
        </w:trPr>
        <w:tc>
          <w:tcPr>
            <w:tcW w:w="850" w:type="dxa"/>
          </w:tcPr>
          <w:p w14:paraId="76848D79" w14:textId="77777777" w:rsidR="00F66CC5" w:rsidRPr="00127FD2" w:rsidRDefault="00F66CC5" w:rsidP="00F66CC5">
            <w:r w:rsidRPr="00127FD2">
              <w:t>5.6.</w:t>
            </w:r>
          </w:p>
        </w:tc>
        <w:tc>
          <w:tcPr>
            <w:tcW w:w="9073" w:type="dxa"/>
            <w:shd w:val="clear" w:color="auto" w:fill="auto"/>
          </w:tcPr>
          <w:p w14:paraId="56346367" w14:textId="77777777" w:rsidR="00F66CC5" w:rsidRPr="00127FD2" w:rsidRDefault="00F66CC5" w:rsidP="00F66CC5">
            <w:pPr>
              <w:jc w:val="both"/>
            </w:pPr>
            <w:r w:rsidRPr="00127FD2">
              <w:t>Izvor podataka:</w:t>
            </w:r>
          </w:p>
        </w:tc>
      </w:tr>
      <w:tr w:rsidR="00F66CC5" w:rsidRPr="00127FD2" w14:paraId="3FC914F7" w14:textId="77777777" w:rsidTr="003C5672">
        <w:trPr>
          <w:trHeight w:val="354"/>
        </w:trPr>
        <w:tc>
          <w:tcPr>
            <w:tcW w:w="850" w:type="dxa"/>
          </w:tcPr>
          <w:p w14:paraId="5F18C4E8" w14:textId="77777777" w:rsidR="00F66CC5" w:rsidRPr="00127FD2" w:rsidRDefault="00F66CC5" w:rsidP="00F66CC5"/>
        </w:tc>
        <w:tc>
          <w:tcPr>
            <w:tcW w:w="9073" w:type="dxa"/>
            <w:shd w:val="clear" w:color="auto" w:fill="auto"/>
          </w:tcPr>
          <w:p w14:paraId="0214536A" w14:textId="77777777" w:rsidR="00BA23A4" w:rsidRDefault="00BA23A4" w:rsidP="00BA23A4">
            <w:pPr>
              <w:jc w:val="both"/>
            </w:pPr>
            <w:r>
              <w:t xml:space="preserve">Izvješće Europskog revizorskog suda od 26. siječnja 2021. u kojem se navodi da je pravni okvir Direktive 2011/16/EU čvrst, ali je potrebno ojačati neke odredbe kako bi se iskoristio puni potencijal razmjene informacija i podigla njena učinkovitost u cilju borbe protiv poreznih prijevara i utaja te podizanja transparentnosti dovelo je do preispitivanja postojećeg sustava automatske razmjene informacija u cilju njegovog poboljšanja što je rezultiralo </w:t>
            </w:r>
            <w:r>
              <w:lastRenderedPageBreak/>
              <w:t xml:space="preserve">donošenjem Direktive  Vijeća (EU) 2023/2226. Ovom direktivom se  proširuje predmetni obuhvat razmjene informacija o </w:t>
            </w:r>
            <w:proofErr w:type="spellStart"/>
            <w:r w:rsidRPr="00DC2E9F">
              <w:t>kriptoimovini</w:t>
            </w:r>
            <w:proofErr w:type="spellEnd"/>
            <w:r>
              <w:t xml:space="preserve"> kako bi se podigla učinkovitost borbe protiv poreznih prijevara, utaja i izbjegavanja plaćanja poreza.</w:t>
            </w:r>
          </w:p>
          <w:p w14:paraId="60D0B9FC" w14:textId="77777777" w:rsidR="00BA23A4" w:rsidRDefault="00BA23A4" w:rsidP="00BA23A4">
            <w:pPr>
              <w:jc w:val="both"/>
            </w:pPr>
          </w:p>
          <w:p w14:paraId="5446EB98" w14:textId="2CD8B647" w:rsidR="00F66CC5" w:rsidRPr="00127FD2" w:rsidRDefault="00BA23A4" w:rsidP="00DE21D9">
            <w:pPr>
              <w:jc w:val="both"/>
            </w:pPr>
            <w:r>
              <w:rPr>
                <w:szCs w:val="24"/>
              </w:rPr>
              <w:t xml:space="preserve">Direktiva Vijeća (EU) 2025/872 od 14. travnja 2025. o izmjeni Direktive 2011/16/EU o administrativnoj suradnji u području oporezivanja kojom se </w:t>
            </w:r>
            <w:r w:rsidRPr="00E30EA7">
              <w:rPr>
                <w:bCs/>
                <w:iCs/>
              </w:rPr>
              <w:t>u pravo EU</w:t>
            </w:r>
            <w:r>
              <w:rPr>
                <w:bCs/>
                <w:iCs/>
              </w:rPr>
              <w:t xml:space="preserve">-a </w:t>
            </w:r>
            <w:r w:rsidRPr="00E30EA7">
              <w:rPr>
                <w:bCs/>
                <w:iCs/>
              </w:rPr>
              <w:t xml:space="preserve"> prenosi standardni predložak GIR u skladu s obvezom podnošenja podataka o dopunskom porezu iz članka 44. Direktive o Stupu</w:t>
            </w:r>
            <w:r>
              <w:rPr>
                <w:bCs/>
                <w:iCs/>
              </w:rPr>
              <w:t xml:space="preserve"> 2.</w:t>
            </w:r>
          </w:p>
        </w:tc>
      </w:tr>
    </w:tbl>
    <w:p w14:paraId="53DA2BEE" w14:textId="77777777" w:rsidR="006D0660" w:rsidRPr="00127FD2" w:rsidRDefault="006D0660" w:rsidP="006D0660">
      <w:pPr>
        <w:pStyle w:val="Naslov1"/>
      </w:pPr>
      <w:r w:rsidRPr="00127FD2">
        <w:lastRenderedPageBreak/>
        <w:t>6.</w:t>
      </w:r>
      <w:r w:rsidRPr="00127FD2">
        <w:tab/>
        <w:t>SAVJETOVANJE I KONZULTACIJE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F66CC5" w:rsidRPr="00127FD2" w14:paraId="0D8E87DC" w14:textId="77777777" w:rsidTr="003C5672">
        <w:tc>
          <w:tcPr>
            <w:tcW w:w="850" w:type="dxa"/>
          </w:tcPr>
          <w:p w14:paraId="4720F1F0" w14:textId="77777777" w:rsidR="00F66CC5" w:rsidRPr="00127FD2" w:rsidRDefault="00F66CC5" w:rsidP="00F66CC5">
            <w:r w:rsidRPr="00127FD2">
              <w:t>6.1.</w:t>
            </w:r>
          </w:p>
        </w:tc>
        <w:tc>
          <w:tcPr>
            <w:tcW w:w="9073" w:type="dxa"/>
          </w:tcPr>
          <w:p w14:paraId="1464C721" w14:textId="77777777" w:rsidR="00F66CC5" w:rsidRPr="009F616C" w:rsidRDefault="00F66CC5" w:rsidP="00F66CC5">
            <w:pPr>
              <w:rPr>
                <w:bCs/>
                <w:szCs w:val="24"/>
              </w:rPr>
            </w:pPr>
            <w:r w:rsidRPr="009F616C">
              <w:rPr>
                <w:bCs/>
                <w:szCs w:val="24"/>
              </w:rPr>
              <w:t>Savjetovanje:</w:t>
            </w:r>
          </w:p>
          <w:p w14:paraId="7937EF0A" w14:textId="77777777" w:rsidR="00F66CC5" w:rsidRPr="009F616C" w:rsidRDefault="00F66CC5" w:rsidP="00F66CC5">
            <w:pPr>
              <w:rPr>
                <w:bCs/>
                <w:szCs w:val="24"/>
              </w:rPr>
            </w:pPr>
          </w:p>
          <w:p w14:paraId="359418F7" w14:textId="1BF515DF" w:rsidR="00F66CC5" w:rsidRPr="00127FD2" w:rsidRDefault="00F66CC5" w:rsidP="00F66CC5">
            <w:pPr>
              <w:jc w:val="both"/>
              <w:rPr>
                <w:i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F66CC5" w:rsidRPr="00127FD2" w14:paraId="7E30345D" w14:textId="77777777" w:rsidTr="003C5672">
        <w:trPr>
          <w:trHeight w:val="425"/>
        </w:trPr>
        <w:tc>
          <w:tcPr>
            <w:tcW w:w="850" w:type="dxa"/>
          </w:tcPr>
          <w:p w14:paraId="2FFECB61" w14:textId="77777777" w:rsidR="00F66CC5" w:rsidRPr="00127FD2" w:rsidRDefault="00F66CC5" w:rsidP="00F66CC5">
            <w:r w:rsidRPr="00127FD2">
              <w:t>6.2.</w:t>
            </w:r>
          </w:p>
        </w:tc>
        <w:tc>
          <w:tcPr>
            <w:tcW w:w="9073" w:type="dxa"/>
            <w:shd w:val="clear" w:color="auto" w:fill="auto"/>
          </w:tcPr>
          <w:p w14:paraId="5CCD1484" w14:textId="77777777" w:rsidR="00F66CC5" w:rsidRPr="00127FD2" w:rsidRDefault="00F66CC5" w:rsidP="00F66CC5">
            <w:pPr>
              <w:contextualSpacing/>
              <w:jc w:val="both"/>
              <w:rPr>
                <w:szCs w:val="24"/>
              </w:rPr>
            </w:pPr>
            <w:r w:rsidRPr="00127FD2">
              <w:rPr>
                <w:szCs w:val="24"/>
              </w:rPr>
              <w:t>Konzultacije:</w:t>
            </w:r>
          </w:p>
          <w:p w14:paraId="533B120C" w14:textId="77777777" w:rsidR="00C42B08" w:rsidRDefault="00C42B08" w:rsidP="00F66CC5">
            <w:pPr>
              <w:pStyle w:val="normal-000013"/>
              <w:spacing w:before="0" w:beforeAutospacing="0" w:after="0" w:afterAutospacing="0"/>
              <w:jc w:val="both"/>
            </w:pPr>
          </w:p>
          <w:p w14:paraId="359947C9" w14:textId="026AB8AA" w:rsidR="00F66CC5" w:rsidRPr="006B230E" w:rsidRDefault="00F66CC5" w:rsidP="00F66CC5">
            <w:pPr>
              <w:pStyle w:val="normal-000013"/>
              <w:spacing w:before="0" w:beforeAutospacing="0" w:after="0" w:afterAutospacing="0"/>
              <w:jc w:val="both"/>
              <w:rPr>
                <w:rStyle w:val="000055"/>
              </w:rPr>
            </w:pPr>
            <w:r w:rsidRPr="00682514">
              <w:t xml:space="preserve">O </w:t>
            </w:r>
            <w:r w:rsidRPr="006B230E">
              <w:rPr>
                <w:rStyle w:val="000055"/>
              </w:rPr>
              <w:t xml:space="preserve">Obrascu iskaza o procjeni učinaka propisa provedene su konzultacije s Uredom za zakonodavstvo Vlade Republike Hrvatske i nadležnim ministarstvima </w:t>
            </w:r>
            <w:r>
              <w:rPr>
                <w:rStyle w:val="000055"/>
              </w:rPr>
              <w:t>(</w:t>
            </w:r>
            <w:r w:rsidRPr="006B230E">
              <w:rPr>
                <w:rStyle w:val="000055"/>
              </w:rPr>
              <w:t>Ministarstvo gospodarstva</w:t>
            </w:r>
            <w:r>
              <w:rPr>
                <w:rStyle w:val="000055"/>
              </w:rPr>
              <w:t xml:space="preserve"> i </w:t>
            </w:r>
            <w:r w:rsidRPr="006B230E">
              <w:rPr>
                <w:rStyle w:val="000055"/>
              </w:rPr>
              <w:t>Ministarstvo vanjskih i europskih poslova</w:t>
            </w:r>
            <w:r>
              <w:rPr>
                <w:rStyle w:val="000055"/>
              </w:rPr>
              <w:t>).</w:t>
            </w:r>
          </w:p>
          <w:p w14:paraId="4298E258" w14:textId="50BB0F63" w:rsidR="00F66CC5" w:rsidRPr="00127FD2" w:rsidRDefault="00F66CC5" w:rsidP="00F66CC5">
            <w:pPr>
              <w:contextualSpacing/>
              <w:jc w:val="both"/>
              <w:rPr>
                <w:szCs w:val="24"/>
              </w:rPr>
            </w:pPr>
          </w:p>
        </w:tc>
      </w:tr>
    </w:tbl>
    <w:p w14:paraId="1DBCA7CB" w14:textId="77777777" w:rsidR="006D0660" w:rsidRPr="00127FD2" w:rsidRDefault="006D0660" w:rsidP="006D0660">
      <w:pPr>
        <w:pStyle w:val="Naslov1"/>
      </w:pPr>
      <w:r w:rsidRPr="00127FD2">
        <w:t>7.</w:t>
      </w:r>
      <w:r w:rsidRPr="00127FD2">
        <w:tab/>
        <w:t>ZAKLJUČAK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4112"/>
        <w:gridCol w:w="4961"/>
      </w:tblGrid>
      <w:tr w:rsidR="00F66CC5" w:rsidRPr="00127FD2" w14:paraId="3C920843" w14:textId="77777777" w:rsidTr="003C5672">
        <w:tc>
          <w:tcPr>
            <w:tcW w:w="850" w:type="dxa"/>
          </w:tcPr>
          <w:p w14:paraId="737F323D" w14:textId="77777777" w:rsidR="00F66CC5" w:rsidRPr="00127FD2" w:rsidRDefault="00F66CC5" w:rsidP="00F66CC5">
            <w:r w:rsidRPr="00127FD2">
              <w:t>7.1.</w:t>
            </w:r>
          </w:p>
        </w:tc>
        <w:tc>
          <w:tcPr>
            <w:tcW w:w="4112" w:type="dxa"/>
          </w:tcPr>
          <w:p w14:paraId="71B750E8" w14:textId="77777777" w:rsidR="00F66CC5" w:rsidRDefault="00F66CC5" w:rsidP="00F66CC5">
            <w:r w:rsidRPr="00127FD2">
              <w:t>Pozitivni učinci:</w:t>
            </w:r>
          </w:p>
          <w:p w14:paraId="4A24BBA2" w14:textId="77777777" w:rsidR="002257DD" w:rsidRPr="00091B6C" w:rsidRDefault="002257DD" w:rsidP="002257DD">
            <w:pPr>
              <w:spacing w:after="160" w:line="259" w:lineRule="auto"/>
              <w:jc w:val="both"/>
              <w:rPr>
                <w:szCs w:val="24"/>
              </w:rPr>
            </w:pPr>
            <w:r w:rsidRPr="00F91DB0">
              <w:rPr>
                <w:szCs w:val="24"/>
              </w:rPr>
              <w:t>Obveza prijavljivanja p</w:t>
            </w:r>
            <w:r>
              <w:rPr>
                <w:szCs w:val="24"/>
              </w:rPr>
              <w:t xml:space="preserve">rihoda </w:t>
            </w:r>
            <w:r w:rsidRPr="00F91DB0">
              <w:rPr>
                <w:szCs w:val="24"/>
              </w:rPr>
              <w:t xml:space="preserve"> ostvarenih ulaganjem </w:t>
            </w:r>
            <w:r>
              <w:rPr>
                <w:szCs w:val="24"/>
              </w:rPr>
              <w:t xml:space="preserve">u </w:t>
            </w:r>
            <w:proofErr w:type="spellStart"/>
            <w:r w:rsidRPr="0009597F">
              <w:rPr>
                <w:szCs w:val="24"/>
              </w:rPr>
              <w:t>kriptoimovinu</w:t>
            </w:r>
            <w:proofErr w:type="spellEnd"/>
            <w:r>
              <w:rPr>
                <w:szCs w:val="24"/>
              </w:rPr>
              <w:t xml:space="preserve"> omogućit će prikupljanje šireg skupa informacija koje će se koristiti u porezne svrhe, podići transparentnost prihoda ostvarenih ulaganjem u </w:t>
            </w:r>
            <w:proofErr w:type="spellStart"/>
            <w:r w:rsidRPr="0009597F">
              <w:rPr>
                <w:szCs w:val="24"/>
              </w:rPr>
              <w:t>kriptoimovinu</w:t>
            </w:r>
            <w:proofErr w:type="spellEnd"/>
            <w:r>
              <w:rPr>
                <w:szCs w:val="24"/>
              </w:rPr>
              <w:t xml:space="preserve">.  Nadalje,  </w:t>
            </w:r>
            <w:r w:rsidRPr="00091B6C">
              <w:rPr>
                <w:szCs w:val="24"/>
              </w:rPr>
              <w:t>razmjena informacija o prijavama s dopunskim</w:t>
            </w:r>
            <w:r>
              <w:rPr>
                <w:szCs w:val="24"/>
              </w:rPr>
              <w:t xml:space="preserve"> porezom</w:t>
            </w:r>
            <w:r w:rsidRPr="00091B6C">
              <w:rPr>
                <w:szCs w:val="24"/>
              </w:rPr>
              <w:t xml:space="preserve"> doprinijet će borbi protiv smanjenja porezne osnovice i premještanja dobiti.</w:t>
            </w:r>
          </w:p>
          <w:p w14:paraId="20A7D323" w14:textId="7E3F1A07" w:rsidR="00F66CC5" w:rsidRPr="00127FD2" w:rsidRDefault="002257DD" w:rsidP="002257DD">
            <w:pPr>
              <w:rPr>
                <w:i/>
              </w:rPr>
            </w:pPr>
            <w:r>
              <w:rPr>
                <w:szCs w:val="24"/>
              </w:rPr>
              <w:t>Proširenje automatske razmjene informacija će pridonijeti   pozitivnoj percepciji načela  pravednosti u oporezivanju i pravednoj raspodjeli poreznog tereta što u širem smislu ima pozitivan utjecaj na gospodarstvo.</w:t>
            </w:r>
          </w:p>
        </w:tc>
        <w:tc>
          <w:tcPr>
            <w:tcW w:w="4961" w:type="dxa"/>
          </w:tcPr>
          <w:p w14:paraId="615BAD1F" w14:textId="77777777" w:rsidR="00F66CC5" w:rsidRPr="00127FD2" w:rsidRDefault="00F66CC5" w:rsidP="00F66CC5">
            <w:r w:rsidRPr="00127FD2">
              <w:t>Negativni učinci:</w:t>
            </w:r>
          </w:p>
          <w:p w14:paraId="1FF1A0C3" w14:textId="08619477" w:rsidR="002257DD" w:rsidRDefault="00F66CC5" w:rsidP="00F66CC5">
            <w:r>
              <w:t>Nisu utvrđeni značajniji negativni učinci.</w:t>
            </w:r>
          </w:p>
          <w:p w14:paraId="24C60E8E" w14:textId="77777777" w:rsidR="00A4453B" w:rsidRDefault="00A4453B" w:rsidP="00F66CC5"/>
          <w:p w14:paraId="081ADD3C" w14:textId="77777777" w:rsidR="00C372F0" w:rsidRDefault="002257DD" w:rsidP="002257DD">
            <w:pPr>
              <w:rPr>
                <w:szCs w:val="24"/>
              </w:rPr>
            </w:pPr>
            <w:r w:rsidRPr="00A91410">
              <w:rPr>
                <w:szCs w:val="24"/>
              </w:rPr>
              <w:t xml:space="preserve">Uvođenje automatske razmjene informacija o </w:t>
            </w:r>
            <w:proofErr w:type="spellStart"/>
            <w:r w:rsidRPr="00A91410">
              <w:rPr>
                <w:szCs w:val="24"/>
              </w:rPr>
              <w:t>kripotimovini</w:t>
            </w:r>
            <w:proofErr w:type="spellEnd"/>
            <w:r w:rsidRPr="00A91410">
              <w:rPr>
                <w:szCs w:val="24"/>
              </w:rPr>
              <w:t xml:space="preserve"> i elektroničkom novcu zahtijevat će određene prilagodbe informatičkog sustava kod pružatelja usluga povezanih s </w:t>
            </w:r>
            <w:proofErr w:type="spellStart"/>
            <w:r w:rsidRPr="00A91410">
              <w:rPr>
                <w:szCs w:val="24"/>
              </w:rPr>
              <w:t>kriptoimovinom</w:t>
            </w:r>
            <w:proofErr w:type="spellEnd"/>
            <w:r w:rsidRPr="00A91410">
              <w:rPr>
                <w:szCs w:val="24"/>
              </w:rPr>
              <w:t xml:space="preserve"> i kreditnih institucija te određene administrativne troškove radi prilagodbe procedura potrebnih za provedbu dubinske analize klijenata i pravila izvješćivanja.</w:t>
            </w:r>
          </w:p>
          <w:p w14:paraId="40D531B6" w14:textId="77777777" w:rsidR="00C372F0" w:rsidRDefault="00C372F0" w:rsidP="002257DD">
            <w:pPr>
              <w:rPr>
                <w:szCs w:val="24"/>
              </w:rPr>
            </w:pPr>
          </w:p>
          <w:p w14:paraId="150D5C13" w14:textId="4DE0F4D3" w:rsidR="00F66CC5" w:rsidRPr="00127FD2" w:rsidRDefault="002257DD" w:rsidP="002257DD">
            <w:r w:rsidRPr="00A91410">
              <w:rPr>
                <w:szCs w:val="24"/>
              </w:rPr>
              <w:t xml:space="preserve">Također, </w:t>
            </w:r>
            <w:r>
              <w:rPr>
                <w:szCs w:val="24"/>
              </w:rPr>
              <w:t xml:space="preserve">uvođenje automatske razmjene informacija o dopunskom porezu utjecat će na troškove prilagodbe informatičkog sustava i  administrativnih procedura kod </w:t>
            </w:r>
            <w:r w:rsidRPr="00A91410">
              <w:rPr>
                <w:szCs w:val="24"/>
              </w:rPr>
              <w:t>sastavni</w:t>
            </w:r>
            <w:r>
              <w:rPr>
                <w:szCs w:val="24"/>
              </w:rPr>
              <w:t>h</w:t>
            </w:r>
            <w:r w:rsidRPr="00A91410">
              <w:rPr>
                <w:szCs w:val="24"/>
              </w:rPr>
              <w:t xml:space="preserve"> subjek</w:t>
            </w:r>
            <w:r w:rsidR="00A4453B">
              <w:rPr>
                <w:szCs w:val="24"/>
              </w:rPr>
              <w:t>ata</w:t>
            </w:r>
            <w:r w:rsidRPr="00A91410">
              <w:rPr>
                <w:szCs w:val="24"/>
              </w:rPr>
              <w:t xml:space="preserve"> multinacionalnih poduzeća</w:t>
            </w:r>
            <w:r w:rsidR="00A4453B">
              <w:rPr>
                <w:szCs w:val="24"/>
              </w:rPr>
              <w:t>.</w:t>
            </w:r>
          </w:p>
        </w:tc>
      </w:tr>
      <w:tr w:rsidR="00F66CC5" w:rsidRPr="00127FD2" w14:paraId="2041771E" w14:textId="77777777" w:rsidTr="003C5672">
        <w:tc>
          <w:tcPr>
            <w:tcW w:w="850" w:type="dxa"/>
          </w:tcPr>
          <w:p w14:paraId="4953D77E" w14:textId="77777777" w:rsidR="00F66CC5" w:rsidRPr="00127FD2" w:rsidRDefault="00F66CC5" w:rsidP="00F66CC5">
            <w:r w:rsidRPr="00127FD2">
              <w:t>7.2.</w:t>
            </w:r>
          </w:p>
        </w:tc>
        <w:tc>
          <w:tcPr>
            <w:tcW w:w="9073" w:type="dxa"/>
            <w:gridSpan w:val="2"/>
            <w:shd w:val="clear" w:color="auto" w:fill="auto"/>
          </w:tcPr>
          <w:p w14:paraId="307EDEDB" w14:textId="77777777" w:rsidR="00F66CC5" w:rsidRDefault="00F66CC5" w:rsidP="00F66CC5">
            <w:pPr>
              <w:jc w:val="both"/>
            </w:pPr>
            <w:r w:rsidRPr="00127FD2">
              <w:t>Zaključak o učincima koji će proisteći iz provedbe:</w:t>
            </w:r>
          </w:p>
          <w:p w14:paraId="7CC01D19" w14:textId="77777777" w:rsidR="00A91410" w:rsidRPr="00127FD2" w:rsidRDefault="00A91410" w:rsidP="00F66CC5">
            <w:pPr>
              <w:jc w:val="both"/>
            </w:pPr>
          </w:p>
          <w:p w14:paraId="55C74149" w14:textId="77777777" w:rsidR="00A91410" w:rsidRDefault="000C0C65" w:rsidP="00F66CC5">
            <w:pPr>
              <w:jc w:val="both"/>
              <w:rPr>
                <w:szCs w:val="24"/>
              </w:rPr>
            </w:pPr>
            <w:r>
              <w:t>Na temelju a</w:t>
            </w:r>
            <w:r w:rsidR="004747C6">
              <w:t>utomatsk</w:t>
            </w:r>
            <w:r>
              <w:t>e</w:t>
            </w:r>
            <w:r w:rsidR="004747C6">
              <w:t xml:space="preserve"> razmjen</w:t>
            </w:r>
            <w:r>
              <w:t>e</w:t>
            </w:r>
            <w:r w:rsidR="004747C6">
              <w:t xml:space="preserve"> informacija o</w:t>
            </w:r>
            <w:r w:rsidR="004747C6">
              <w:rPr>
                <w:szCs w:val="24"/>
              </w:rPr>
              <w:t xml:space="preserve"> </w:t>
            </w:r>
            <w:proofErr w:type="spellStart"/>
            <w:r w:rsidR="004747C6" w:rsidRPr="0009597F">
              <w:rPr>
                <w:szCs w:val="24"/>
              </w:rPr>
              <w:t>kriptoimovini</w:t>
            </w:r>
            <w:proofErr w:type="spellEnd"/>
            <w:r w:rsidR="004747C6" w:rsidRPr="0009597F">
              <w:rPr>
                <w:szCs w:val="24"/>
              </w:rPr>
              <w:t>,</w:t>
            </w:r>
            <w:r w:rsidR="004747C6">
              <w:rPr>
                <w:szCs w:val="24"/>
              </w:rPr>
              <w:t xml:space="preserve"> elektroničkom </w:t>
            </w:r>
            <w:r>
              <w:rPr>
                <w:szCs w:val="24"/>
              </w:rPr>
              <w:t>novcu</w:t>
            </w:r>
            <w:r w:rsidR="004747C6">
              <w:rPr>
                <w:szCs w:val="24"/>
              </w:rPr>
              <w:t xml:space="preserve">, </w:t>
            </w:r>
            <w:r w:rsidR="004747C6" w:rsidRPr="0009597F">
              <w:rPr>
                <w:szCs w:val="24"/>
              </w:rPr>
              <w:t>ne</w:t>
            </w:r>
            <w:r w:rsidR="00F40A68" w:rsidRPr="0009597F">
              <w:rPr>
                <w:szCs w:val="24"/>
              </w:rPr>
              <w:t xml:space="preserve"> </w:t>
            </w:r>
            <w:r w:rsidR="004747C6" w:rsidRPr="0009597F">
              <w:rPr>
                <w:szCs w:val="24"/>
              </w:rPr>
              <w:t>skrbničkim</w:t>
            </w:r>
            <w:r w:rsidR="004747C6">
              <w:rPr>
                <w:szCs w:val="24"/>
              </w:rPr>
              <w:t xml:space="preserve"> dividendama, prethodnim poreznim mišljenjima s prekograničnim učinkom </w:t>
            </w:r>
            <w:r w:rsidR="004747C6" w:rsidRPr="0009597F">
              <w:rPr>
                <w:szCs w:val="24"/>
              </w:rPr>
              <w:t>koj</w:t>
            </w:r>
            <w:r w:rsidR="00CD108F">
              <w:rPr>
                <w:szCs w:val="24"/>
              </w:rPr>
              <w:t xml:space="preserve">a </w:t>
            </w:r>
            <w:r w:rsidR="004747C6" w:rsidRPr="0009597F">
              <w:rPr>
                <w:szCs w:val="24"/>
              </w:rPr>
              <w:t>se odnos</w:t>
            </w:r>
            <w:r w:rsidR="00F40A68" w:rsidRPr="0009597F">
              <w:rPr>
                <w:szCs w:val="24"/>
              </w:rPr>
              <w:t>e</w:t>
            </w:r>
            <w:r w:rsidR="004747C6">
              <w:rPr>
                <w:szCs w:val="24"/>
              </w:rPr>
              <w:t xml:space="preserve"> na fizičke osobe ako je iznos transakcije iznad 1,5 milijuna eura</w:t>
            </w:r>
            <w:r>
              <w:rPr>
                <w:szCs w:val="24"/>
              </w:rPr>
              <w:t xml:space="preserve">, omogućit će se </w:t>
            </w:r>
            <w:r w:rsidR="00221FE9">
              <w:rPr>
                <w:szCs w:val="24"/>
              </w:rPr>
              <w:t xml:space="preserve">podizanje učinkovitosti </w:t>
            </w:r>
            <w:r w:rsidR="004747C6">
              <w:rPr>
                <w:szCs w:val="24"/>
              </w:rPr>
              <w:t>borbe protiv poreznih prijevara i evazije te podizanja transparentnosti o prihodima.</w:t>
            </w:r>
            <w:r w:rsidR="00884648">
              <w:rPr>
                <w:szCs w:val="24"/>
              </w:rPr>
              <w:t xml:space="preserve"> </w:t>
            </w:r>
          </w:p>
          <w:p w14:paraId="0E38487C" w14:textId="71293AF2" w:rsidR="00F66CC5" w:rsidRPr="00127FD2" w:rsidRDefault="00884648" w:rsidP="00F66CC5">
            <w:pPr>
              <w:jc w:val="both"/>
            </w:pPr>
            <w:r w:rsidRPr="00B47DE1">
              <w:rPr>
                <w:szCs w:val="24"/>
              </w:rPr>
              <w:t xml:space="preserve">Nadalje, na temelju razmjene informacija o dopunskom porezu </w:t>
            </w:r>
            <w:r w:rsidR="00091B6C" w:rsidRPr="00B47DE1">
              <w:rPr>
                <w:szCs w:val="24"/>
              </w:rPr>
              <w:t xml:space="preserve">omogućit će se pravedniji sustav oporezivanja dobiti </w:t>
            </w:r>
            <w:r w:rsidR="003E092B" w:rsidRPr="00B47DE1">
              <w:rPr>
                <w:szCs w:val="24"/>
              </w:rPr>
              <w:t xml:space="preserve">jer </w:t>
            </w:r>
            <w:r w:rsidR="00B47DE1" w:rsidRPr="00B47DE1">
              <w:rPr>
                <w:szCs w:val="24"/>
              </w:rPr>
              <w:t xml:space="preserve">se uvodi </w:t>
            </w:r>
            <w:r w:rsidR="003E092B" w:rsidRPr="00B47DE1">
              <w:rPr>
                <w:szCs w:val="24"/>
              </w:rPr>
              <w:t xml:space="preserve"> dodatni </w:t>
            </w:r>
            <w:r w:rsidR="00B47DE1" w:rsidRPr="00B47DE1">
              <w:rPr>
                <w:szCs w:val="24"/>
              </w:rPr>
              <w:t>instrument</w:t>
            </w:r>
            <w:r w:rsidR="003E092B" w:rsidRPr="00B47DE1">
              <w:rPr>
                <w:szCs w:val="24"/>
              </w:rPr>
              <w:t xml:space="preserve"> u borbi protiv smanjenja </w:t>
            </w:r>
            <w:r w:rsidR="00586D3B" w:rsidRPr="00B47DE1">
              <w:rPr>
                <w:szCs w:val="24"/>
              </w:rPr>
              <w:t xml:space="preserve">porezne osnovice </w:t>
            </w:r>
            <w:r w:rsidR="00B47DE1" w:rsidRPr="00B47DE1">
              <w:rPr>
                <w:szCs w:val="24"/>
              </w:rPr>
              <w:t>i premještanja dobiti jer će</w:t>
            </w:r>
            <w:r w:rsidR="00B47DE1">
              <w:rPr>
                <w:szCs w:val="24"/>
              </w:rPr>
              <w:t xml:space="preserve"> omogućiti provedbu procjene rizika, evaluacij</w:t>
            </w:r>
            <w:r w:rsidR="00874B9B">
              <w:rPr>
                <w:szCs w:val="24"/>
              </w:rPr>
              <w:t>u</w:t>
            </w:r>
            <w:r w:rsidR="00B47DE1">
              <w:rPr>
                <w:szCs w:val="24"/>
              </w:rPr>
              <w:t xml:space="preserve"> </w:t>
            </w:r>
            <w:r w:rsidR="00B47DE1">
              <w:rPr>
                <w:szCs w:val="24"/>
              </w:rPr>
              <w:lastRenderedPageBreak/>
              <w:t>ispravnosti porezne obveze te praćenje primjenjuju li skupine MNP-a i velike domaće skupine ispravno utvrđena pravila u Direktivi o Stupu 2.</w:t>
            </w:r>
          </w:p>
        </w:tc>
      </w:tr>
    </w:tbl>
    <w:p w14:paraId="5DB6FB5E" w14:textId="77777777" w:rsidR="006D0660" w:rsidRPr="00127FD2" w:rsidRDefault="006D0660" w:rsidP="006D0660">
      <w:pPr>
        <w:pStyle w:val="Naslov1"/>
      </w:pPr>
      <w:r w:rsidRPr="00127FD2">
        <w:rPr>
          <w:bCs/>
        </w:rPr>
        <w:lastRenderedPageBreak/>
        <w:t>8.</w:t>
      </w:r>
      <w:r w:rsidRPr="00127FD2">
        <w:rPr>
          <w:bCs/>
        </w:rPr>
        <w:tab/>
      </w:r>
      <w:r w:rsidRPr="00127FD2">
        <w:t>PRILOZI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F66CC5" w:rsidRPr="00127FD2" w14:paraId="0A63F314" w14:textId="77777777" w:rsidTr="003C5672">
        <w:tc>
          <w:tcPr>
            <w:tcW w:w="850" w:type="dxa"/>
          </w:tcPr>
          <w:p w14:paraId="75111E91" w14:textId="77777777" w:rsidR="00F66CC5" w:rsidRPr="00127FD2" w:rsidRDefault="00F66CC5" w:rsidP="00F66CC5">
            <w:r w:rsidRPr="00127FD2">
              <w:t>8.1</w:t>
            </w:r>
          </w:p>
        </w:tc>
        <w:tc>
          <w:tcPr>
            <w:tcW w:w="9073" w:type="dxa"/>
          </w:tcPr>
          <w:p w14:paraId="2CCE88D4" w14:textId="77777777" w:rsidR="00F66CC5" w:rsidRPr="00127FD2" w:rsidRDefault="00F66CC5" w:rsidP="00F66CC5">
            <w:pPr>
              <w:rPr>
                <w:bCs/>
                <w:szCs w:val="24"/>
              </w:rPr>
            </w:pPr>
            <w:r w:rsidRPr="00127FD2">
              <w:rPr>
                <w:bCs/>
                <w:szCs w:val="24"/>
              </w:rPr>
              <w:t>Dokumenti u prilogu</w:t>
            </w:r>
            <w:r>
              <w:rPr>
                <w:bCs/>
                <w:szCs w:val="24"/>
              </w:rPr>
              <w:t>:</w:t>
            </w:r>
          </w:p>
        </w:tc>
      </w:tr>
      <w:tr w:rsidR="00F66CC5" w:rsidRPr="00127FD2" w14:paraId="334AC059" w14:textId="77777777" w:rsidTr="003C5672">
        <w:tc>
          <w:tcPr>
            <w:tcW w:w="850" w:type="dxa"/>
          </w:tcPr>
          <w:p w14:paraId="3770F360" w14:textId="77777777" w:rsidR="00F66CC5" w:rsidRPr="00127FD2" w:rsidRDefault="00F66CC5" w:rsidP="00F66CC5"/>
        </w:tc>
        <w:tc>
          <w:tcPr>
            <w:tcW w:w="9073" w:type="dxa"/>
          </w:tcPr>
          <w:p w14:paraId="03356AB1" w14:textId="10DFDB37" w:rsidR="00F66CC5" w:rsidRPr="002257DD" w:rsidRDefault="002257DD" w:rsidP="00F66CC5">
            <w:pPr>
              <w:rPr>
                <w:bCs/>
                <w:szCs w:val="24"/>
              </w:rPr>
            </w:pPr>
            <w:r w:rsidRPr="002257DD">
              <w:rPr>
                <w:bCs/>
                <w:szCs w:val="24"/>
              </w:rPr>
              <w:t xml:space="preserve">Nema priloga </w:t>
            </w:r>
          </w:p>
        </w:tc>
      </w:tr>
    </w:tbl>
    <w:p w14:paraId="681DD670" w14:textId="77777777" w:rsidR="006D0660" w:rsidRPr="00127FD2" w:rsidRDefault="006D0660" w:rsidP="006D0660">
      <w:pPr>
        <w:pStyle w:val="Naslov1"/>
      </w:pPr>
      <w:r w:rsidRPr="00127FD2">
        <w:rPr>
          <w:bCs/>
        </w:rPr>
        <w:t xml:space="preserve">9. </w:t>
      </w:r>
      <w:r w:rsidRPr="00127FD2">
        <w:rPr>
          <w:bCs/>
        </w:rPr>
        <w:tab/>
      </w:r>
      <w:r w:rsidRPr="00127FD2">
        <w:t xml:space="preserve">OVJERA ČELNIKA </w:t>
      </w:r>
      <w:r>
        <w:t>STRUČNOG NOSITELJA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F66CC5" w:rsidRPr="00127FD2" w14:paraId="4FE81E62" w14:textId="77777777" w:rsidTr="003C5672">
        <w:tc>
          <w:tcPr>
            <w:tcW w:w="850" w:type="dxa"/>
          </w:tcPr>
          <w:p w14:paraId="6908FB1A" w14:textId="77777777" w:rsidR="00F66CC5" w:rsidRPr="00127FD2" w:rsidRDefault="00F66CC5" w:rsidP="00F66CC5">
            <w:pPr>
              <w:rPr>
                <w:b/>
                <w:bCs/>
              </w:rPr>
            </w:pPr>
          </w:p>
        </w:tc>
        <w:tc>
          <w:tcPr>
            <w:tcW w:w="9073" w:type="dxa"/>
          </w:tcPr>
          <w:p w14:paraId="564EF3DA" w14:textId="5E2D9CB3" w:rsidR="00F66CC5" w:rsidRDefault="00F66CC5" w:rsidP="00F66CC5">
            <w:pPr>
              <w:jc w:val="both"/>
              <w:rPr>
                <w:rFonts w:eastAsia="Times New Roman"/>
                <w:szCs w:val="24"/>
              </w:rPr>
            </w:pPr>
            <w:r w:rsidRPr="001C03AB">
              <w:rPr>
                <w:rFonts w:eastAsia="Times New Roman"/>
                <w:szCs w:val="24"/>
              </w:rPr>
              <w:t xml:space="preserve">Potpis: </w:t>
            </w:r>
            <w:r>
              <w:rPr>
                <w:rFonts w:eastAsia="Times New Roman"/>
                <w:szCs w:val="24"/>
              </w:rPr>
              <w:t xml:space="preserve">potpredsjednik Vlade Republike Hrvatske i </w:t>
            </w:r>
            <w:r w:rsidRPr="001C03AB">
              <w:rPr>
                <w:rFonts w:eastAsia="Times New Roman"/>
                <w:szCs w:val="24"/>
              </w:rPr>
              <w:t>ministar financija</w:t>
            </w:r>
          </w:p>
          <w:p w14:paraId="5F8DDDA3" w14:textId="4D9D8814" w:rsidR="00F66CC5" w:rsidRPr="001C03AB" w:rsidRDefault="00F66CC5" w:rsidP="00F66CC5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                                       dr. sc. Marko Primorac</w:t>
            </w:r>
          </w:p>
          <w:p w14:paraId="18960FC8" w14:textId="5E9D126B" w:rsidR="00F66CC5" w:rsidRPr="00127FD2" w:rsidRDefault="00F66CC5" w:rsidP="00F66CC5">
            <w:pPr>
              <w:rPr>
                <w:b/>
                <w:szCs w:val="24"/>
              </w:rPr>
            </w:pPr>
          </w:p>
        </w:tc>
      </w:tr>
      <w:bookmarkEnd w:id="0"/>
    </w:tbl>
    <w:p w14:paraId="1F6474DE" w14:textId="77777777" w:rsidR="001444FC" w:rsidRDefault="001444FC" w:rsidP="001444FC">
      <w:pPr>
        <w:spacing w:line="276" w:lineRule="auto"/>
        <w:ind w:left="5666" w:hanging="142"/>
        <w:rPr>
          <w:color w:val="000000" w:themeColor="text1"/>
          <w:sz w:val="22"/>
        </w:rPr>
      </w:pPr>
    </w:p>
    <w:p w14:paraId="2BB86B09" w14:textId="77777777" w:rsidR="001444FC" w:rsidRPr="005D6505" w:rsidRDefault="001444FC" w:rsidP="001444FC">
      <w:pPr>
        <w:spacing w:line="276" w:lineRule="auto"/>
        <w:ind w:left="5666" w:hanging="142"/>
        <w:rPr>
          <w:color w:val="000000" w:themeColor="text1"/>
          <w:sz w:val="22"/>
        </w:rPr>
      </w:pPr>
    </w:p>
    <w:sectPr w:rsidR="001444FC" w:rsidRPr="005D65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C4761" w14:textId="77777777" w:rsidR="004D73DC" w:rsidRDefault="004D73DC" w:rsidP="00787B78">
      <w:r>
        <w:separator/>
      </w:r>
    </w:p>
  </w:endnote>
  <w:endnote w:type="continuationSeparator" w:id="0">
    <w:p w14:paraId="5E2841B1" w14:textId="77777777" w:rsidR="004D73DC" w:rsidRDefault="004D73DC" w:rsidP="0078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44877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93DBB9" w14:textId="77777777" w:rsidR="00787B78" w:rsidRDefault="00787B78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03C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5610C17" w14:textId="77777777" w:rsidR="00787B78" w:rsidRDefault="00787B7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CD324" w14:textId="77777777" w:rsidR="004D73DC" w:rsidRDefault="004D73DC" w:rsidP="00787B78">
      <w:r>
        <w:separator/>
      </w:r>
    </w:p>
  </w:footnote>
  <w:footnote w:type="continuationSeparator" w:id="0">
    <w:p w14:paraId="1376E91F" w14:textId="77777777" w:rsidR="004D73DC" w:rsidRDefault="004D73DC" w:rsidP="00787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6CD3"/>
    <w:multiLevelType w:val="hybridMultilevel"/>
    <w:tmpl w:val="76BEEC46"/>
    <w:lvl w:ilvl="0" w:tplc="67F246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B7FD2"/>
    <w:multiLevelType w:val="hybridMultilevel"/>
    <w:tmpl w:val="047A2B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82BE1"/>
    <w:multiLevelType w:val="hybridMultilevel"/>
    <w:tmpl w:val="58C4D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D0FA3"/>
    <w:multiLevelType w:val="hybridMultilevel"/>
    <w:tmpl w:val="35B6DECC"/>
    <w:lvl w:ilvl="0" w:tplc="67F246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73446"/>
    <w:multiLevelType w:val="hybridMultilevel"/>
    <w:tmpl w:val="C408FD4A"/>
    <w:lvl w:ilvl="0" w:tplc="27043DB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51D14"/>
    <w:multiLevelType w:val="hybridMultilevel"/>
    <w:tmpl w:val="67CC6C34"/>
    <w:lvl w:ilvl="0" w:tplc="67F246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427DD"/>
    <w:multiLevelType w:val="hybridMultilevel"/>
    <w:tmpl w:val="D68A21A6"/>
    <w:lvl w:ilvl="0" w:tplc="A52E85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72AC1"/>
    <w:multiLevelType w:val="hybridMultilevel"/>
    <w:tmpl w:val="CD30296E"/>
    <w:lvl w:ilvl="0" w:tplc="0616D3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528352">
    <w:abstractNumId w:val="2"/>
  </w:num>
  <w:num w:numId="2" w16cid:durableId="1177840581">
    <w:abstractNumId w:val="1"/>
  </w:num>
  <w:num w:numId="3" w16cid:durableId="712577479">
    <w:abstractNumId w:val="0"/>
  </w:num>
  <w:num w:numId="4" w16cid:durableId="1987858806">
    <w:abstractNumId w:val="6"/>
  </w:num>
  <w:num w:numId="5" w16cid:durableId="336422915">
    <w:abstractNumId w:val="4"/>
  </w:num>
  <w:num w:numId="6" w16cid:durableId="1284732481">
    <w:abstractNumId w:val="3"/>
  </w:num>
  <w:num w:numId="7" w16cid:durableId="419177867">
    <w:abstractNumId w:val="7"/>
  </w:num>
  <w:num w:numId="8" w16cid:durableId="484008469">
    <w:abstractNumId w:val="8"/>
  </w:num>
  <w:num w:numId="9" w16cid:durableId="1921282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680"/>
    <w:rsid w:val="00044151"/>
    <w:rsid w:val="00047428"/>
    <w:rsid w:val="00055680"/>
    <w:rsid w:val="000714DB"/>
    <w:rsid w:val="00074591"/>
    <w:rsid w:val="00091B6C"/>
    <w:rsid w:val="0009597F"/>
    <w:rsid w:val="000B590B"/>
    <w:rsid w:val="000C0C65"/>
    <w:rsid w:val="000D1D2D"/>
    <w:rsid w:val="000D65CF"/>
    <w:rsid w:val="000E1864"/>
    <w:rsid w:val="000E1FA3"/>
    <w:rsid w:val="000E6F75"/>
    <w:rsid w:val="000F7D32"/>
    <w:rsid w:val="00100424"/>
    <w:rsid w:val="00105339"/>
    <w:rsid w:val="00114FAA"/>
    <w:rsid w:val="00123251"/>
    <w:rsid w:val="00125D54"/>
    <w:rsid w:val="001444FC"/>
    <w:rsid w:val="001550D2"/>
    <w:rsid w:val="0017315D"/>
    <w:rsid w:val="00175DD1"/>
    <w:rsid w:val="00182612"/>
    <w:rsid w:val="00187951"/>
    <w:rsid w:val="001937DC"/>
    <w:rsid w:val="0019681D"/>
    <w:rsid w:val="001B1977"/>
    <w:rsid w:val="001D2146"/>
    <w:rsid w:val="001D4D84"/>
    <w:rsid w:val="001E5D61"/>
    <w:rsid w:val="001F2291"/>
    <w:rsid w:val="001F3F76"/>
    <w:rsid w:val="00214E61"/>
    <w:rsid w:val="00221FE9"/>
    <w:rsid w:val="002257DD"/>
    <w:rsid w:val="00232627"/>
    <w:rsid w:val="002469F1"/>
    <w:rsid w:val="00250CF9"/>
    <w:rsid w:val="00256D22"/>
    <w:rsid w:val="00261194"/>
    <w:rsid w:val="00270016"/>
    <w:rsid w:val="00275D14"/>
    <w:rsid w:val="0027737A"/>
    <w:rsid w:val="0029089A"/>
    <w:rsid w:val="00296391"/>
    <w:rsid w:val="002A03CE"/>
    <w:rsid w:val="002D2179"/>
    <w:rsid w:val="002D3161"/>
    <w:rsid w:val="002D3D45"/>
    <w:rsid w:val="002D7D72"/>
    <w:rsid w:val="002F1CFC"/>
    <w:rsid w:val="00321ABD"/>
    <w:rsid w:val="00335EC8"/>
    <w:rsid w:val="0033722F"/>
    <w:rsid w:val="00337B06"/>
    <w:rsid w:val="00353061"/>
    <w:rsid w:val="00361F67"/>
    <w:rsid w:val="003739B2"/>
    <w:rsid w:val="003A17CC"/>
    <w:rsid w:val="003A26D4"/>
    <w:rsid w:val="003B2C9B"/>
    <w:rsid w:val="003B7647"/>
    <w:rsid w:val="003E092B"/>
    <w:rsid w:val="003F384E"/>
    <w:rsid w:val="00413199"/>
    <w:rsid w:val="00413A2F"/>
    <w:rsid w:val="0041502B"/>
    <w:rsid w:val="00422D52"/>
    <w:rsid w:val="00423D68"/>
    <w:rsid w:val="0043130F"/>
    <w:rsid w:val="004343DD"/>
    <w:rsid w:val="00435B76"/>
    <w:rsid w:val="00446F3C"/>
    <w:rsid w:val="00454FC3"/>
    <w:rsid w:val="0047424D"/>
    <w:rsid w:val="004747C6"/>
    <w:rsid w:val="00475E79"/>
    <w:rsid w:val="00482D3C"/>
    <w:rsid w:val="00485E20"/>
    <w:rsid w:val="00491327"/>
    <w:rsid w:val="004A2655"/>
    <w:rsid w:val="004B11D1"/>
    <w:rsid w:val="004D73DC"/>
    <w:rsid w:val="004F3DE8"/>
    <w:rsid w:val="005471CB"/>
    <w:rsid w:val="0055089C"/>
    <w:rsid w:val="005513D4"/>
    <w:rsid w:val="005547D1"/>
    <w:rsid w:val="005769E1"/>
    <w:rsid w:val="00586D3B"/>
    <w:rsid w:val="00591833"/>
    <w:rsid w:val="005935BA"/>
    <w:rsid w:val="00593B24"/>
    <w:rsid w:val="005A7465"/>
    <w:rsid w:val="005B7373"/>
    <w:rsid w:val="005C2F8B"/>
    <w:rsid w:val="005D2D7A"/>
    <w:rsid w:val="005D33B5"/>
    <w:rsid w:val="005D6505"/>
    <w:rsid w:val="005D770E"/>
    <w:rsid w:val="005E23A8"/>
    <w:rsid w:val="00605008"/>
    <w:rsid w:val="00607C8C"/>
    <w:rsid w:val="00611C60"/>
    <w:rsid w:val="00621C05"/>
    <w:rsid w:val="00635C69"/>
    <w:rsid w:val="00637936"/>
    <w:rsid w:val="00640DCB"/>
    <w:rsid w:val="00642C41"/>
    <w:rsid w:val="00661EE9"/>
    <w:rsid w:val="00671949"/>
    <w:rsid w:val="00672CED"/>
    <w:rsid w:val="00687583"/>
    <w:rsid w:val="006C77B6"/>
    <w:rsid w:val="006D0660"/>
    <w:rsid w:val="006D1740"/>
    <w:rsid w:val="006D7C0E"/>
    <w:rsid w:val="006F4901"/>
    <w:rsid w:val="006F7C01"/>
    <w:rsid w:val="00721199"/>
    <w:rsid w:val="00731FD5"/>
    <w:rsid w:val="0073682D"/>
    <w:rsid w:val="007469B8"/>
    <w:rsid w:val="00763851"/>
    <w:rsid w:val="00776636"/>
    <w:rsid w:val="00787B78"/>
    <w:rsid w:val="00803B87"/>
    <w:rsid w:val="008126C8"/>
    <w:rsid w:val="00815AB1"/>
    <w:rsid w:val="008165C4"/>
    <w:rsid w:val="008169F0"/>
    <w:rsid w:val="008322DE"/>
    <w:rsid w:val="008329E6"/>
    <w:rsid w:val="00874B9B"/>
    <w:rsid w:val="00876BA8"/>
    <w:rsid w:val="00884648"/>
    <w:rsid w:val="00891605"/>
    <w:rsid w:val="008A2A13"/>
    <w:rsid w:val="008B7423"/>
    <w:rsid w:val="008C008D"/>
    <w:rsid w:val="008F3ACE"/>
    <w:rsid w:val="00901097"/>
    <w:rsid w:val="00910D3D"/>
    <w:rsid w:val="009255E4"/>
    <w:rsid w:val="00930407"/>
    <w:rsid w:val="00937995"/>
    <w:rsid w:val="00944FEA"/>
    <w:rsid w:val="009747E0"/>
    <w:rsid w:val="00986B25"/>
    <w:rsid w:val="009A06FC"/>
    <w:rsid w:val="009C4373"/>
    <w:rsid w:val="009D7BA9"/>
    <w:rsid w:val="009E3677"/>
    <w:rsid w:val="009F60AC"/>
    <w:rsid w:val="009F616C"/>
    <w:rsid w:val="009F7AC4"/>
    <w:rsid w:val="00A0506F"/>
    <w:rsid w:val="00A1416A"/>
    <w:rsid w:val="00A35652"/>
    <w:rsid w:val="00A36C6B"/>
    <w:rsid w:val="00A4243D"/>
    <w:rsid w:val="00A4453B"/>
    <w:rsid w:val="00A6413F"/>
    <w:rsid w:val="00A64483"/>
    <w:rsid w:val="00A675F4"/>
    <w:rsid w:val="00A70780"/>
    <w:rsid w:val="00A764D6"/>
    <w:rsid w:val="00A8305B"/>
    <w:rsid w:val="00A91410"/>
    <w:rsid w:val="00A9431E"/>
    <w:rsid w:val="00AA31FB"/>
    <w:rsid w:val="00AB1CDA"/>
    <w:rsid w:val="00AC2E69"/>
    <w:rsid w:val="00AD15F0"/>
    <w:rsid w:val="00AD4037"/>
    <w:rsid w:val="00AF043D"/>
    <w:rsid w:val="00B14F28"/>
    <w:rsid w:val="00B21A55"/>
    <w:rsid w:val="00B264F9"/>
    <w:rsid w:val="00B33C69"/>
    <w:rsid w:val="00B4078F"/>
    <w:rsid w:val="00B44861"/>
    <w:rsid w:val="00B47DE1"/>
    <w:rsid w:val="00B51772"/>
    <w:rsid w:val="00B5752B"/>
    <w:rsid w:val="00B64A33"/>
    <w:rsid w:val="00B75487"/>
    <w:rsid w:val="00B878EE"/>
    <w:rsid w:val="00BA23A4"/>
    <w:rsid w:val="00BB095F"/>
    <w:rsid w:val="00BC1618"/>
    <w:rsid w:val="00BD0203"/>
    <w:rsid w:val="00BE679C"/>
    <w:rsid w:val="00BF6EC7"/>
    <w:rsid w:val="00C05D0A"/>
    <w:rsid w:val="00C245C0"/>
    <w:rsid w:val="00C372F0"/>
    <w:rsid w:val="00C40C72"/>
    <w:rsid w:val="00C42B08"/>
    <w:rsid w:val="00C45215"/>
    <w:rsid w:val="00C63CF2"/>
    <w:rsid w:val="00C75074"/>
    <w:rsid w:val="00C83C24"/>
    <w:rsid w:val="00C8464F"/>
    <w:rsid w:val="00C96E32"/>
    <w:rsid w:val="00CD0E42"/>
    <w:rsid w:val="00CD108F"/>
    <w:rsid w:val="00CD1C5B"/>
    <w:rsid w:val="00CD1D4F"/>
    <w:rsid w:val="00CE5F1F"/>
    <w:rsid w:val="00D040DF"/>
    <w:rsid w:val="00D13D3D"/>
    <w:rsid w:val="00D34683"/>
    <w:rsid w:val="00D40EBA"/>
    <w:rsid w:val="00D556FE"/>
    <w:rsid w:val="00D64744"/>
    <w:rsid w:val="00D7670E"/>
    <w:rsid w:val="00D866D9"/>
    <w:rsid w:val="00DB5E8D"/>
    <w:rsid w:val="00DC2E9F"/>
    <w:rsid w:val="00DE21D9"/>
    <w:rsid w:val="00E01F30"/>
    <w:rsid w:val="00E307FF"/>
    <w:rsid w:val="00E30EA7"/>
    <w:rsid w:val="00E33BC9"/>
    <w:rsid w:val="00E43CA6"/>
    <w:rsid w:val="00E451B9"/>
    <w:rsid w:val="00E650F1"/>
    <w:rsid w:val="00E7420D"/>
    <w:rsid w:val="00E76133"/>
    <w:rsid w:val="00EC7347"/>
    <w:rsid w:val="00EF2942"/>
    <w:rsid w:val="00EF4A24"/>
    <w:rsid w:val="00EF64A6"/>
    <w:rsid w:val="00EF7F76"/>
    <w:rsid w:val="00F023FC"/>
    <w:rsid w:val="00F135B1"/>
    <w:rsid w:val="00F136FA"/>
    <w:rsid w:val="00F24A95"/>
    <w:rsid w:val="00F3322A"/>
    <w:rsid w:val="00F40A68"/>
    <w:rsid w:val="00F45969"/>
    <w:rsid w:val="00F66CC5"/>
    <w:rsid w:val="00F7078B"/>
    <w:rsid w:val="00FA1720"/>
    <w:rsid w:val="00FA3133"/>
    <w:rsid w:val="00FB4F83"/>
    <w:rsid w:val="00FB72E3"/>
    <w:rsid w:val="00FD2ABE"/>
    <w:rsid w:val="00FE527B"/>
    <w:rsid w:val="00FF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D6F61"/>
  <w15:docId w15:val="{638F6449-19CE-4D85-82A0-185882C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680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2A03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A03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5680"/>
    <w:pPr>
      <w:ind w:left="720"/>
      <w:contextualSpacing/>
    </w:pPr>
  </w:style>
  <w:style w:type="table" w:styleId="Reetkatablice">
    <w:name w:val="Table Grid"/>
    <w:basedOn w:val="Obinatablica"/>
    <w:uiPriority w:val="39"/>
    <w:rsid w:val="00055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055680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87B7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87B78"/>
    <w:rPr>
      <w:rFonts w:ascii="Times New Roman" w:eastAsia="Calibri" w:hAnsi="Times New Roman" w:cs="Times New Roman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87B7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87B78"/>
    <w:rPr>
      <w:rFonts w:ascii="Times New Roman" w:eastAsia="Calibri" w:hAnsi="Times New Roman" w:cs="Times New Roman"/>
      <w:sz w:val="24"/>
      <w:lang w:eastAsia="hr-HR"/>
    </w:rPr>
  </w:style>
  <w:style w:type="table" w:customStyle="1" w:styleId="TableGrid1">
    <w:name w:val="Table Grid1"/>
    <w:basedOn w:val="Obinatablica"/>
    <w:next w:val="Reetkatablice"/>
    <w:uiPriority w:val="39"/>
    <w:rsid w:val="00F45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2A03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2A03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506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506F"/>
    <w:rPr>
      <w:rFonts w:ascii="Segoe UI" w:eastAsia="Calibri" w:hAnsi="Segoe UI" w:cs="Segoe UI"/>
      <w:sz w:val="18"/>
      <w:szCs w:val="18"/>
      <w:lang w:eastAsia="hr-HR"/>
    </w:rPr>
  </w:style>
  <w:style w:type="character" w:customStyle="1" w:styleId="preformatted-text">
    <w:name w:val="preformatted-text"/>
    <w:basedOn w:val="Zadanifontodlomka"/>
    <w:rsid w:val="00A9431E"/>
  </w:style>
  <w:style w:type="paragraph" w:styleId="Revizija">
    <w:name w:val="Revision"/>
    <w:hidden/>
    <w:uiPriority w:val="99"/>
    <w:semiHidden/>
    <w:rsid w:val="00CE5F1F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customStyle="1" w:styleId="box470887">
    <w:name w:val="box_470887"/>
    <w:basedOn w:val="Normal"/>
    <w:rsid w:val="00B64A33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ox472184">
    <w:name w:val="box_472184"/>
    <w:basedOn w:val="Normal"/>
    <w:rsid w:val="00B64A33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normal-000013">
    <w:name w:val="normal-000013"/>
    <w:basedOn w:val="Normal"/>
    <w:rsid w:val="00A1416A"/>
    <w:pPr>
      <w:spacing w:before="100" w:beforeAutospacing="1" w:after="100" w:afterAutospacing="1"/>
    </w:pPr>
    <w:rPr>
      <w:rFonts w:eastAsiaTheme="minorEastAsia"/>
      <w:szCs w:val="24"/>
      <w14:ligatures w14:val="standardContextual"/>
    </w:rPr>
  </w:style>
  <w:style w:type="character" w:customStyle="1" w:styleId="000055">
    <w:name w:val="000055"/>
    <w:basedOn w:val="Zadanifontodlomka"/>
    <w:rsid w:val="00A1416A"/>
  </w:style>
  <w:style w:type="paragraph" w:customStyle="1" w:styleId="box476324">
    <w:name w:val="box_476324"/>
    <w:basedOn w:val="Normal"/>
    <w:rsid w:val="005D33B5"/>
    <w:pPr>
      <w:spacing w:before="100" w:beforeAutospacing="1" w:after="100" w:afterAutospacing="1"/>
    </w:pPr>
    <w:rPr>
      <w:rFonts w:eastAsia="Times New Roman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6D06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D0660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9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091AD-D0C6-42F8-AFA8-76FAB42B0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2500</Words>
  <Characters>14252</Characters>
  <Application>Microsoft Office Word</Application>
  <DocSecurity>0</DocSecurity>
  <Lines>118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16719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BZ</dc:creator>
  <cp:lastModifiedBy>Monika Prekrat</cp:lastModifiedBy>
  <cp:revision>2</cp:revision>
  <cp:lastPrinted>2025-05-29T08:27:00Z</cp:lastPrinted>
  <dcterms:created xsi:type="dcterms:W3CDTF">2025-06-18T12:12:00Z</dcterms:created>
  <dcterms:modified xsi:type="dcterms:W3CDTF">2025-06-18T12:12:00Z</dcterms:modified>
</cp:coreProperties>
</file>