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CD33C" w14:textId="77777777" w:rsidR="00A94C12" w:rsidRPr="00D162A5" w:rsidRDefault="00A94C12" w:rsidP="00A94C12">
      <w:pPr>
        <w:rPr>
          <w:rFonts w:eastAsia="Calibri"/>
          <w:b/>
        </w:rPr>
      </w:pPr>
      <w:r w:rsidRPr="00D162A5">
        <w:rPr>
          <w:rFonts w:eastAsia="Calibri"/>
          <w:b/>
        </w:rPr>
        <w:t>PRILOG 4.:</w:t>
      </w:r>
    </w:p>
    <w:p w14:paraId="75F71FD7" w14:textId="77777777" w:rsidR="00A94C12" w:rsidRPr="00D162A5" w:rsidRDefault="00A94C12" w:rsidP="00A94C12">
      <w:pPr>
        <w:rPr>
          <w:rFonts w:eastAsia="Calibri"/>
          <w:b/>
        </w:rPr>
      </w:pPr>
    </w:p>
    <w:p w14:paraId="646F9042" w14:textId="67EE3A3B" w:rsidR="00A94C12" w:rsidRPr="00D162A5" w:rsidRDefault="00A94C12" w:rsidP="00D162A5">
      <w:pPr>
        <w:pStyle w:val="Naslov"/>
        <w:jc w:val="center"/>
        <w:rPr>
          <w:rFonts w:ascii="Times New Roman" w:hAnsi="Times New Roman" w:cs="Times New Roman"/>
          <w:sz w:val="24"/>
          <w:szCs w:val="24"/>
        </w:rPr>
      </w:pPr>
      <w:r w:rsidRPr="00D162A5">
        <w:rPr>
          <w:rFonts w:ascii="Times New Roman" w:hAnsi="Times New Roman" w:cs="Times New Roman"/>
          <w:sz w:val="24"/>
          <w:szCs w:val="24"/>
        </w:rPr>
        <w:t>OBRAZAC ISKAZA O PROCJENI UČINAKA PROPISA</w:t>
      </w:r>
    </w:p>
    <w:p w14:paraId="74D32CEE" w14:textId="77777777" w:rsidR="00A94C12" w:rsidRPr="00D162A5" w:rsidRDefault="00A94C12"/>
    <w:p w14:paraId="63EE85E2" w14:textId="4FDAB20A" w:rsidR="00A94C12" w:rsidRPr="00D162A5" w:rsidRDefault="00A94C12" w:rsidP="00D162A5">
      <w:pPr>
        <w:pStyle w:val="Naslov1"/>
        <w:rPr>
          <w:rFonts w:ascii="Times New Roman" w:hAnsi="Times New Roman" w:cs="Times New Roman"/>
          <w:color w:val="auto"/>
          <w:sz w:val="24"/>
          <w:szCs w:val="24"/>
        </w:rPr>
      </w:pPr>
      <w:r w:rsidRPr="00D162A5">
        <w:rPr>
          <w:rFonts w:ascii="Times New Roman" w:hAnsi="Times New Roman" w:cs="Times New Roman"/>
          <w:color w:val="auto"/>
          <w:sz w:val="24"/>
          <w:szCs w:val="24"/>
        </w:rPr>
        <w:t>1. OPĆE INFORMACIJE</w:t>
      </w:r>
    </w:p>
    <w:tbl>
      <w:tblPr>
        <w:tblStyle w:val="TableGrid1"/>
        <w:tblW w:w="9923" w:type="dxa"/>
        <w:tblInd w:w="-289" w:type="dxa"/>
        <w:tblLayout w:type="fixed"/>
        <w:tblLook w:val="04A0" w:firstRow="1" w:lastRow="0" w:firstColumn="1" w:lastColumn="0" w:noHBand="0" w:noVBand="1"/>
      </w:tblPr>
      <w:tblGrid>
        <w:gridCol w:w="850"/>
        <w:gridCol w:w="2694"/>
        <w:gridCol w:w="1560"/>
        <w:gridCol w:w="4819"/>
      </w:tblGrid>
      <w:tr w:rsidR="00D162A5" w:rsidRPr="00D162A5" w14:paraId="7B8CEF63" w14:textId="77777777" w:rsidTr="00E26EE8">
        <w:tc>
          <w:tcPr>
            <w:tcW w:w="850" w:type="dxa"/>
          </w:tcPr>
          <w:p w14:paraId="1D24964B" w14:textId="77777777" w:rsidR="00FC358B" w:rsidRPr="00D162A5" w:rsidRDefault="00FC358B" w:rsidP="00E26EE8">
            <w:pPr>
              <w:rPr>
                <w:rFonts w:ascii="Times New Roman" w:eastAsia="Calibri" w:hAnsi="Times New Roman" w:cs="Times New Roman"/>
              </w:rPr>
            </w:pPr>
            <w:bookmarkStart w:id="0" w:name="_Hlk157685030"/>
            <w:r w:rsidRPr="00D162A5">
              <w:rPr>
                <w:rFonts w:ascii="Times New Roman" w:eastAsia="Calibri" w:hAnsi="Times New Roman" w:cs="Times New Roman"/>
              </w:rPr>
              <w:t>1.1.</w:t>
            </w:r>
          </w:p>
        </w:tc>
        <w:tc>
          <w:tcPr>
            <w:tcW w:w="2694" w:type="dxa"/>
          </w:tcPr>
          <w:p w14:paraId="1FA66BCD" w14:textId="77777777" w:rsidR="00FC358B" w:rsidRPr="00D162A5" w:rsidRDefault="00FC358B" w:rsidP="00E26EE8">
            <w:pPr>
              <w:rPr>
                <w:rFonts w:ascii="Times New Roman" w:eastAsia="Calibri" w:hAnsi="Times New Roman" w:cs="Times New Roman"/>
              </w:rPr>
            </w:pPr>
            <w:r w:rsidRPr="00D162A5">
              <w:rPr>
                <w:rFonts w:ascii="Times New Roman" w:eastAsia="Calibri" w:hAnsi="Times New Roman" w:cs="Times New Roman"/>
              </w:rPr>
              <w:t>Stručni nositelj:</w:t>
            </w:r>
          </w:p>
        </w:tc>
        <w:tc>
          <w:tcPr>
            <w:tcW w:w="6379" w:type="dxa"/>
            <w:gridSpan w:val="2"/>
            <w:shd w:val="clear" w:color="auto" w:fill="auto"/>
          </w:tcPr>
          <w:p w14:paraId="4E8265EC" w14:textId="77777777" w:rsidR="00FC358B" w:rsidRPr="00D162A5" w:rsidRDefault="00FC358B" w:rsidP="00E26EE8">
            <w:pPr>
              <w:rPr>
                <w:rFonts w:ascii="Times New Roman" w:eastAsia="Calibri" w:hAnsi="Times New Roman" w:cs="Times New Roman"/>
              </w:rPr>
            </w:pPr>
            <w:r w:rsidRPr="00D162A5">
              <w:rPr>
                <w:rFonts w:ascii="Times New Roman" w:eastAsia="Calibri" w:hAnsi="Times New Roman" w:cs="Times New Roman"/>
              </w:rPr>
              <w:t xml:space="preserve"> Ministarstvo pravosuđa, uprave i digitalne transformacije</w:t>
            </w:r>
          </w:p>
        </w:tc>
      </w:tr>
      <w:tr w:rsidR="00D162A5" w:rsidRPr="00D162A5" w14:paraId="1D444C2E" w14:textId="77777777" w:rsidTr="00E26EE8">
        <w:tc>
          <w:tcPr>
            <w:tcW w:w="850" w:type="dxa"/>
          </w:tcPr>
          <w:p w14:paraId="68C8B54E" w14:textId="77777777" w:rsidR="00FC358B" w:rsidRPr="00D162A5" w:rsidRDefault="00FC358B" w:rsidP="00E26EE8">
            <w:pPr>
              <w:rPr>
                <w:rFonts w:ascii="Times New Roman" w:eastAsia="Calibri" w:hAnsi="Times New Roman" w:cs="Times New Roman"/>
              </w:rPr>
            </w:pPr>
            <w:r w:rsidRPr="00D162A5">
              <w:rPr>
                <w:rFonts w:ascii="Times New Roman" w:eastAsia="Calibri" w:hAnsi="Times New Roman" w:cs="Times New Roman"/>
              </w:rPr>
              <w:t>1.2.</w:t>
            </w:r>
          </w:p>
        </w:tc>
        <w:tc>
          <w:tcPr>
            <w:tcW w:w="2694" w:type="dxa"/>
          </w:tcPr>
          <w:p w14:paraId="76E0536A" w14:textId="77777777" w:rsidR="00FC358B" w:rsidRPr="00D162A5" w:rsidRDefault="00FC358B" w:rsidP="00E26EE8">
            <w:pPr>
              <w:rPr>
                <w:rFonts w:ascii="Times New Roman" w:eastAsia="Calibri" w:hAnsi="Times New Roman" w:cs="Times New Roman"/>
              </w:rPr>
            </w:pPr>
            <w:r w:rsidRPr="00D162A5">
              <w:rPr>
                <w:rFonts w:ascii="Times New Roman" w:eastAsia="Calibri" w:hAnsi="Times New Roman" w:cs="Times New Roman"/>
              </w:rPr>
              <w:t>Naziv propisa:</w:t>
            </w:r>
          </w:p>
        </w:tc>
        <w:tc>
          <w:tcPr>
            <w:tcW w:w="6379" w:type="dxa"/>
            <w:gridSpan w:val="2"/>
            <w:shd w:val="clear" w:color="auto" w:fill="auto"/>
          </w:tcPr>
          <w:p w14:paraId="16ED00CC" w14:textId="77777777" w:rsidR="00FC358B" w:rsidRPr="00D162A5" w:rsidRDefault="00FC358B" w:rsidP="00E26EE8">
            <w:pPr>
              <w:rPr>
                <w:rFonts w:ascii="Times New Roman" w:eastAsia="Calibri" w:hAnsi="Times New Roman" w:cs="Times New Roman"/>
              </w:rPr>
            </w:pPr>
            <w:r w:rsidRPr="00D162A5">
              <w:rPr>
                <w:rFonts w:ascii="Times New Roman" w:eastAsia="Calibri" w:hAnsi="Times New Roman" w:cs="Times New Roman"/>
              </w:rPr>
              <w:t>Zakon o izmjenama i dopunama Zakona o sudovima</w:t>
            </w:r>
          </w:p>
        </w:tc>
      </w:tr>
      <w:tr w:rsidR="00D162A5" w:rsidRPr="00D162A5" w14:paraId="2BC615F9" w14:textId="77777777" w:rsidTr="00E26EE8">
        <w:tc>
          <w:tcPr>
            <w:tcW w:w="850" w:type="dxa"/>
          </w:tcPr>
          <w:p w14:paraId="602B51C8" w14:textId="77777777" w:rsidR="00FC358B" w:rsidRPr="00D162A5" w:rsidRDefault="00FC358B" w:rsidP="00E26EE8">
            <w:pPr>
              <w:rPr>
                <w:rFonts w:ascii="Times New Roman" w:eastAsia="Calibri" w:hAnsi="Times New Roman" w:cs="Times New Roman"/>
              </w:rPr>
            </w:pPr>
            <w:r w:rsidRPr="00D162A5">
              <w:rPr>
                <w:rFonts w:ascii="Times New Roman" w:eastAsia="Calibri" w:hAnsi="Times New Roman" w:cs="Times New Roman"/>
              </w:rPr>
              <w:t>1.3.</w:t>
            </w:r>
          </w:p>
        </w:tc>
        <w:tc>
          <w:tcPr>
            <w:tcW w:w="2694" w:type="dxa"/>
          </w:tcPr>
          <w:p w14:paraId="78ED5406" w14:textId="77777777" w:rsidR="00FC358B" w:rsidRPr="00D162A5" w:rsidRDefault="00FC358B" w:rsidP="00E26EE8">
            <w:pPr>
              <w:rPr>
                <w:rFonts w:ascii="Times New Roman" w:eastAsia="Calibri" w:hAnsi="Times New Roman" w:cs="Times New Roman"/>
              </w:rPr>
            </w:pPr>
            <w:r w:rsidRPr="00D162A5">
              <w:rPr>
                <w:rFonts w:ascii="Times New Roman" w:eastAsia="Calibri" w:hAnsi="Times New Roman" w:cs="Times New Roman"/>
              </w:rPr>
              <w:t>Program rada Vlade Republike Hrvatske, akt strateškog planiranja ili reformska mjera:</w:t>
            </w:r>
          </w:p>
        </w:tc>
        <w:tc>
          <w:tcPr>
            <w:tcW w:w="1560" w:type="dxa"/>
            <w:shd w:val="clear" w:color="auto" w:fill="auto"/>
          </w:tcPr>
          <w:p w14:paraId="43BD5960" w14:textId="77777777" w:rsidR="00FC358B" w:rsidRPr="00D162A5" w:rsidRDefault="00FC358B" w:rsidP="00E26EE8">
            <w:pPr>
              <w:rPr>
                <w:rFonts w:ascii="Times New Roman" w:eastAsia="Calibri" w:hAnsi="Times New Roman" w:cs="Times New Roman"/>
              </w:rPr>
            </w:pPr>
            <w:r w:rsidRPr="00D162A5">
              <w:rPr>
                <w:rFonts w:ascii="Times New Roman" w:eastAsia="Calibri" w:hAnsi="Times New Roman" w:cs="Times New Roman"/>
              </w:rPr>
              <w:t>Ne</w:t>
            </w:r>
          </w:p>
          <w:p w14:paraId="521A80A1" w14:textId="77777777" w:rsidR="00FC358B" w:rsidRPr="00D162A5" w:rsidRDefault="00FC358B" w:rsidP="00E26EE8">
            <w:pPr>
              <w:rPr>
                <w:rFonts w:ascii="Times New Roman" w:eastAsia="Calibri" w:hAnsi="Times New Roman" w:cs="Times New Roman"/>
              </w:rPr>
            </w:pPr>
          </w:p>
        </w:tc>
        <w:tc>
          <w:tcPr>
            <w:tcW w:w="4819" w:type="dxa"/>
            <w:shd w:val="clear" w:color="auto" w:fill="auto"/>
          </w:tcPr>
          <w:p w14:paraId="5DC588A3" w14:textId="77777777" w:rsidR="00FC358B" w:rsidRPr="00D162A5" w:rsidRDefault="00FC358B" w:rsidP="00E26EE8">
            <w:pPr>
              <w:rPr>
                <w:rFonts w:ascii="Times New Roman" w:eastAsia="Calibri" w:hAnsi="Times New Roman" w:cs="Times New Roman"/>
              </w:rPr>
            </w:pPr>
            <w:r w:rsidRPr="00D162A5">
              <w:rPr>
                <w:rFonts w:ascii="Times New Roman" w:eastAsia="Calibri" w:hAnsi="Times New Roman" w:cs="Times New Roman"/>
              </w:rPr>
              <w:t>Naziv akta:</w:t>
            </w:r>
          </w:p>
          <w:p w14:paraId="7E17C17C" w14:textId="77777777" w:rsidR="00FC358B" w:rsidRPr="00D162A5" w:rsidRDefault="00FC358B" w:rsidP="00E26EE8">
            <w:pPr>
              <w:rPr>
                <w:rFonts w:ascii="Times New Roman" w:eastAsia="Calibri" w:hAnsi="Times New Roman" w:cs="Times New Roman"/>
              </w:rPr>
            </w:pPr>
          </w:p>
          <w:p w14:paraId="70669DF1" w14:textId="77777777" w:rsidR="00FC358B" w:rsidRPr="00D162A5" w:rsidRDefault="00FC358B" w:rsidP="00E26EE8">
            <w:pPr>
              <w:rPr>
                <w:rFonts w:ascii="Times New Roman" w:eastAsia="Calibri" w:hAnsi="Times New Roman" w:cs="Times New Roman"/>
              </w:rPr>
            </w:pPr>
            <w:r w:rsidRPr="00D162A5">
              <w:rPr>
                <w:rFonts w:ascii="Times New Roman" w:eastAsia="Calibri" w:hAnsi="Times New Roman" w:cs="Times New Roman"/>
              </w:rPr>
              <w:t>Opis mjere:</w:t>
            </w:r>
          </w:p>
        </w:tc>
      </w:tr>
      <w:tr w:rsidR="00D162A5" w:rsidRPr="00D162A5" w14:paraId="2E045BC5" w14:textId="77777777" w:rsidTr="00E26EE8">
        <w:tc>
          <w:tcPr>
            <w:tcW w:w="850" w:type="dxa"/>
          </w:tcPr>
          <w:p w14:paraId="6945A8D4" w14:textId="77777777" w:rsidR="00FC358B" w:rsidRPr="00D162A5" w:rsidRDefault="00FC358B" w:rsidP="00E26EE8">
            <w:pPr>
              <w:rPr>
                <w:rFonts w:ascii="Times New Roman" w:eastAsia="Calibri" w:hAnsi="Times New Roman" w:cs="Times New Roman"/>
              </w:rPr>
            </w:pPr>
            <w:r w:rsidRPr="00D162A5">
              <w:rPr>
                <w:rFonts w:ascii="Times New Roman" w:eastAsia="Calibri" w:hAnsi="Times New Roman" w:cs="Times New Roman"/>
              </w:rPr>
              <w:t>1.4.</w:t>
            </w:r>
          </w:p>
        </w:tc>
        <w:tc>
          <w:tcPr>
            <w:tcW w:w="2694" w:type="dxa"/>
          </w:tcPr>
          <w:p w14:paraId="306AAFC6" w14:textId="77777777" w:rsidR="00FC358B" w:rsidRPr="00D162A5" w:rsidRDefault="00FC358B" w:rsidP="00E26EE8">
            <w:pPr>
              <w:rPr>
                <w:rFonts w:ascii="Times New Roman" w:eastAsia="Calibri" w:hAnsi="Times New Roman" w:cs="Times New Roman"/>
              </w:rPr>
            </w:pPr>
            <w:r w:rsidRPr="00D162A5">
              <w:rPr>
                <w:rFonts w:ascii="Times New Roman" w:eastAsia="Calibri" w:hAnsi="Times New Roman" w:cs="Times New Roman"/>
              </w:rPr>
              <w:t>Plan usklađivanja zakonodavstva Republike Hrvatske s pravnom stečevinom Europske unije</w:t>
            </w:r>
          </w:p>
        </w:tc>
        <w:tc>
          <w:tcPr>
            <w:tcW w:w="1560" w:type="dxa"/>
            <w:shd w:val="clear" w:color="auto" w:fill="auto"/>
          </w:tcPr>
          <w:p w14:paraId="07E601D8" w14:textId="77777777" w:rsidR="00FC358B" w:rsidRPr="00D162A5" w:rsidRDefault="00FC358B" w:rsidP="00E26EE8">
            <w:pPr>
              <w:rPr>
                <w:rFonts w:ascii="Times New Roman" w:eastAsia="Calibri" w:hAnsi="Times New Roman" w:cs="Times New Roman"/>
              </w:rPr>
            </w:pPr>
            <w:r w:rsidRPr="00D162A5">
              <w:rPr>
                <w:rFonts w:ascii="Times New Roman" w:eastAsia="Calibri" w:hAnsi="Times New Roman" w:cs="Times New Roman"/>
              </w:rPr>
              <w:t>Da</w:t>
            </w:r>
          </w:p>
          <w:p w14:paraId="1DE176D0" w14:textId="77777777" w:rsidR="00FC358B" w:rsidRPr="00D162A5" w:rsidRDefault="00FC358B" w:rsidP="00E26EE8">
            <w:pPr>
              <w:rPr>
                <w:rFonts w:ascii="Times New Roman" w:eastAsia="Calibri" w:hAnsi="Times New Roman" w:cs="Times New Roman"/>
              </w:rPr>
            </w:pPr>
          </w:p>
        </w:tc>
        <w:tc>
          <w:tcPr>
            <w:tcW w:w="4819" w:type="dxa"/>
            <w:shd w:val="clear" w:color="auto" w:fill="auto"/>
          </w:tcPr>
          <w:p w14:paraId="6D97DE01" w14:textId="77777777" w:rsidR="00FC358B" w:rsidRPr="00D162A5" w:rsidRDefault="00FC358B" w:rsidP="00E26EE8">
            <w:pPr>
              <w:rPr>
                <w:rFonts w:ascii="Times New Roman" w:eastAsia="Calibri" w:hAnsi="Times New Roman" w:cs="Times New Roman"/>
              </w:rPr>
            </w:pPr>
            <w:r w:rsidRPr="00D162A5">
              <w:rPr>
                <w:rFonts w:ascii="Times New Roman" w:eastAsia="Calibri" w:hAnsi="Times New Roman" w:cs="Times New Roman"/>
              </w:rPr>
              <w:t>Naziv pravne stečevine:</w:t>
            </w:r>
          </w:p>
          <w:p w14:paraId="762CC166" w14:textId="77777777" w:rsidR="00FC358B" w:rsidRPr="00D162A5" w:rsidRDefault="00FC358B" w:rsidP="00E26EE8">
            <w:pPr>
              <w:rPr>
                <w:rFonts w:ascii="Times New Roman" w:eastAsia="Calibri" w:hAnsi="Times New Roman" w:cs="Times New Roman"/>
              </w:rPr>
            </w:pPr>
            <w:r w:rsidRPr="00D162A5">
              <w:rPr>
                <w:rFonts w:ascii="Times New Roman" w:eastAsia="Calibri" w:hAnsi="Times New Roman" w:cs="Times New Roman"/>
              </w:rPr>
              <w:t>Presuda Suda Europske unije u spojenim predmetima C-554/21, C-622/21 i C-727/21 FINA protiv HANN-INVEST d.o.o., MINERAL-SEKULINE d.o.o. i UDRUGA KHL MEDVEŠČAK ZAGREB od 11. srpnja 2024.</w:t>
            </w:r>
          </w:p>
        </w:tc>
      </w:tr>
    </w:tbl>
    <w:p w14:paraId="3151CD84" w14:textId="77777777" w:rsidR="00A94C12" w:rsidRPr="00D162A5" w:rsidRDefault="00A94C12"/>
    <w:p w14:paraId="649539CD" w14:textId="2B4A9150" w:rsidR="00A94C12" w:rsidRPr="00D162A5" w:rsidRDefault="00A94C12" w:rsidP="00D162A5">
      <w:pPr>
        <w:pStyle w:val="Naslov1"/>
        <w:rPr>
          <w:rFonts w:ascii="Times New Roman" w:hAnsi="Times New Roman" w:cs="Times New Roman"/>
          <w:color w:val="auto"/>
          <w:sz w:val="24"/>
          <w:szCs w:val="24"/>
        </w:rPr>
      </w:pPr>
      <w:r w:rsidRPr="00D162A5">
        <w:rPr>
          <w:rFonts w:ascii="Times New Roman" w:hAnsi="Times New Roman" w:cs="Times New Roman"/>
          <w:color w:val="auto"/>
          <w:sz w:val="24"/>
          <w:szCs w:val="24"/>
        </w:rPr>
        <w:t>2. UTVRĐIVANJE PROBLEMA</w:t>
      </w:r>
    </w:p>
    <w:tbl>
      <w:tblPr>
        <w:tblStyle w:val="TableGrid1"/>
        <w:tblW w:w="9923" w:type="dxa"/>
        <w:tblInd w:w="-289" w:type="dxa"/>
        <w:tblLayout w:type="fixed"/>
        <w:tblLook w:val="04A0" w:firstRow="1" w:lastRow="0" w:firstColumn="1" w:lastColumn="0" w:noHBand="0" w:noVBand="1"/>
      </w:tblPr>
      <w:tblGrid>
        <w:gridCol w:w="850"/>
        <w:gridCol w:w="9073"/>
      </w:tblGrid>
      <w:tr w:rsidR="00D162A5" w:rsidRPr="00D162A5" w14:paraId="58548D37" w14:textId="77777777" w:rsidTr="00E26EE8">
        <w:trPr>
          <w:trHeight w:val="410"/>
        </w:trPr>
        <w:tc>
          <w:tcPr>
            <w:tcW w:w="850" w:type="dxa"/>
          </w:tcPr>
          <w:p w14:paraId="73ACA0F0" w14:textId="77777777" w:rsidR="00FC358B" w:rsidRPr="00D162A5" w:rsidRDefault="00FC358B" w:rsidP="00E26EE8">
            <w:pPr>
              <w:jc w:val="both"/>
              <w:rPr>
                <w:rFonts w:ascii="Times New Roman" w:eastAsia="Calibri" w:hAnsi="Times New Roman" w:cs="Times New Roman"/>
              </w:rPr>
            </w:pPr>
            <w:r w:rsidRPr="00D162A5">
              <w:rPr>
                <w:rFonts w:ascii="Times New Roman" w:eastAsia="Calibri" w:hAnsi="Times New Roman" w:cs="Times New Roman"/>
              </w:rPr>
              <w:t>2.1.</w:t>
            </w:r>
          </w:p>
        </w:tc>
        <w:tc>
          <w:tcPr>
            <w:tcW w:w="9073" w:type="dxa"/>
          </w:tcPr>
          <w:p w14:paraId="45D0997C" w14:textId="77777777" w:rsidR="00490D35" w:rsidRPr="00391EBB" w:rsidRDefault="00490D35" w:rsidP="00490D35">
            <w:pPr>
              <w:jc w:val="both"/>
              <w:rPr>
                <w:rFonts w:ascii="Times New Roman" w:eastAsia="Calibri" w:hAnsi="Times New Roman" w:cs="Times New Roman"/>
              </w:rPr>
            </w:pPr>
            <w:r w:rsidRPr="00391EBB">
              <w:rPr>
                <w:rFonts w:ascii="Times New Roman" w:eastAsia="Calibri" w:hAnsi="Times New Roman" w:cs="Times New Roman"/>
              </w:rPr>
              <w:t xml:space="preserve">Izmjenama ovoga Zakona pristupa se prvenstveno radi provedbe presude Suda Europske unije u spojenim predmetima C-554/21, C-622/21 i C-727/21 FINA protiv HANN-INVEST d.o.o., MINERAL-SEKULINE d.o.o. i UDRUGA KHL MEDVEŠČAK ZAGREB od 11. srpnja 2024. odnosno radi revidiranja važećih normativnih rješenja Zakona o sudovima kojima je uređena obvezatnost pravnih shvaćanja sjednica sudaca i sudskih odjela. </w:t>
            </w:r>
          </w:p>
          <w:p w14:paraId="6E9D11BF" w14:textId="77777777" w:rsidR="00490D35" w:rsidRDefault="00490D35" w:rsidP="00490D35">
            <w:pPr>
              <w:jc w:val="both"/>
              <w:rPr>
                <w:rFonts w:ascii="Times New Roman" w:eastAsia="Calibri" w:hAnsi="Times New Roman" w:cs="Times New Roman"/>
              </w:rPr>
            </w:pPr>
          </w:p>
          <w:p w14:paraId="1ABEB537" w14:textId="77777777" w:rsidR="00490D35" w:rsidRPr="00391EBB" w:rsidRDefault="00490D35" w:rsidP="00490D35">
            <w:pPr>
              <w:jc w:val="both"/>
              <w:rPr>
                <w:rFonts w:ascii="Times New Roman" w:eastAsia="Calibri" w:hAnsi="Times New Roman" w:cs="Times New Roman"/>
              </w:rPr>
            </w:pPr>
          </w:p>
          <w:p w14:paraId="213AB6F4" w14:textId="77777777" w:rsidR="00490D35" w:rsidRPr="00391EBB" w:rsidRDefault="00490D35" w:rsidP="00490D35">
            <w:pPr>
              <w:jc w:val="both"/>
              <w:rPr>
                <w:rFonts w:ascii="Times New Roman" w:eastAsia="Calibri" w:hAnsi="Times New Roman" w:cs="Times New Roman"/>
              </w:rPr>
            </w:pPr>
            <w:r w:rsidRPr="00391EBB">
              <w:rPr>
                <w:rFonts w:ascii="Times New Roman" w:eastAsia="Calibri" w:hAnsi="Times New Roman" w:cs="Times New Roman"/>
              </w:rPr>
              <w:t>Zbog početka rada sustava ANON, nužno je pristupiti i reorganizaciji unutarnjeg ustrojstva Vrhovnog suda Republike Hrvatske te ukinuti Centar sudske prakse, a zbog svoje važnosti se posebno uređuje i djelokrug Odjela za praćenje i proučavanje prakse Suda Europske unije i Europskog suda za ljudska prava ovoga suda.</w:t>
            </w:r>
          </w:p>
          <w:p w14:paraId="64897C6A" w14:textId="77777777" w:rsidR="00490D35" w:rsidRPr="00391EBB" w:rsidRDefault="00490D35" w:rsidP="00490D35">
            <w:pPr>
              <w:jc w:val="both"/>
              <w:rPr>
                <w:rFonts w:ascii="Times New Roman" w:eastAsia="Calibri" w:hAnsi="Times New Roman" w:cs="Times New Roman"/>
              </w:rPr>
            </w:pPr>
          </w:p>
          <w:p w14:paraId="0976DD2E" w14:textId="77777777" w:rsidR="00490D35" w:rsidRPr="00391EBB" w:rsidRDefault="00490D35" w:rsidP="00490D35">
            <w:pPr>
              <w:jc w:val="both"/>
              <w:rPr>
                <w:rFonts w:ascii="Times New Roman" w:eastAsia="Calibri" w:hAnsi="Times New Roman" w:cs="Times New Roman"/>
              </w:rPr>
            </w:pPr>
            <w:r w:rsidRPr="00391EBB">
              <w:rPr>
                <w:rFonts w:ascii="Times New Roman" w:eastAsia="Calibri" w:hAnsi="Times New Roman" w:cs="Times New Roman"/>
              </w:rPr>
              <w:t xml:space="preserve">Radi ispunjenja preporuka Odbora za javno upravljanje u postupku pristupanja Republike Hrvatske Organizaciji za gospodarsku suradnju i razvoj ovim se Zakonom </w:t>
            </w:r>
            <w:r>
              <w:rPr>
                <w:rFonts w:ascii="Times New Roman" w:eastAsia="Calibri" w:hAnsi="Times New Roman" w:cs="Times New Roman"/>
              </w:rPr>
              <w:t>izričito</w:t>
            </w:r>
            <w:r w:rsidRPr="00391EBB">
              <w:rPr>
                <w:rFonts w:ascii="Times New Roman" w:eastAsia="Calibri" w:hAnsi="Times New Roman" w:cs="Times New Roman"/>
              </w:rPr>
              <w:t xml:space="preserve"> propisuje zabrana primanja darova od strane sudaca, koja je materija trenutno uređena Kodeksom sudačke etike („Narodne novine“, br. 131/06.), povećanje udjela mjerila kvalitete i kvantitete rada sudaca u njihovom ocjenjivanju odnosno utvrđenju ispunjenja sudačke obveze, a također se pristupa i izmjenama nadležnosti za propisivanje obveza stručnog usavršavanja sudaca i predsjednika sudova, koja se s ministra nadležnog za poslove pravosuđa kao dijela izvršne vlasti prenosi na predsjednika Vrhovnog suda Republike Hrvatske kao čelnika sudbene vlasti.</w:t>
            </w:r>
          </w:p>
          <w:p w14:paraId="300FEC0D" w14:textId="77777777" w:rsidR="00490D35" w:rsidRPr="00391EBB" w:rsidRDefault="00490D35" w:rsidP="00490D35">
            <w:pPr>
              <w:jc w:val="both"/>
              <w:rPr>
                <w:rFonts w:ascii="Times New Roman" w:eastAsia="Calibri" w:hAnsi="Times New Roman" w:cs="Times New Roman"/>
              </w:rPr>
            </w:pPr>
          </w:p>
          <w:p w14:paraId="6DDF8D5B" w14:textId="77777777" w:rsidR="00490D35" w:rsidRPr="00391EBB" w:rsidRDefault="00490D35" w:rsidP="00490D35">
            <w:pPr>
              <w:jc w:val="both"/>
              <w:rPr>
                <w:rFonts w:ascii="Times New Roman" w:eastAsia="Calibri" w:hAnsi="Times New Roman" w:cs="Times New Roman"/>
              </w:rPr>
            </w:pPr>
            <w:r w:rsidRPr="00391EBB">
              <w:rPr>
                <w:rFonts w:ascii="Times New Roman" w:eastAsia="Calibri" w:hAnsi="Times New Roman" w:cs="Times New Roman"/>
              </w:rPr>
              <w:t xml:space="preserve">Uvažavajući preporuke Radne skupine Organizacije za gospodarsku suradnju i razvoj za borbu protiv podmićivanja u međunarodnom poslovanju koje se odnose na povećanje učinkovitosti u kaznenom sudovanju, i to posebno u predmetima korupcije i organiziranog kriminaliteta, pristupa se osnivanju novog sudskog odjela specijaliziranog za postupanje u ovoj vrsti predmeta u Županijskom sudu u Varaždinu. </w:t>
            </w:r>
          </w:p>
          <w:p w14:paraId="343EC5B5" w14:textId="77777777" w:rsidR="00490D35" w:rsidRPr="00391EBB" w:rsidRDefault="00490D35" w:rsidP="00490D35">
            <w:pPr>
              <w:jc w:val="both"/>
              <w:rPr>
                <w:rFonts w:ascii="Times New Roman" w:eastAsia="Calibri" w:hAnsi="Times New Roman" w:cs="Times New Roman"/>
              </w:rPr>
            </w:pPr>
          </w:p>
          <w:p w14:paraId="67338F16" w14:textId="77777777" w:rsidR="00490D35" w:rsidRPr="00391EBB" w:rsidRDefault="00490D35" w:rsidP="00490D35">
            <w:pPr>
              <w:jc w:val="both"/>
              <w:rPr>
                <w:rFonts w:ascii="Times New Roman" w:eastAsia="Calibri" w:hAnsi="Times New Roman" w:cs="Times New Roman"/>
              </w:rPr>
            </w:pPr>
            <w:r w:rsidRPr="00391EBB">
              <w:rPr>
                <w:rFonts w:ascii="Times New Roman" w:eastAsia="Calibri" w:hAnsi="Times New Roman" w:cs="Times New Roman"/>
              </w:rPr>
              <w:lastRenderedPageBreak/>
              <w:t xml:space="preserve">Uvažavajući preporuke Pravobraniteljice za djecu za osiguranje specijalizacije sudaca drugostupanjskih sudova koji odlučuju u predmetima prema zakonu kojim se uređuju obiteljski odnosi, ovim se Zakonom propisuje obvezno specijalističko stručno usavršavanje i za ovu kategoriju sudaca, dok se zbog pojednostavljenja postupka utvrđenja ovlaštenja sudaca za rad u ovoj vrsti predmeta izostavlja imenovanje od strane predsjednika Vrhovnog suda Republike Hrvatske na razdoblje od pet godina. </w:t>
            </w:r>
          </w:p>
          <w:p w14:paraId="40053322" w14:textId="77777777" w:rsidR="00490D35" w:rsidRPr="00391EBB" w:rsidRDefault="00490D35" w:rsidP="00490D35">
            <w:pPr>
              <w:jc w:val="both"/>
              <w:rPr>
                <w:rFonts w:ascii="Times New Roman" w:eastAsia="Calibri" w:hAnsi="Times New Roman" w:cs="Times New Roman"/>
              </w:rPr>
            </w:pPr>
          </w:p>
          <w:p w14:paraId="228767A9" w14:textId="77777777" w:rsidR="00490D35" w:rsidRPr="00391EBB" w:rsidRDefault="00490D35" w:rsidP="00490D35">
            <w:pPr>
              <w:jc w:val="both"/>
              <w:rPr>
                <w:rFonts w:ascii="Times New Roman" w:eastAsia="Calibri" w:hAnsi="Times New Roman" w:cs="Times New Roman"/>
              </w:rPr>
            </w:pPr>
            <w:r w:rsidRPr="00391EBB">
              <w:rPr>
                <w:rFonts w:ascii="Times New Roman" w:eastAsia="Calibri" w:hAnsi="Times New Roman" w:cs="Times New Roman"/>
              </w:rPr>
              <w:t>Radi veće transparentnosti funkcioniranja sudbene vlasti te unaprjeđenja informiranja javnosti o radu sudova, sukladno Programu Vlade Republike Hrvatske za razdoblje 2024.-2028., u sudovima se predviđa osnivanje posebnih ustrojstvenih jedinica za davanje obavijesti o radu sudova na čelu s glasnogovornicima sudova.</w:t>
            </w:r>
          </w:p>
          <w:p w14:paraId="3FA07CBC" w14:textId="77777777" w:rsidR="00490D35" w:rsidRPr="00391EBB" w:rsidRDefault="00490D35" w:rsidP="00490D35">
            <w:pPr>
              <w:jc w:val="both"/>
              <w:rPr>
                <w:rFonts w:ascii="Times New Roman" w:eastAsia="Calibri" w:hAnsi="Times New Roman" w:cs="Times New Roman"/>
              </w:rPr>
            </w:pPr>
          </w:p>
          <w:p w14:paraId="0ADE16EF" w14:textId="77777777" w:rsidR="00490D35" w:rsidRPr="00391EBB" w:rsidRDefault="00490D35" w:rsidP="00490D35">
            <w:pPr>
              <w:jc w:val="both"/>
              <w:rPr>
                <w:rFonts w:ascii="Times New Roman" w:eastAsia="Calibri" w:hAnsi="Times New Roman" w:cs="Times New Roman"/>
              </w:rPr>
            </w:pPr>
            <w:r w:rsidRPr="00391EBB">
              <w:rPr>
                <w:rFonts w:ascii="Times New Roman" w:eastAsia="Calibri" w:hAnsi="Times New Roman" w:cs="Times New Roman"/>
              </w:rPr>
              <w:t xml:space="preserve">Zakonom o izmjenama i dopunama Zakona o sudovima („Narodne novine“, br. 36/24.) reformiran je institut zaštite prava na suđenje u razumnom roku </w:t>
            </w:r>
            <w:r>
              <w:rPr>
                <w:rFonts w:ascii="Times New Roman" w:eastAsia="Calibri" w:hAnsi="Times New Roman" w:cs="Times New Roman"/>
              </w:rPr>
              <w:t>za o</w:t>
            </w:r>
            <w:r w:rsidRPr="00391EBB">
              <w:rPr>
                <w:rFonts w:ascii="Times New Roman" w:eastAsia="Calibri" w:hAnsi="Times New Roman" w:cs="Times New Roman"/>
              </w:rPr>
              <w:t xml:space="preserve">dlučivanje o zahtjevu </w:t>
            </w:r>
            <w:r>
              <w:rPr>
                <w:rFonts w:ascii="Times New Roman" w:eastAsia="Calibri" w:hAnsi="Times New Roman" w:cs="Times New Roman"/>
              </w:rPr>
              <w:t xml:space="preserve">za zaštitu navedenog prava </w:t>
            </w:r>
            <w:r w:rsidRPr="00391EBB">
              <w:rPr>
                <w:rFonts w:ascii="Times New Roman" w:eastAsia="Calibri" w:hAnsi="Times New Roman" w:cs="Times New Roman"/>
              </w:rPr>
              <w:t>povjereno je predsjedniku neposredno višeg suda</w:t>
            </w:r>
            <w:r>
              <w:rPr>
                <w:rFonts w:ascii="Times New Roman" w:eastAsia="Calibri" w:hAnsi="Times New Roman" w:cs="Times New Roman"/>
              </w:rPr>
              <w:t xml:space="preserve">, </w:t>
            </w:r>
            <w:r w:rsidRPr="00391EBB">
              <w:rPr>
                <w:rFonts w:ascii="Times New Roman" w:eastAsia="Calibri" w:hAnsi="Times New Roman" w:cs="Times New Roman"/>
              </w:rPr>
              <w:t>ali se u praksi ovako određena nadležnost pokazala previše opterećujućom za predsjednika Vrhovnog suda Republike Hrvatske koji odlučuje o osnovanosti svih zahtjeva za zaštitu prava na suđenje u razumnom roku koji se odnose na postupke pred svim županijskim i visokim sudovima. Zbog primjene zakonskog rješenja iz travnja 2024. predsjedniku Vrhovnog suda Republike Hrvatske podneseno je tijekom 2024. čak 369 zahtjeva, što je dvostruko više u odnosu na 2023. godinu, a kako bi se navedena neravnomjernost u radnom opterećenju ovom vrstom predmeta otklonila, predlaže se nadležnost za odlučivanje o podnesenim zahtjevima za suđenje u razumnom roku prenijeti s predsjednika neposredno višeg suda na predsjednika suda pred kojim je u tijeku postupak zbog čijeg je trajanja zahtjev i podnesen.</w:t>
            </w:r>
          </w:p>
          <w:p w14:paraId="0522921D" w14:textId="77777777" w:rsidR="00490D35" w:rsidRPr="00391EBB" w:rsidRDefault="00490D35" w:rsidP="00490D35">
            <w:pPr>
              <w:jc w:val="both"/>
              <w:rPr>
                <w:rFonts w:ascii="Times New Roman" w:eastAsia="Calibri" w:hAnsi="Times New Roman" w:cs="Times New Roman"/>
              </w:rPr>
            </w:pPr>
          </w:p>
          <w:p w14:paraId="1A4C1A5C" w14:textId="77777777" w:rsidR="00490D35" w:rsidRPr="00391EBB" w:rsidRDefault="00490D35" w:rsidP="00490D35">
            <w:pPr>
              <w:jc w:val="both"/>
              <w:rPr>
                <w:rFonts w:ascii="Times New Roman" w:eastAsia="Calibri" w:hAnsi="Times New Roman" w:cs="Times New Roman"/>
              </w:rPr>
            </w:pPr>
            <w:r w:rsidRPr="00391EBB">
              <w:rPr>
                <w:rFonts w:ascii="Times New Roman" w:eastAsia="Calibri" w:hAnsi="Times New Roman" w:cs="Times New Roman"/>
              </w:rPr>
              <w:t xml:space="preserve">Nastavno na rješenje Zakona o izmjenama i dopunama Zakona o sudovima („Narodne novine“, br. 21/22.) koje je predvidjelo polaganje posebnog stručnog ispita za službenike u pravosudnim tijelima, ovim se izmjenama radi rasterećenja sudskih službenika predlaže propisivanje oslobođenja od obveze polaganja državnog ispita za službenike koji polože poseban stručni ispit odnosno obveze polaganja posebnog stručnog ispita za službenike koji su već prethodno položili državni ili pravosudni ispit. </w:t>
            </w:r>
          </w:p>
          <w:p w14:paraId="749BFB42" w14:textId="77777777" w:rsidR="00490D35" w:rsidRPr="00391EBB" w:rsidRDefault="00490D35" w:rsidP="00490D35">
            <w:pPr>
              <w:jc w:val="both"/>
              <w:rPr>
                <w:rFonts w:ascii="Times New Roman" w:eastAsia="Calibri" w:hAnsi="Times New Roman" w:cs="Times New Roman"/>
              </w:rPr>
            </w:pPr>
          </w:p>
          <w:p w14:paraId="1F0309E4" w14:textId="77777777" w:rsidR="00490D35" w:rsidRPr="00391EBB" w:rsidRDefault="00490D35" w:rsidP="00490D35">
            <w:pPr>
              <w:jc w:val="both"/>
              <w:rPr>
                <w:rFonts w:ascii="Times New Roman" w:eastAsia="Calibri" w:hAnsi="Times New Roman" w:cs="Times New Roman"/>
              </w:rPr>
            </w:pPr>
            <w:r w:rsidRPr="00391EBB">
              <w:rPr>
                <w:rFonts w:ascii="Times New Roman" w:eastAsia="Calibri" w:hAnsi="Times New Roman" w:cs="Times New Roman"/>
              </w:rPr>
              <w:t>Iz istovjetnog razloga posebnog položaja sudskih savjetnika koji prema ustavnoj odredbi članka 118. stavka 2. Ustava Republike Hrvatske („Narodne novine“, br. 85/10. - pročišćeni tekst i 5/14. - Odluka Ustavnog suda Republike Hrvatske) sudjeluju u suđenju, ova se kategorija sudskih službenika izuzima i iz primjene općih službeničkih propisa o ocjenjivanju  te se daje ovlast ministru nadležnom za poslove pravosuđa posebnim aktom propisati kriterije i postupak ocjenjivanja.</w:t>
            </w:r>
          </w:p>
          <w:p w14:paraId="529F2D7E" w14:textId="77777777" w:rsidR="00490D35" w:rsidRPr="00391EBB" w:rsidRDefault="00490D35" w:rsidP="00490D35">
            <w:pPr>
              <w:jc w:val="both"/>
              <w:rPr>
                <w:rFonts w:ascii="Times New Roman" w:eastAsia="Calibri" w:hAnsi="Times New Roman" w:cs="Times New Roman"/>
              </w:rPr>
            </w:pPr>
          </w:p>
          <w:p w14:paraId="3FA1276B" w14:textId="77777777" w:rsidR="00490D35" w:rsidRPr="00391EBB" w:rsidRDefault="00490D35" w:rsidP="00490D35">
            <w:pPr>
              <w:jc w:val="both"/>
              <w:rPr>
                <w:rFonts w:ascii="Times New Roman" w:eastAsia="Calibri" w:hAnsi="Times New Roman" w:cs="Times New Roman"/>
              </w:rPr>
            </w:pPr>
            <w:r w:rsidRPr="00391EBB">
              <w:rPr>
                <w:rFonts w:ascii="Times New Roman" w:eastAsia="Calibri" w:hAnsi="Times New Roman" w:cs="Times New Roman"/>
              </w:rPr>
              <w:t xml:space="preserve">U radu službenika pravosudne policije koji obavljaju poslove osiguranja osoba, imovine i objekata sudova utvrđena je potreba preciznijeg definiranja ovlasti, a radi učinkovitijeg postupka prijma u državnu službu ove kategorije službenika posebno se propisuje mogućnosti da se u službu prime i osobe starije od 35 godina pod uvjetom da su ranije već obavljale ove poslove. U skladu s provedenim izmjenama općeg službeničkog zakonodavstva iz 2023. kao nepotrebne se izostavljaju odredbe o posebnoj osnovi povrede službene dužnosti službenika pravosudne policije na poslovima osiguranja pravosudnih tijela zbog utjecaja alkohola, droga ili drugih sredstava ovisnosti, kao i o ostvarenju prava na poseban dodatak na plaću zbog rada u posebnim uvjetima. </w:t>
            </w:r>
          </w:p>
          <w:p w14:paraId="24721C40" w14:textId="77777777" w:rsidR="00490D35" w:rsidRPr="00391EBB" w:rsidRDefault="00490D35" w:rsidP="00490D35">
            <w:pPr>
              <w:jc w:val="both"/>
              <w:rPr>
                <w:rFonts w:ascii="Times New Roman" w:eastAsia="Calibri" w:hAnsi="Times New Roman" w:cs="Times New Roman"/>
              </w:rPr>
            </w:pPr>
          </w:p>
          <w:p w14:paraId="478BC6C0" w14:textId="48B277B3" w:rsidR="00FC358B" w:rsidRPr="00D162A5" w:rsidRDefault="00490D35" w:rsidP="00490D35">
            <w:pPr>
              <w:jc w:val="both"/>
              <w:rPr>
                <w:rFonts w:ascii="Times New Roman" w:eastAsia="Calibri" w:hAnsi="Times New Roman" w:cs="Times New Roman"/>
              </w:rPr>
            </w:pPr>
            <w:r w:rsidRPr="00391EBB">
              <w:rPr>
                <w:rFonts w:ascii="Times New Roman" w:eastAsia="Calibri" w:hAnsi="Times New Roman" w:cs="Times New Roman"/>
              </w:rPr>
              <w:lastRenderedPageBreak/>
              <w:t>Ovim se Zakonom provodi i usklađenje pojedinih odredbi Zakona o sudovima s odredbama Zakona o kaznenom postupku te Zakona o plaći i drugim materijalnim pravima pravosudnih dužnosnika</w:t>
            </w:r>
            <w:r>
              <w:rPr>
                <w:rFonts w:ascii="Times New Roman" w:eastAsia="Calibri" w:hAnsi="Times New Roman" w:cs="Times New Roman"/>
              </w:rPr>
              <w:t>.</w:t>
            </w:r>
          </w:p>
        </w:tc>
      </w:tr>
      <w:tr w:rsidR="00D162A5" w:rsidRPr="00D162A5" w14:paraId="55696689" w14:textId="77777777" w:rsidTr="00E26EE8">
        <w:trPr>
          <w:trHeight w:val="384"/>
        </w:trPr>
        <w:tc>
          <w:tcPr>
            <w:tcW w:w="850" w:type="dxa"/>
          </w:tcPr>
          <w:p w14:paraId="3EBA4C2D" w14:textId="77777777" w:rsidR="00FC358B" w:rsidRPr="00D162A5" w:rsidRDefault="00FC358B" w:rsidP="00E26EE8">
            <w:pPr>
              <w:jc w:val="both"/>
              <w:rPr>
                <w:rFonts w:ascii="Times New Roman" w:eastAsia="Calibri" w:hAnsi="Times New Roman" w:cs="Times New Roman"/>
              </w:rPr>
            </w:pPr>
            <w:r w:rsidRPr="00D162A5">
              <w:rPr>
                <w:rFonts w:ascii="Times New Roman" w:eastAsia="Calibri" w:hAnsi="Times New Roman" w:cs="Times New Roman"/>
              </w:rPr>
              <w:lastRenderedPageBreak/>
              <w:t>2.2.</w:t>
            </w:r>
          </w:p>
        </w:tc>
        <w:tc>
          <w:tcPr>
            <w:tcW w:w="9073" w:type="dxa"/>
          </w:tcPr>
          <w:p w14:paraId="0C0921FC" w14:textId="77777777" w:rsidR="00FC358B" w:rsidRPr="00D162A5" w:rsidRDefault="00FC358B" w:rsidP="00E26EE8">
            <w:pPr>
              <w:jc w:val="both"/>
              <w:rPr>
                <w:rFonts w:ascii="Times New Roman" w:eastAsia="Calibri" w:hAnsi="Times New Roman" w:cs="Times New Roman"/>
              </w:rPr>
            </w:pPr>
            <w:r w:rsidRPr="00D162A5">
              <w:rPr>
                <w:rFonts w:ascii="Times New Roman" w:eastAsia="Calibri" w:hAnsi="Times New Roman" w:cs="Times New Roman"/>
              </w:rPr>
              <w:t>Izvor podataka:</w:t>
            </w:r>
          </w:p>
        </w:tc>
      </w:tr>
      <w:tr w:rsidR="00D162A5" w:rsidRPr="00D162A5" w14:paraId="7B2ACB37" w14:textId="77777777" w:rsidTr="00E26EE8">
        <w:trPr>
          <w:trHeight w:val="384"/>
        </w:trPr>
        <w:tc>
          <w:tcPr>
            <w:tcW w:w="850" w:type="dxa"/>
          </w:tcPr>
          <w:p w14:paraId="478F7321" w14:textId="77777777" w:rsidR="00FC358B" w:rsidRPr="00D162A5" w:rsidRDefault="00FC358B" w:rsidP="00E26EE8">
            <w:pPr>
              <w:jc w:val="both"/>
              <w:rPr>
                <w:rFonts w:ascii="Times New Roman" w:eastAsia="Calibri" w:hAnsi="Times New Roman" w:cs="Times New Roman"/>
                <w:b/>
              </w:rPr>
            </w:pPr>
          </w:p>
        </w:tc>
        <w:tc>
          <w:tcPr>
            <w:tcW w:w="9073" w:type="dxa"/>
          </w:tcPr>
          <w:p w14:paraId="65409F43" w14:textId="77777777" w:rsidR="00FC358B" w:rsidRPr="00D162A5" w:rsidRDefault="00FC358B" w:rsidP="00E26EE8">
            <w:pPr>
              <w:jc w:val="both"/>
              <w:rPr>
                <w:rFonts w:ascii="Times New Roman" w:eastAsia="Calibri" w:hAnsi="Times New Roman" w:cs="Times New Roman"/>
                <w:i/>
                <w:iCs/>
              </w:rPr>
            </w:pPr>
            <w:r w:rsidRPr="00D162A5">
              <w:rPr>
                <w:rFonts w:ascii="Times New Roman" w:eastAsia="Calibri" w:hAnsi="Times New Roman" w:cs="Times New Roman"/>
              </w:rPr>
              <w:t>Ministarstvo pravosuđa, uprave i digitalne transformacije</w:t>
            </w:r>
          </w:p>
        </w:tc>
      </w:tr>
    </w:tbl>
    <w:p w14:paraId="2A460823" w14:textId="77777777" w:rsidR="00A94C12" w:rsidRPr="00D162A5" w:rsidRDefault="00A94C12"/>
    <w:p w14:paraId="3498B5F6" w14:textId="37D75A64" w:rsidR="00A94C12" w:rsidRPr="00D162A5" w:rsidRDefault="00A94C12" w:rsidP="00D162A5">
      <w:pPr>
        <w:pStyle w:val="Naslov1"/>
        <w:rPr>
          <w:rFonts w:ascii="Times New Roman" w:hAnsi="Times New Roman" w:cs="Times New Roman"/>
          <w:color w:val="auto"/>
          <w:sz w:val="24"/>
          <w:szCs w:val="24"/>
        </w:rPr>
      </w:pPr>
      <w:r w:rsidRPr="00D162A5">
        <w:rPr>
          <w:rFonts w:ascii="Times New Roman" w:hAnsi="Times New Roman" w:cs="Times New Roman"/>
          <w:color w:val="auto"/>
          <w:sz w:val="24"/>
          <w:szCs w:val="24"/>
        </w:rPr>
        <w:t>3. UTVRĐIVANJE POSEBNOG CILJA</w:t>
      </w:r>
    </w:p>
    <w:tbl>
      <w:tblPr>
        <w:tblStyle w:val="TableGrid1"/>
        <w:tblW w:w="9923" w:type="dxa"/>
        <w:tblInd w:w="-289" w:type="dxa"/>
        <w:tblLayout w:type="fixed"/>
        <w:tblLook w:val="04A0" w:firstRow="1" w:lastRow="0" w:firstColumn="1" w:lastColumn="0" w:noHBand="0" w:noVBand="1"/>
      </w:tblPr>
      <w:tblGrid>
        <w:gridCol w:w="850"/>
        <w:gridCol w:w="9073"/>
      </w:tblGrid>
      <w:tr w:rsidR="00D162A5" w:rsidRPr="00D162A5" w14:paraId="26569D67" w14:textId="77777777" w:rsidTr="00E26EE8">
        <w:trPr>
          <w:trHeight w:val="384"/>
        </w:trPr>
        <w:tc>
          <w:tcPr>
            <w:tcW w:w="850" w:type="dxa"/>
          </w:tcPr>
          <w:p w14:paraId="06A55FA2" w14:textId="77777777" w:rsidR="00FC358B" w:rsidRPr="00D162A5" w:rsidRDefault="00FC358B" w:rsidP="00E26EE8">
            <w:pPr>
              <w:jc w:val="both"/>
              <w:rPr>
                <w:rFonts w:ascii="Times New Roman" w:eastAsia="Calibri" w:hAnsi="Times New Roman" w:cs="Times New Roman"/>
                <w:bCs/>
              </w:rPr>
            </w:pPr>
            <w:r w:rsidRPr="00D162A5">
              <w:rPr>
                <w:rFonts w:ascii="Times New Roman" w:eastAsia="Calibri" w:hAnsi="Times New Roman" w:cs="Times New Roman"/>
                <w:bCs/>
              </w:rPr>
              <w:t>3.1.</w:t>
            </w:r>
          </w:p>
        </w:tc>
        <w:tc>
          <w:tcPr>
            <w:tcW w:w="9073" w:type="dxa"/>
          </w:tcPr>
          <w:p w14:paraId="115288CB" w14:textId="77777777" w:rsidR="00FC358B" w:rsidRPr="00D162A5" w:rsidRDefault="00FC358B" w:rsidP="00E26EE8">
            <w:pPr>
              <w:jc w:val="both"/>
              <w:rPr>
                <w:rFonts w:ascii="Times New Roman" w:eastAsia="Calibri" w:hAnsi="Times New Roman" w:cs="Times New Roman"/>
              </w:rPr>
            </w:pPr>
            <w:r w:rsidRPr="00D162A5">
              <w:rPr>
                <w:rFonts w:ascii="Times New Roman" w:eastAsia="Calibri" w:hAnsi="Times New Roman" w:cs="Times New Roman"/>
              </w:rPr>
              <w:t>Opis posebnog cilja</w:t>
            </w:r>
          </w:p>
        </w:tc>
      </w:tr>
      <w:tr w:rsidR="00D162A5" w:rsidRPr="00D162A5" w14:paraId="196B0463" w14:textId="77777777" w:rsidTr="00E26EE8">
        <w:trPr>
          <w:trHeight w:val="384"/>
        </w:trPr>
        <w:tc>
          <w:tcPr>
            <w:tcW w:w="850" w:type="dxa"/>
          </w:tcPr>
          <w:p w14:paraId="63E14119" w14:textId="77777777" w:rsidR="00FC358B" w:rsidRPr="00D162A5" w:rsidRDefault="00FC358B" w:rsidP="00E26EE8">
            <w:pPr>
              <w:jc w:val="both"/>
              <w:rPr>
                <w:rFonts w:ascii="Times New Roman" w:eastAsia="Calibri" w:hAnsi="Times New Roman" w:cs="Times New Roman"/>
                <w:bCs/>
              </w:rPr>
            </w:pPr>
          </w:p>
        </w:tc>
        <w:tc>
          <w:tcPr>
            <w:tcW w:w="9073" w:type="dxa"/>
          </w:tcPr>
          <w:p w14:paraId="2301B244" w14:textId="77777777" w:rsidR="00490D35" w:rsidRDefault="00490D35" w:rsidP="00490D35">
            <w:pPr>
              <w:jc w:val="both"/>
              <w:rPr>
                <w:rFonts w:ascii="Times New Roman" w:eastAsia="Calibri" w:hAnsi="Times New Roman" w:cs="Times New Roman"/>
              </w:rPr>
            </w:pPr>
            <w:r>
              <w:rPr>
                <w:rFonts w:ascii="Times New Roman" w:eastAsia="Calibri" w:hAnsi="Times New Roman" w:cs="Times New Roman"/>
              </w:rPr>
              <w:t xml:space="preserve">Cilj Zakona je prvenstveno provedba presude Suda Europske unije </w:t>
            </w:r>
            <w:r w:rsidRPr="00391EBB">
              <w:rPr>
                <w:rFonts w:ascii="Times New Roman" w:eastAsia="Calibri" w:hAnsi="Times New Roman" w:cs="Times New Roman"/>
              </w:rPr>
              <w:t>u spojenim predmetima C-554/21, C-622/21 i C-727/21 FINA protiv HANN-INVEST d.o.o., MINERAL-SEKULINE d.o.o. i UDRUGA KHL MEDVEŠČAK ZAGREB od 11. srpnja 2024.</w:t>
            </w:r>
            <w:r>
              <w:rPr>
                <w:rFonts w:ascii="Times New Roman" w:eastAsia="Calibri" w:hAnsi="Times New Roman" w:cs="Times New Roman"/>
              </w:rPr>
              <w:t xml:space="preserve"> odnosno</w:t>
            </w:r>
            <w:r w:rsidRPr="00391EBB">
              <w:rPr>
                <w:rFonts w:ascii="Times New Roman" w:eastAsia="Calibri" w:hAnsi="Times New Roman" w:cs="Times New Roman"/>
              </w:rPr>
              <w:t xml:space="preserve"> revidira</w:t>
            </w:r>
            <w:r>
              <w:rPr>
                <w:rFonts w:ascii="Times New Roman" w:eastAsia="Calibri" w:hAnsi="Times New Roman" w:cs="Times New Roman"/>
              </w:rPr>
              <w:t>ti</w:t>
            </w:r>
            <w:r w:rsidRPr="00391EBB">
              <w:rPr>
                <w:rFonts w:ascii="Times New Roman" w:eastAsia="Calibri" w:hAnsi="Times New Roman" w:cs="Times New Roman"/>
              </w:rPr>
              <w:t xml:space="preserve"> važeć</w:t>
            </w:r>
            <w:r>
              <w:rPr>
                <w:rFonts w:ascii="Times New Roman" w:eastAsia="Calibri" w:hAnsi="Times New Roman" w:cs="Times New Roman"/>
              </w:rPr>
              <w:t>a</w:t>
            </w:r>
            <w:r w:rsidRPr="00391EBB">
              <w:rPr>
                <w:rFonts w:ascii="Times New Roman" w:eastAsia="Calibri" w:hAnsi="Times New Roman" w:cs="Times New Roman"/>
              </w:rPr>
              <w:t xml:space="preserve"> normativn</w:t>
            </w:r>
            <w:r>
              <w:rPr>
                <w:rFonts w:ascii="Times New Roman" w:eastAsia="Calibri" w:hAnsi="Times New Roman" w:cs="Times New Roman"/>
              </w:rPr>
              <w:t>a</w:t>
            </w:r>
            <w:r w:rsidRPr="00391EBB">
              <w:rPr>
                <w:rFonts w:ascii="Times New Roman" w:eastAsia="Calibri" w:hAnsi="Times New Roman" w:cs="Times New Roman"/>
              </w:rPr>
              <w:t xml:space="preserve"> rješenja Zakona o sudovima kojima je uređena obvezatnost pravnih shvaćanja sjednica sudaca i sudskih odjela</w:t>
            </w:r>
            <w:r>
              <w:rPr>
                <w:rFonts w:ascii="Times New Roman" w:eastAsia="Calibri" w:hAnsi="Times New Roman" w:cs="Times New Roman"/>
              </w:rPr>
              <w:t xml:space="preserve">, kao i ispunjenje preporuka </w:t>
            </w:r>
            <w:r w:rsidRPr="00391EBB">
              <w:rPr>
                <w:rFonts w:ascii="Times New Roman" w:eastAsia="Calibri" w:hAnsi="Times New Roman" w:cs="Times New Roman"/>
              </w:rPr>
              <w:t>nadležnih tijela Organizacije za gospodarsku suradnju i razvoj</w:t>
            </w:r>
            <w:r>
              <w:rPr>
                <w:rFonts w:ascii="Times New Roman" w:eastAsia="Calibri" w:hAnsi="Times New Roman" w:cs="Times New Roman"/>
              </w:rPr>
              <w:t xml:space="preserve"> </w:t>
            </w:r>
            <w:r w:rsidRPr="00391EBB">
              <w:rPr>
                <w:rFonts w:ascii="Times New Roman" w:eastAsia="Calibri" w:hAnsi="Times New Roman" w:cs="Times New Roman"/>
              </w:rPr>
              <w:t>u postupku pristupanja Republike Hrvatske Organizaciji za gospodarsku suradnju i razvoj</w:t>
            </w:r>
            <w:r>
              <w:rPr>
                <w:rFonts w:ascii="Times New Roman" w:eastAsia="Calibri" w:hAnsi="Times New Roman" w:cs="Times New Roman"/>
              </w:rPr>
              <w:t>.</w:t>
            </w:r>
          </w:p>
          <w:p w14:paraId="132093E0" w14:textId="77777777" w:rsidR="00490D35" w:rsidRDefault="00490D35" w:rsidP="00490D35">
            <w:pPr>
              <w:jc w:val="both"/>
              <w:rPr>
                <w:rFonts w:ascii="Times New Roman" w:eastAsia="Calibri" w:hAnsi="Times New Roman" w:cs="Times New Roman"/>
              </w:rPr>
            </w:pPr>
          </w:p>
          <w:p w14:paraId="63D5C28D" w14:textId="77777777" w:rsidR="00490D35" w:rsidRDefault="00490D35" w:rsidP="00490D35">
            <w:pPr>
              <w:jc w:val="both"/>
              <w:rPr>
                <w:rFonts w:ascii="Times New Roman" w:eastAsia="Calibri" w:hAnsi="Times New Roman" w:cs="Times New Roman"/>
              </w:rPr>
            </w:pPr>
            <w:r w:rsidRPr="009F3D46">
              <w:rPr>
                <w:rFonts w:ascii="Times New Roman" w:eastAsia="Calibri" w:hAnsi="Times New Roman" w:cs="Times New Roman"/>
              </w:rPr>
              <w:t>Predloženim izmjenama i dopunama utjecat će se na način učinkovitijeg unutarnjeg poslovanja i rada sudova</w:t>
            </w:r>
            <w:r>
              <w:rPr>
                <w:rFonts w:ascii="Times New Roman" w:eastAsia="Calibri" w:hAnsi="Times New Roman" w:cs="Times New Roman"/>
              </w:rPr>
              <w:t xml:space="preserve"> propisivanjem:</w:t>
            </w:r>
          </w:p>
          <w:p w14:paraId="1A9594AF" w14:textId="77777777" w:rsidR="00490D35" w:rsidRDefault="00490D35" w:rsidP="00490D35">
            <w:pPr>
              <w:jc w:val="both"/>
              <w:rPr>
                <w:rFonts w:ascii="Times New Roman" w:eastAsia="Calibri" w:hAnsi="Times New Roman" w:cs="Times New Roman"/>
              </w:rPr>
            </w:pPr>
          </w:p>
          <w:p w14:paraId="7775C1E8" w14:textId="77777777" w:rsidR="00490D35" w:rsidRPr="00050725" w:rsidRDefault="00490D35" w:rsidP="00490D35">
            <w:pPr>
              <w:jc w:val="both"/>
              <w:rPr>
                <w:rFonts w:ascii="Times New Roman" w:eastAsia="Calibri" w:hAnsi="Times New Roman" w:cs="Times New Roman"/>
              </w:rPr>
            </w:pPr>
          </w:p>
          <w:p w14:paraId="7B9CD44B" w14:textId="77777777" w:rsidR="00490D35" w:rsidRDefault="00490D35" w:rsidP="00490D35">
            <w:pPr>
              <w:pStyle w:val="Odlomakpopisa"/>
              <w:numPr>
                <w:ilvl w:val="0"/>
                <w:numId w:val="6"/>
              </w:numPr>
              <w:spacing w:after="0" w:line="240" w:lineRule="auto"/>
              <w:jc w:val="both"/>
              <w:rPr>
                <w:rFonts w:ascii="Times New Roman" w:eastAsia="Calibri" w:hAnsi="Times New Roman" w:cs="Times New Roman"/>
                <w:sz w:val="24"/>
                <w:lang w:eastAsia="hr-HR"/>
              </w:rPr>
            </w:pPr>
            <w:r>
              <w:rPr>
                <w:rFonts w:ascii="Times New Roman" w:eastAsia="Calibri" w:hAnsi="Times New Roman" w:cs="Times New Roman"/>
                <w:sz w:val="24"/>
                <w:lang w:eastAsia="hr-HR"/>
              </w:rPr>
              <w:t>alternativnih mehanizama ujednačavanja sudske prakse u županijskim i visokim sudovima te u Vrhovnom sudu Republike Hrvatske</w:t>
            </w:r>
          </w:p>
          <w:p w14:paraId="4A893A8E" w14:textId="77777777" w:rsidR="00490D35" w:rsidRPr="00456FF1" w:rsidRDefault="00490D35" w:rsidP="00490D35">
            <w:pPr>
              <w:jc w:val="both"/>
              <w:rPr>
                <w:rFonts w:ascii="Times New Roman" w:eastAsia="Calibri" w:hAnsi="Times New Roman" w:cs="Times New Roman"/>
              </w:rPr>
            </w:pPr>
          </w:p>
          <w:p w14:paraId="0D98366D" w14:textId="77777777" w:rsidR="00490D35" w:rsidRPr="00050725" w:rsidRDefault="00490D35" w:rsidP="00490D35">
            <w:pPr>
              <w:pStyle w:val="Odlomakpopisa"/>
              <w:numPr>
                <w:ilvl w:val="0"/>
                <w:numId w:val="6"/>
              </w:numPr>
              <w:spacing w:after="0" w:line="240" w:lineRule="auto"/>
              <w:jc w:val="both"/>
              <w:rPr>
                <w:rFonts w:ascii="Times New Roman" w:eastAsia="Calibri" w:hAnsi="Times New Roman" w:cs="Times New Roman"/>
                <w:sz w:val="24"/>
                <w:lang w:eastAsia="hr-HR"/>
              </w:rPr>
            </w:pPr>
            <w:r>
              <w:rPr>
                <w:rFonts w:ascii="Times New Roman" w:eastAsia="Calibri" w:hAnsi="Times New Roman" w:cs="Times New Roman"/>
                <w:sz w:val="24"/>
                <w:lang w:eastAsia="hr-HR"/>
              </w:rPr>
              <w:t xml:space="preserve">reorganizacije unutarnjeg ustrojstva Vrhovnog suda Republike Hrvatske ukidanjem Centra sudske prakse kao posebne ustrojstvene jedinice te </w:t>
            </w:r>
            <w:r w:rsidRPr="0043330D">
              <w:rPr>
                <w:rFonts w:ascii="Times New Roman" w:eastAsia="Calibri" w:hAnsi="Times New Roman" w:cs="Times New Roman"/>
                <w:sz w:val="24"/>
                <w:lang w:eastAsia="hr-HR"/>
              </w:rPr>
              <w:t>uređ</w:t>
            </w:r>
            <w:r>
              <w:rPr>
                <w:rFonts w:ascii="Times New Roman" w:eastAsia="Calibri" w:hAnsi="Times New Roman" w:cs="Times New Roman"/>
                <w:sz w:val="24"/>
                <w:lang w:eastAsia="hr-HR"/>
              </w:rPr>
              <w:t>enjem</w:t>
            </w:r>
            <w:r w:rsidRPr="0043330D">
              <w:rPr>
                <w:rFonts w:ascii="Times New Roman" w:eastAsia="Calibri" w:hAnsi="Times New Roman" w:cs="Times New Roman"/>
                <w:sz w:val="24"/>
                <w:lang w:eastAsia="hr-HR"/>
              </w:rPr>
              <w:t xml:space="preserve"> djelokrug</w:t>
            </w:r>
            <w:r>
              <w:rPr>
                <w:rFonts w:ascii="Times New Roman" w:eastAsia="Calibri" w:hAnsi="Times New Roman" w:cs="Times New Roman"/>
                <w:sz w:val="24"/>
                <w:lang w:eastAsia="hr-HR"/>
              </w:rPr>
              <w:t>a</w:t>
            </w:r>
            <w:r w:rsidRPr="0043330D">
              <w:rPr>
                <w:rFonts w:ascii="Times New Roman" w:eastAsia="Calibri" w:hAnsi="Times New Roman" w:cs="Times New Roman"/>
                <w:sz w:val="24"/>
                <w:lang w:eastAsia="hr-HR"/>
              </w:rPr>
              <w:t xml:space="preserve"> Odjela za praćenje i proučavanje prakse Suda Europske unije i Europskog suda za ljudska prava ovoga suda</w:t>
            </w:r>
          </w:p>
          <w:p w14:paraId="236CA919" w14:textId="77777777" w:rsidR="00490D35" w:rsidRPr="00050725" w:rsidRDefault="00490D35" w:rsidP="00490D35">
            <w:pPr>
              <w:jc w:val="both"/>
              <w:rPr>
                <w:rFonts w:ascii="Times New Roman" w:eastAsia="Calibri" w:hAnsi="Times New Roman" w:cs="Times New Roman"/>
              </w:rPr>
            </w:pPr>
          </w:p>
          <w:p w14:paraId="1A9FF216" w14:textId="77777777" w:rsidR="00490D35" w:rsidRDefault="00490D35" w:rsidP="00490D35">
            <w:pPr>
              <w:pStyle w:val="Odlomakpopisa"/>
              <w:numPr>
                <w:ilvl w:val="0"/>
                <w:numId w:val="6"/>
              </w:numPr>
              <w:spacing w:after="0" w:line="240" w:lineRule="auto"/>
              <w:jc w:val="both"/>
              <w:rPr>
                <w:rFonts w:ascii="Times New Roman" w:eastAsia="Calibri" w:hAnsi="Times New Roman" w:cs="Times New Roman"/>
                <w:sz w:val="24"/>
                <w:lang w:eastAsia="hr-HR"/>
              </w:rPr>
            </w:pPr>
            <w:r>
              <w:rPr>
                <w:rFonts w:ascii="Times New Roman" w:eastAsia="Calibri" w:hAnsi="Times New Roman" w:cs="Times New Roman"/>
                <w:sz w:val="24"/>
                <w:lang w:eastAsia="hr-HR"/>
              </w:rPr>
              <w:t>zabrane primanja darova od strane sudaca,</w:t>
            </w:r>
            <w:r w:rsidRPr="005A1704">
              <w:rPr>
                <w:rFonts w:ascii="Times New Roman" w:eastAsia="Calibri" w:hAnsi="Times New Roman" w:cs="Times New Roman"/>
                <w:sz w:val="24"/>
                <w:lang w:eastAsia="hr-HR"/>
              </w:rPr>
              <w:t xml:space="preserve"> </w:t>
            </w:r>
            <w:r w:rsidRPr="0043330D">
              <w:rPr>
                <w:rFonts w:ascii="Times New Roman" w:eastAsia="Calibri" w:hAnsi="Times New Roman" w:cs="Times New Roman"/>
                <w:sz w:val="24"/>
                <w:lang w:eastAsia="hr-HR"/>
              </w:rPr>
              <w:t>povećanj</w:t>
            </w:r>
            <w:r>
              <w:rPr>
                <w:rFonts w:ascii="Times New Roman" w:eastAsia="Calibri" w:hAnsi="Times New Roman" w:cs="Times New Roman"/>
                <w:sz w:val="24"/>
                <w:lang w:eastAsia="hr-HR"/>
              </w:rPr>
              <w:t>a</w:t>
            </w:r>
            <w:r w:rsidRPr="0043330D">
              <w:rPr>
                <w:rFonts w:ascii="Times New Roman" w:eastAsia="Calibri" w:hAnsi="Times New Roman" w:cs="Times New Roman"/>
                <w:sz w:val="24"/>
                <w:lang w:eastAsia="hr-HR"/>
              </w:rPr>
              <w:t xml:space="preserve"> udjela mjerila kvalitete i kvantitete rada sudaca u njihovom ocjenjivanju odnosno utvrđenju ispunjenja sudačke obveze s najviše po 60 na najviše po 70 bodova od ukupno mogućih 150 bodova, </w:t>
            </w:r>
            <w:r>
              <w:rPr>
                <w:rFonts w:ascii="Times New Roman" w:eastAsia="Calibri" w:hAnsi="Times New Roman" w:cs="Times New Roman"/>
                <w:sz w:val="24"/>
                <w:lang w:eastAsia="hr-HR"/>
              </w:rPr>
              <w:t>promjene</w:t>
            </w:r>
            <w:r w:rsidRPr="0043330D">
              <w:rPr>
                <w:rFonts w:ascii="Times New Roman" w:eastAsia="Calibri" w:hAnsi="Times New Roman" w:cs="Times New Roman"/>
                <w:sz w:val="24"/>
                <w:lang w:eastAsia="hr-HR"/>
              </w:rPr>
              <w:t xml:space="preserve"> nadležnosti za propisivanje obveza stručnog usavršavanja sudaca i predsjednika sudova, koja se s ministra nadležnog za poslove pravosuđa</w:t>
            </w:r>
            <w:r>
              <w:rPr>
                <w:rFonts w:ascii="Times New Roman" w:eastAsia="Calibri" w:hAnsi="Times New Roman" w:cs="Times New Roman"/>
                <w:sz w:val="24"/>
                <w:lang w:eastAsia="hr-HR"/>
              </w:rPr>
              <w:t xml:space="preserve"> </w:t>
            </w:r>
            <w:r w:rsidRPr="0043330D">
              <w:rPr>
                <w:rFonts w:ascii="Times New Roman" w:eastAsia="Calibri" w:hAnsi="Times New Roman" w:cs="Times New Roman"/>
                <w:sz w:val="24"/>
                <w:lang w:eastAsia="hr-HR"/>
              </w:rPr>
              <w:t>prenosi na predsjednika Vrhovnog suda Republike Hrvatske</w:t>
            </w:r>
            <w:r>
              <w:rPr>
                <w:rFonts w:ascii="Times New Roman" w:eastAsia="Calibri" w:hAnsi="Times New Roman" w:cs="Times New Roman"/>
                <w:sz w:val="24"/>
                <w:lang w:eastAsia="hr-HR"/>
              </w:rPr>
              <w:t>, a sve radi ispunjenja preporuka nadležnih tijela Organizacije za gospodarsku suradnju i razvoj</w:t>
            </w:r>
          </w:p>
          <w:p w14:paraId="0516ECD8" w14:textId="77777777" w:rsidR="00490D35" w:rsidRPr="005A1704" w:rsidRDefault="00490D35" w:rsidP="00490D35">
            <w:pPr>
              <w:pStyle w:val="Odlomakpopisa"/>
              <w:rPr>
                <w:rFonts w:ascii="Times New Roman" w:eastAsia="Calibri" w:hAnsi="Times New Roman" w:cs="Times New Roman"/>
                <w:sz w:val="24"/>
                <w:lang w:eastAsia="hr-HR"/>
              </w:rPr>
            </w:pPr>
          </w:p>
          <w:p w14:paraId="5B88CC72" w14:textId="77777777" w:rsidR="00490D35" w:rsidRDefault="00490D35" w:rsidP="00490D35">
            <w:pPr>
              <w:pStyle w:val="Odlomakpopisa"/>
              <w:numPr>
                <w:ilvl w:val="0"/>
                <w:numId w:val="6"/>
              </w:numPr>
              <w:spacing w:after="0" w:line="240" w:lineRule="auto"/>
              <w:jc w:val="both"/>
              <w:rPr>
                <w:rFonts w:ascii="Times New Roman" w:eastAsia="Calibri" w:hAnsi="Times New Roman" w:cs="Times New Roman"/>
                <w:sz w:val="24"/>
                <w:lang w:eastAsia="hr-HR"/>
              </w:rPr>
            </w:pPr>
            <w:r>
              <w:rPr>
                <w:rFonts w:ascii="Times New Roman" w:eastAsia="Calibri" w:hAnsi="Times New Roman" w:cs="Times New Roman"/>
                <w:sz w:val="24"/>
                <w:lang w:eastAsia="hr-HR"/>
              </w:rPr>
              <w:t>osnivanja novog sudskog odjela specijaliziranog za postupanje u predmetima korupcije i organiziranog kriminaliteta u Županijskom sudu u Varaždinu</w:t>
            </w:r>
          </w:p>
          <w:p w14:paraId="2A18112D" w14:textId="77777777" w:rsidR="00490D35" w:rsidRPr="00DB3D82" w:rsidRDefault="00490D35" w:rsidP="00490D35">
            <w:pPr>
              <w:pStyle w:val="Odlomakpopisa"/>
              <w:rPr>
                <w:rFonts w:ascii="Times New Roman" w:eastAsia="Calibri" w:hAnsi="Times New Roman" w:cs="Times New Roman"/>
                <w:sz w:val="24"/>
                <w:lang w:eastAsia="hr-HR"/>
              </w:rPr>
            </w:pPr>
          </w:p>
          <w:p w14:paraId="7857A411" w14:textId="77777777" w:rsidR="00490D35" w:rsidRPr="0043330D" w:rsidRDefault="00490D35" w:rsidP="00490D35">
            <w:pPr>
              <w:pStyle w:val="Odlomakpopisa"/>
              <w:numPr>
                <w:ilvl w:val="0"/>
                <w:numId w:val="6"/>
              </w:numPr>
              <w:spacing w:after="0" w:line="240" w:lineRule="auto"/>
              <w:jc w:val="both"/>
              <w:rPr>
                <w:rFonts w:ascii="Times New Roman" w:eastAsia="Calibri" w:hAnsi="Times New Roman" w:cs="Times New Roman"/>
                <w:sz w:val="24"/>
                <w:lang w:eastAsia="hr-HR"/>
              </w:rPr>
            </w:pPr>
            <w:r w:rsidRPr="0043330D">
              <w:rPr>
                <w:rFonts w:ascii="Times New Roman" w:eastAsia="Calibri" w:hAnsi="Times New Roman" w:cs="Times New Roman"/>
                <w:sz w:val="24"/>
                <w:lang w:eastAsia="hr-HR"/>
              </w:rPr>
              <w:t>obveznog specijalističkog stručnog usavršavanja sudaca drugostupanjskih sudova koji odlučuju u predmetima prema zakonu kojim se uređuju obiteljski odnosi te ubuduće ove suce, kao i suce za postupanje u predmetima nasilja u obitelji, određ</w:t>
            </w:r>
            <w:r>
              <w:rPr>
                <w:rFonts w:ascii="Times New Roman" w:eastAsia="Calibri" w:hAnsi="Times New Roman" w:cs="Times New Roman"/>
                <w:sz w:val="24"/>
                <w:lang w:eastAsia="hr-HR"/>
              </w:rPr>
              <w:t>uju</w:t>
            </w:r>
            <w:r w:rsidRPr="0043330D">
              <w:rPr>
                <w:rFonts w:ascii="Times New Roman" w:eastAsia="Calibri" w:hAnsi="Times New Roman" w:cs="Times New Roman"/>
                <w:sz w:val="24"/>
                <w:lang w:eastAsia="hr-HR"/>
              </w:rPr>
              <w:t xml:space="preserve"> isključivo predsjednici sudova godišnjim rasporedima poslova</w:t>
            </w:r>
          </w:p>
          <w:p w14:paraId="553E0D45" w14:textId="77777777" w:rsidR="00490D35" w:rsidRPr="00DB3D82" w:rsidRDefault="00490D35" w:rsidP="00490D35">
            <w:pPr>
              <w:pStyle w:val="Odlomakpopisa"/>
              <w:rPr>
                <w:rFonts w:ascii="Times New Roman" w:eastAsia="Calibri" w:hAnsi="Times New Roman" w:cs="Times New Roman"/>
                <w:sz w:val="24"/>
                <w:lang w:eastAsia="hr-HR"/>
              </w:rPr>
            </w:pPr>
          </w:p>
          <w:p w14:paraId="488FFBE3" w14:textId="77777777" w:rsidR="00490D35" w:rsidRDefault="00490D35" w:rsidP="00490D35">
            <w:pPr>
              <w:pStyle w:val="Odlomakpopisa"/>
              <w:numPr>
                <w:ilvl w:val="0"/>
                <w:numId w:val="6"/>
              </w:numPr>
              <w:spacing w:after="0" w:line="240" w:lineRule="auto"/>
              <w:jc w:val="both"/>
              <w:rPr>
                <w:rFonts w:ascii="Times New Roman" w:eastAsia="Calibri" w:hAnsi="Times New Roman" w:cs="Times New Roman"/>
                <w:sz w:val="24"/>
                <w:lang w:eastAsia="hr-HR"/>
              </w:rPr>
            </w:pPr>
            <w:r>
              <w:rPr>
                <w:rFonts w:ascii="Times New Roman" w:eastAsia="Calibri" w:hAnsi="Times New Roman" w:cs="Times New Roman"/>
                <w:sz w:val="24"/>
                <w:lang w:eastAsia="hr-HR"/>
              </w:rPr>
              <w:t>osnivanja posebnih ustrojstvenih jedinica za davanje obavijesti o radu sudova na čelu s glasnogovornicima sudova radi veće transparentnosti funkcioniranja sudbene vlasti te unaprjeđenja informiranja javnosti o radu sudova</w:t>
            </w:r>
          </w:p>
          <w:p w14:paraId="56BF1BEA" w14:textId="77777777" w:rsidR="00490D35" w:rsidRPr="005A1704" w:rsidRDefault="00490D35" w:rsidP="00490D35">
            <w:pPr>
              <w:pStyle w:val="Odlomakpopisa"/>
              <w:rPr>
                <w:rFonts w:ascii="Times New Roman" w:eastAsia="Calibri" w:hAnsi="Times New Roman" w:cs="Times New Roman"/>
                <w:sz w:val="24"/>
                <w:lang w:eastAsia="hr-HR"/>
              </w:rPr>
            </w:pPr>
          </w:p>
          <w:p w14:paraId="7C9EC1C9" w14:textId="77777777" w:rsidR="00490D35" w:rsidRDefault="00490D35" w:rsidP="00490D35">
            <w:pPr>
              <w:pStyle w:val="Odlomakpopisa"/>
              <w:numPr>
                <w:ilvl w:val="0"/>
                <w:numId w:val="6"/>
              </w:numPr>
              <w:spacing w:after="0" w:line="240" w:lineRule="auto"/>
              <w:jc w:val="both"/>
              <w:rPr>
                <w:rFonts w:ascii="Times New Roman" w:eastAsia="Calibri" w:hAnsi="Times New Roman" w:cs="Times New Roman"/>
                <w:sz w:val="24"/>
                <w:lang w:eastAsia="hr-HR"/>
              </w:rPr>
            </w:pPr>
            <w:r>
              <w:rPr>
                <w:rFonts w:ascii="Times New Roman" w:eastAsia="Calibri" w:hAnsi="Times New Roman" w:cs="Times New Roman"/>
                <w:sz w:val="24"/>
                <w:lang w:eastAsia="hr-HR"/>
              </w:rPr>
              <w:lastRenderedPageBreak/>
              <w:t>n</w:t>
            </w:r>
            <w:r w:rsidRPr="0043330D">
              <w:rPr>
                <w:rFonts w:ascii="Times New Roman" w:eastAsia="Calibri" w:hAnsi="Times New Roman" w:cs="Times New Roman"/>
                <w:sz w:val="24"/>
                <w:lang w:eastAsia="hr-HR"/>
              </w:rPr>
              <w:t>adležnost</w:t>
            </w:r>
            <w:r>
              <w:rPr>
                <w:rFonts w:ascii="Times New Roman" w:eastAsia="Calibri" w:hAnsi="Times New Roman" w:cs="Times New Roman"/>
                <w:sz w:val="24"/>
                <w:lang w:eastAsia="hr-HR"/>
              </w:rPr>
              <w:t>i</w:t>
            </w:r>
            <w:r w:rsidRPr="0043330D">
              <w:rPr>
                <w:rFonts w:ascii="Times New Roman" w:eastAsia="Calibri" w:hAnsi="Times New Roman" w:cs="Times New Roman"/>
                <w:sz w:val="24"/>
                <w:lang w:eastAsia="hr-HR"/>
              </w:rPr>
              <w:t xml:space="preserve"> za odlučivanje o zahtjev</w:t>
            </w:r>
            <w:r>
              <w:rPr>
                <w:rFonts w:ascii="Times New Roman" w:eastAsia="Calibri" w:hAnsi="Times New Roman" w:cs="Times New Roman"/>
                <w:sz w:val="24"/>
                <w:lang w:eastAsia="hr-HR"/>
              </w:rPr>
              <w:t>u</w:t>
            </w:r>
            <w:r w:rsidRPr="0043330D">
              <w:rPr>
                <w:rFonts w:ascii="Times New Roman" w:eastAsia="Calibri" w:hAnsi="Times New Roman" w:cs="Times New Roman"/>
                <w:sz w:val="24"/>
                <w:lang w:eastAsia="hr-HR"/>
              </w:rPr>
              <w:t xml:space="preserve"> za suđenje u razumnom roku pren</w:t>
            </w:r>
            <w:r>
              <w:rPr>
                <w:rFonts w:ascii="Times New Roman" w:eastAsia="Calibri" w:hAnsi="Times New Roman" w:cs="Times New Roman"/>
                <w:sz w:val="24"/>
                <w:lang w:eastAsia="hr-HR"/>
              </w:rPr>
              <w:t>ošenjem</w:t>
            </w:r>
            <w:r w:rsidRPr="0043330D">
              <w:rPr>
                <w:rFonts w:ascii="Times New Roman" w:eastAsia="Calibri" w:hAnsi="Times New Roman" w:cs="Times New Roman"/>
                <w:sz w:val="24"/>
                <w:lang w:eastAsia="hr-HR"/>
              </w:rPr>
              <w:t xml:space="preserve"> s predsjednika neposredno višeg suda na predsjednika suda pred kojim je u tijeku postupak zbog čijeg je trajanja zahtjev i podnesen</w:t>
            </w:r>
          </w:p>
          <w:p w14:paraId="717D3DCB" w14:textId="77777777" w:rsidR="00490D35" w:rsidRPr="0081347A" w:rsidRDefault="00490D35" w:rsidP="00490D35">
            <w:pPr>
              <w:pStyle w:val="Odlomakpopisa"/>
              <w:rPr>
                <w:rFonts w:ascii="Times New Roman" w:eastAsia="Calibri" w:hAnsi="Times New Roman" w:cs="Times New Roman"/>
                <w:sz w:val="24"/>
                <w:lang w:eastAsia="hr-HR"/>
              </w:rPr>
            </w:pPr>
          </w:p>
          <w:p w14:paraId="6CB885A9" w14:textId="77777777" w:rsidR="00490D35" w:rsidRDefault="00490D35" w:rsidP="00490D35">
            <w:pPr>
              <w:pStyle w:val="Odlomakpopisa"/>
              <w:numPr>
                <w:ilvl w:val="0"/>
                <w:numId w:val="6"/>
              </w:numPr>
              <w:spacing w:after="0" w:line="240" w:lineRule="auto"/>
              <w:jc w:val="both"/>
              <w:rPr>
                <w:rFonts w:ascii="Times New Roman" w:eastAsia="Calibri" w:hAnsi="Times New Roman" w:cs="Times New Roman"/>
                <w:sz w:val="24"/>
                <w:lang w:eastAsia="hr-HR"/>
              </w:rPr>
            </w:pPr>
            <w:r w:rsidRPr="001069CE">
              <w:rPr>
                <w:rFonts w:ascii="Times New Roman" w:eastAsia="Calibri" w:hAnsi="Times New Roman" w:cs="Times New Roman"/>
                <w:sz w:val="24"/>
                <w:lang w:eastAsia="hr-HR"/>
              </w:rPr>
              <w:t>oslobođenja od obveze polaganja državnog ispita za službenike koji polože poseban stručni ispit odnosno obveze polaganja posebnog stručnog ispita za službenike koji su već prethodno položili državni ili pravosudni ispit</w:t>
            </w:r>
            <w:r>
              <w:rPr>
                <w:rFonts w:ascii="Times New Roman" w:eastAsia="Calibri" w:hAnsi="Times New Roman" w:cs="Times New Roman"/>
                <w:sz w:val="24"/>
                <w:lang w:eastAsia="hr-HR"/>
              </w:rPr>
              <w:t>,</w:t>
            </w:r>
            <w:r>
              <w:t xml:space="preserve"> s</w:t>
            </w:r>
            <w:r w:rsidRPr="001069CE">
              <w:rPr>
                <w:rFonts w:ascii="Times New Roman" w:eastAsia="Calibri" w:hAnsi="Times New Roman" w:cs="Times New Roman"/>
                <w:sz w:val="24"/>
                <w:lang w:eastAsia="hr-HR"/>
              </w:rPr>
              <w:t xml:space="preserve"> obzirom na posebnost uloge i poslova koje obavljaju službenici u sudovima</w:t>
            </w:r>
          </w:p>
          <w:p w14:paraId="7DEC9A67" w14:textId="77777777" w:rsidR="00490D35" w:rsidRPr="001069CE" w:rsidRDefault="00490D35" w:rsidP="00490D35">
            <w:pPr>
              <w:pStyle w:val="Odlomakpopisa"/>
              <w:rPr>
                <w:rFonts w:ascii="Times New Roman" w:eastAsia="Calibri" w:hAnsi="Times New Roman" w:cs="Times New Roman"/>
                <w:sz w:val="24"/>
                <w:lang w:eastAsia="hr-HR"/>
              </w:rPr>
            </w:pPr>
          </w:p>
          <w:p w14:paraId="78EC64EA" w14:textId="77777777" w:rsidR="00490D35" w:rsidRDefault="00490D35" w:rsidP="00490D35">
            <w:pPr>
              <w:pStyle w:val="Odlomakpopisa"/>
              <w:numPr>
                <w:ilvl w:val="0"/>
                <w:numId w:val="6"/>
              </w:numPr>
              <w:spacing w:after="0" w:line="240" w:lineRule="auto"/>
              <w:jc w:val="both"/>
              <w:rPr>
                <w:rFonts w:ascii="Times New Roman" w:eastAsia="Calibri" w:hAnsi="Times New Roman" w:cs="Times New Roman"/>
                <w:sz w:val="24"/>
                <w:lang w:eastAsia="hr-HR"/>
              </w:rPr>
            </w:pPr>
            <w:r>
              <w:rPr>
                <w:rFonts w:ascii="Times New Roman" w:eastAsia="Calibri" w:hAnsi="Times New Roman" w:cs="Times New Roman"/>
                <w:sz w:val="24"/>
                <w:lang w:eastAsia="hr-HR"/>
              </w:rPr>
              <w:t xml:space="preserve">izuzimanja sudskih savjetnika iz primjene općih službeničkih propisa o ocjenjivanju te propisivanjem ovlasti ministra </w:t>
            </w:r>
            <w:r w:rsidRPr="001069CE">
              <w:rPr>
                <w:rFonts w:ascii="Times New Roman" w:eastAsia="Calibri" w:hAnsi="Times New Roman" w:cs="Times New Roman"/>
                <w:sz w:val="24"/>
                <w:lang w:eastAsia="hr-HR"/>
              </w:rPr>
              <w:t>nadležno</w:t>
            </w:r>
            <w:r>
              <w:rPr>
                <w:rFonts w:ascii="Times New Roman" w:eastAsia="Calibri" w:hAnsi="Times New Roman" w:cs="Times New Roman"/>
                <w:sz w:val="24"/>
                <w:lang w:eastAsia="hr-HR"/>
              </w:rPr>
              <w:t>g</w:t>
            </w:r>
            <w:r w:rsidRPr="001069CE">
              <w:rPr>
                <w:rFonts w:ascii="Times New Roman" w:eastAsia="Calibri" w:hAnsi="Times New Roman" w:cs="Times New Roman"/>
                <w:sz w:val="24"/>
                <w:lang w:eastAsia="hr-HR"/>
              </w:rPr>
              <w:t xml:space="preserve"> za poslove pravosuđa posebnim aktom propisati kriterije i postupak ocjenjivanja</w:t>
            </w:r>
          </w:p>
          <w:p w14:paraId="1FE85CD2" w14:textId="77777777" w:rsidR="00490D35" w:rsidRPr="001069CE" w:rsidRDefault="00490D35" w:rsidP="00490D35">
            <w:pPr>
              <w:pStyle w:val="Odlomakpopisa"/>
              <w:rPr>
                <w:rFonts w:ascii="Times New Roman" w:eastAsia="Calibri" w:hAnsi="Times New Roman" w:cs="Times New Roman"/>
                <w:sz w:val="24"/>
                <w:lang w:eastAsia="hr-HR"/>
              </w:rPr>
            </w:pPr>
          </w:p>
          <w:p w14:paraId="386BC4D5" w14:textId="303DA8DA" w:rsidR="00FC358B" w:rsidRPr="00D162A5" w:rsidRDefault="00490D35" w:rsidP="00490D35">
            <w:pPr>
              <w:pStyle w:val="Odlomakpopisa"/>
              <w:numPr>
                <w:ilvl w:val="0"/>
                <w:numId w:val="6"/>
              </w:numPr>
              <w:spacing w:after="0" w:line="240" w:lineRule="auto"/>
              <w:jc w:val="both"/>
              <w:rPr>
                <w:rFonts w:ascii="Times New Roman" w:eastAsia="Calibri" w:hAnsi="Times New Roman" w:cs="Times New Roman"/>
                <w:sz w:val="24"/>
                <w:szCs w:val="24"/>
                <w:lang w:eastAsia="hr-HR"/>
              </w:rPr>
            </w:pPr>
            <w:r w:rsidRPr="001069CE">
              <w:rPr>
                <w:rFonts w:ascii="Times New Roman" w:eastAsia="Calibri" w:hAnsi="Times New Roman" w:cs="Times New Roman"/>
                <w:sz w:val="24"/>
                <w:lang w:eastAsia="hr-HR"/>
              </w:rPr>
              <w:t>izostavlja</w:t>
            </w:r>
            <w:r>
              <w:rPr>
                <w:rFonts w:ascii="Times New Roman" w:eastAsia="Calibri" w:hAnsi="Times New Roman" w:cs="Times New Roman"/>
                <w:sz w:val="24"/>
                <w:lang w:eastAsia="hr-HR"/>
              </w:rPr>
              <w:t>nja</w:t>
            </w:r>
            <w:r w:rsidRPr="001069CE">
              <w:rPr>
                <w:rFonts w:ascii="Times New Roman" w:eastAsia="Calibri" w:hAnsi="Times New Roman" w:cs="Times New Roman"/>
                <w:sz w:val="24"/>
                <w:lang w:eastAsia="hr-HR"/>
              </w:rPr>
              <w:t xml:space="preserve"> odredb</w:t>
            </w:r>
            <w:r>
              <w:rPr>
                <w:rFonts w:ascii="Times New Roman" w:eastAsia="Calibri" w:hAnsi="Times New Roman" w:cs="Times New Roman"/>
                <w:sz w:val="24"/>
                <w:lang w:eastAsia="hr-HR"/>
              </w:rPr>
              <w:t>i</w:t>
            </w:r>
            <w:r w:rsidRPr="001069CE">
              <w:rPr>
                <w:rFonts w:ascii="Times New Roman" w:eastAsia="Calibri" w:hAnsi="Times New Roman" w:cs="Times New Roman"/>
                <w:sz w:val="24"/>
                <w:lang w:eastAsia="hr-HR"/>
              </w:rPr>
              <w:t xml:space="preserve"> o posebnoj osnovi povrede službene dužnosti službenika pravosudne policije na poslovima osiguranja pravosudnih tijela zbog utjecaja alkohola, droga ili drugih sredstava ovisnosti, kao i o ostvarenju prava na poseban dodatak na plaću zbog rada u posebnim uvjetima</w:t>
            </w:r>
            <w:r>
              <w:rPr>
                <w:rFonts w:ascii="Times New Roman" w:eastAsia="Calibri" w:hAnsi="Times New Roman" w:cs="Times New Roman"/>
                <w:sz w:val="24"/>
                <w:lang w:eastAsia="hr-HR"/>
              </w:rPr>
              <w:t>.</w:t>
            </w:r>
          </w:p>
        </w:tc>
      </w:tr>
      <w:tr w:rsidR="00D162A5" w:rsidRPr="00D162A5" w14:paraId="5C8A87E8" w14:textId="77777777" w:rsidTr="00E26EE8">
        <w:trPr>
          <w:trHeight w:val="384"/>
        </w:trPr>
        <w:tc>
          <w:tcPr>
            <w:tcW w:w="850" w:type="dxa"/>
          </w:tcPr>
          <w:p w14:paraId="3993F7BF" w14:textId="77777777" w:rsidR="00FC358B" w:rsidRPr="00D162A5" w:rsidRDefault="00FC358B" w:rsidP="00E26EE8">
            <w:pPr>
              <w:jc w:val="both"/>
              <w:rPr>
                <w:rFonts w:ascii="Times New Roman" w:eastAsia="Calibri" w:hAnsi="Times New Roman" w:cs="Times New Roman"/>
                <w:bCs/>
              </w:rPr>
            </w:pPr>
            <w:r w:rsidRPr="00D162A5">
              <w:rPr>
                <w:rFonts w:ascii="Times New Roman" w:eastAsia="Calibri" w:hAnsi="Times New Roman" w:cs="Times New Roman"/>
                <w:bCs/>
              </w:rPr>
              <w:lastRenderedPageBreak/>
              <w:t>3.2.</w:t>
            </w:r>
          </w:p>
        </w:tc>
        <w:tc>
          <w:tcPr>
            <w:tcW w:w="9073" w:type="dxa"/>
          </w:tcPr>
          <w:p w14:paraId="7C94338C" w14:textId="77777777" w:rsidR="00FC358B" w:rsidRPr="00D162A5" w:rsidRDefault="00FC358B" w:rsidP="00E26EE8">
            <w:pPr>
              <w:jc w:val="both"/>
              <w:rPr>
                <w:rFonts w:ascii="Times New Roman" w:eastAsia="Calibri" w:hAnsi="Times New Roman" w:cs="Times New Roman"/>
              </w:rPr>
            </w:pPr>
            <w:r w:rsidRPr="00D162A5">
              <w:rPr>
                <w:rFonts w:ascii="Times New Roman" w:eastAsia="Calibri" w:hAnsi="Times New Roman" w:cs="Times New Roman"/>
              </w:rPr>
              <w:t>Opis svrhe propisa</w:t>
            </w:r>
          </w:p>
        </w:tc>
      </w:tr>
      <w:tr w:rsidR="00D162A5" w:rsidRPr="00D162A5" w14:paraId="3D351F9F" w14:textId="77777777" w:rsidTr="00E26EE8">
        <w:trPr>
          <w:trHeight w:val="384"/>
        </w:trPr>
        <w:tc>
          <w:tcPr>
            <w:tcW w:w="850" w:type="dxa"/>
          </w:tcPr>
          <w:p w14:paraId="498CA779" w14:textId="77777777" w:rsidR="00FC358B" w:rsidRPr="00D162A5" w:rsidRDefault="00FC358B" w:rsidP="00E26EE8">
            <w:pPr>
              <w:jc w:val="both"/>
              <w:rPr>
                <w:rFonts w:ascii="Times New Roman" w:eastAsia="Calibri" w:hAnsi="Times New Roman" w:cs="Times New Roman"/>
                <w:bCs/>
              </w:rPr>
            </w:pPr>
          </w:p>
        </w:tc>
        <w:tc>
          <w:tcPr>
            <w:tcW w:w="9073" w:type="dxa"/>
          </w:tcPr>
          <w:p w14:paraId="34019EC8" w14:textId="77777777" w:rsidR="00FC358B" w:rsidRPr="00D162A5" w:rsidRDefault="00FC358B" w:rsidP="00E26EE8">
            <w:pPr>
              <w:contextualSpacing/>
              <w:jc w:val="both"/>
              <w:rPr>
                <w:rFonts w:ascii="Times New Roman" w:eastAsia="Calibri" w:hAnsi="Times New Roman" w:cs="Times New Roman"/>
                <w:bCs/>
                <w:iCs/>
              </w:rPr>
            </w:pPr>
            <w:r w:rsidRPr="00D162A5">
              <w:rPr>
                <w:rFonts w:ascii="Times New Roman" w:eastAsia="Calibri" w:hAnsi="Times New Roman" w:cs="Times New Roman"/>
                <w:bCs/>
                <w:iCs/>
              </w:rPr>
              <w:t>Predloženim izmjenama i dopunama utjecat će se na način učinkovitijeg unutarnjeg poslovanja i rada sudova.</w:t>
            </w:r>
          </w:p>
        </w:tc>
      </w:tr>
      <w:tr w:rsidR="00D162A5" w:rsidRPr="00D162A5" w14:paraId="5A0F8AC3" w14:textId="77777777" w:rsidTr="00E26EE8">
        <w:trPr>
          <w:trHeight w:val="384"/>
        </w:trPr>
        <w:tc>
          <w:tcPr>
            <w:tcW w:w="850" w:type="dxa"/>
          </w:tcPr>
          <w:p w14:paraId="3A0ADCBF" w14:textId="77777777" w:rsidR="00FC358B" w:rsidRPr="00D162A5" w:rsidRDefault="00FC358B" w:rsidP="00E26EE8">
            <w:pPr>
              <w:jc w:val="both"/>
              <w:rPr>
                <w:rFonts w:ascii="Times New Roman" w:eastAsia="Calibri" w:hAnsi="Times New Roman" w:cs="Times New Roman"/>
                <w:bCs/>
              </w:rPr>
            </w:pPr>
            <w:r w:rsidRPr="00D162A5">
              <w:rPr>
                <w:rFonts w:ascii="Times New Roman" w:eastAsia="Calibri" w:hAnsi="Times New Roman" w:cs="Times New Roman"/>
                <w:bCs/>
              </w:rPr>
              <w:t>3.3.</w:t>
            </w:r>
          </w:p>
        </w:tc>
        <w:tc>
          <w:tcPr>
            <w:tcW w:w="9073" w:type="dxa"/>
          </w:tcPr>
          <w:p w14:paraId="4DC357E3" w14:textId="77777777" w:rsidR="00FC358B" w:rsidRPr="00D162A5" w:rsidRDefault="00FC358B" w:rsidP="00E26EE8">
            <w:pPr>
              <w:contextualSpacing/>
              <w:jc w:val="both"/>
              <w:rPr>
                <w:rFonts w:ascii="Times New Roman" w:eastAsia="Calibri" w:hAnsi="Times New Roman" w:cs="Times New Roman"/>
              </w:rPr>
            </w:pPr>
            <w:r w:rsidRPr="00D162A5">
              <w:rPr>
                <w:rFonts w:ascii="Times New Roman" w:eastAsia="Calibri" w:hAnsi="Times New Roman" w:cs="Times New Roman"/>
              </w:rPr>
              <w:t xml:space="preserve">Razmotrena druga moguća normativna i </w:t>
            </w:r>
            <w:proofErr w:type="spellStart"/>
            <w:r w:rsidRPr="00D162A5">
              <w:rPr>
                <w:rFonts w:ascii="Times New Roman" w:eastAsia="Calibri" w:hAnsi="Times New Roman" w:cs="Times New Roman"/>
              </w:rPr>
              <w:t>nenormativna</w:t>
            </w:r>
            <w:proofErr w:type="spellEnd"/>
            <w:r w:rsidRPr="00D162A5">
              <w:rPr>
                <w:rFonts w:ascii="Times New Roman" w:eastAsia="Calibri" w:hAnsi="Times New Roman" w:cs="Times New Roman"/>
              </w:rPr>
              <w:t xml:space="preserve"> rješenja</w:t>
            </w:r>
          </w:p>
        </w:tc>
      </w:tr>
      <w:tr w:rsidR="00D162A5" w:rsidRPr="00D162A5" w14:paraId="52FE895E" w14:textId="77777777" w:rsidTr="00E26EE8">
        <w:trPr>
          <w:trHeight w:val="384"/>
        </w:trPr>
        <w:tc>
          <w:tcPr>
            <w:tcW w:w="850" w:type="dxa"/>
          </w:tcPr>
          <w:p w14:paraId="214B38E1" w14:textId="77777777" w:rsidR="00FC358B" w:rsidRPr="00D162A5" w:rsidRDefault="00FC358B" w:rsidP="00E26EE8">
            <w:pPr>
              <w:jc w:val="both"/>
              <w:rPr>
                <w:rFonts w:ascii="Times New Roman" w:eastAsia="Calibri" w:hAnsi="Times New Roman" w:cs="Times New Roman"/>
                <w:bCs/>
              </w:rPr>
            </w:pPr>
          </w:p>
        </w:tc>
        <w:tc>
          <w:tcPr>
            <w:tcW w:w="9073" w:type="dxa"/>
          </w:tcPr>
          <w:p w14:paraId="5DD1C1A4" w14:textId="77777777" w:rsidR="00FC358B" w:rsidRPr="00D162A5" w:rsidRDefault="00FC358B" w:rsidP="00E26EE8">
            <w:pPr>
              <w:contextualSpacing/>
              <w:jc w:val="both"/>
              <w:rPr>
                <w:rFonts w:ascii="Times New Roman" w:hAnsi="Times New Roman" w:cs="Times New Roman"/>
              </w:rPr>
            </w:pPr>
            <w:r w:rsidRPr="00D162A5">
              <w:rPr>
                <w:rFonts w:ascii="Times New Roman" w:hAnsi="Times New Roman" w:cs="Times New Roman"/>
              </w:rPr>
              <w:t xml:space="preserve">Ustrojstvo i nadležnost sudova, unutarnje ustrojstvo sudova, poslovi sudske uprave i ovlasti predsjednika suda, prava i dužnosti sudaca, ovlasti sudskih savjetnika, osiguranje osoba, imovine i objekata sudova te druga pitanja važna za njihov rad moraju biti propisani zakonom, zbog čega u konkretnom slučaju druga normativna i </w:t>
            </w:r>
            <w:proofErr w:type="spellStart"/>
            <w:r w:rsidRPr="00D162A5">
              <w:rPr>
                <w:rFonts w:ascii="Times New Roman" w:hAnsi="Times New Roman" w:cs="Times New Roman"/>
              </w:rPr>
              <w:t>nenormativna</w:t>
            </w:r>
            <w:proofErr w:type="spellEnd"/>
            <w:r w:rsidRPr="00D162A5">
              <w:rPr>
                <w:rFonts w:ascii="Times New Roman" w:hAnsi="Times New Roman" w:cs="Times New Roman"/>
              </w:rPr>
              <w:t xml:space="preserve"> rješenja nisu moguća. </w:t>
            </w:r>
          </w:p>
        </w:tc>
      </w:tr>
      <w:tr w:rsidR="00D162A5" w:rsidRPr="00D162A5" w14:paraId="3D4E24DA" w14:textId="77777777" w:rsidTr="00E26EE8">
        <w:trPr>
          <w:trHeight w:val="384"/>
        </w:trPr>
        <w:tc>
          <w:tcPr>
            <w:tcW w:w="850" w:type="dxa"/>
          </w:tcPr>
          <w:p w14:paraId="09E8BE5B" w14:textId="77777777" w:rsidR="00FC358B" w:rsidRPr="00D162A5" w:rsidRDefault="00FC358B" w:rsidP="00E26EE8">
            <w:pPr>
              <w:jc w:val="both"/>
              <w:rPr>
                <w:rFonts w:ascii="Times New Roman" w:eastAsia="Calibri" w:hAnsi="Times New Roman" w:cs="Times New Roman"/>
                <w:bCs/>
              </w:rPr>
            </w:pPr>
            <w:r w:rsidRPr="00D162A5">
              <w:rPr>
                <w:rFonts w:ascii="Times New Roman" w:eastAsia="Calibri" w:hAnsi="Times New Roman" w:cs="Times New Roman"/>
                <w:bCs/>
              </w:rPr>
              <w:t>3.4.</w:t>
            </w:r>
          </w:p>
        </w:tc>
        <w:tc>
          <w:tcPr>
            <w:tcW w:w="9073" w:type="dxa"/>
          </w:tcPr>
          <w:p w14:paraId="40DB6F6B" w14:textId="77777777" w:rsidR="00FC358B" w:rsidRPr="00D162A5" w:rsidRDefault="00FC358B" w:rsidP="00E26EE8">
            <w:pPr>
              <w:contextualSpacing/>
              <w:jc w:val="both"/>
              <w:rPr>
                <w:rFonts w:ascii="Times New Roman" w:eastAsia="Calibri" w:hAnsi="Times New Roman" w:cs="Times New Roman"/>
                <w:iCs/>
              </w:rPr>
            </w:pPr>
            <w:r w:rsidRPr="00D162A5">
              <w:rPr>
                <w:rFonts w:ascii="Times New Roman" w:eastAsia="Calibri" w:hAnsi="Times New Roman" w:cs="Times New Roman"/>
                <w:bCs/>
              </w:rPr>
              <w:t>Izvor podataka:</w:t>
            </w:r>
          </w:p>
        </w:tc>
      </w:tr>
      <w:tr w:rsidR="00D162A5" w:rsidRPr="00D162A5" w14:paraId="0999FA89" w14:textId="77777777" w:rsidTr="00E26EE8">
        <w:trPr>
          <w:trHeight w:val="384"/>
        </w:trPr>
        <w:tc>
          <w:tcPr>
            <w:tcW w:w="850" w:type="dxa"/>
          </w:tcPr>
          <w:p w14:paraId="79E895E2" w14:textId="77777777" w:rsidR="00FC358B" w:rsidRPr="00D162A5" w:rsidRDefault="00FC358B" w:rsidP="00E26EE8">
            <w:pPr>
              <w:jc w:val="both"/>
              <w:rPr>
                <w:rFonts w:ascii="Times New Roman" w:eastAsia="Calibri" w:hAnsi="Times New Roman" w:cs="Times New Roman"/>
                <w:bCs/>
              </w:rPr>
            </w:pPr>
          </w:p>
        </w:tc>
        <w:tc>
          <w:tcPr>
            <w:tcW w:w="9073" w:type="dxa"/>
          </w:tcPr>
          <w:p w14:paraId="6ACB055F" w14:textId="77777777" w:rsidR="00FC358B" w:rsidRPr="00D162A5" w:rsidRDefault="00FC358B" w:rsidP="00E26EE8">
            <w:pPr>
              <w:contextualSpacing/>
              <w:jc w:val="both"/>
              <w:rPr>
                <w:rFonts w:ascii="Times New Roman" w:eastAsia="Calibri" w:hAnsi="Times New Roman" w:cs="Times New Roman"/>
                <w:iCs/>
              </w:rPr>
            </w:pPr>
            <w:r w:rsidRPr="00D162A5">
              <w:rPr>
                <w:rFonts w:ascii="Times New Roman" w:hAnsi="Times New Roman" w:cs="Times New Roman"/>
              </w:rPr>
              <w:t>Ministarstvo pravosuđa, uprave i digitalne transformacije</w:t>
            </w:r>
          </w:p>
        </w:tc>
      </w:tr>
    </w:tbl>
    <w:p w14:paraId="5BB2EF9E" w14:textId="77777777" w:rsidR="00A94C12" w:rsidRPr="00D162A5" w:rsidRDefault="00A94C12"/>
    <w:p w14:paraId="0F15B271" w14:textId="192FA862" w:rsidR="00A94C12" w:rsidRPr="00D162A5" w:rsidRDefault="00A94C12" w:rsidP="00D162A5">
      <w:pPr>
        <w:pStyle w:val="Naslov1"/>
        <w:rPr>
          <w:rFonts w:ascii="Times New Roman" w:hAnsi="Times New Roman" w:cs="Times New Roman"/>
          <w:color w:val="auto"/>
          <w:sz w:val="24"/>
          <w:szCs w:val="24"/>
        </w:rPr>
      </w:pPr>
      <w:r w:rsidRPr="00D162A5">
        <w:rPr>
          <w:rFonts w:ascii="Times New Roman" w:hAnsi="Times New Roman" w:cs="Times New Roman"/>
          <w:color w:val="auto"/>
          <w:sz w:val="24"/>
          <w:szCs w:val="24"/>
        </w:rPr>
        <w:t>4. UTVRĐIVANJE UČINAKA I ADRESATA</w:t>
      </w:r>
    </w:p>
    <w:tbl>
      <w:tblPr>
        <w:tblStyle w:val="TableGrid1"/>
        <w:tblW w:w="9923" w:type="dxa"/>
        <w:tblInd w:w="-289" w:type="dxa"/>
        <w:tblLayout w:type="fixed"/>
        <w:tblLook w:val="04A0" w:firstRow="1" w:lastRow="0" w:firstColumn="1" w:lastColumn="0" w:noHBand="0" w:noVBand="1"/>
      </w:tblPr>
      <w:tblGrid>
        <w:gridCol w:w="850"/>
        <w:gridCol w:w="4254"/>
        <w:gridCol w:w="4819"/>
      </w:tblGrid>
      <w:tr w:rsidR="00D162A5" w:rsidRPr="00D162A5" w14:paraId="50F848FF" w14:textId="77777777" w:rsidTr="00E26EE8">
        <w:trPr>
          <w:trHeight w:val="608"/>
        </w:trPr>
        <w:tc>
          <w:tcPr>
            <w:tcW w:w="850" w:type="dxa"/>
          </w:tcPr>
          <w:p w14:paraId="0F78D396" w14:textId="77777777" w:rsidR="00FC358B" w:rsidRPr="00D162A5" w:rsidRDefault="00FC358B" w:rsidP="00E26EE8">
            <w:pPr>
              <w:jc w:val="both"/>
              <w:rPr>
                <w:rFonts w:ascii="Times New Roman" w:eastAsia="Calibri" w:hAnsi="Times New Roman" w:cs="Times New Roman"/>
              </w:rPr>
            </w:pPr>
            <w:r w:rsidRPr="00D162A5">
              <w:rPr>
                <w:rFonts w:ascii="Times New Roman" w:eastAsia="Calibri" w:hAnsi="Times New Roman" w:cs="Times New Roman"/>
              </w:rPr>
              <w:t>4.1.</w:t>
            </w:r>
          </w:p>
        </w:tc>
        <w:tc>
          <w:tcPr>
            <w:tcW w:w="9073" w:type="dxa"/>
            <w:gridSpan w:val="2"/>
          </w:tcPr>
          <w:p w14:paraId="2959CE87" w14:textId="77777777" w:rsidR="00FC358B" w:rsidRPr="00D162A5" w:rsidRDefault="00FC358B" w:rsidP="00E26EE8">
            <w:pPr>
              <w:jc w:val="both"/>
              <w:rPr>
                <w:rFonts w:ascii="Times New Roman" w:eastAsia="Calibri" w:hAnsi="Times New Roman" w:cs="Times New Roman"/>
              </w:rPr>
            </w:pPr>
            <w:r w:rsidRPr="00D162A5">
              <w:rPr>
                <w:rFonts w:ascii="Times New Roman" w:eastAsia="Calibri" w:hAnsi="Times New Roman" w:cs="Times New Roman"/>
              </w:rPr>
              <w:t>Posebni cilj:</w:t>
            </w:r>
          </w:p>
          <w:p w14:paraId="7554CAE2" w14:textId="77777777" w:rsidR="00FC358B" w:rsidRPr="00D162A5" w:rsidRDefault="00FC358B" w:rsidP="00E26EE8">
            <w:pPr>
              <w:jc w:val="both"/>
              <w:rPr>
                <w:rFonts w:ascii="Times New Roman" w:eastAsia="Calibri" w:hAnsi="Times New Roman" w:cs="Times New Roman"/>
              </w:rPr>
            </w:pPr>
            <w:r w:rsidRPr="00D162A5">
              <w:rPr>
                <w:rFonts w:ascii="Times New Roman" w:eastAsia="Calibri" w:hAnsi="Times New Roman" w:cs="Times New Roman"/>
              </w:rPr>
              <w:t>Cilj Zakona je prvenstveno provedba presude Suda Europske unije u spojenim predmetima C-554/21, C-622/21 i C-727/21 FINA protiv HANN-INVEST d.o.o., MINERAL-SEKULINE d.o.o. i UDRUGA KHL MEDVEŠČAK ZAGREB od 11. srpnja 2024. odnosno revidirati važeća normativna rješenja Zakona o sudovima kojima je uređena obvezatnost pravnih shvaćanja sjednica sudaca i sudskih odjela, kao i ispunjenje preporuka nadležnih tijela Organizacije za gospodarsku suradnju i razvoj u postupku pristupanja Republike Hrvatske Organizaciji za gospodarsku suradnju i razvoj.</w:t>
            </w:r>
          </w:p>
        </w:tc>
      </w:tr>
      <w:tr w:rsidR="00D162A5" w:rsidRPr="00D162A5" w14:paraId="21CE1763" w14:textId="77777777" w:rsidTr="00E26EE8">
        <w:trPr>
          <w:trHeight w:val="335"/>
        </w:trPr>
        <w:tc>
          <w:tcPr>
            <w:tcW w:w="850" w:type="dxa"/>
          </w:tcPr>
          <w:p w14:paraId="60153314" w14:textId="77777777" w:rsidR="00FC358B" w:rsidRPr="00D162A5" w:rsidRDefault="00FC358B" w:rsidP="00E26EE8">
            <w:pPr>
              <w:jc w:val="both"/>
              <w:rPr>
                <w:rFonts w:ascii="Times New Roman" w:eastAsia="Calibri" w:hAnsi="Times New Roman" w:cs="Times New Roman"/>
              </w:rPr>
            </w:pPr>
            <w:r w:rsidRPr="00D162A5">
              <w:rPr>
                <w:rFonts w:ascii="Times New Roman" w:eastAsia="Calibri" w:hAnsi="Times New Roman" w:cs="Times New Roman"/>
              </w:rPr>
              <w:t>4.1.1.</w:t>
            </w:r>
          </w:p>
        </w:tc>
        <w:tc>
          <w:tcPr>
            <w:tcW w:w="4254" w:type="dxa"/>
          </w:tcPr>
          <w:p w14:paraId="28557B4E" w14:textId="77777777" w:rsidR="00FC358B" w:rsidRPr="00D162A5" w:rsidRDefault="00FC358B" w:rsidP="00E26EE8">
            <w:pPr>
              <w:jc w:val="both"/>
              <w:rPr>
                <w:rFonts w:ascii="Times New Roman" w:eastAsia="Calibri" w:hAnsi="Times New Roman" w:cs="Times New Roman"/>
              </w:rPr>
            </w:pPr>
            <w:r w:rsidRPr="00D162A5">
              <w:rPr>
                <w:rFonts w:ascii="Times New Roman" w:eastAsia="Calibri" w:hAnsi="Times New Roman" w:cs="Times New Roman"/>
              </w:rPr>
              <w:t>Učinci na gospodarstvo:</w:t>
            </w:r>
          </w:p>
        </w:tc>
        <w:tc>
          <w:tcPr>
            <w:tcW w:w="4819" w:type="dxa"/>
          </w:tcPr>
          <w:p w14:paraId="72682E88" w14:textId="77777777" w:rsidR="00FC358B" w:rsidRPr="00D162A5" w:rsidRDefault="00FC358B" w:rsidP="00E26EE8">
            <w:pPr>
              <w:jc w:val="both"/>
              <w:rPr>
                <w:rFonts w:ascii="Times New Roman" w:eastAsia="Calibri" w:hAnsi="Times New Roman" w:cs="Times New Roman"/>
              </w:rPr>
            </w:pPr>
            <w:r w:rsidRPr="00D162A5">
              <w:rPr>
                <w:rFonts w:ascii="Times New Roman" w:eastAsia="Calibri" w:hAnsi="Times New Roman" w:cs="Times New Roman"/>
              </w:rPr>
              <w:t>Adresati:</w:t>
            </w:r>
          </w:p>
        </w:tc>
      </w:tr>
      <w:tr w:rsidR="00D162A5" w:rsidRPr="00D162A5" w14:paraId="72B892B0" w14:textId="77777777" w:rsidTr="00E26EE8">
        <w:trPr>
          <w:trHeight w:val="335"/>
        </w:trPr>
        <w:tc>
          <w:tcPr>
            <w:tcW w:w="850" w:type="dxa"/>
          </w:tcPr>
          <w:p w14:paraId="7A63EDBA" w14:textId="77777777" w:rsidR="00FC358B" w:rsidRPr="00D162A5" w:rsidRDefault="00FC358B" w:rsidP="00E26EE8">
            <w:pPr>
              <w:jc w:val="both"/>
              <w:rPr>
                <w:rFonts w:ascii="Times New Roman" w:eastAsia="Calibri" w:hAnsi="Times New Roman" w:cs="Times New Roman"/>
              </w:rPr>
            </w:pPr>
          </w:p>
        </w:tc>
        <w:tc>
          <w:tcPr>
            <w:tcW w:w="4254" w:type="dxa"/>
          </w:tcPr>
          <w:p w14:paraId="66A404AF" w14:textId="77777777" w:rsidR="00FC358B" w:rsidRPr="00D162A5" w:rsidRDefault="00FC358B" w:rsidP="00E26EE8">
            <w:pPr>
              <w:jc w:val="both"/>
              <w:rPr>
                <w:rFonts w:ascii="Times New Roman" w:hAnsi="Times New Roman" w:cs="Times New Roman"/>
              </w:rPr>
            </w:pPr>
            <w:r w:rsidRPr="00D162A5">
              <w:rPr>
                <w:rFonts w:ascii="Times New Roman" w:hAnsi="Times New Roman" w:cs="Times New Roman"/>
              </w:rPr>
              <w:t xml:space="preserve">Nisu utvrđeni učinci iz članka 10. Uredbe. </w:t>
            </w:r>
          </w:p>
        </w:tc>
        <w:tc>
          <w:tcPr>
            <w:tcW w:w="4819" w:type="dxa"/>
          </w:tcPr>
          <w:p w14:paraId="3D54A130" w14:textId="77777777" w:rsidR="00FC358B" w:rsidRPr="00D162A5" w:rsidRDefault="00FC358B" w:rsidP="00E26EE8">
            <w:pPr>
              <w:jc w:val="both"/>
              <w:rPr>
                <w:rFonts w:ascii="Times New Roman" w:eastAsia="Calibri" w:hAnsi="Times New Roman" w:cs="Times New Roman"/>
                <w:i/>
              </w:rPr>
            </w:pPr>
            <w:r w:rsidRPr="00D162A5">
              <w:rPr>
                <w:rFonts w:ascii="Times New Roman" w:hAnsi="Times New Roman" w:cs="Times New Roman"/>
              </w:rPr>
              <w:t>Nisu utvrđeni adresati iz članka 14. Uredbe.</w:t>
            </w:r>
          </w:p>
        </w:tc>
      </w:tr>
      <w:tr w:rsidR="00D162A5" w:rsidRPr="00D162A5" w14:paraId="63CB7BD8" w14:textId="77777777" w:rsidTr="00E26EE8">
        <w:trPr>
          <w:trHeight w:val="360"/>
        </w:trPr>
        <w:tc>
          <w:tcPr>
            <w:tcW w:w="850" w:type="dxa"/>
          </w:tcPr>
          <w:p w14:paraId="2DE06B7D" w14:textId="77777777" w:rsidR="00FC358B" w:rsidRPr="00D162A5" w:rsidRDefault="00FC358B" w:rsidP="00E26EE8">
            <w:pPr>
              <w:jc w:val="both"/>
              <w:rPr>
                <w:rFonts w:ascii="Times New Roman" w:eastAsia="Calibri" w:hAnsi="Times New Roman" w:cs="Times New Roman"/>
              </w:rPr>
            </w:pPr>
            <w:r w:rsidRPr="00D162A5">
              <w:rPr>
                <w:rFonts w:ascii="Times New Roman" w:eastAsia="Calibri" w:hAnsi="Times New Roman" w:cs="Times New Roman"/>
              </w:rPr>
              <w:t>4.1.2.</w:t>
            </w:r>
          </w:p>
        </w:tc>
        <w:tc>
          <w:tcPr>
            <w:tcW w:w="4254" w:type="dxa"/>
          </w:tcPr>
          <w:p w14:paraId="15887680" w14:textId="77777777" w:rsidR="00FC358B" w:rsidRPr="00D162A5" w:rsidRDefault="00FC358B" w:rsidP="00E26EE8">
            <w:pPr>
              <w:jc w:val="both"/>
              <w:rPr>
                <w:rFonts w:ascii="Times New Roman" w:eastAsia="Calibri" w:hAnsi="Times New Roman" w:cs="Times New Roman"/>
              </w:rPr>
            </w:pPr>
            <w:r w:rsidRPr="00D162A5">
              <w:rPr>
                <w:rFonts w:ascii="Times New Roman" w:eastAsia="Calibri" w:hAnsi="Times New Roman" w:cs="Times New Roman"/>
              </w:rPr>
              <w:t>Učinci na održivi razvoj:</w:t>
            </w:r>
          </w:p>
        </w:tc>
        <w:tc>
          <w:tcPr>
            <w:tcW w:w="4819" w:type="dxa"/>
          </w:tcPr>
          <w:p w14:paraId="2F36C90B" w14:textId="77777777" w:rsidR="00FC358B" w:rsidRPr="00D162A5" w:rsidRDefault="00FC358B" w:rsidP="00E26EE8">
            <w:pPr>
              <w:jc w:val="both"/>
              <w:rPr>
                <w:rFonts w:ascii="Times New Roman" w:eastAsia="Calibri" w:hAnsi="Times New Roman" w:cs="Times New Roman"/>
              </w:rPr>
            </w:pPr>
            <w:r w:rsidRPr="00D162A5">
              <w:rPr>
                <w:rFonts w:ascii="Times New Roman" w:eastAsia="Calibri" w:hAnsi="Times New Roman" w:cs="Times New Roman"/>
              </w:rPr>
              <w:t>Adresati:</w:t>
            </w:r>
          </w:p>
        </w:tc>
      </w:tr>
      <w:tr w:rsidR="00D162A5" w:rsidRPr="00D162A5" w14:paraId="7648E720" w14:textId="77777777" w:rsidTr="00E26EE8">
        <w:trPr>
          <w:trHeight w:val="360"/>
        </w:trPr>
        <w:tc>
          <w:tcPr>
            <w:tcW w:w="850" w:type="dxa"/>
          </w:tcPr>
          <w:p w14:paraId="105AE6F0" w14:textId="77777777" w:rsidR="00FC358B" w:rsidRPr="00D162A5" w:rsidRDefault="00FC358B" w:rsidP="00E26EE8">
            <w:pPr>
              <w:jc w:val="both"/>
              <w:rPr>
                <w:rFonts w:ascii="Times New Roman" w:eastAsia="Calibri" w:hAnsi="Times New Roman" w:cs="Times New Roman"/>
              </w:rPr>
            </w:pPr>
          </w:p>
        </w:tc>
        <w:tc>
          <w:tcPr>
            <w:tcW w:w="4254" w:type="dxa"/>
          </w:tcPr>
          <w:p w14:paraId="0A5A3405" w14:textId="77777777" w:rsidR="00FC358B" w:rsidRPr="00D162A5" w:rsidRDefault="00FC358B" w:rsidP="00E26EE8">
            <w:pPr>
              <w:jc w:val="both"/>
              <w:rPr>
                <w:rFonts w:ascii="Times New Roman" w:eastAsia="Calibri" w:hAnsi="Times New Roman" w:cs="Times New Roman"/>
                <w:i/>
              </w:rPr>
            </w:pPr>
            <w:r w:rsidRPr="00D162A5">
              <w:rPr>
                <w:rFonts w:ascii="Times New Roman" w:hAnsi="Times New Roman" w:cs="Times New Roman"/>
              </w:rPr>
              <w:t xml:space="preserve">Nisu utvrđeni učinci iz članka 11. Uredbe. </w:t>
            </w:r>
          </w:p>
        </w:tc>
        <w:tc>
          <w:tcPr>
            <w:tcW w:w="4819" w:type="dxa"/>
          </w:tcPr>
          <w:p w14:paraId="418A6B73" w14:textId="77777777" w:rsidR="00FC358B" w:rsidRPr="00D162A5" w:rsidRDefault="00FC358B" w:rsidP="00E26EE8">
            <w:pPr>
              <w:jc w:val="both"/>
              <w:rPr>
                <w:rFonts w:ascii="Times New Roman" w:eastAsia="Calibri" w:hAnsi="Times New Roman" w:cs="Times New Roman"/>
                <w:i/>
              </w:rPr>
            </w:pPr>
            <w:r w:rsidRPr="00D162A5">
              <w:rPr>
                <w:rFonts w:ascii="Times New Roman" w:hAnsi="Times New Roman" w:cs="Times New Roman"/>
              </w:rPr>
              <w:t>Nisu utvrđeni adresati iz članka 14. Uredbe.</w:t>
            </w:r>
          </w:p>
        </w:tc>
      </w:tr>
      <w:tr w:rsidR="00D162A5" w:rsidRPr="00D162A5" w14:paraId="7284FB0D" w14:textId="77777777" w:rsidTr="00E26EE8">
        <w:trPr>
          <w:trHeight w:val="328"/>
        </w:trPr>
        <w:tc>
          <w:tcPr>
            <w:tcW w:w="850" w:type="dxa"/>
          </w:tcPr>
          <w:p w14:paraId="65D7BA59" w14:textId="77777777" w:rsidR="00FC358B" w:rsidRPr="00D162A5" w:rsidRDefault="00FC358B" w:rsidP="00E26EE8">
            <w:pPr>
              <w:jc w:val="both"/>
              <w:rPr>
                <w:rFonts w:ascii="Times New Roman" w:eastAsia="Calibri" w:hAnsi="Times New Roman" w:cs="Times New Roman"/>
              </w:rPr>
            </w:pPr>
            <w:r w:rsidRPr="00D162A5">
              <w:rPr>
                <w:rFonts w:ascii="Times New Roman" w:eastAsia="Calibri" w:hAnsi="Times New Roman" w:cs="Times New Roman"/>
              </w:rPr>
              <w:t>4.1.3.</w:t>
            </w:r>
          </w:p>
        </w:tc>
        <w:tc>
          <w:tcPr>
            <w:tcW w:w="4254" w:type="dxa"/>
          </w:tcPr>
          <w:p w14:paraId="2014CEC3" w14:textId="77777777" w:rsidR="00FC358B" w:rsidRPr="00D162A5" w:rsidRDefault="00FC358B" w:rsidP="00E26EE8">
            <w:pPr>
              <w:jc w:val="both"/>
              <w:rPr>
                <w:rFonts w:ascii="Times New Roman" w:eastAsia="Calibri" w:hAnsi="Times New Roman" w:cs="Times New Roman"/>
              </w:rPr>
            </w:pPr>
            <w:r w:rsidRPr="00D162A5">
              <w:rPr>
                <w:rFonts w:ascii="Times New Roman" w:eastAsia="Calibri" w:hAnsi="Times New Roman" w:cs="Times New Roman"/>
              </w:rPr>
              <w:t>Učinci na socijalnu skrb:</w:t>
            </w:r>
          </w:p>
        </w:tc>
        <w:tc>
          <w:tcPr>
            <w:tcW w:w="4819" w:type="dxa"/>
          </w:tcPr>
          <w:p w14:paraId="594CCDEE" w14:textId="77777777" w:rsidR="00FC358B" w:rsidRPr="00D162A5" w:rsidRDefault="00FC358B" w:rsidP="00E26EE8">
            <w:pPr>
              <w:jc w:val="both"/>
              <w:rPr>
                <w:rFonts w:ascii="Times New Roman" w:eastAsia="Calibri" w:hAnsi="Times New Roman" w:cs="Times New Roman"/>
              </w:rPr>
            </w:pPr>
            <w:r w:rsidRPr="00D162A5">
              <w:rPr>
                <w:rFonts w:ascii="Times New Roman" w:eastAsia="Calibri" w:hAnsi="Times New Roman" w:cs="Times New Roman"/>
              </w:rPr>
              <w:t>Adresati:</w:t>
            </w:r>
          </w:p>
        </w:tc>
      </w:tr>
      <w:tr w:rsidR="00D162A5" w:rsidRPr="00D162A5" w14:paraId="621AB85C" w14:textId="77777777" w:rsidTr="00E26EE8">
        <w:trPr>
          <w:trHeight w:val="328"/>
        </w:trPr>
        <w:tc>
          <w:tcPr>
            <w:tcW w:w="850" w:type="dxa"/>
          </w:tcPr>
          <w:p w14:paraId="72A00886" w14:textId="77777777" w:rsidR="00FC358B" w:rsidRPr="00D162A5" w:rsidRDefault="00FC358B" w:rsidP="00E26EE8">
            <w:pPr>
              <w:jc w:val="both"/>
              <w:rPr>
                <w:rFonts w:ascii="Times New Roman" w:eastAsia="Calibri" w:hAnsi="Times New Roman" w:cs="Times New Roman"/>
              </w:rPr>
            </w:pPr>
          </w:p>
        </w:tc>
        <w:tc>
          <w:tcPr>
            <w:tcW w:w="4254" w:type="dxa"/>
          </w:tcPr>
          <w:p w14:paraId="0073DE9D" w14:textId="77777777" w:rsidR="00FC358B" w:rsidRPr="00D162A5" w:rsidRDefault="00FC358B" w:rsidP="00E26EE8">
            <w:pPr>
              <w:jc w:val="both"/>
              <w:rPr>
                <w:rFonts w:ascii="Times New Roman" w:eastAsia="Calibri" w:hAnsi="Times New Roman" w:cs="Times New Roman"/>
                <w:i/>
              </w:rPr>
            </w:pPr>
            <w:r w:rsidRPr="00D162A5">
              <w:rPr>
                <w:rFonts w:ascii="Times New Roman" w:hAnsi="Times New Roman" w:cs="Times New Roman"/>
              </w:rPr>
              <w:t xml:space="preserve">Nisu utvrđeni učinci iz članka 12. Uredbe. </w:t>
            </w:r>
          </w:p>
        </w:tc>
        <w:tc>
          <w:tcPr>
            <w:tcW w:w="4819" w:type="dxa"/>
          </w:tcPr>
          <w:p w14:paraId="782FF018" w14:textId="77777777" w:rsidR="00FC358B" w:rsidRPr="00D162A5" w:rsidRDefault="00FC358B" w:rsidP="00E26EE8">
            <w:pPr>
              <w:jc w:val="both"/>
              <w:rPr>
                <w:rFonts w:ascii="Times New Roman" w:eastAsia="Calibri" w:hAnsi="Times New Roman" w:cs="Times New Roman"/>
                <w:i/>
              </w:rPr>
            </w:pPr>
            <w:r w:rsidRPr="00D162A5">
              <w:rPr>
                <w:rFonts w:ascii="Times New Roman" w:hAnsi="Times New Roman" w:cs="Times New Roman"/>
              </w:rPr>
              <w:t>Nisu utvrđeni adresati iz članka 14. Uredbe.</w:t>
            </w:r>
          </w:p>
        </w:tc>
      </w:tr>
      <w:tr w:rsidR="00D162A5" w:rsidRPr="00D162A5" w14:paraId="75979E1F" w14:textId="77777777" w:rsidTr="00E26EE8">
        <w:trPr>
          <w:trHeight w:val="366"/>
        </w:trPr>
        <w:tc>
          <w:tcPr>
            <w:tcW w:w="850" w:type="dxa"/>
          </w:tcPr>
          <w:p w14:paraId="361F9F87" w14:textId="77777777" w:rsidR="00FC358B" w:rsidRPr="00D162A5" w:rsidRDefault="00FC358B" w:rsidP="00E26EE8">
            <w:pPr>
              <w:jc w:val="both"/>
              <w:rPr>
                <w:rFonts w:ascii="Times New Roman" w:eastAsia="Calibri" w:hAnsi="Times New Roman" w:cs="Times New Roman"/>
              </w:rPr>
            </w:pPr>
            <w:r w:rsidRPr="00D162A5">
              <w:rPr>
                <w:rFonts w:ascii="Times New Roman" w:eastAsia="Calibri" w:hAnsi="Times New Roman" w:cs="Times New Roman"/>
              </w:rPr>
              <w:t>4.1.4.</w:t>
            </w:r>
          </w:p>
        </w:tc>
        <w:tc>
          <w:tcPr>
            <w:tcW w:w="4254" w:type="dxa"/>
          </w:tcPr>
          <w:p w14:paraId="7637CC6A" w14:textId="77777777" w:rsidR="00FC358B" w:rsidRPr="00D162A5" w:rsidRDefault="00FC358B" w:rsidP="00E26EE8">
            <w:pPr>
              <w:jc w:val="both"/>
              <w:rPr>
                <w:rFonts w:ascii="Times New Roman" w:eastAsia="Calibri" w:hAnsi="Times New Roman" w:cs="Times New Roman"/>
              </w:rPr>
            </w:pPr>
            <w:r w:rsidRPr="00D162A5">
              <w:rPr>
                <w:rFonts w:ascii="Times New Roman" w:eastAsia="Calibri" w:hAnsi="Times New Roman" w:cs="Times New Roman"/>
              </w:rPr>
              <w:t>Učinci na zaštitu ljudskih prava:</w:t>
            </w:r>
          </w:p>
        </w:tc>
        <w:tc>
          <w:tcPr>
            <w:tcW w:w="4819" w:type="dxa"/>
          </w:tcPr>
          <w:p w14:paraId="55A9FE8F" w14:textId="77777777" w:rsidR="00FC358B" w:rsidRPr="00D162A5" w:rsidRDefault="00FC358B" w:rsidP="00E26EE8">
            <w:pPr>
              <w:jc w:val="both"/>
              <w:rPr>
                <w:rFonts w:ascii="Times New Roman" w:eastAsia="Calibri" w:hAnsi="Times New Roman" w:cs="Times New Roman"/>
              </w:rPr>
            </w:pPr>
            <w:r w:rsidRPr="00D162A5">
              <w:rPr>
                <w:rFonts w:ascii="Times New Roman" w:eastAsia="Calibri" w:hAnsi="Times New Roman" w:cs="Times New Roman"/>
              </w:rPr>
              <w:t>Adresati:</w:t>
            </w:r>
          </w:p>
        </w:tc>
      </w:tr>
      <w:tr w:rsidR="00D162A5" w:rsidRPr="00D162A5" w14:paraId="4E52BD0D" w14:textId="77777777" w:rsidTr="00E26EE8">
        <w:trPr>
          <w:trHeight w:val="366"/>
        </w:trPr>
        <w:tc>
          <w:tcPr>
            <w:tcW w:w="850" w:type="dxa"/>
          </w:tcPr>
          <w:p w14:paraId="5499F3DC" w14:textId="77777777" w:rsidR="00FC358B" w:rsidRPr="00D162A5" w:rsidRDefault="00FC358B" w:rsidP="00E26EE8">
            <w:pPr>
              <w:jc w:val="both"/>
              <w:rPr>
                <w:rFonts w:ascii="Times New Roman" w:eastAsia="Calibri" w:hAnsi="Times New Roman" w:cs="Times New Roman"/>
              </w:rPr>
            </w:pPr>
          </w:p>
        </w:tc>
        <w:tc>
          <w:tcPr>
            <w:tcW w:w="4254" w:type="dxa"/>
          </w:tcPr>
          <w:p w14:paraId="312D2EA4" w14:textId="77777777" w:rsidR="00FC358B" w:rsidRPr="00D162A5" w:rsidRDefault="00FC358B" w:rsidP="00E26EE8">
            <w:pPr>
              <w:jc w:val="both"/>
              <w:rPr>
                <w:rFonts w:ascii="Times New Roman" w:eastAsia="Calibri" w:hAnsi="Times New Roman" w:cs="Times New Roman"/>
                <w:iCs/>
              </w:rPr>
            </w:pPr>
            <w:r w:rsidRPr="00D162A5">
              <w:rPr>
                <w:rFonts w:ascii="Times New Roman" w:eastAsia="Calibri" w:hAnsi="Times New Roman" w:cs="Times New Roman"/>
                <w:iCs/>
              </w:rPr>
              <w:t>Nisu utvrđeni učinci iz članka 13. Uredbe</w:t>
            </w:r>
          </w:p>
        </w:tc>
        <w:tc>
          <w:tcPr>
            <w:tcW w:w="4819" w:type="dxa"/>
          </w:tcPr>
          <w:p w14:paraId="2D631CC0" w14:textId="77777777" w:rsidR="00FC358B" w:rsidRPr="00D162A5" w:rsidRDefault="00FC358B" w:rsidP="00E26EE8">
            <w:pPr>
              <w:jc w:val="both"/>
              <w:rPr>
                <w:rFonts w:ascii="Times New Roman" w:eastAsia="Calibri" w:hAnsi="Times New Roman" w:cs="Times New Roman"/>
                <w:i/>
              </w:rPr>
            </w:pPr>
            <w:r w:rsidRPr="00D162A5">
              <w:rPr>
                <w:rFonts w:ascii="Times New Roman" w:hAnsi="Times New Roman" w:cs="Times New Roman"/>
              </w:rPr>
              <w:t>Nisu utvrđeni adresati iz članka 14. Uredbe</w:t>
            </w:r>
          </w:p>
        </w:tc>
      </w:tr>
      <w:tr w:rsidR="00D162A5" w:rsidRPr="00D162A5" w14:paraId="42531064" w14:textId="77777777" w:rsidTr="00E26EE8">
        <w:trPr>
          <w:trHeight w:val="319"/>
        </w:trPr>
        <w:tc>
          <w:tcPr>
            <w:tcW w:w="850" w:type="dxa"/>
          </w:tcPr>
          <w:p w14:paraId="572B8A9E" w14:textId="77777777" w:rsidR="00FC358B" w:rsidRPr="00D162A5" w:rsidRDefault="00FC358B" w:rsidP="00E26EE8">
            <w:pPr>
              <w:jc w:val="both"/>
              <w:rPr>
                <w:rFonts w:ascii="Times New Roman" w:eastAsia="Calibri" w:hAnsi="Times New Roman" w:cs="Times New Roman"/>
              </w:rPr>
            </w:pPr>
            <w:r w:rsidRPr="00D162A5">
              <w:rPr>
                <w:rFonts w:ascii="Times New Roman" w:eastAsia="Calibri" w:hAnsi="Times New Roman" w:cs="Times New Roman"/>
              </w:rPr>
              <w:t>4.1.5.</w:t>
            </w:r>
          </w:p>
        </w:tc>
        <w:tc>
          <w:tcPr>
            <w:tcW w:w="4254" w:type="dxa"/>
          </w:tcPr>
          <w:p w14:paraId="3C71A2A5" w14:textId="77777777" w:rsidR="00FC358B" w:rsidRPr="00D162A5" w:rsidRDefault="00FC358B" w:rsidP="00E26EE8">
            <w:pPr>
              <w:jc w:val="both"/>
              <w:rPr>
                <w:rFonts w:ascii="Times New Roman" w:eastAsia="Calibri" w:hAnsi="Times New Roman" w:cs="Times New Roman"/>
              </w:rPr>
            </w:pPr>
            <w:r w:rsidRPr="00D162A5">
              <w:rPr>
                <w:rFonts w:ascii="Times New Roman" w:eastAsia="Calibri" w:hAnsi="Times New Roman" w:cs="Times New Roman"/>
              </w:rPr>
              <w:t>Učinci na druga područja:</w:t>
            </w:r>
          </w:p>
        </w:tc>
        <w:tc>
          <w:tcPr>
            <w:tcW w:w="4819" w:type="dxa"/>
          </w:tcPr>
          <w:p w14:paraId="6E796636" w14:textId="77777777" w:rsidR="00FC358B" w:rsidRPr="00D162A5" w:rsidRDefault="00FC358B" w:rsidP="00E26EE8">
            <w:pPr>
              <w:jc w:val="both"/>
              <w:rPr>
                <w:rFonts w:ascii="Times New Roman" w:eastAsia="Calibri" w:hAnsi="Times New Roman" w:cs="Times New Roman"/>
              </w:rPr>
            </w:pPr>
            <w:r w:rsidRPr="00D162A5">
              <w:rPr>
                <w:rFonts w:ascii="Times New Roman" w:eastAsia="Calibri" w:hAnsi="Times New Roman" w:cs="Times New Roman"/>
              </w:rPr>
              <w:t>Adresati:</w:t>
            </w:r>
          </w:p>
        </w:tc>
      </w:tr>
      <w:tr w:rsidR="00D162A5" w:rsidRPr="00D162A5" w14:paraId="68445A60" w14:textId="77777777" w:rsidTr="00E26EE8">
        <w:trPr>
          <w:trHeight w:val="319"/>
        </w:trPr>
        <w:tc>
          <w:tcPr>
            <w:tcW w:w="850" w:type="dxa"/>
          </w:tcPr>
          <w:p w14:paraId="07A8A007" w14:textId="77777777" w:rsidR="00FC358B" w:rsidRPr="00D162A5" w:rsidRDefault="00FC358B" w:rsidP="00E26EE8">
            <w:pPr>
              <w:jc w:val="both"/>
              <w:rPr>
                <w:rFonts w:ascii="Times New Roman" w:eastAsia="Calibri" w:hAnsi="Times New Roman" w:cs="Times New Roman"/>
              </w:rPr>
            </w:pPr>
          </w:p>
        </w:tc>
        <w:tc>
          <w:tcPr>
            <w:tcW w:w="4254" w:type="dxa"/>
          </w:tcPr>
          <w:p w14:paraId="6B0FDBE5" w14:textId="77777777" w:rsidR="00FC358B" w:rsidRPr="00D162A5" w:rsidRDefault="00FC358B" w:rsidP="00E26EE8">
            <w:pPr>
              <w:jc w:val="both"/>
              <w:rPr>
                <w:rFonts w:ascii="Times New Roman" w:eastAsia="Calibri" w:hAnsi="Times New Roman" w:cs="Times New Roman"/>
                <w:iCs/>
              </w:rPr>
            </w:pPr>
            <w:r w:rsidRPr="00D162A5">
              <w:rPr>
                <w:rFonts w:ascii="Times New Roman" w:eastAsia="Calibri" w:hAnsi="Times New Roman" w:cs="Times New Roman"/>
                <w:iCs/>
              </w:rPr>
              <w:t>Predložene izmjene imat će pozitivne učinke na učinkovitost i kvalitetu rada sudova, a posredno i pravosudnog sustava u cijelosti.</w:t>
            </w:r>
          </w:p>
        </w:tc>
        <w:tc>
          <w:tcPr>
            <w:tcW w:w="4819" w:type="dxa"/>
          </w:tcPr>
          <w:p w14:paraId="7F3D286A" w14:textId="2A9FA58D" w:rsidR="00FC358B" w:rsidRPr="00D162A5" w:rsidRDefault="00FC358B" w:rsidP="00FC358B">
            <w:pPr>
              <w:jc w:val="both"/>
              <w:rPr>
                <w:rFonts w:ascii="Times New Roman" w:eastAsia="Calibri" w:hAnsi="Times New Roman" w:cs="Times New Roman"/>
                <w:iCs/>
              </w:rPr>
            </w:pPr>
            <w:r w:rsidRPr="00D162A5">
              <w:rPr>
                <w:rFonts w:ascii="Times New Roman" w:eastAsia="Calibri" w:hAnsi="Times New Roman" w:cs="Times New Roman"/>
                <w:iCs/>
              </w:rPr>
              <w:t>Sudski dužnosnici, sudski savjetnici, službenici pravosudne policije.</w:t>
            </w:r>
          </w:p>
        </w:tc>
      </w:tr>
    </w:tbl>
    <w:p w14:paraId="7A9F767B" w14:textId="77777777" w:rsidR="00A94C12" w:rsidRPr="00D162A5" w:rsidRDefault="00A94C12"/>
    <w:p w14:paraId="3454F83A" w14:textId="4872E884" w:rsidR="00A94C12" w:rsidRPr="00D162A5" w:rsidRDefault="00A94C12" w:rsidP="00D162A5">
      <w:pPr>
        <w:pStyle w:val="Naslov1"/>
        <w:rPr>
          <w:rFonts w:ascii="Times New Roman" w:hAnsi="Times New Roman" w:cs="Times New Roman"/>
          <w:color w:val="auto"/>
          <w:sz w:val="24"/>
          <w:szCs w:val="24"/>
        </w:rPr>
      </w:pPr>
      <w:r w:rsidRPr="00D162A5">
        <w:rPr>
          <w:rFonts w:ascii="Times New Roman" w:hAnsi="Times New Roman" w:cs="Times New Roman"/>
          <w:color w:val="auto"/>
          <w:sz w:val="24"/>
          <w:szCs w:val="24"/>
        </w:rPr>
        <w:t>5. ANALIZA UTVRĐENIH UČINAKA I ADRESATA</w:t>
      </w:r>
    </w:p>
    <w:tbl>
      <w:tblPr>
        <w:tblStyle w:val="TableGrid1"/>
        <w:tblW w:w="9923" w:type="dxa"/>
        <w:tblInd w:w="-289" w:type="dxa"/>
        <w:tblLayout w:type="fixed"/>
        <w:tblLook w:val="04A0" w:firstRow="1" w:lastRow="0" w:firstColumn="1" w:lastColumn="0" w:noHBand="0" w:noVBand="1"/>
      </w:tblPr>
      <w:tblGrid>
        <w:gridCol w:w="850"/>
        <w:gridCol w:w="9073"/>
      </w:tblGrid>
      <w:tr w:rsidR="00D162A5" w:rsidRPr="00D162A5" w14:paraId="50C73F04" w14:textId="77777777" w:rsidTr="00E26EE8">
        <w:tc>
          <w:tcPr>
            <w:tcW w:w="850" w:type="dxa"/>
          </w:tcPr>
          <w:p w14:paraId="6733911E" w14:textId="77777777" w:rsidR="00FC358B" w:rsidRPr="00D162A5" w:rsidRDefault="00FC358B" w:rsidP="00E26EE8">
            <w:pPr>
              <w:rPr>
                <w:rFonts w:ascii="Times New Roman" w:eastAsia="Calibri" w:hAnsi="Times New Roman" w:cs="Times New Roman"/>
              </w:rPr>
            </w:pPr>
            <w:r w:rsidRPr="00D162A5">
              <w:rPr>
                <w:rFonts w:ascii="Times New Roman" w:eastAsia="Calibri" w:hAnsi="Times New Roman" w:cs="Times New Roman"/>
              </w:rPr>
              <w:t>5.1.</w:t>
            </w:r>
          </w:p>
        </w:tc>
        <w:tc>
          <w:tcPr>
            <w:tcW w:w="9073" w:type="dxa"/>
          </w:tcPr>
          <w:p w14:paraId="40532535" w14:textId="77777777" w:rsidR="00FC358B" w:rsidRPr="00D162A5" w:rsidRDefault="00FC358B" w:rsidP="00E26EE8">
            <w:pPr>
              <w:tabs>
                <w:tab w:val="left" w:pos="5625"/>
              </w:tabs>
              <w:rPr>
                <w:rFonts w:ascii="Times New Roman" w:eastAsia="Calibri" w:hAnsi="Times New Roman" w:cs="Times New Roman"/>
                <w:bCs/>
              </w:rPr>
            </w:pPr>
            <w:r w:rsidRPr="00D162A5">
              <w:rPr>
                <w:rFonts w:ascii="Times New Roman" w:eastAsia="Calibri" w:hAnsi="Times New Roman" w:cs="Times New Roman"/>
                <w:bCs/>
              </w:rPr>
              <w:t>Analiza učinaka i adresata u području gospodarstva:</w:t>
            </w:r>
          </w:p>
        </w:tc>
      </w:tr>
      <w:tr w:rsidR="00D162A5" w:rsidRPr="00D162A5" w14:paraId="396C5FFA" w14:textId="77777777" w:rsidTr="00E26EE8">
        <w:tc>
          <w:tcPr>
            <w:tcW w:w="850" w:type="dxa"/>
          </w:tcPr>
          <w:p w14:paraId="06C9515A" w14:textId="77777777" w:rsidR="00FC358B" w:rsidRPr="00D162A5" w:rsidRDefault="00FC358B" w:rsidP="00E26EE8">
            <w:pPr>
              <w:jc w:val="both"/>
              <w:rPr>
                <w:rFonts w:ascii="Times New Roman" w:eastAsia="Calibri" w:hAnsi="Times New Roman" w:cs="Times New Roman"/>
              </w:rPr>
            </w:pPr>
          </w:p>
        </w:tc>
        <w:tc>
          <w:tcPr>
            <w:tcW w:w="9073" w:type="dxa"/>
          </w:tcPr>
          <w:p w14:paraId="74429573" w14:textId="77777777" w:rsidR="00FC358B" w:rsidRPr="00D162A5" w:rsidRDefault="00FC358B" w:rsidP="00E26EE8">
            <w:pPr>
              <w:jc w:val="both"/>
              <w:rPr>
                <w:rFonts w:ascii="Times New Roman" w:eastAsia="Calibri" w:hAnsi="Times New Roman" w:cs="Times New Roman"/>
                <w:bCs/>
                <w:iCs/>
              </w:rPr>
            </w:pPr>
            <w:r w:rsidRPr="00D162A5">
              <w:rPr>
                <w:rFonts w:ascii="Times New Roman" w:eastAsia="Calibri" w:hAnsi="Times New Roman" w:cs="Times New Roman"/>
                <w:bCs/>
                <w:iCs/>
              </w:rPr>
              <w:t>Analiza učinaka i adresata ne provodi se jer nisu utvrđeni učinci niti adresati Nacrta prijedloga zakona.</w:t>
            </w:r>
          </w:p>
        </w:tc>
      </w:tr>
      <w:tr w:rsidR="00D162A5" w:rsidRPr="00D162A5" w14:paraId="77031680" w14:textId="77777777" w:rsidTr="00E26EE8">
        <w:tc>
          <w:tcPr>
            <w:tcW w:w="850" w:type="dxa"/>
          </w:tcPr>
          <w:p w14:paraId="0DAAD5C3" w14:textId="77777777" w:rsidR="00FC358B" w:rsidRPr="00D162A5" w:rsidRDefault="00FC358B" w:rsidP="00E26EE8">
            <w:pPr>
              <w:rPr>
                <w:rFonts w:ascii="Times New Roman" w:eastAsia="Calibri" w:hAnsi="Times New Roman" w:cs="Times New Roman"/>
              </w:rPr>
            </w:pPr>
            <w:r w:rsidRPr="00D162A5">
              <w:rPr>
                <w:rFonts w:ascii="Times New Roman" w:eastAsia="Calibri" w:hAnsi="Times New Roman" w:cs="Times New Roman"/>
              </w:rPr>
              <w:t>5.2.</w:t>
            </w:r>
          </w:p>
        </w:tc>
        <w:tc>
          <w:tcPr>
            <w:tcW w:w="9073" w:type="dxa"/>
          </w:tcPr>
          <w:p w14:paraId="6DD74871" w14:textId="77777777" w:rsidR="00FC358B" w:rsidRPr="00D162A5" w:rsidRDefault="00FC358B" w:rsidP="00E26EE8">
            <w:pPr>
              <w:rPr>
                <w:rFonts w:ascii="Times New Roman" w:eastAsia="Calibri" w:hAnsi="Times New Roman" w:cs="Times New Roman"/>
                <w:bCs/>
              </w:rPr>
            </w:pPr>
            <w:r w:rsidRPr="00D162A5">
              <w:rPr>
                <w:rFonts w:ascii="Times New Roman" w:eastAsia="Calibri" w:hAnsi="Times New Roman" w:cs="Times New Roman"/>
                <w:bCs/>
              </w:rPr>
              <w:t>Analiza učinaka i adresata u području održivog razvoja:</w:t>
            </w:r>
          </w:p>
        </w:tc>
      </w:tr>
      <w:tr w:rsidR="00D162A5" w:rsidRPr="00D162A5" w14:paraId="17489F9B" w14:textId="77777777" w:rsidTr="00E26EE8">
        <w:tc>
          <w:tcPr>
            <w:tcW w:w="850" w:type="dxa"/>
          </w:tcPr>
          <w:p w14:paraId="4C832BA7" w14:textId="77777777" w:rsidR="00FC358B" w:rsidRPr="00D162A5" w:rsidRDefault="00FC358B" w:rsidP="00E26EE8">
            <w:pPr>
              <w:rPr>
                <w:rFonts w:ascii="Times New Roman" w:eastAsia="Calibri" w:hAnsi="Times New Roman" w:cs="Times New Roman"/>
              </w:rPr>
            </w:pPr>
          </w:p>
        </w:tc>
        <w:tc>
          <w:tcPr>
            <w:tcW w:w="9073" w:type="dxa"/>
            <w:shd w:val="clear" w:color="auto" w:fill="auto"/>
          </w:tcPr>
          <w:p w14:paraId="5F2E88F2" w14:textId="77777777" w:rsidR="00FC358B" w:rsidRPr="00D162A5" w:rsidRDefault="00FC358B" w:rsidP="00E26EE8">
            <w:pPr>
              <w:jc w:val="both"/>
              <w:rPr>
                <w:rFonts w:ascii="Times New Roman" w:eastAsia="Calibri" w:hAnsi="Times New Roman" w:cs="Times New Roman"/>
                <w:bCs/>
              </w:rPr>
            </w:pPr>
            <w:r w:rsidRPr="00D162A5">
              <w:rPr>
                <w:rFonts w:ascii="Times New Roman" w:eastAsia="Calibri" w:hAnsi="Times New Roman" w:cs="Times New Roman"/>
                <w:bCs/>
              </w:rPr>
              <w:t>Analiza učinaka i adresata ne provodi se jer nisu utvrđeni učinci niti adresati Nacrta prijedloga zakona.</w:t>
            </w:r>
          </w:p>
        </w:tc>
      </w:tr>
      <w:tr w:rsidR="00D162A5" w:rsidRPr="00D162A5" w14:paraId="2F01B653" w14:textId="77777777" w:rsidTr="00E26EE8">
        <w:tc>
          <w:tcPr>
            <w:tcW w:w="850" w:type="dxa"/>
          </w:tcPr>
          <w:p w14:paraId="581FC22B" w14:textId="77777777" w:rsidR="00FC358B" w:rsidRPr="00D162A5" w:rsidRDefault="00FC358B" w:rsidP="00E26EE8">
            <w:pPr>
              <w:rPr>
                <w:rFonts w:ascii="Times New Roman" w:eastAsia="Calibri" w:hAnsi="Times New Roman" w:cs="Times New Roman"/>
              </w:rPr>
            </w:pPr>
            <w:r w:rsidRPr="00D162A5">
              <w:rPr>
                <w:rFonts w:ascii="Times New Roman" w:eastAsia="Calibri" w:hAnsi="Times New Roman" w:cs="Times New Roman"/>
              </w:rPr>
              <w:t>5.3.</w:t>
            </w:r>
          </w:p>
        </w:tc>
        <w:tc>
          <w:tcPr>
            <w:tcW w:w="9073" w:type="dxa"/>
          </w:tcPr>
          <w:p w14:paraId="5568C2B0" w14:textId="77777777" w:rsidR="00FC358B" w:rsidRPr="00D162A5" w:rsidRDefault="00FC358B" w:rsidP="00E26EE8">
            <w:pPr>
              <w:rPr>
                <w:rFonts w:ascii="Times New Roman" w:eastAsia="Calibri" w:hAnsi="Times New Roman" w:cs="Times New Roman"/>
                <w:bCs/>
              </w:rPr>
            </w:pPr>
            <w:r w:rsidRPr="00D162A5">
              <w:rPr>
                <w:rFonts w:ascii="Times New Roman" w:eastAsia="Calibri" w:hAnsi="Times New Roman" w:cs="Times New Roman"/>
                <w:bCs/>
              </w:rPr>
              <w:t>Analiza učinaka i adresata u području socijalne skrbi:</w:t>
            </w:r>
          </w:p>
        </w:tc>
      </w:tr>
      <w:tr w:rsidR="00D162A5" w:rsidRPr="00D162A5" w14:paraId="06D0DD76" w14:textId="77777777" w:rsidTr="00E26EE8">
        <w:trPr>
          <w:trHeight w:val="269"/>
        </w:trPr>
        <w:tc>
          <w:tcPr>
            <w:tcW w:w="850" w:type="dxa"/>
          </w:tcPr>
          <w:p w14:paraId="6FBC6691" w14:textId="77777777" w:rsidR="00FC358B" w:rsidRPr="00D162A5" w:rsidRDefault="00FC358B" w:rsidP="00E26EE8">
            <w:pPr>
              <w:rPr>
                <w:rFonts w:ascii="Times New Roman" w:eastAsia="Calibri" w:hAnsi="Times New Roman" w:cs="Times New Roman"/>
              </w:rPr>
            </w:pPr>
          </w:p>
        </w:tc>
        <w:tc>
          <w:tcPr>
            <w:tcW w:w="9073" w:type="dxa"/>
            <w:shd w:val="clear" w:color="auto" w:fill="auto"/>
          </w:tcPr>
          <w:p w14:paraId="29B7AF67" w14:textId="77777777" w:rsidR="00FC358B" w:rsidRPr="00D162A5" w:rsidRDefault="00FC358B" w:rsidP="00E26EE8">
            <w:pPr>
              <w:jc w:val="both"/>
              <w:rPr>
                <w:rFonts w:ascii="Times New Roman" w:eastAsia="Calibri" w:hAnsi="Times New Roman" w:cs="Times New Roman"/>
              </w:rPr>
            </w:pPr>
            <w:r w:rsidRPr="00D162A5">
              <w:rPr>
                <w:rFonts w:ascii="Times New Roman" w:eastAsia="Calibri" w:hAnsi="Times New Roman" w:cs="Times New Roman"/>
              </w:rPr>
              <w:t>Analiza učinaka i adresata ne provodi se jer nisu utvrđeni učinci niti adresati Nacrta prijedloga zakona.</w:t>
            </w:r>
          </w:p>
        </w:tc>
      </w:tr>
      <w:tr w:rsidR="00D162A5" w:rsidRPr="00D162A5" w14:paraId="7B801C21" w14:textId="77777777" w:rsidTr="00E26EE8">
        <w:tc>
          <w:tcPr>
            <w:tcW w:w="850" w:type="dxa"/>
          </w:tcPr>
          <w:p w14:paraId="15CC9F95" w14:textId="77777777" w:rsidR="00FC358B" w:rsidRPr="00D162A5" w:rsidRDefault="00FC358B" w:rsidP="00E26EE8">
            <w:pPr>
              <w:rPr>
                <w:rFonts w:ascii="Times New Roman" w:eastAsia="Calibri" w:hAnsi="Times New Roman" w:cs="Times New Roman"/>
              </w:rPr>
            </w:pPr>
            <w:r w:rsidRPr="00D162A5">
              <w:rPr>
                <w:rFonts w:ascii="Times New Roman" w:eastAsia="Calibri" w:hAnsi="Times New Roman" w:cs="Times New Roman"/>
              </w:rPr>
              <w:t>5.4.</w:t>
            </w:r>
          </w:p>
        </w:tc>
        <w:tc>
          <w:tcPr>
            <w:tcW w:w="9073" w:type="dxa"/>
          </w:tcPr>
          <w:p w14:paraId="6612D4F1" w14:textId="77777777" w:rsidR="00FC358B" w:rsidRPr="00D162A5" w:rsidRDefault="00FC358B" w:rsidP="00E26EE8">
            <w:pPr>
              <w:rPr>
                <w:rFonts w:ascii="Times New Roman" w:eastAsia="Calibri" w:hAnsi="Times New Roman" w:cs="Times New Roman"/>
                <w:bCs/>
              </w:rPr>
            </w:pPr>
            <w:r w:rsidRPr="00D162A5">
              <w:rPr>
                <w:rFonts w:ascii="Times New Roman" w:eastAsia="Calibri" w:hAnsi="Times New Roman" w:cs="Times New Roman"/>
                <w:bCs/>
              </w:rPr>
              <w:t>Analiza učinaka i adresata u području zaštite ljudskih prava:</w:t>
            </w:r>
          </w:p>
        </w:tc>
      </w:tr>
      <w:tr w:rsidR="00D162A5" w:rsidRPr="00D162A5" w14:paraId="40C70D1C" w14:textId="77777777" w:rsidTr="00E26EE8">
        <w:trPr>
          <w:trHeight w:val="354"/>
        </w:trPr>
        <w:tc>
          <w:tcPr>
            <w:tcW w:w="850" w:type="dxa"/>
          </w:tcPr>
          <w:p w14:paraId="7CC4247B" w14:textId="77777777" w:rsidR="00FC358B" w:rsidRPr="00D162A5" w:rsidRDefault="00FC358B" w:rsidP="00E26EE8">
            <w:pPr>
              <w:rPr>
                <w:rFonts w:ascii="Times New Roman" w:eastAsia="Calibri" w:hAnsi="Times New Roman" w:cs="Times New Roman"/>
              </w:rPr>
            </w:pPr>
          </w:p>
        </w:tc>
        <w:tc>
          <w:tcPr>
            <w:tcW w:w="9073" w:type="dxa"/>
            <w:shd w:val="clear" w:color="auto" w:fill="auto"/>
          </w:tcPr>
          <w:p w14:paraId="0BB884B0" w14:textId="77777777" w:rsidR="00FC358B" w:rsidRPr="00D162A5" w:rsidRDefault="00FC358B" w:rsidP="00E26EE8">
            <w:pPr>
              <w:jc w:val="both"/>
              <w:rPr>
                <w:rFonts w:ascii="Times New Roman" w:eastAsia="Calibri" w:hAnsi="Times New Roman" w:cs="Times New Roman"/>
              </w:rPr>
            </w:pPr>
            <w:r w:rsidRPr="00D162A5">
              <w:rPr>
                <w:rFonts w:ascii="Times New Roman" w:eastAsia="Calibri" w:hAnsi="Times New Roman" w:cs="Times New Roman"/>
              </w:rPr>
              <w:t>Analiza učinaka i adresata ne provodi se jer nisu utvrđeni učinci niti adresati Nacrta prijedloga zakona.</w:t>
            </w:r>
          </w:p>
        </w:tc>
      </w:tr>
      <w:tr w:rsidR="00D162A5" w:rsidRPr="00D162A5" w14:paraId="26E10015" w14:textId="77777777" w:rsidTr="00E26EE8">
        <w:trPr>
          <w:trHeight w:val="354"/>
        </w:trPr>
        <w:tc>
          <w:tcPr>
            <w:tcW w:w="850" w:type="dxa"/>
          </w:tcPr>
          <w:p w14:paraId="2F4EB55A" w14:textId="77777777" w:rsidR="00FC358B" w:rsidRPr="00D162A5" w:rsidRDefault="00FC358B" w:rsidP="00E26EE8">
            <w:pPr>
              <w:rPr>
                <w:rFonts w:ascii="Times New Roman" w:eastAsia="Calibri" w:hAnsi="Times New Roman" w:cs="Times New Roman"/>
              </w:rPr>
            </w:pPr>
            <w:r w:rsidRPr="00D162A5">
              <w:rPr>
                <w:rFonts w:ascii="Times New Roman" w:eastAsia="Calibri" w:hAnsi="Times New Roman" w:cs="Times New Roman"/>
              </w:rPr>
              <w:t>5.5.</w:t>
            </w:r>
          </w:p>
        </w:tc>
        <w:tc>
          <w:tcPr>
            <w:tcW w:w="9073" w:type="dxa"/>
            <w:shd w:val="clear" w:color="auto" w:fill="auto"/>
          </w:tcPr>
          <w:p w14:paraId="799010CA" w14:textId="77777777" w:rsidR="00FC358B" w:rsidRPr="00D162A5" w:rsidRDefault="00FC358B" w:rsidP="00E26EE8">
            <w:pPr>
              <w:jc w:val="both"/>
              <w:rPr>
                <w:rFonts w:ascii="Times New Roman" w:eastAsia="Calibri" w:hAnsi="Times New Roman" w:cs="Times New Roman"/>
              </w:rPr>
            </w:pPr>
            <w:r w:rsidRPr="00D162A5">
              <w:rPr>
                <w:rFonts w:ascii="Times New Roman" w:eastAsia="Calibri" w:hAnsi="Times New Roman" w:cs="Times New Roman"/>
                <w:bCs/>
              </w:rPr>
              <w:t xml:space="preserve">Analiza učinaka i adresata u drugim područjima: </w:t>
            </w:r>
          </w:p>
        </w:tc>
      </w:tr>
      <w:tr w:rsidR="00D162A5" w:rsidRPr="00D162A5" w14:paraId="1183ED57" w14:textId="77777777" w:rsidTr="00E26EE8">
        <w:trPr>
          <w:trHeight w:val="354"/>
        </w:trPr>
        <w:tc>
          <w:tcPr>
            <w:tcW w:w="850" w:type="dxa"/>
          </w:tcPr>
          <w:p w14:paraId="20CCF248" w14:textId="77777777" w:rsidR="00FC358B" w:rsidRPr="00D162A5" w:rsidRDefault="00FC358B" w:rsidP="00E26EE8">
            <w:pPr>
              <w:rPr>
                <w:rFonts w:ascii="Times New Roman" w:eastAsia="Calibri" w:hAnsi="Times New Roman" w:cs="Times New Roman"/>
              </w:rPr>
            </w:pPr>
          </w:p>
        </w:tc>
        <w:tc>
          <w:tcPr>
            <w:tcW w:w="9073" w:type="dxa"/>
            <w:shd w:val="clear" w:color="auto" w:fill="auto"/>
          </w:tcPr>
          <w:p w14:paraId="71778706" w14:textId="55328277" w:rsidR="00FC358B" w:rsidRPr="00D162A5" w:rsidRDefault="00FC358B" w:rsidP="00E26EE8">
            <w:pPr>
              <w:jc w:val="both"/>
              <w:rPr>
                <w:rFonts w:ascii="Times New Roman" w:eastAsia="Calibri" w:hAnsi="Times New Roman" w:cs="Times New Roman"/>
              </w:rPr>
            </w:pPr>
            <w:r w:rsidRPr="00D162A5">
              <w:rPr>
                <w:rFonts w:ascii="Times New Roman" w:eastAsia="Calibri" w:hAnsi="Times New Roman" w:cs="Times New Roman"/>
              </w:rPr>
              <w:t>Predložene izmjene usmjerene su prvenstveno na suce i sudske savjetnike, a odrazit će se na poslovne procese unutar suda, što će u konačnici rezultirati povećanjem učinkovitosti rada sudbene vlasti, a time i većom učinkovitošću i kvalitetom pružene pravne zaštite.</w:t>
            </w:r>
          </w:p>
        </w:tc>
      </w:tr>
      <w:tr w:rsidR="00D162A5" w:rsidRPr="00D162A5" w14:paraId="0A490176" w14:textId="77777777" w:rsidTr="00E26EE8">
        <w:trPr>
          <w:trHeight w:val="354"/>
        </w:trPr>
        <w:tc>
          <w:tcPr>
            <w:tcW w:w="850" w:type="dxa"/>
          </w:tcPr>
          <w:p w14:paraId="0D34D556" w14:textId="77777777" w:rsidR="00FC358B" w:rsidRPr="00D162A5" w:rsidRDefault="00FC358B" w:rsidP="00E26EE8">
            <w:pPr>
              <w:rPr>
                <w:rFonts w:ascii="Times New Roman" w:eastAsia="Calibri" w:hAnsi="Times New Roman" w:cs="Times New Roman"/>
              </w:rPr>
            </w:pPr>
            <w:r w:rsidRPr="00D162A5">
              <w:rPr>
                <w:rFonts w:ascii="Times New Roman" w:eastAsia="Calibri" w:hAnsi="Times New Roman" w:cs="Times New Roman"/>
              </w:rPr>
              <w:t>5.6.</w:t>
            </w:r>
          </w:p>
        </w:tc>
        <w:tc>
          <w:tcPr>
            <w:tcW w:w="9073" w:type="dxa"/>
            <w:shd w:val="clear" w:color="auto" w:fill="auto"/>
          </w:tcPr>
          <w:p w14:paraId="3EE8F698" w14:textId="77777777" w:rsidR="00FC358B" w:rsidRPr="00D162A5" w:rsidRDefault="00FC358B" w:rsidP="00E26EE8">
            <w:pPr>
              <w:jc w:val="both"/>
              <w:rPr>
                <w:rFonts w:ascii="Times New Roman" w:eastAsia="Calibri" w:hAnsi="Times New Roman" w:cs="Times New Roman"/>
              </w:rPr>
            </w:pPr>
            <w:r w:rsidRPr="00D162A5">
              <w:rPr>
                <w:rFonts w:ascii="Times New Roman" w:eastAsia="Calibri" w:hAnsi="Times New Roman" w:cs="Times New Roman"/>
              </w:rPr>
              <w:t>Izvor podataka:</w:t>
            </w:r>
          </w:p>
        </w:tc>
      </w:tr>
      <w:tr w:rsidR="00D162A5" w:rsidRPr="00D162A5" w14:paraId="67C4F561" w14:textId="77777777" w:rsidTr="00E26EE8">
        <w:trPr>
          <w:trHeight w:val="354"/>
        </w:trPr>
        <w:tc>
          <w:tcPr>
            <w:tcW w:w="850" w:type="dxa"/>
          </w:tcPr>
          <w:p w14:paraId="2DC9AFFC" w14:textId="77777777" w:rsidR="00FC358B" w:rsidRPr="00D162A5" w:rsidRDefault="00FC358B" w:rsidP="00E26EE8">
            <w:pPr>
              <w:rPr>
                <w:rFonts w:ascii="Times New Roman" w:eastAsia="Calibri" w:hAnsi="Times New Roman" w:cs="Times New Roman"/>
              </w:rPr>
            </w:pPr>
          </w:p>
        </w:tc>
        <w:tc>
          <w:tcPr>
            <w:tcW w:w="9073" w:type="dxa"/>
            <w:shd w:val="clear" w:color="auto" w:fill="auto"/>
          </w:tcPr>
          <w:p w14:paraId="2D711F27" w14:textId="77777777" w:rsidR="00FC358B" w:rsidRPr="00D162A5" w:rsidRDefault="00FC358B" w:rsidP="00E26EE8">
            <w:pPr>
              <w:jc w:val="both"/>
              <w:rPr>
                <w:rFonts w:ascii="Times New Roman" w:eastAsia="Calibri" w:hAnsi="Times New Roman" w:cs="Times New Roman"/>
              </w:rPr>
            </w:pPr>
            <w:r w:rsidRPr="00D162A5">
              <w:rPr>
                <w:rFonts w:ascii="Times New Roman" w:hAnsi="Times New Roman" w:cs="Times New Roman"/>
              </w:rPr>
              <w:t>Ministarstvo pravosuđa, uprave i digitalne transformacije</w:t>
            </w:r>
          </w:p>
        </w:tc>
      </w:tr>
    </w:tbl>
    <w:p w14:paraId="52915713" w14:textId="77777777" w:rsidR="00A94C12" w:rsidRPr="00D162A5" w:rsidRDefault="00A94C12"/>
    <w:p w14:paraId="02ACBE69" w14:textId="4375AE78" w:rsidR="00A94C12" w:rsidRPr="00D162A5" w:rsidRDefault="00A94C12" w:rsidP="00D162A5">
      <w:pPr>
        <w:pStyle w:val="Naslov1"/>
        <w:rPr>
          <w:rFonts w:ascii="Times New Roman" w:hAnsi="Times New Roman" w:cs="Times New Roman"/>
          <w:color w:val="auto"/>
          <w:sz w:val="24"/>
          <w:szCs w:val="24"/>
        </w:rPr>
      </w:pPr>
      <w:r w:rsidRPr="00D162A5">
        <w:rPr>
          <w:rFonts w:ascii="Times New Roman" w:hAnsi="Times New Roman" w:cs="Times New Roman"/>
          <w:color w:val="auto"/>
          <w:sz w:val="24"/>
          <w:szCs w:val="24"/>
        </w:rPr>
        <w:t>6. SAVJETOVANJE I KONZULTACIJE</w:t>
      </w:r>
    </w:p>
    <w:tbl>
      <w:tblPr>
        <w:tblStyle w:val="TableGrid1"/>
        <w:tblW w:w="9923" w:type="dxa"/>
        <w:tblInd w:w="-289" w:type="dxa"/>
        <w:tblLayout w:type="fixed"/>
        <w:tblLook w:val="04A0" w:firstRow="1" w:lastRow="0" w:firstColumn="1" w:lastColumn="0" w:noHBand="0" w:noVBand="1"/>
      </w:tblPr>
      <w:tblGrid>
        <w:gridCol w:w="850"/>
        <w:gridCol w:w="9073"/>
      </w:tblGrid>
      <w:tr w:rsidR="00D162A5" w:rsidRPr="00D162A5" w14:paraId="1E925637" w14:textId="77777777" w:rsidTr="00E26EE8">
        <w:tc>
          <w:tcPr>
            <w:tcW w:w="850" w:type="dxa"/>
          </w:tcPr>
          <w:p w14:paraId="0918582E" w14:textId="77777777" w:rsidR="00FC358B" w:rsidRPr="00D162A5" w:rsidRDefault="00FC358B" w:rsidP="00E26EE8">
            <w:pPr>
              <w:rPr>
                <w:rFonts w:ascii="Times New Roman" w:eastAsia="Calibri" w:hAnsi="Times New Roman" w:cs="Times New Roman"/>
              </w:rPr>
            </w:pPr>
            <w:r w:rsidRPr="00D162A5">
              <w:rPr>
                <w:rFonts w:ascii="Times New Roman" w:eastAsia="Calibri" w:hAnsi="Times New Roman" w:cs="Times New Roman"/>
              </w:rPr>
              <w:t>6.1.</w:t>
            </w:r>
          </w:p>
        </w:tc>
        <w:tc>
          <w:tcPr>
            <w:tcW w:w="9073" w:type="dxa"/>
          </w:tcPr>
          <w:p w14:paraId="05FB8E64" w14:textId="77777777" w:rsidR="00FC358B" w:rsidRPr="00D162A5" w:rsidRDefault="00FC358B" w:rsidP="00E26EE8">
            <w:pPr>
              <w:rPr>
                <w:rFonts w:ascii="Times New Roman" w:eastAsia="Calibri" w:hAnsi="Times New Roman" w:cs="Times New Roman"/>
                <w:bCs/>
              </w:rPr>
            </w:pPr>
            <w:r w:rsidRPr="00D162A5">
              <w:rPr>
                <w:rFonts w:ascii="Times New Roman" w:eastAsia="Calibri" w:hAnsi="Times New Roman" w:cs="Times New Roman"/>
                <w:bCs/>
              </w:rPr>
              <w:t>Savjetovanje:</w:t>
            </w:r>
          </w:p>
        </w:tc>
      </w:tr>
      <w:tr w:rsidR="00D162A5" w:rsidRPr="00D162A5" w14:paraId="38A42508" w14:textId="77777777" w:rsidTr="00E26EE8">
        <w:trPr>
          <w:trHeight w:val="425"/>
        </w:trPr>
        <w:tc>
          <w:tcPr>
            <w:tcW w:w="850" w:type="dxa"/>
          </w:tcPr>
          <w:p w14:paraId="6F02452F" w14:textId="77777777" w:rsidR="00FC358B" w:rsidRPr="00D162A5" w:rsidRDefault="00FC358B" w:rsidP="00E26EE8">
            <w:pPr>
              <w:rPr>
                <w:rFonts w:ascii="Times New Roman" w:eastAsia="Calibri" w:hAnsi="Times New Roman" w:cs="Times New Roman"/>
              </w:rPr>
            </w:pPr>
            <w:r w:rsidRPr="00D162A5">
              <w:rPr>
                <w:rFonts w:ascii="Times New Roman" w:eastAsia="Calibri" w:hAnsi="Times New Roman" w:cs="Times New Roman"/>
              </w:rPr>
              <w:t>6.2.</w:t>
            </w:r>
          </w:p>
        </w:tc>
        <w:tc>
          <w:tcPr>
            <w:tcW w:w="9073" w:type="dxa"/>
            <w:shd w:val="clear" w:color="auto" w:fill="auto"/>
          </w:tcPr>
          <w:p w14:paraId="452507AC" w14:textId="77777777" w:rsidR="00FC358B" w:rsidRPr="00D162A5" w:rsidRDefault="00FC358B" w:rsidP="00E26EE8">
            <w:pPr>
              <w:contextualSpacing/>
              <w:jc w:val="both"/>
              <w:rPr>
                <w:rFonts w:ascii="Times New Roman" w:eastAsia="Calibri" w:hAnsi="Times New Roman" w:cs="Times New Roman"/>
              </w:rPr>
            </w:pPr>
            <w:r w:rsidRPr="00D162A5">
              <w:rPr>
                <w:rFonts w:ascii="Times New Roman" w:eastAsia="Calibri" w:hAnsi="Times New Roman" w:cs="Times New Roman"/>
              </w:rPr>
              <w:t>Konzultacije:</w:t>
            </w:r>
          </w:p>
        </w:tc>
      </w:tr>
    </w:tbl>
    <w:p w14:paraId="2CC660A0" w14:textId="77777777" w:rsidR="00A94C12" w:rsidRPr="00D162A5" w:rsidRDefault="00A94C12"/>
    <w:p w14:paraId="09F4E4AA" w14:textId="753AC41B" w:rsidR="00A94C12" w:rsidRPr="00D162A5" w:rsidRDefault="00A94C12" w:rsidP="00D162A5">
      <w:pPr>
        <w:pStyle w:val="Naslov1"/>
        <w:rPr>
          <w:rFonts w:ascii="Times New Roman" w:hAnsi="Times New Roman" w:cs="Times New Roman"/>
          <w:color w:val="auto"/>
          <w:sz w:val="24"/>
          <w:szCs w:val="24"/>
        </w:rPr>
      </w:pPr>
      <w:r w:rsidRPr="00D162A5">
        <w:rPr>
          <w:rFonts w:ascii="Times New Roman" w:hAnsi="Times New Roman" w:cs="Times New Roman"/>
          <w:color w:val="auto"/>
          <w:sz w:val="24"/>
          <w:szCs w:val="24"/>
        </w:rPr>
        <w:t>7. ZAKLJUČAK</w:t>
      </w:r>
    </w:p>
    <w:tbl>
      <w:tblPr>
        <w:tblStyle w:val="TableGrid1"/>
        <w:tblW w:w="9923" w:type="dxa"/>
        <w:tblInd w:w="-289" w:type="dxa"/>
        <w:tblLayout w:type="fixed"/>
        <w:tblLook w:val="04A0" w:firstRow="1" w:lastRow="0" w:firstColumn="1" w:lastColumn="0" w:noHBand="0" w:noVBand="1"/>
      </w:tblPr>
      <w:tblGrid>
        <w:gridCol w:w="850"/>
        <w:gridCol w:w="4112"/>
        <w:gridCol w:w="4961"/>
      </w:tblGrid>
      <w:tr w:rsidR="00D162A5" w:rsidRPr="00D162A5" w14:paraId="61B2AC58" w14:textId="77777777" w:rsidTr="00E26EE8">
        <w:tc>
          <w:tcPr>
            <w:tcW w:w="850" w:type="dxa"/>
          </w:tcPr>
          <w:p w14:paraId="1AE36777" w14:textId="77777777" w:rsidR="00FC358B" w:rsidRPr="00D162A5" w:rsidRDefault="00FC358B" w:rsidP="00E26EE8">
            <w:pPr>
              <w:rPr>
                <w:rFonts w:ascii="Times New Roman" w:eastAsia="Calibri" w:hAnsi="Times New Roman" w:cs="Times New Roman"/>
              </w:rPr>
            </w:pPr>
            <w:r w:rsidRPr="00D162A5">
              <w:rPr>
                <w:rFonts w:ascii="Times New Roman" w:eastAsia="Calibri" w:hAnsi="Times New Roman" w:cs="Times New Roman"/>
              </w:rPr>
              <w:t>7.1.</w:t>
            </w:r>
          </w:p>
        </w:tc>
        <w:tc>
          <w:tcPr>
            <w:tcW w:w="4112" w:type="dxa"/>
          </w:tcPr>
          <w:p w14:paraId="210510B5" w14:textId="77777777" w:rsidR="00FC358B" w:rsidRPr="00D162A5" w:rsidRDefault="00FC358B" w:rsidP="00E26EE8">
            <w:pPr>
              <w:rPr>
                <w:rFonts w:ascii="Times New Roman" w:eastAsia="Calibri" w:hAnsi="Times New Roman" w:cs="Times New Roman"/>
              </w:rPr>
            </w:pPr>
            <w:r w:rsidRPr="00D162A5">
              <w:rPr>
                <w:rFonts w:ascii="Times New Roman" w:eastAsia="Calibri" w:hAnsi="Times New Roman" w:cs="Times New Roman"/>
              </w:rPr>
              <w:t>Pozitivni učinci:</w:t>
            </w:r>
          </w:p>
          <w:p w14:paraId="5A5EA660" w14:textId="77777777" w:rsidR="00FC358B" w:rsidRPr="00D162A5" w:rsidRDefault="00FC358B" w:rsidP="00E26EE8">
            <w:pPr>
              <w:rPr>
                <w:rFonts w:ascii="Times New Roman" w:eastAsia="Calibri" w:hAnsi="Times New Roman" w:cs="Times New Roman"/>
                <w:iCs/>
              </w:rPr>
            </w:pPr>
            <w:r w:rsidRPr="00D162A5">
              <w:rPr>
                <w:rFonts w:ascii="Times New Roman" w:eastAsia="Calibri" w:hAnsi="Times New Roman" w:cs="Times New Roman"/>
                <w:iCs/>
              </w:rPr>
              <w:t>Predloženim izmjenama omogućit će se povećanje učinkovitosti i kvalitete rada sudova.</w:t>
            </w:r>
          </w:p>
        </w:tc>
        <w:tc>
          <w:tcPr>
            <w:tcW w:w="4961" w:type="dxa"/>
          </w:tcPr>
          <w:p w14:paraId="7C219AAC" w14:textId="77777777" w:rsidR="00FC358B" w:rsidRPr="00D162A5" w:rsidRDefault="00FC358B" w:rsidP="00E26EE8">
            <w:pPr>
              <w:rPr>
                <w:rFonts w:ascii="Times New Roman" w:eastAsia="Calibri" w:hAnsi="Times New Roman" w:cs="Times New Roman"/>
              </w:rPr>
            </w:pPr>
            <w:r w:rsidRPr="00D162A5">
              <w:rPr>
                <w:rFonts w:ascii="Times New Roman" w:eastAsia="Calibri" w:hAnsi="Times New Roman" w:cs="Times New Roman"/>
              </w:rPr>
              <w:t>Negativni učinci:</w:t>
            </w:r>
          </w:p>
          <w:p w14:paraId="3037A49B" w14:textId="77777777" w:rsidR="00FC358B" w:rsidRPr="00D162A5" w:rsidRDefault="00FC358B" w:rsidP="00E26EE8">
            <w:pPr>
              <w:rPr>
                <w:rFonts w:ascii="Times New Roman" w:eastAsia="Calibri" w:hAnsi="Times New Roman" w:cs="Times New Roman"/>
              </w:rPr>
            </w:pPr>
            <w:r w:rsidRPr="00D162A5">
              <w:rPr>
                <w:rFonts w:ascii="Times New Roman" w:eastAsia="Calibri" w:hAnsi="Times New Roman" w:cs="Times New Roman"/>
              </w:rPr>
              <w:t>Ne očekuju se negativni učinci predloženih izmjena.</w:t>
            </w:r>
          </w:p>
        </w:tc>
      </w:tr>
      <w:tr w:rsidR="00D162A5" w:rsidRPr="00D162A5" w14:paraId="5FC5FC62" w14:textId="77777777" w:rsidTr="00E26EE8">
        <w:tc>
          <w:tcPr>
            <w:tcW w:w="850" w:type="dxa"/>
          </w:tcPr>
          <w:p w14:paraId="1E8A843D" w14:textId="77777777" w:rsidR="00FC358B" w:rsidRPr="00D162A5" w:rsidRDefault="00FC358B" w:rsidP="00E26EE8">
            <w:pPr>
              <w:rPr>
                <w:rFonts w:ascii="Times New Roman" w:eastAsia="Calibri" w:hAnsi="Times New Roman" w:cs="Times New Roman"/>
              </w:rPr>
            </w:pPr>
            <w:r w:rsidRPr="00D162A5">
              <w:rPr>
                <w:rFonts w:ascii="Times New Roman" w:eastAsia="Calibri" w:hAnsi="Times New Roman" w:cs="Times New Roman"/>
              </w:rPr>
              <w:t>7.2.</w:t>
            </w:r>
          </w:p>
        </w:tc>
        <w:tc>
          <w:tcPr>
            <w:tcW w:w="9073" w:type="dxa"/>
            <w:gridSpan w:val="2"/>
            <w:shd w:val="clear" w:color="auto" w:fill="auto"/>
          </w:tcPr>
          <w:p w14:paraId="42FFCA96" w14:textId="77777777" w:rsidR="00FC358B" w:rsidRPr="00D162A5" w:rsidRDefault="00FC358B" w:rsidP="00E26EE8">
            <w:pPr>
              <w:jc w:val="both"/>
              <w:rPr>
                <w:rFonts w:ascii="Times New Roman" w:eastAsia="Calibri" w:hAnsi="Times New Roman" w:cs="Times New Roman"/>
              </w:rPr>
            </w:pPr>
            <w:r w:rsidRPr="00D162A5">
              <w:rPr>
                <w:rFonts w:ascii="Times New Roman" w:eastAsia="Calibri" w:hAnsi="Times New Roman" w:cs="Times New Roman"/>
              </w:rPr>
              <w:t>Zaključak o učincima koji će proisteći iz provedbe:</w:t>
            </w:r>
          </w:p>
          <w:p w14:paraId="6A0BBFB2" w14:textId="77777777" w:rsidR="00FC358B" w:rsidRPr="00D162A5" w:rsidRDefault="00FC358B" w:rsidP="00E26EE8">
            <w:pPr>
              <w:jc w:val="both"/>
              <w:rPr>
                <w:rFonts w:ascii="Times New Roman" w:eastAsia="Calibri" w:hAnsi="Times New Roman" w:cs="Times New Roman"/>
              </w:rPr>
            </w:pPr>
            <w:r w:rsidRPr="00D162A5">
              <w:rPr>
                <w:rFonts w:ascii="Times New Roman" w:eastAsia="Calibri" w:hAnsi="Times New Roman" w:cs="Times New Roman"/>
              </w:rPr>
              <w:t>Ove izmjene rezultirat će isključivo pozitivnim učincima te osigurati učinkovitiji i kvalitetniji rad sudova.</w:t>
            </w:r>
          </w:p>
        </w:tc>
      </w:tr>
    </w:tbl>
    <w:p w14:paraId="5175A31B" w14:textId="77777777" w:rsidR="00A94C12" w:rsidRPr="00D162A5" w:rsidRDefault="00A94C12"/>
    <w:p w14:paraId="5F0EB782" w14:textId="2194ECFF" w:rsidR="00A94C12" w:rsidRPr="00D162A5" w:rsidRDefault="00A94C12" w:rsidP="00D162A5">
      <w:pPr>
        <w:pStyle w:val="Naslov1"/>
        <w:rPr>
          <w:rFonts w:ascii="Times New Roman" w:hAnsi="Times New Roman" w:cs="Times New Roman"/>
          <w:color w:val="auto"/>
          <w:sz w:val="24"/>
          <w:szCs w:val="24"/>
        </w:rPr>
      </w:pPr>
      <w:r w:rsidRPr="00D162A5">
        <w:rPr>
          <w:rFonts w:ascii="Times New Roman" w:hAnsi="Times New Roman" w:cs="Times New Roman"/>
          <w:color w:val="auto"/>
          <w:sz w:val="24"/>
          <w:szCs w:val="24"/>
        </w:rPr>
        <w:t>8. PRILOZI</w:t>
      </w:r>
    </w:p>
    <w:tbl>
      <w:tblPr>
        <w:tblStyle w:val="TableGrid1"/>
        <w:tblW w:w="9923" w:type="dxa"/>
        <w:tblInd w:w="-289" w:type="dxa"/>
        <w:tblLayout w:type="fixed"/>
        <w:tblLook w:val="04A0" w:firstRow="1" w:lastRow="0" w:firstColumn="1" w:lastColumn="0" w:noHBand="0" w:noVBand="1"/>
      </w:tblPr>
      <w:tblGrid>
        <w:gridCol w:w="850"/>
        <w:gridCol w:w="9073"/>
      </w:tblGrid>
      <w:tr w:rsidR="00D162A5" w:rsidRPr="00D162A5" w14:paraId="13E98638" w14:textId="77777777" w:rsidTr="00E26EE8">
        <w:tc>
          <w:tcPr>
            <w:tcW w:w="850" w:type="dxa"/>
          </w:tcPr>
          <w:p w14:paraId="49702AF2" w14:textId="77777777" w:rsidR="00FC358B" w:rsidRPr="00D162A5" w:rsidRDefault="00FC358B" w:rsidP="00E26EE8">
            <w:pPr>
              <w:rPr>
                <w:rFonts w:ascii="Times New Roman" w:eastAsia="Calibri" w:hAnsi="Times New Roman" w:cs="Times New Roman"/>
                <w:b/>
                <w:bCs/>
              </w:rPr>
            </w:pPr>
            <w:r w:rsidRPr="00D162A5">
              <w:rPr>
                <w:rFonts w:ascii="Times New Roman" w:eastAsia="Calibri" w:hAnsi="Times New Roman" w:cs="Times New Roman"/>
                <w:b/>
                <w:bCs/>
              </w:rPr>
              <w:t>8.</w:t>
            </w:r>
          </w:p>
        </w:tc>
        <w:tc>
          <w:tcPr>
            <w:tcW w:w="9073" w:type="dxa"/>
          </w:tcPr>
          <w:p w14:paraId="6F2C5C9B" w14:textId="2308BF05" w:rsidR="00FC358B" w:rsidRPr="00D162A5" w:rsidRDefault="00FC358B" w:rsidP="00E26EE8">
            <w:pPr>
              <w:rPr>
                <w:rFonts w:ascii="Times New Roman" w:eastAsia="Calibri" w:hAnsi="Times New Roman" w:cs="Times New Roman"/>
                <w:b/>
              </w:rPr>
            </w:pPr>
          </w:p>
        </w:tc>
      </w:tr>
      <w:tr w:rsidR="00D162A5" w:rsidRPr="00D162A5" w14:paraId="1851CCC5" w14:textId="77777777" w:rsidTr="00E26EE8">
        <w:tc>
          <w:tcPr>
            <w:tcW w:w="850" w:type="dxa"/>
          </w:tcPr>
          <w:p w14:paraId="00CED901" w14:textId="77777777" w:rsidR="00FC358B" w:rsidRPr="00D162A5" w:rsidRDefault="00FC358B" w:rsidP="00E26EE8">
            <w:pPr>
              <w:rPr>
                <w:rFonts w:ascii="Times New Roman" w:eastAsia="Calibri" w:hAnsi="Times New Roman" w:cs="Times New Roman"/>
              </w:rPr>
            </w:pPr>
            <w:r w:rsidRPr="00D162A5">
              <w:rPr>
                <w:rFonts w:ascii="Times New Roman" w:eastAsia="Calibri" w:hAnsi="Times New Roman" w:cs="Times New Roman"/>
              </w:rPr>
              <w:t>8.1</w:t>
            </w:r>
          </w:p>
        </w:tc>
        <w:tc>
          <w:tcPr>
            <w:tcW w:w="9073" w:type="dxa"/>
          </w:tcPr>
          <w:p w14:paraId="1A67B9DB" w14:textId="77777777" w:rsidR="00FC358B" w:rsidRPr="00D162A5" w:rsidRDefault="00FC358B" w:rsidP="00E26EE8">
            <w:pPr>
              <w:rPr>
                <w:rFonts w:ascii="Times New Roman" w:eastAsia="Calibri" w:hAnsi="Times New Roman" w:cs="Times New Roman"/>
                <w:bCs/>
              </w:rPr>
            </w:pPr>
            <w:r w:rsidRPr="00D162A5">
              <w:rPr>
                <w:rFonts w:ascii="Times New Roman" w:eastAsia="Calibri" w:hAnsi="Times New Roman" w:cs="Times New Roman"/>
                <w:bCs/>
              </w:rPr>
              <w:t>Dokumenti u prilogu:</w:t>
            </w:r>
          </w:p>
        </w:tc>
      </w:tr>
      <w:tr w:rsidR="00D162A5" w:rsidRPr="00D162A5" w14:paraId="4246B6AF" w14:textId="77777777" w:rsidTr="00E26EE8">
        <w:tc>
          <w:tcPr>
            <w:tcW w:w="850" w:type="dxa"/>
          </w:tcPr>
          <w:p w14:paraId="1529681D" w14:textId="77777777" w:rsidR="00FC358B" w:rsidRPr="00D162A5" w:rsidRDefault="00FC358B" w:rsidP="00E26EE8">
            <w:pPr>
              <w:rPr>
                <w:rFonts w:ascii="Times New Roman" w:eastAsia="Calibri" w:hAnsi="Times New Roman" w:cs="Times New Roman"/>
              </w:rPr>
            </w:pPr>
          </w:p>
        </w:tc>
        <w:tc>
          <w:tcPr>
            <w:tcW w:w="9073" w:type="dxa"/>
          </w:tcPr>
          <w:p w14:paraId="708BE7C0" w14:textId="77777777" w:rsidR="00FC358B" w:rsidRPr="00D162A5" w:rsidRDefault="00FC358B" w:rsidP="00E26EE8">
            <w:pPr>
              <w:rPr>
                <w:rFonts w:ascii="Times New Roman" w:eastAsia="Calibri" w:hAnsi="Times New Roman" w:cs="Times New Roman"/>
                <w:bCs/>
              </w:rPr>
            </w:pPr>
            <w:r w:rsidRPr="00D162A5">
              <w:rPr>
                <w:rFonts w:ascii="Times New Roman" w:eastAsia="Calibri" w:hAnsi="Times New Roman" w:cs="Times New Roman"/>
                <w:bCs/>
              </w:rPr>
              <w:t>Nema priloga</w:t>
            </w:r>
          </w:p>
        </w:tc>
      </w:tr>
    </w:tbl>
    <w:p w14:paraId="28FF1981" w14:textId="77777777" w:rsidR="00A94C12" w:rsidRPr="00D162A5" w:rsidRDefault="00A94C12"/>
    <w:p w14:paraId="4D6C42D8" w14:textId="4C949669" w:rsidR="00A94C12" w:rsidRPr="00D162A5" w:rsidRDefault="00A94C12" w:rsidP="00D162A5">
      <w:pPr>
        <w:pStyle w:val="Naslov1"/>
        <w:rPr>
          <w:rFonts w:ascii="Times New Roman" w:hAnsi="Times New Roman" w:cs="Times New Roman"/>
          <w:color w:val="auto"/>
          <w:sz w:val="24"/>
          <w:szCs w:val="24"/>
        </w:rPr>
      </w:pPr>
      <w:r w:rsidRPr="00D162A5">
        <w:rPr>
          <w:rFonts w:ascii="Times New Roman" w:hAnsi="Times New Roman" w:cs="Times New Roman"/>
          <w:color w:val="auto"/>
          <w:sz w:val="24"/>
          <w:szCs w:val="24"/>
        </w:rPr>
        <w:t>9. OVJERA ČELNIKA STRUČNOG NOSI</w:t>
      </w:r>
      <w:r w:rsidR="00D162A5" w:rsidRPr="00D162A5">
        <w:rPr>
          <w:rFonts w:ascii="Times New Roman" w:hAnsi="Times New Roman" w:cs="Times New Roman"/>
          <w:color w:val="auto"/>
          <w:sz w:val="24"/>
          <w:szCs w:val="24"/>
        </w:rPr>
        <w:t>TELJA</w:t>
      </w:r>
    </w:p>
    <w:tbl>
      <w:tblPr>
        <w:tblStyle w:val="TableGrid1"/>
        <w:tblW w:w="9923" w:type="dxa"/>
        <w:tblInd w:w="-289" w:type="dxa"/>
        <w:tblLayout w:type="fixed"/>
        <w:tblLook w:val="04A0" w:firstRow="1" w:lastRow="0" w:firstColumn="1" w:lastColumn="0" w:noHBand="0" w:noVBand="1"/>
      </w:tblPr>
      <w:tblGrid>
        <w:gridCol w:w="850"/>
        <w:gridCol w:w="9073"/>
      </w:tblGrid>
      <w:tr w:rsidR="00D162A5" w:rsidRPr="00D162A5" w14:paraId="185A7CD3" w14:textId="77777777" w:rsidTr="00E26EE8">
        <w:tc>
          <w:tcPr>
            <w:tcW w:w="850" w:type="dxa"/>
          </w:tcPr>
          <w:p w14:paraId="2DDB3875" w14:textId="77777777" w:rsidR="00FC358B" w:rsidRPr="00D162A5" w:rsidRDefault="00FC358B" w:rsidP="00E26EE8">
            <w:pPr>
              <w:rPr>
                <w:rFonts w:ascii="Times New Roman" w:eastAsia="Calibri" w:hAnsi="Times New Roman" w:cs="Times New Roman"/>
                <w:b/>
                <w:bCs/>
              </w:rPr>
            </w:pPr>
            <w:r w:rsidRPr="00D162A5">
              <w:rPr>
                <w:rFonts w:ascii="Times New Roman" w:eastAsia="Calibri" w:hAnsi="Times New Roman" w:cs="Times New Roman"/>
                <w:b/>
                <w:bCs/>
              </w:rPr>
              <w:t xml:space="preserve">9. </w:t>
            </w:r>
          </w:p>
        </w:tc>
        <w:tc>
          <w:tcPr>
            <w:tcW w:w="9073" w:type="dxa"/>
          </w:tcPr>
          <w:p w14:paraId="4E11B506" w14:textId="2FF5593F" w:rsidR="00FC358B" w:rsidRPr="00D162A5" w:rsidRDefault="00FC358B" w:rsidP="00E26EE8">
            <w:pPr>
              <w:rPr>
                <w:rFonts w:ascii="Times New Roman" w:eastAsia="Calibri" w:hAnsi="Times New Roman" w:cs="Times New Roman"/>
                <w:b/>
              </w:rPr>
            </w:pPr>
            <w:r w:rsidRPr="00D162A5">
              <w:rPr>
                <w:rFonts w:ascii="Times New Roman" w:eastAsia="Calibri" w:hAnsi="Times New Roman" w:cs="Times New Roman"/>
                <w:b/>
              </w:rPr>
              <w:t>TELJA</w:t>
            </w:r>
          </w:p>
        </w:tc>
      </w:tr>
      <w:tr w:rsidR="00D162A5" w:rsidRPr="00D162A5" w14:paraId="2FFF2162" w14:textId="77777777" w:rsidTr="00E26EE8">
        <w:tc>
          <w:tcPr>
            <w:tcW w:w="850" w:type="dxa"/>
          </w:tcPr>
          <w:p w14:paraId="627375BB" w14:textId="77777777" w:rsidR="00FC358B" w:rsidRPr="00D162A5" w:rsidRDefault="00FC358B" w:rsidP="00E26EE8">
            <w:pPr>
              <w:rPr>
                <w:rFonts w:ascii="Times New Roman" w:eastAsia="Calibri" w:hAnsi="Times New Roman" w:cs="Times New Roman"/>
                <w:b/>
                <w:bCs/>
              </w:rPr>
            </w:pPr>
          </w:p>
        </w:tc>
        <w:tc>
          <w:tcPr>
            <w:tcW w:w="9073" w:type="dxa"/>
          </w:tcPr>
          <w:p w14:paraId="027860ED" w14:textId="77777777" w:rsidR="00FC358B" w:rsidRPr="00D162A5" w:rsidRDefault="00FC358B" w:rsidP="00E26EE8">
            <w:pPr>
              <w:rPr>
                <w:rFonts w:ascii="Times New Roman" w:hAnsi="Times New Roman" w:cs="Times New Roman"/>
                <w:bCs/>
              </w:rPr>
            </w:pPr>
            <w:r w:rsidRPr="00D162A5">
              <w:rPr>
                <w:rFonts w:ascii="Times New Roman" w:hAnsi="Times New Roman" w:cs="Times New Roman"/>
                <w:bCs/>
              </w:rPr>
              <w:t>Potpis: Damir Habijan</w:t>
            </w:r>
          </w:p>
          <w:p w14:paraId="5F2B1D57" w14:textId="77777777" w:rsidR="00FC358B" w:rsidRPr="00D162A5" w:rsidRDefault="00FC358B" w:rsidP="00E26EE8">
            <w:pPr>
              <w:rPr>
                <w:rFonts w:ascii="Times New Roman" w:hAnsi="Times New Roman" w:cs="Times New Roman"/>
                <w:bCs/>
              </w:rPr>
            </w:pPr>
          </w:p>
          <w:p w14:paraId="14118A1F" w14:textId="77777777" w:rsidR="00FC358B" w:rsidRPr="00D162A5" w:rsidRDefault="00FC358B" w:rsidP="00E26EE8">
            <w:pPr>
              <w:rPr>
                <w:rFonts w:ascii="Times New Roman" w:hAnsi="Times New Roman" w:cs="Times New Roman"/>
                <w:bCs/>
              </w:rPr>
            </w:pPr>
          </w:p>
          <w:p w14:paraId="7FEC86DF" w14:textId="77777777" w:rsidR="00FC358B" w:rsidRPr="00D162A5" w:rsidRDefault="00FC358B" w:rsidP="00E26EE8">
            <w:pPr>
              <w:rPr>
                <w:rFonts w:ascii="Times New Roman" w:hAnsi="Times New Roman" w:cs="Times New Roman"/>
                <w:bCs/>
              </w:rPr>
            </w:pPr>
            <w:r w:rsidRPr="00D162A5">
              <w:rPr>
                <w:rFonts w:ascii="Times New Roman" w:hAnsi="Times New Roman" w:cs="Times New Roman"/>
                <w:bCs/>
              </w:rPr>
              <w:t>Datum: 28. svibnja 2025.</w:t>
            </w:r>
          </w:p>
        </w:tc>
      </w:tr>
      <w:bookmarkEnd w:id="0"/>
    </w:tbl>
    <w:p w14:paraId="69B0768E" w14:textId="77777777" w:rsidR="00FC358B" w:rsidRPr="00D162A5" w:rsidRDefault="00FC358B" w:rsidP="00FC358B"/>
    <w:p w14:paraId="5F3516E7" w14:textId="77777777" w:rsidR="00776A7C" w:rsidRPr="00D162A5" w:rsidRDefault="00776A7C" w:rsidP="00FC358B"/>
    <w:sectPr w:rsidR="00776A7C" w:rsidRPr="00D162A5" w:rsidSect="007C1FE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F0431" w14:textId="77777777" w:rsidR="00876912" w:rsidRDefault="00876912">
      <w:r>
        <w:separator/>
      </w:r>
    </w:p>
  </w:endnote>
  <w:endnote w:type="continuationSeparator" w:id="0">
    <w:p w14:paraId="084C2FEB" w14:textId="77777777" w:rsidR="00876912" w:rsidRDefault="00876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516EC" w14:textId="77777777" w:rsidR="00776A7C" w:rsidRDefault="00776A7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516ED" w14:textId="1AF4C55E" w:rsidR="00776A7C" w:rsidRDefault="00FC358B">
    <w:pPr>
      <w:pStyle w:val="Podnoje"/>
      <w:rPr>
        <w:lang w:val="hr-HR"/>
      </w:rPr>
    </w:pPr>
    <w:r>
      <w:rPr>
        <w:noProof/>
      </w:rPr>
      <w:drawing>
        <wp:inline distT="0" distB="0" distL="0" distR="0" wp14:anchorId="5F3516F1" wp14:editId="334FE444">
          <wp:extent cx="2110740" cy="289560"/>
          <wp:effectExtent l="0" t="0" r="3810" b="0"/>
          <wp:docPr id="197622930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0740" cy="289560"/>
                  </a:xfrm>
                  <a:prstGeom prst="rect">
                    <a:avLst/>
                  </a:prstGeom>
                  <a:noFill/>
                  <a:ln>
                    <a:noFill/>
                  </a:ln>
                </pic:spPr>
              </pic:pic>
            </a:graphicData>
          </a:graphic>
        </wp:inline>
      </w:drawing>
    </w:r>
  </w:p>
  <w:p w14:paraId="5F3516EE" w14:textId="77777777" w:rsidR="00776A7C" w:rsidRDefault="00FC358B">
    <w:pPr>
      <w:pStyle w:val="Podnoje"/>
    </w:pPr>
    <w:r w:rsidRPr="00DB08AF">
      <w:rPr>
        <w:lang w:val="hr-HR"/>
      </w:rPr>
      <w:t>sakAWOrlCU6e3o0hHfwr4w</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516F0" w14:textId="77777777" w:rsidR="00776A7C" w:rsidRDefault="00776A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A1F3A" w14:textId="77777777" w:rsidR="00876912" w:rsidRDefault="00876912">
      <w:r>
        <w:separator/>
      </w:r>
    </w:p>
  </w:footnote>
  <w:footnote w:type="continuationSeparator" w:id="0">
    <w:p w14:paraId="556FCB81" w14:textId="77777777" w:rsidR="00876912" w:rsidRDefault="00876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516EA" w14:textId="77777777" w:rsidR="00776A7C" w:rsidRDefault="00776A7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516EB" w14:textId="77777777" w:rsidR="00776A7C" w:rsidRDefault="00776A7C">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516EF" w14:textId="77777777" w:rsidR="00776A7C" w:rsidRDefault="00776A7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68EA"/>
    <w:multiLevelType w:val="multilevel"/>
    <w:tmpl w:val="3372FB2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 w15:restartNumberingAfterBreak="0">
    <w:nsid w:val="12B84D06"/>
    <w:multiLevelType w:val="multilevel"/>
    <w:tmpl w:val="25BC0AB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 w15:restartNumberingAfterBreak="0">
    <w:nsid w:val="2C6973EF"/>
    <w:multiLevelType w:val="hybridMultilevel"/>
    <w:tmpl w:val="D3C606BA"/>
    <w:lvl w:ilvl="0" w:tplc="F8F21D2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BB130CA"/>
    <w:multiLevelType w:val="hybridMultilevel"/>
    <w:tmpl w:val="E1DA2D0C"/>
    <w:lvl w:ilvl="0" w:tplc="ADBCAE8E">
      <w:start w:val="1"/>
      <w:numFmt w:val="decimal"/>
      <w:lvlText w:val="%1."/>
      <w:lvlJc w:val="left"/>
      <w:pPr>
        <w:ind w:left="720" w:hanging="360"/>
      </w:pPr>
    </w:lvl>
    <w:lvl w:ilvl="1" w:tplc="2BCC8334">
      <w:start w:val="1"/>
      <w:numFmt w:val="lowerLetter"/>
      <w:lvlText w:val="%2."/>
      <w:lvlJc w:val="left"/>
      <w:pPr>
        <w:ind w:left="1440" w:hanging="360"/>
      </w:pPr>
    </w:lvl>
    <w:lvl w:ilvl="2" w:tplc="FA44AEA0">
      <w:start w:val="1"/>
      <w:numFmt w:val="lowerRoman"/>
      <w:lvlText w:val="%3."/>
      <w:lvlJc w:val="right"/>
      <w:pPr>
        <w:ind w:left="2160" w:hanging="180"/>
      </w:pPr>
    </w:lvl>
    <w:lvl w:ilvl="3" w:tplc="BFC690DE">
      <w:start w:val="1"/>
      <w:numFmt w:val="decimal"/>
      <w:lvlText w:val="%4."/>
      <w:lvlJc w:val="left"/>
      <w:pPr>
        <w:ind w:left="2880" w:hanging="360"/>
      </w:pPr>
    </w:lvl>
    <w:lvl w:ilvl="4" w:tplc="418CE730">
      <w:start w:val="1"/>
      <w:numFmt w:val="lowerLetter"/>
      <w:lvlText w:val="%5."/>
      <w:lvlJc w:val="left"/>
      <w:pPr>
        <w:ind w:left="3600" w:hanging="360"/>
      </w:pPr>
    </w:lvl>
    <w:lvl w:ilvl="5" w:tplc="B712D5BE">
      <w:start w:val="1"/>
      <w:numFmt w:val="lowerRoman"/>
      <w:lvlText w:val="%6."/>
      <w:lvlJc w:val="right"/>
      <w:pPr>
        <w:ind w:left="4320" w:hanging="180"/>
      </w:pPr>
    </w:lvl>
    <w:lvl w:ilvl="6" w:tplc="7E7CDB74">
      <w:start w:val="1"/>
      <w:numFmt w:val="decimal"/>
      <w:lvlText w:val="%7."/>
      <w:lvlJc w:val="left"/>
      <w:pPr>
        <w:ind w:left="5040" w:hanging="360"/>
      </w:pPr>
    </w:lvl>
    <w:lvl w:ilvl="7" w:tplc="80001038">
      <w:start w:val="1"/>
      <w:numFmt w:val="lowerLetter"/>
      <w:lvlText w:val="%8."/>
      <w:lvlJc w:val="left"/>
      <w:pPr>
        <w:ind w:left="5760" w:hanging="360"/>
      </w:pPr>
    </w:lvl>
    <w:lvl w:ilvl="8" w:tplc="9E7C8478">
      <w:start w:val="1"/>
      <w:numFmt w:val="lowerRoman"/>
      <w:lvlText w:val="%9."/>
      <w:lvlJc w:val="right"/>
      <w:pPr>
        <w:ind w:left="6480" w:hanging="180"/>
      </w:pPr>
    </w:lvl>
  </w:abstractNum>
  <w:abstractNum w:abstractNumId="4" w15:restartNumberingAfterBreak="0">
    <w:nsid w:val="3EC71702"/>
    <w:multiLevelType w:val="multilevel"/>
    <w:tmpl w:val="C5B2BD3C"/>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5" w15:restartNumberingAfterBreak="0">
    <w:nsid w:val="4CBE51C0"/>
    <w:multiLevelType w:val="multilevel"/>
    <w:tmpl w:val="E25A506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num w:numId="1" w16cid:durableId="710617177">
    <w:abstractNumId w:val="1"/>
  </w:num>
  <w:num w:numId="2" w16cid:durableId="1968973653">
    <w:abstractNumId w:val="0"/>
  </w:num>
  <w:num w:numId="3" w16cid:durableId="102505504">
    <w:abstractNumId w:val="5"/>
  </w:num>
  <w:num w:numId="4" w16cid:durableId="1785077126">
    <w:abstractNumId w:val="4"/>
  </w:num>
  <w:num w:numId="5" w16cid:durableId="1141920000">
    <w:abstractNumId w:val="3"/>
  </w:num>
  <w:num w:numId="6" w16cid:durableId="842167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A7C"/>
    <w:rsid w:val="000B7D07"/>
    <w:rsid w:val="00490D35"/>
    <w:rsid w:val="00776A7C"/>
    <w:rsid w:val="00876912"/>
    <w:rsid w:val="00A94C12"/>
    <w:rsid w:val="00D162A5"/>
    <w:rsid w:val="00F20ED9"/>
    <w:rsid w:val="00FC35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516CD"/>
  <w15:docId w15:val="{7973FE75-B5C4-41A9-95CE-B3DC320C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C1FE2"/>
    <w:rPr>
      <w:sz w:val="24"/>
      <w:szCs w:val="24"/>
      <w:lang w:val="hr-HR" w:eastAsia="hr-HR"/>
    </w:rPr>
  </w:style>
  <w:style w:type="paragraph" w:styleId="Naslov1">
    <w:name w:val="heading 1"/>
    <w:basedOn w:val="Normal"/>
    <w:next w:val="Normal"/>
    <w:link w:val="Naslov1Char"/>
    <w:qFormat/>
    <w:locked/>
    <w:rsid w:val="00D162A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99"/>
    <w:rsid w:val="00A71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uiPriority w:val="99"/>
    <w:qFormat/>
    <w:rsid w:val="00C95074"/>
    <w:pPr>
      <w:tabs>
        <w:tab w:val="center" w:pos="4536"/>
        <w:tab w:val="right" w:pos="9072"/>
      </w:tabs>
    </w:pPr>
    <w:rPr>
      <w:lang w:val="en-US" w:eastAsia="en-US"/>
    </w:rPr>
  </w:style>
  <w:style w:type="character" w:customStyle="1" w:styleId="HeaderChar">
    <w:name w:val="Header Char"/>
    <w:uiPriority w:val="99"/>
    <w:locked/>
    <w:rsid w:val="00C95074"/>
    <w:rPr>
      <w:rFonts w:cs="Times New Roman"/>
      <w:sz w:val="24"/>
    </w:rPr>
  </w:style>
  <w:style w:type="paragraph" w:styleId="Podnoje">
    <w:name w:val="footer"/>
    <w:basedOn w:val="Normal"/>
    <w:uiPriority w:val="99"/>
    <w:qFormat/>
    <w:rsid w:val="00C95074"/>
    <w:pPr>
      <w:tabs>
        <w:tab w:val="center" w:pos="4536"/>
        <w:tab w:val="right" w:pos="9072"/>
      </w:tabs>
    </w:pPr>
    <w:rPr>
      <w:lang w:val="en-US" w:eastAsia="en-US"/>
    </w:rPr>
  </w:style>
  <w:style w:type="character" w:customStyle="1" w:styleId="FooterChar">
    <w:name w:val="Footer Char"/>
    <w:uiPriority w:val="99"/>
    <w:locked/>
    <w:rsid w:val="00C95074"/>
    <w:rPr>
      <w:rFonts w:cs="Times New Roman"/>
      <w:sz w:val="24"/>
    </w:rPr>
  </w:style>
  <w:style w:type="character" w:styleId="Referencakomentara">
    <w:name w:val="annotation reference"/>
    <w:uiPriority w:val="99"/>
    <w:semiHidden/>
    <w:rsid w:val="004B4568"/>
    <w:rPr>
      <w:rFonts w:cs="Times New Roman"/>
      <w:sz w:val="16"/>
    </w:rPr>
  </w:style>
  <w:style w:type="paragraph" w:styleId="Tekstkomentara">
    <w:name w:val="annotation text"/>
    <w:basedOn w:val="Normal"/>
    <w:uiPriority w:val="99"/>
    <w:semiHidden/>
    <w:rsid w:val="004B4568"/>
    <w:rPr>
      <w:sz w:val="20"/>
      <w:szCs w:val="20"/>
    </w:rPr>
  </w:style>
  <w:style w:type="character" w:customStyle="1" w:styleId="CommentTextChar">
    <w:name w:val="Comment Text Char"/>
    <w:uiPriority w:val="99"/>
    <w:semiHidden/>
    <w:locked/>
    <w:rPr>
      <w:rFonts w:cs="Times New Roman"/>
      <w:sz w:val="20"/>
      <w:szCs w:val="20"/>
      <w:lang w:val="hr-HR" w:eastAsia="hr-HR"/>
    </w:rPr>
  </w:style>
  <w:style w:type="paragraph" w:styleId="Predmetkomentara">
    <w:name w:val="annotation subject"/>
    <w:basedOn w:val="Tekstkomentara"/>
    <w:uiPriority w:val="99"/>
    <w:semiHidden/>
    <w:rsid w:val="004B4568"/>
    <w:rPr>
      <w:b/>
      <w:bCs/>
    </w:rPr>
  </w:style>
  <w:style w:type="character" w:customStyle="1" w:styleId="CommentSubjectChar">
    <w:name w:val="Comment Subject Char"/>
    <w:uiPriority w:val="99"/>
    <w:semiHidden/>
    <w:locked/>
    <w:rPr>
      <w:rFonts w:cs="Times New Roman"/>
      <w:b/>
      <w:bCs/>
      <w:sz w:val="20"/>
      <w:szCs w:val="20"/>
      <w:lang w:val="hr-HR" w:eastAsia="hr-HR"/>
    </w:rPr>
  </w:style>
  <w:style w:type="paragraph" w:styleId="Tekstbalonia">
    <w:name w:val="Balloon Text"/>
    <w:basedOn w:val="Normal"/>
    <w:uiPriority w:val="99"/>
    <w:semiHidden/>
    <w:rsid w:val="004B4568"/>
    <w:rPr>
      <w:rFonts w:ascii="Tahoma" w:hAnsi="Tahoma" w:cs="Tahoma"/>
      <w:sz w:val="16"/>
      <w:szCs w:val="16"/>
    </w:rPr>
  </w:style>
  <w:style w:type="character" w:customStyle="1" w:styleId="BalloonTextChar">
    <w:name w:val="Balloon Text Char"/>
    <w:uiPriority w:val="99"/>
    <w:semiHidden/>
    <w:locked/>
    <w:rPr>
      <w:rFonts w:cs="Times New Roman"/>
      <w:sz w:val="2"/>
      <w:lang w:val="hr-HR" w:eastAsia="hr-HR"/>
    </w:rPr>
  </w:style>
  <w:style w:type="table" w:customStyle="1" w:styleId="TableGrid1">
    <w:name w:val="Table Grid1"/>
    <w:basedOn w:val="Obinatablica"/>
    <w:next w:val="Reetkatablice"/>
    <w:uiPriority w:val="39"/>
    <w:rsid w:val="00FC358B"/>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FC358B"/>
    <w:pPr>
      <w:spacing w:after="160" w:line="259" w:lineRule="auto"/>
      <w:ind w:left="720"/>
      <w:contextualSpacing/>
    </w:pPr>
    <w:rPr>
      <w:rFonts w:asciiTheme="minorHAnsi" w:eastAsiaTheme="minorHAnsi" w:hAnsiTheme="minorHAnsi" w:cstheme="minorBidi"/>
      <w:sz w:val="22"/>
      <w:szCs w:val="22"/>
      <w:lang w:eastAsia="en-US"/>
    </w:rPr>
  </w:style>
  <w:style w:type="paragraph" w:styleId="Naslov">
    <w:name w:val="Title"/>
    <w:basedOn w:val="Normal"/>
    <w:next w:val="Normal"/>
    <w:link w:val="NaslovChar"/>
    <w:qFormat/>
    <w:locked/>
    <w:rsid w:val="00D162A5"/>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D162A5"/>
    <w:rPr>
      <w:rFonts w:asciiTheme="majorHAnsi" w:eastAsiaTheme="majorEastAsia" w:hAnsiTheme="majorHAnsi" w:cstheme="majorBidi"/>
      <w:spacing w:val="-10"/>
      <w:kern w:val="28"/>
      <w:sz w:val="56"/>
      <w:szCs w:val="56"/>
      <w:lang w:val="hr-HR" w:eastAsia="hr-HR"/>
    </w:rPr>
  </w:style>
  <w:style w:type="character" w:customStyle="1" w:styleId="Naslov1Char">
    <w:name w:val="Naslov 1 Char"/>
    <w:basedOn w:val="Zadanifontodlomka"/>
    <w:link w:val="Naslov1"/>
    <w:rsid w:val="00D162A5"/>
    <w:rPr>
      <w:rFonts w:asciiTheme="majorHAnsi" w:eastAsiaTheme="majorEastAsia" w:hAnsiTheme="majorHAnsi" w:cstheme="majorBidi"/>
      <w:color w:val="2F5496" w:themeColor="accent1" w:themeShade="BF"/>
      <w:sz w:val="32"/>
      <w:szCs w:val="32"/>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72268">
      <w:marLeft w:val="0"/>
      <w:marRight w:val="0"/>
      <w:marTop w:val="0"/>
      <w:marBottom w:val="0"/>
      <w:divBdr>
        <w:top w:val="none" w:sz="0" w:space="0" w:color="auto"/>
        <w:left w:val="none" w:sz="0" w:space="0" w:color="auto"/>
        <w:bottom w:val="none" w:sz="0" w:space="0" w:color="auto"/>
        <w:right w:val="none" w:sz="0" w:space="0" w:color="auto"/>
      </w:divBdr>
    </w:div>
    <w:div w:id="188372269">
      <w:marLeft w:val="0"/>
      <w:marRight w:val="0"/>
      <w:marTop w:val="0"/>
      <w:marBottom w:val="0"/>
      <w:divBdr>
        <w:top w:val="none" w:sz="0" w:space="0" w:color="auto"/>
        <w:left w:val="none" w:sz="0" w:space="0" w:color="auto"/>
        <w:bottom w:val="none" w:sz="0" w:space="0" w:color="auto"/>
        <w:right w:val="none" w:sz="0" w:space="0" w:color="auto"/>
      </w:divBdr>
    </w:div>
    <w:div w:id="1883722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6D1D8-2443-4E2B-A25B-1635BA1F8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2007</Words>
  <Characters>11443</Characters>
  <Application>Microsoft Office Word</Application>
  <DocSecurity>0</DocSecurity>
  <Lines>95</Lines>
  <Paragraphs>26</Paragraphs>
  <ScaleCrop>false</ScaleCrop>
  <Company>RH - TDU</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TAJNIŠTVO MINISTARSTVA</dc:title>
  <dc:creator>Željko Čvorak</dc:creator>
  <cp:lastModifiedBy>Marijana Palec</cp:lastModifiedBy>
  <cp:revision>8</cp:revision>
  <cp:lastPrinted>2013-10-21T09:54:00Z</cp:lastPrinted>
  <dcterms:created xsi:type="dcterms:W3CDTF">2020-07-24T05:29:00Z</dcterms:created>
  <dcterms:modified xsi:type="dcterms:W3CDTF">2025-07-15T09:14:00Z</dcterms:modified>
</cp:coreProperties>
</file>