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9C8E" w14:textId="22586204" w:rsidR="00F5694B" w:rsidRDefault="00DD6579" w:rsidP="00F5694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57685030"/>
      <w:r w:rsidRPr="00DD6579">
        <w:rPr>
          <w:rFonts w:ascii="Times New Roman" w:hAnsi="Times New Roman" w:cs="Times New Roman"/>
          <w:b/>
          <w:bCs/>
          <w:sz w:val="24"/>
          <w:szCs w:val="24"/>
        </w:rPr>
        <w:t>OBRAZAC ISKAZA O PROCJENI UČINAKA PROPISA</w:t>
      </w:r>
      <w:r w:rsidR="00F5694B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F5694B" w:rsidRPr="00C12FD5">
        <w:rPr>
          <w:rFonts w:ascii="Times New Roman" w:eastAsia="Calibri" w:hAnsi="Times New Roman" w:cs="Times New Roman"/>
          <w:b/>
          <w:sz w:val="24"/>
          <w:szCs w:val="24"/>
        </w:rPr>
        <w:t>NACRT PRIJEDLOGA</w:t>
      </w:r>
      <w:r w:rsidR="00F5694B">
        <w:rPr>
          <w:rFonts w:ascii="Times New Roman" w:eastAsia="Calibri" w:hAnsi="Times New Roman" w:cs="Times New Roman"/>
          <w:b/>
          <w:sz w:val="24"/>
          <w:szCs w:val="24"/>
        </w:rPr>
        <w:t xml:space="preserve"> ZAKONA O IZMJENAMA I DOPUN</w:t>
      </w:r>
      <w:r w:rsidR="00250335">
        <w:rPr>
          <w:rFonts w:ascii="Times New Roman" w:eastAsia="Calibri" w:hAnsi="Times New Roman" w:cs="Times New Roman"/>
          <w:b/>
          <w:sz w:val="24"/>
          <w:szCs w:val="24"/>
        </w:rPr>
        <w:t>AMA</w:t>
      </w:r>
      <w:r w:rsidR="00F569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1" w:name="_Hlk191911688"/>
      <w:r w:rsidR="00F5694B">
        <w:rPr>
          <w:rFonts w:ascii="Times New Roman" w:eastAsia="Calibri" w:hAnsi="Times New Roman" w:cs="Times New Roman"/>
          <w:b/>
          <w:sz w:val="24"/>
          <w:szCs w:val="24"/>
        </w:rPr>
        <w:t>ZAKONA O ZAŠTITI PRIJAVITELJA NEPRAVILNOSTI</w:t>
      </w:r>
    </w:p>
    <w:bookmarkEnd w:id="1"/>
    <w:p w14:paraId="73946C0B" w14:textId="354EC5A2" w:rsidR="003C304F" w:rsidRPr="00DD6579" w:rsidRDefault="003C304F" w:rsidP="00DD6579">
      <w:pPr>
        <w:pStyle w:val="Naslov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59442" w14:textId="04B6CAF2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OPĆE INFORMACIJE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560"/>
        <w:gridCol w:w="4819"/>
      </w:tblGrid>
      <w:tr w:rsidR="006C3E27" w:rsidRPr="006C3E27" w14:paraId="66B192C2" w14:textId="77777777" w:rsidTr="003C304F">
        <w:tc>
          <w:tcPr>
            <w:tcW w:w="850" w:type="dxa"/>
          </w:tcPr>
          <w:p w14:paraId="546F5D2B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4F561E93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5DFD315" w14:textId="77777777" w:rsidR="009352D9" w:rsidRPr="006C3E27" w:rsidRDefault="00511B3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  <w:tr w:rsidR="006C3E27" w:rsidRPr="006C3E27" w14:paraId="6D1A3C9E" w14:textId="77777777" w:rsidTr="003C304F">
        <w:tc>
          <w:tcPr>
            <w:tcW w:w="850" w:type="dxa"/>
          </w:tcPr>
          <w:p w14:paraId="45581D47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60680FD9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C40C467" w14:textId="133CD399" w:rsidR="00F5694B" w:rsidRPr="00377E70" w:rsidRDefault="00377E70" w:rsidP="00377E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Prijedlog </w:t>
            </w:r>
            <w:r w:rsidR="002503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</w:t>
            </w:r>
            <w:r w:rsidRPr="0037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akona o izmjenama i dopuni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</w:t>
            </w:r>
            <w:r w:rsidRPr="0037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akona o zaštiti prijavitelja nepravilnosti</w:t>
            </w:r>
          </w:p>
          <w:p w14:paraId="1334D69F" w14:textId="3FEC6DE5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C3E27" w:rsidRPr="006C3E27" w14:paraId="3F63E4F4" w14:textId="77777777" w:rsidTr="003C304F">
        <w:tc>
          <w:tcPr>
            <w:tcW w:w="850" w:type="dxa"/>
          </w:tcPr>
          <w:p w14:paraId="229475B5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3474616B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shd w:val="clear" w:color="auto" w:fill="auto"/>
          </w:tcPr>
          <w:p w14:paraId="6FCA1657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14:paraId="36C80AF5" w14:textId="77777777" w:rsidR="004A47F5" w:rsidRPr="006C3E27" w:rsidRDefault="004A47F5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33591C84" w14:textId="77777777" w:rsidR="009352D9" w:rsidRPr="006C3E27" w:rsidRDefault="004A47F5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14:paraId="7CA7C0AD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akta:</w:t>
            </w:r>
          </w:p>
          <w:p w14:paraId="4A97AD0D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37D69D78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</w:p>
        </w:tc>
      </w:tr>
      <w:tr w:rsidR="006C3E27" w:rsidRPr="006C3E27" w14:paraId="62E5C206" w14:textId="77777777" w:rsidTr="003C304F">
        <w:tc>
          <w:tcPr>
            <w:tcW w:w="850" w:type="dxa"/>
          </w:tcPr>
          <w:p w14:paraId="76532EBE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70352183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shd w:val="clear" w:color="auto" w:fill="auto"/>
          </w:tcPr>
          <w:p w14:paraId="41538D69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14:paraId="3D64C17F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D60027F" w14:textId="77777777" w:rsidR="00511B39" w:rsidRPr="006C3E27" w:rsidRDefault="00511B3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14:paraId="474CA86A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stečevine:</w:t>
            </w:r>
          </w:p>
        </w:tc>
      </w:tr>
    </w:tbl>
    <w:p w14:paraId="47AEE96A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64138A7D" w14:textId="4BCE62BE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PROBLEMA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67890165" w14:textId="77777777" w:rsidTr="003C304F">
        <w:trPr>
          <w:trHeight w:val="410"/>
        </w:trPr>
        <w:tc>
          <w:tcPr>
            <w:tcW w:w="850" w:type="dxa"/>
          </w:tcPr>
          <w:p w14:paraId="120F55FF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9073" w:type="dxa"/>
          </w:tcPr>
          <w:p w14:paraId="51A371F6" w14:textId="77777777" w:rsidR="008C6B7F" w:rsidRDefault="008C6B7F" w:rsidP="00A707E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14:paraId="72E946C8" w14:textId="486ED80D" w:rsidR="00093377" w:rsidRDefault="00A707EF" w:rsidP="00A707E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A707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Važeći Zakona o zaštiti prijavitelja nepravilnosti („Narodne novine“ broj 46/2022, dalje u tekstu: Zakon) </w:t>
            </w:r>
            <w:r w:rsidR="0009337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bio je predmet analize Radne skupine protiv podmićivanja</w:t>
            </w:r>
            <w:r w:rsidR="002B06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OECD-a</w:t>
            </w:r>
            <w:r w:rsidR="0009337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="0011549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u kontekstu provedbe Konvencije </w:t>
            </w:r>
            <w:r w:rsidR="00D24FC9" w:rsidRPr="00D24F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o borbi protiv podmićivanja stranih javnih službenika u međunarodnim poslovnim transakcijama </w:t>
            </w:r>
            <w:r w:rsidR="00283CA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tijekom 2. kruga evaluacije. Izvješće je doneseno u prosincu 2024. godine te je utvrđeno da postoje određene nedoumice oko područja primjene Zakona i </w:t>
            </w:r>
            <w:r w:rsidR="00EE40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nejasnoće glede zaštite prijavitelja nepravilnosti koji se obraćaju izravno policiji i državnom odvjetništvu. Također je</w:t>
            </w:r>
            <w:r w:rsidR="00991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navedeno </w:t>
            </w:r>
            <w:r w:rsidR="0054250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da je potrebno osigurati </w:t>
            </w:r>
            <w:r w:rsidR="000277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da postupci za zaštitu prijavitelja nepravilnosti ne traju dugo te da </w:t>
            </w:r>
            <w:r w:rsidR="00991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novčane kazne </w:t>
            </w:r>
            <w:r w:rsidR="00E519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za </w:t>
            </w:r>
            <w:r w:rsidR="0054250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osvetu</w:t>
            </w:r>
            <w:r w:rsidR="00E519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="00A767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moraju biti </w:t>
            </w:r>
            <w:r w:rsidR="00C571C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odvraćajuće</w:t>
            </w:r>
            <w:r w:rsidR="00A767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, razmjerne </w:t>
            </w:r>
            <w:r w:rsidR="00C571C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i učinkovite da se u tom kontekstu razmotri njihovo povećanje.</w:t>
            </w:r>
          </w:p>
          <w:p w14:paraId="3E6A8E44" w14:textId="77777777" w:rsidR="00C571CB" w:rsidRDefault="00C571CB" w:rsidP="00A707E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14:paraId="7A56BEDE" w14:textId="4F0F4CAC" w:rsidR="00C571CB" w:rsidRDefault="00C571CB" w:rsidP="00A707E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Nadalje, </w:t>
            </w:r>
            <w:r w:rsidRPr="00C571C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Direktiv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a</w:t>
            </w:r>
            <w:r w:rsidRPr="00C571C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(EU) 2019/1937 Europskog parlamenta i vijeća o zaštiti osoba koje prijavljuju povrede prava Europske unije</w:t>
            </w:r>
            <w:r w:rsidR="00B122D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je nakon stupanja na snagu te nakon proteka za implementaciju u nacionalno zakonodavstvo više puta mijenjana. Naime, donoseći druge akte kojima se ista Direktiva izričito </w:t>
            </w:r>
            <w:r w:rsidR="00224F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mijenja</w:t>
            </w:r>
            <w:r w:rsidR="00A7280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u pravilu se širio doseg primjene Direktive 2019/1937. S obzirom da su u </w:t>
            </w:r>
            <w:r w:rsidR="00B85A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p</w:t>
            </w:r>
            <w:r w:rsidR="00A7280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rilogu Zakona o zaštiti prijavitelja nepravilnosti navedeni svi akti </w:t>
            </w:r>
            <w:r w:rsidR="00224F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EU na koje se Direktiva izričito primjenjuje, ali isti </w:t>
            </w:r>
            <w:r w:rsidR="00B85A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p</w:t>
            </w:r>
            <w:r w:rsidR="00224F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rilog ne navodi naknadno donesene akte kojima se </w:t>
            </w:r>
            <w:r w:rsidR="00FE7E2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mijenja Direktiva 2019/1937, popis u prilogu Zakona se ne smatra usklađenim s tekstom Direktive 2019/</w:t>
            </w:r>
            <w:r w:rsidR="00BF62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1937.</w:t>
            </w:r>
          </w:p>
          <w:p w14:paraId="74F8E661" w14:textId="77777777" w:rsidR="00BF62A7" w:rsidRDefault="00BF62A7" w:rsidP="00A707E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14:paraId="797E1B96" w14:textId="27CAAB3C" w:rsidR="00BF62A7" w:rsidRPr="00A707EF" w:rsidRDefault="00BF62A7" w:rsidP="00A707E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I konačno, u </w:t>
            </w:r>
            <w:r w:rsidR="001B1D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kontekstu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nacionalnog </w:t>
            </w:r>
            <w:r w:rsidR="001B1D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zakonodavstva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, novčane kazne koje propisuje Zakon </w:t>
            </w:r>
            <w:r w:rsidR="001B1D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navedene su u hrvatskoj kuni kao službenoj valuti u vrijeme kada se donosio Zakon. Međutim, to trenutno nije usklađeno s </w:t>
            </w:r>
            <w:r w:rsidR="001B1D9F" w:rsidRPr="001B1D9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Zakonom o uvođenju eura kao službene valute u Republici Hrvatskoj („Narodne novine“, broj 57/22 i 88/22).  </w:t>
            </w:r>
          </w:p>
          <w:p w14:paraId="4788D610" w14:textId="1614C0E6" w:rsidR="009352D9" w:rsidRPr="006C3E27" w:rsidRDefault="009352D9" w:rsidP="001B1D9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6C3E27" w:rsidRPr="006C3E27" w14:paraId="6B9151FF" w14:textId="77777777" w:rsidTr="003C304F">
        <w:trPr>
          <w:trHeight w:val="384"/>
        </w:trPr>
        <w:tc>
          <w:tcPr>
            <w:tcW w:w="850" w:type="dxa"/>
          </w:tcPr>
          <w:p w14:paraId="0E077AE0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9073" w:type="dxa"/>
          </w:tcPr>
          <w:p w14:paraId="5001AE87" w14:textId="77777777" w:rsidR="009352D9" w:rsidRPr="00BD0C58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D0C5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6C3E27" w:rsidRPr="006C3E27" w14:paraId="7C1EE525" w14:textId="77777777" w:rsidTr="003C304F">
        <w:trPr>
          <w:trHeight w:val="384"/>
        </w:trPr>
        <w:tc>
          <w:tcPr>
            <w:tcW w:w="850" w:type="dxa"/>
          </w:tcPr>
          <w:p w14:paraId="4103A57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25EB3722" w14:textId="77777777" w:rsidR="000B64E4" w:rsidRDefault="00CF786C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1. </w:t>
            </w:r>
            <w:r w:rsidR="00A2361F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Izvješće druge faze evaluacije Republike Hrvatske, koje je usvojila Radna skupina za suzbijanje podmićivanja u međunarodnim poslovnim transakcijama 13. prosinca 2024. </w:t>
            </w:r>
            <w:r w:rsidR="00A2361F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godine, u okviru pristupanja Republike Hrvatske Organizaciji za ekonomsku suradnju i razvoj (OECD).</w:t>
            </w:r>
          </w:p>
          <w:p w14:paraId="0BD9A2CA" w14:textId="77777777" w:rsid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8773916" w14:textId="31B2B391" w:rsid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2.  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potvrđivanju Konvencije o borbi protiv podmićivanja stranih javnih službenika u međunarodnim poslovnim transakcijama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(„Narodne novine – Međunarodni ugovori“ broj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10/2023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</w:t>
            </w:r>
          </w:p>
          <w:p w14:paraId="179EFD56" w14:textId="40D5E865"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7CFD30F" w14:textId="095EABEF" w:rsidR="00B54C90" w:rsidRPr="006C3E27" w:rsidRDefault="000B64E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</w:t>
            </w:r>
            <w:r w:rsidR="00B54C9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.  </w:t>
            </w:r>
            <w:r w:rsidR="00B54C90" w:rsidRPr="00B54C9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Direktiv</w:t>
            </w:r>
            <w:r w:rsidR="00B54C9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="00B54C90" w:rsidRPr="00B54C9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(EU) 2019/1937 Europskog parlamenta i vijeća o zaštiti osoba koje prijavljuju povrede prava Europske unije</w:t>
            </w:r>
            <w:r w:rsidR="00DB1B5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7B34B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– </w:t>
            </w:r>
          </w:p>
          <w:p w14:paraId="29F62B2E" w14:textId="77777777" w:rsidR="000B64E4" w:rsidRDefault="000B64E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17E583CD" w14:textId="338E08CE" w:rsidR="000B64E4" w:rsidRDefault="000B64E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0BEC393A" w14:textId="77777777" w:rsidR="000B64E4" w:rsidRDefault="000B64E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B1D6B51" w14:textId="77777777" w:rsidR="000B64E4" w:rsidRP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>Uredba (EU) 2020/1503 Europskog parlamenta i Vijeća od 7. listopada 2020. o europskim pružateljima usluga skupnog financiranja za poduzeća i izmjeni Uredbe (EU) 2017/1129 i Direktive (EU) 2019/1937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 347, 20.10.2020., str. 1.);</w:t>
            </w:r>
          </w:p>
          <w:p w14:paraId="62AAF9DC" w14:textId="77777777" w:rsidR="000B64E4" w:rsidRP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 xml:space="preserve">Uredba (EU) 2023/1114 Europskog parlamenta i Vijeća od 31. svibnja 2023. o tržištima 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kriptoimovine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izmjeni uredaba (EU) br. 1093/2010 i (EU) br. 1095/2010 te direktiva 2013/36/EU i (EU) 2019/1937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 150, 9.6.2023., str. 40);</w:t>
            </w:r>
          </w:p>
          <w:p w14:paraId="54405B71" w14:textId="77777777" w:rsidR="000B64E4" w:rsidRP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 xml:space="preserve">Uredba (EU) 2024/573 Europskog parlamenta i Vijeća od 7. veljače 2024. o 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fluoriranim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stakleničkim plinovima, izmjeni Direktive (EU) 2019/1937 i stavljanju izvan snage Uredbe (EU) br. 517/2014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L, 2024/573, 20.2.2024,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reg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/2024/573/oj);</w:t>
            </w:r>
          </w:p>
          <w:p w14:paraId="4400D4D1" w14:textId="77777777" w:rsidR="000B64E4" w:rsidRP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 xml:space="preserve">Direktiva (EU) 2024/1760 Europskog parlamenta i Vijeća od 13. lipnja 2024. o dužnoj pažnji za održivo poslovanje i izmjeni Direktive (EU) 2019/1937 te Uredbe (EU) 2023/2859 (Tekst značajan za 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EGP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L, 2024/1760, 5.7.2024.,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dir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/2024/1760/oj);</w:t>
            </w:r>
          </w:p>
          <w:p w14:paraId="6EF13CCD" w14:textId="77777777" w:rsidR="000B64E4" w:rsidRP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 xml:space="preserve">Uredba (EU) 2022/1925 Europskog parlamenta i Vijeća od 14. rujna 2022. o pravednim tržištima s mogućnošću neograničenog tržišnog natjecanja u digitalnom sektoru i izmjeni direktiva (EU) 2019/1937 i (EU) 2020/1828 (Akt o digitalnim tržištima) (Tekst značajan za 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EGP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 265, 12.10.2022., str. 1.);</w:t>
            </w:r>
          </w:p>
          <w:p w14:paraId="37B66D60" w14:textId="77777777" w:rsidR="000B64E4" w:rsidRP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>Uredba (EU) 2024/1624 Europskog parlamenta i Vijeća od 31. svibnja 2024. o sprečavanju korištenja financijskog sustava u svrhu pranja novca ili financiranja terorizma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L, 2024/1624, 19.6.2024.,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reg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/2024/1624/oj);</w:t>
            </w:r>
          </w:p>
          <w:p w14:paraId="6C8EBABD" w14:textId="77777777" w:rsidR="000B64E4" w:rsidRP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>Direktiva (EU) 2024/1226 Europskog parlamenta i Vijeća od 24. travnja 2024. o definiciji kaznenih djela i sankcija za kršenje Unijinih mjera ograničavanja i izmjeni Direktive (EU) 2018/1673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L, 2024/1226, 29.4.2024.,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dir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/2024/1226/oj);</w:t>
            </w:r>
          </w:p>
          <w:p w14:paraId="3A9ECDB6" w14:textId="77777777" w:rsidR="000B64E4" w:rsidRP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 xml:space="preserve">Uredba (EU) 2024/1689 Europskog parlamenta i Vijeća od 13. lipnja 2024. o utvrđivanju usklađenih pravila o umjetnoj inteligenciji i o izmjeni uredaba (EZ) br. 300/2008, (EU) br. 167/2013, (EU) br. 168/2013, (EU) 2018/858, (EU) 2018/1139 i (EU) 2019/2144 te direktiva 2014/90/EU, (EU) 2016/797 i (EU) 2020/1828 (Akt o umjetnoj inteligenciji) (Tekst značajan za 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EGP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L, 2024/1689, 12.7.2024,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reg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/2024/1689/oj);</w:t>
            </w:r>
          </w:p>
          <w:p w14:paraId="5D4B3B61" w14:textId="79468C11" w:rsidR="000B64E4" w:rsidRDefault="000B64E4" w:rsidP="000B64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 xml:space="preserve">Uredba (EU) 2024/3015 Europskog parlamenta i Vijeća od 27. studenoga 2024. o zabrani proizvoda nastalih prisilnim radom na tržištu Unije i izmjeni Direktive (EU) 2019/1937 (Tekst značajan za 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EGP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 (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L, 2024/3015, 12.12.2024,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reg</w:t>
            </w:r>
            <w:proofErr w:type="spellEnd"/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/2024/3015/oj</w:t>
            </w:r>
          </w:p>
          <w:p w14:paraId="5734F9D4" w14:textId="77777777" w:rsidR="000B64E4" w:rsidRDefault="000B64E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C4B408A" w14:textId="33A89F19" w:rsidR="000B64E4" w:rsidRDefault="000B64E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 Zakon o uvođenju eura kao službene valute u Republici Hrvatskoj (Narodne novine, broj 57/22 i 88/22).</w:t>
            </w:r>
          </w:p>
          <w:p w14:paraId="43F07E02" w14:textId="295EC1A4" w:rsidR="002B06C8" w:rsidRPr="006C3E27" w:rsidRDefault="002B06C8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4C06308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3F6B0C9D" w14:textId="43A42743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POSEBNOG CILJA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4C005A5B" w14:textId="77777777" w:rsidTr="003C304F">
        <w:trPr>
          <w:trHeight w:val="384"/>
        </w:trPr>
        <w:tc>
          <w:tcPr>
            <w:tcW w:w="850" w:type="dxa"/>
          </w:tcPr>
          <w:p w14:paraId="3774E870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9073" w:type="dxa"/>
          </w:tcPr>
          <w:p w14:paraId="1B05E3C9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posebnog cilja</w:t>
            </w:r>
          </w:p>
        </w:tc>
      </w:tr>
      <w:tr w:rsidR="006C3E27" w:rsidRPr="006C3E27" w14:paraId="44CEF179" w14:textId="77777777" w:rsidTr="003C304F">
        <w:trPr>
          <w:trHeight w:val="384"/>
        </w:trPr>
        <w:tc>
          <w:tcPr>
            <w:tcW w:w="850" w:type="dxa"/>
          </w:tcPr>
          <w:p w14:paraId="449721B6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6870B450" w14:textId="77777777" w:rsidR="00A707EF" w:rsidRDefault="00A707EF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52EBC50" w14:textId="247C2039" w:rsidR="00AA4967" w:rsidRDefault="00A707EF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Cilj je usklađivanje s standardima OECD-a odraženim u prioritetnim preporukama u kontekstu pristupnog procesa</w:t>
            </w:r>
            <w:r w:rsidR="000011C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OECD-u</w:t>
            </w:r>
            <w:r w:rsidR="00554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zatim usklađivanje s pravnom stečevinom Europske unije, odnosno s izmjenama kojima je mijenjana i sama </w:t>
            </w:r>
            <w:r w:rsidR="005547AD" w:rsidRPr="00554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Direktiv</w:t>
            </w:r>
            <w:r w:rsidR="00554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="005547AD" w:rsidRPr="00554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(EU) 2019/1937 Europskog parlamenta i vijeća o zaštiti osoba koje prijavljuju povrede prava Europske unije</w:t>
            </w:r>
            <w:r w:rsidR="005547A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 proteku roka za njenu implementaciju. Također je potrebno uskladiti odredbe o valuti u samom zakonu te u istom novčane kazne iskazati u eurima.</w:t>
            </w:r>
          </w:p>
          <w:p w14:paraId="74CDE4C9" w14:textId="77777777" w:rsidR="00AA4967" w:rsidRPr="006C3E27" w:rsidRDefault="00AA4967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4DFB27A" w14:textId="30BAC175" w:rsidR="009352D9" w:rsidRPr="006C3E27" w:rsidRDefault="009352D9" w:rsidP="005547A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6C3E27" w:rsidRPr="006C3E27" w14:paraId="483CAF45" w14:textId="77777777" w:rsidTr="003C304F">
        <w:trPr>
          <w:trHeight w:val="384"/>
        </w:trPr>
        <w:tc>
          <w:tcPr>
            <w:tcW w:w="850" w:type="dxa"/>
          </w:tcPr>
          <w:p w14:paraId="5212923C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9073" w:type="dxa"/>
          </w:tcPr>
          <w:p w14:paraId="2D80FB7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svrhe propisa</w:t>
            </w:r>
          </w:p>
        </w:tc>
      </w:tr>
      <w:tr w:rsidR="006C3E27" w:rsidRPr="006C3E27" w14:paraId="74FAB7A0" w14:textId="77777777" w:rsidTr="003C304F">
        <w:trPr>
          <w:trHeight w:val="384"/>
        </w:trPr>
        <w:tc>
          <w:tcPr>
            <w:tcW w:w="850" w:type="dxa"/>
          </w:tcPr>
          <w:p w14:paraId="5B1CC122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5DF75813" w14:textId="1F5308E0" w:rsidR="00BC3F33" w:rsidRPr="0027068B" w:rsidRDefault="00822121" w:rsidP="00BC3F33">
            <w:pPr>
              <w:pStyle w:val="Default"/>
              <w:spacing w:before="240" w:after="120"/>
              <w:jc w:val="both"/>
            </w:pPr>
            <w:r>
              <w:t xml:space="preserve">Unaprijediti pravne standarde u području zaštite prijavitelja nepravilnosti </w:t>
            </w:r>
            <w:r w:rsidR="00645E40">
              <w:t>s</w:t>
            </w:r>
            <w:r w:rsidR="005C30DA">
              <w:t xml:space="preserve"> ciljem ispunjavanja preuzetih međunarodnih obveza te usklađenje s domaćim zakonodavstvom </w:t>
            </w:r>
            <w:r w:rsidR="00645E40">
              <w:t xml:space="preserve">što u konačnici rezultira i unaprjeđenjem borbe protiv korupcije. </w:t>
            </w:r>
          </w:p>
        </w:tc>
      </w:tr>
      <w:tr w:rsidR="006C3E27" w:rsidRPr="006C3E27" w14:paraId="4E5CA3ED" w14:textId="77777777" w:rsidTr="003C304F">
        <w:trPr>
          <w:trHeight w:val="384"/>
        </w:trPr>
        <w:tc>
          <w:tcPr>
            <w:tcW w:w="850" w:type="dxa"/>
          </w:tcPr>
          <w:p w14:paraId="51637673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9073" w:type="dxa"/>
          </w:tcPr>
          <w:p w14:paraId="6FC40765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Razmotrena druga moguća normativna i </w:t>
            </w:r>
            <w:proofErr w:type="spellStart"/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</w:t>
            </w:r>
          </w:p>
        </w:tc>
      </w:tr>
      <w:tr w:rsidR="006C3E27" w:rsidRPr="006C3E27" w14:paraId="3FA40A31" w14:textId="77777777" w:rsidTr="003C304F">
        <w:trPr>
          <w:trHeight w:val="384"/>
        </w:trPr>
        <w:tc>
          <w:tcPr>
            <w:tcW w:w="850" w:type="dxa"/>
          </w:tcPr>
          <w:p w14:paraId="5309AD36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546E2F5" w14:textId="52EAC848" w:rsidR="00511B39" w:rsidRPr="006C3E27" w:rsidRDefault="00511B3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Cilj koji se želi postići ostvaruje se isključivo normativnim rješenjem</w:t>
            </w:r>
            <w:r w:rsidR="00F16AEB"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</w:p>
          <w:p w14:paraId="7B7DB1E2" w14:textId="77777777" w:rsidR="00511B39" w:rsidRPr="006C3E27" w:rsidRDefault="00511B3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14:paraId="201E25FC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6C3E27" w:rsidRPr="006C3E27" w14:paraId="0686502F" w14:textId="77777777" w:rsidTr="00BD0C58">
        <w:trPr>
          <w:trHeight w:val="384"/>
        </w:trPr>
        <w:tc>
          <w:tcPr>
            <w:tcW w:w="850" w:type="dxa"/>
          </w:tcPr>
          <w:p w14:paraId="1327C4E2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9073" w:type="dxa"/>
            <w:shd w:val="clear" w:color="auto" w:fill="auto"/>
          </w:tcPr>
          <w:p w14:paraId="77B8C5B9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BD0C5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6C3E27" w:rsidRPr="006C3E27" w14:paraId="1F6DD744" w14:textId="77777777" w:rsidTr="003C304F">
        <w:trPr>
          <w:trHeight w:val="384"/>
        </w:trPr>
        <w:tc>
          <w:tcPr>
            <w:tcW w:w="850" w:type="dxa"/>
          </w:tcPr>
          <w:p w14:paraId="69BEC5DB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0C8F8AB" w14:textId="59E4CE5F" w:rsidR="00425FCB" w:rsidRDefault="00CF786C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1. </w:t>
            </w:r>
            <w:r w:rsidR="00425FCB"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Izvješće druge faze evaluacije Republike Hrvatske, koje je usvojila Radna skupina za suzbijanje podmićivanja u međunarodnim poslovnim transakcijama 13. prosinca 2024. godine, u okviru pristupanja Republike Hrvatske Organizaciji za ekonomsku suradnju i razvoj (OECD).</w:t>
            </w:r>
          </w:p>
          <w:p w14:paraId="38428515" w14:textId="3491822C" w:rsidR="000B64E4" w:rsidRDefault="000B64E4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2.  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Zakon o potvrđivanju Konvencije o borbi protiv podmićivanja stranih javnih službenika u međunarodnim poslovnim transakcijama („Narodne novine – Međunarodni ugovori“ broj 10/2023)</w:t>
            </w:r>
          </w:p>
          <w:p w14:paraId="1BCBA2E3" w14:textId="6AF49283" w:rsidR="0027068B" w:rsidRDefault="000B64E4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3. </w:t>
            </w:r>
            <w:r w:rsidR="0027068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. </w:t>
            </w:r>
            <w:r w:rsidR="0027068B" w:rsidRPr="0027068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Direktiva (EU) 2019/1937 Europskog parlamenta i vijeća o zaštiti osoba koje prijavljuju povrede prava Europske unije</w:t>
            </w:r>
          </w:p>
          <w:p w14:paraId="72860FBB" w14:textId="77777777" w:rsidR="000B64E4" w:rsidRDefault="000B64E4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14:paraId="47654348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Uredba (EU) 2020/1503 Europskog parlamenta i Vijeća od 7. listopada 2020. o europskim pružateljima usluga skupnog financiranja za poduzeća i izmjeni Uredbe (EU) 2017/1129 i Direktive (EU) 2019/1937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 347, 20.10.2020., str. 1.);</w:t>
            </w:r>
          </w:p>
          <w:p w14:paraId="12D30C29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 xml:space="preserve">Uredba (EU) 2023/1114 Europskog parlamenta i Vijeća od 31. svibnja 2023. o tržištima 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kriptoimovine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i izmjeni uredaba (EU) br. 1093/2010 i (EU) br. 1095/2010 te direktiva 2013/36/EU i (EU) 2019/1937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 150, 9.6.2023., str. 40);</w:t>
            </w:r>
          </w:p>
          <w:p w14:paraId="45862B14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 xml:space="preserve">Uredba (EU) 2024/573 Europskog parlamenta i Vijeća od 7. veljače 2024. o 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fluoriranim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stakleničkim plinovima, izmjeni Direktive (EU) 2019/1937 i stavljanju izvan snage Uredbe (EU) br. 517/2014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L, 2024/573, 20.2.2024,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reg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/2024/573/oj);</w:t>
            </w:r>
          </w:p>
          <w:p w14:paraId="472F8238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 xml:space="preserve">Direktiva (EU) 2024/1760 Europskog parlamenta i Vijeća od 13. lipnja 2024. o dužnoj pažnji za održivo poslovanje i izmjeni Direktive (EU) 2019/1937 te Uredbe (EU) 2023/2859 (Tekst značajan za 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EGP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)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L, 2024/1760, 5.7.2024.,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dir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/2024/1760/oj);</w:t>
            </w:r>
          </w:p>
          <w:p w14:paraId="04A38406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lastRenderedPageBreak/>
              <w:t>-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 xml:space="preserve">Uredba (EU) 2022/1925 Europskog parlamenta i Vijeća od 14. rujna 2022. o pravednim tržištima s mogućnošću neograničenog tržišnog natjecanja u digitalnom sektoru i izmjeni direktiva (EU) 2019/1937 i (EU) 2020/1828 (Akt o digitalnim tržištima) (Tekst značajan za 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EGP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)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 265, 12.10.2022., str. 1.);</w:t>
            </w:r>
          </w:p>
          <w:p w14:paraId="100CA051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>Uredba (EU) 2024/1624 Europskog parlamenta i Vijeća od 31. svibnja 2024. o sprečavanju korištenja financijskog sustava u svrhu pranja novca ili financiranja terorizma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L, 2024/1624, 19.6.2024.,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reg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/2024/1624/oj);</w:t>
            </w:r>
          </w:p>
          <w:p w14:paraId="4F6EF780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>Direktiva (EU) 2024/1226 Europskog parlamenta i Vijeća od 24. travnja 2024. o definiciji kaznenih djela i sankcija za kršenje Unijinih mjera ograničavanja i izmjeni Direktive (EU) 2018/1673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L, 2024/1226, 29.4.2024.,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dir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/2024/1226/oj);</w:t>
            </w:r>
          </w:p>
          <w:p w14:paraId="6F19CC8D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 xml:space="preserve">Uredba (EU) 2024/1689 Europskog parlamenta i Vijeća od 13. lipnja 2024. o utvrđivanju usklađenih pravila o umjetnoj inteligenciji i o izmjeni uredaba (EZ) br. 300/2008, (EU) br. 167/2013, (EU) br. 168/2013, (EU) 2018/858, (EU) 2018/1139 i (EU) 2019/2144 te direktiva 2014/90/EU, (EU) 2016/797 i (EU) 2020/1828 (Akt o umjetnoj inteligenciji) (Tekst značajan za 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EGP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)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L, 2024/1689, 12.7.2024,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reg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/2024/1689/oj);</w:t>
            </w:r>
          </w:p>
          <w:p w14:paraId="4BC9425F" w14:textId="77777777" w:rsidR="000B64E4" w:rsidRPr="000B64E4" w:rsidRDefault="000B64E4" w:rsidP="000B64E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-</w:t>
            </w:r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ab/>
              <w:t xml:space="preserve">Uredba (EU) 2024/3015 Europskog parlamenta i Vijeća od 27. studenoga 2024. o zabrani proizvoda nastalih prisilnim radom na tržištu Unije i izmjeni Direktive (EU) 2019/1937 (Tekst značajan za 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EGP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) (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SL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L, 2024/3015, 12.12.2024, ELI: http://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data.europa.eu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eli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</w:t>
            </w:r>
            <w:proofErr w:type="spellStart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reg</w:t>
            </w:r>
            <w:proofErr w:type="spellEnd"/>
            <w:r w:rsidRPr="000B6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/2024/3015/oj</w:t>
            </w:r>
          </w:p>
          <w:p w14:paraId="6521BE52" w14:textId="77777777" w:rsidR="000B64E4" w:rsidRPr="006C3E27" w:rsidRDefault="000B64E4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  <w:p w14:paraId="56B957E5" w14:textId="515BFCFB" w:rsidR="009352D9" w:rsidRPr="006C3E27" w:rsidRDefault="0027068B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3</w:t>
            </w:r>
            <w:r w:rsidR="00CF786C"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. </w:t>
            </w:r>
            <w:r w:rsidR="00425FCB" w:rsidRPr="006C3E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Zakon o uvođenju eura kao službene valute u Republici Hrvatskoj (Narodne novine, broj 57/22 i 88/22).</w:t>
            </w:r>
          </w:p>
        </w:tc>
      </w:tr>
      <w:tr w:rsidR="0027068B" w:rsidRPr="006C3E27" w14:paraId="136EEA28" w14:textId="77777777" w:rsidTr="003C304F">
        <w:trPr>
          <w:trHeight w:val="384"/>
        </w:trPr>
        <w:tc>
          <w:tcPr>
            <w:tcW w:w="850" w:type="dxa"/>
          </w:tcPr>
          <w:p w14:paraId="3744FFE5" w14:textId="77777777" w:rsidR="0027068B" w:rsidRPr="006C3E27" w:rsidRDefault="0027068B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6D19D78B" w14:textId="77777777" w:rsidR="0027068B" w:rsidRPr="006C3E27" w:rsidRDefault="0027068B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</w:tbl>
    <w:p w14:paraId="2862E73C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0B830AC3" w14:textId="7FE251A3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4819"/>
      </w:tblGrid>
      <w:tr w:rsidR="006C3E27" w:rsidRPr="006C3E27" w14:paraId="056984F6" w14:textId="77777777" w:rsidTr="003C304F">
        <w:trPr>
          <w:trHeight w:val="608"/>
        </w:trPr>
        <w:tc>
          <w:tcPr>
            <w:tcW w:w="850" w:type="dxa"/>
          </w:tcPr>
          <w:p w14:paraId="6D21B218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9073" w:type="dxa"/>
            <w:gridSpan w:val="2"/>
          </w:tcPr>
          <w:p w14:paraId="40BA46E4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Posebni cilj:</w:t>
            </w:r>
          </w:p>
          <w:p w14:paraId="7F2532C0" w14:textId="79A7C0B2" w:rsidR="0027068B" w:rsidRDefault="0027068B" w:rsidP="00270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78FE9AC" w14:textId="1909F214" w:rsidR="003100A1" w:rsidRPr="00D77868" w:rsidRDefault="00822121" w:rsidP="00270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77868">
              <w:rPr>
                <w:rFonts w:ascii="Times New Roman" w:hAnsi="Times New Roman" w:cs="Times New Roman"/>
                <w:sz w:val="24"/>
                <w:szCs w:val="24"/>
              </w:rPr>
              <w:t>Cilj</w:t>
            </w:r>
            <w:r w:rsidR="003100A1" w:rsidRPr="00D77868">
              <w:rPr>
                <w:rFonts w:ascii="Times New Roman" w:hAnsi="Times New Roman" w:cs="Times New Roman"/>
                <w:sz w:val="24"/>
                <w:szCs w:val="24"/>
              </w:rPr>
              <w:t xml:space="preserve"> je propisa unaprjeđenje pravnog okvira za zaštitu prijavitelja nepravilnosti u skladu s razvojem standarda u okviru relevantnih međunarodnih institucija</w:t>
            </w:r>
            <w:r w:rsidR="004A751D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 w:rsidR="004542C2">
              <w:rPr>
                <w:rFonts w:ascii="Times New Roman" w:hAnsi="Times New Roman" w:cs="Times New Roman"/>
                <w:sz w:val="24"/>
                <w:szCs w:val="24"/>
              </w:rPr>
              <w:t xml:space="preserve">unaprjeđenje </w:t>
            </w:r>
            <w:r w:rsidR="004A751D">
              <w:rPr>
                <w:rFonts w:ascii="Times New Roman" w:hAnsi="Times New Roman" w:cs="Times New Roman"/>
                <w:sz w:val="24"/>
                <w:szCs w:val="24"/>
              </w:rPr>
              <w:t>koherentnosti</w:t>
            </w:r>
            <w:r w:rsidR="0045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51D">
              <w:rPr>
                <w:rFonts w:ascii="Times New Roman" w:hAnsi="Times New Roman" w:cs="Times New Roman"/>
                <w:sz w:val="24"/>
                <w:szCs w:val="24"/>
              </w:rPr>
              <w:t>nacionalnog</w:t>
            </w:r>
            <w:r w:rsidR="004542C2">
              <w:rPr>
                <w:rFonts w:ascii="Times New Roman" w:hAnsi="Times New Roman" w:cs="Times New Roman"/>
                <w:sz w:val="24"/>
                <w:szCs w:val="24"/>
              </w:rPr>
              <w:t xml:space="preserve"> pravnog okvira</w:t>
            </w:r>
            <w:r w:rsidR="004A751D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3100A1" w:rsidRPr="00D77868">
              <w:rPr>
                <w:rFonts w:ascii="Times New Roman" w:hAnsi="Times New Roman" w:cs="Times New Roman"/>
                <w:sz w:val="24"/>
                <w:szCs w:val="24"/>
              </w:rPr>
              <w:t xml:space="preserve"> čime se ostvaruje i unaprjeđenje ukupnog preventivnog antikorupcijskog okvira.</w:t>
            </w:r>
            <w:r w:rsidR="001D5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234061" w14:textId="6001E012" w:rsidR="00425FCB" w:rsidRPr="006C3E27" w:rsidRDefault="00425FCB" w:rsidP="00270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C3E27" w:rsidRPr="006C3E27" w14:paraId="701D4BD6" w14:textId="77777777" w:rsidTr="003C304F">
        <w:trPr>
          <w:trHeight w:val="335"/>
        </w:trPr>
        <w:tc>
          <w:tcPr>
            <w:tcW w:w="850" w:type="dxa"/>
          </w:tcPr>
          <w:p w14:paraId="3C1E7BE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4254" w:type="dxa"/>
          </w:tcPr>
          <w:p w14:paraId="78851387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244B197B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3CF4DBCC" w14:textId="77777777" w:rsidTr="003C304F">
        <w:trPr>
          <w:trHeight w:val="335"/>
        </w:trPr>
        <w:tc>
          <w:tcPr>
            <w:tcW w:w="850" w:type="dxa"/>
          </w:tcPr>
          <w:p w14:paraId="2EF34DE0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46FF4B0A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gospodarstvo.</w:t>
            </w:r>
            <w:r w:rsidR="009352D9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19" w:type="dxa"/>
          </w:tcPr>
          <w:p w14:paraId="4AEE8F1B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6C3E27" w:rsidRPr="006C3E27" w14:paraId="75874DDE" w14:textId="77777777" w:rsidTr="003C304F">
        <w:trPr>
          <w:trHeight w:val="360"/>
        </w:trPr>
        <w:tc>
          <w:tcPr>
            <w:tcW w:w="850" w:type="dxa"/>
          </w:tcPr>
          <w:p w14:paraId="18A0E48C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254" w:type="dxa"/>
          </w:tcPr>
          <w:p w14:paraId="6F6C949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338E4F5C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2F954B01" w14:textId="77777777" w:rsidTr="003C304F">
        <w:trPr>
          <w:trHeight w:val="360"/>
        </w:trPr>
        <w:tc>
          <w:tcPr>
            <w:tcW w:w="850" w:type="dxa"/>
          </w:tcPr>
          <w:p w14:paraId="62C3287F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73F56ADF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održivi razvoj.</w:t>
            </w:r>
          </w:p>
        </w:tc>
        <w:tc>
          <w:tcPr>
            <w:tcW w:w="4819" w:type="dxa"/>
          </w:tcPr>
          <w:p w14:paraId="2911EBF1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6C3E27" w:rsidRPr="006C3E27" w14:paraId="7E02323F" w14:textId="77777777" w:rsidTr="003C304F">
        <w:trPr>
          <w:trHeight w:val="328"/>
        </w:trPr>
        <w:tc>
          <w:tcPr>
            <w:tcW w:w="850" w:type="dxa"/>
          </w:tcPr>
          <w:p w14:paraId="0D6B1FA9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4.1.3.</w:t>
            </w:r>
          </w:p>
        </w:tc>
        <w:tc>
          <w:tcPr>
            <w:tcW w:w="4254" w:type="dxa"/>
          </w:tcPr>
          <w:p w14:paraId="61AA5602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5EB26CBB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6602DBD3" w14:textId="77777777" w:rsidTr="003C304F">
        <w:trPr>
          <w:trHeight w:val="328"/>
        </w:trPr>
        <w:tc>
          <w:tcPr>
            <w:tcW w:w="850" w:type="dxa"/>
          </w:tcPr>
          <w:p w14:paraId="354EA5CE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253BA0AF" w14:textId="77777777" w:rsidR="009352D9" w:rsidRPr="006C3E27" w:rsidRDefault="00FA0EE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</w:t>
            </w:r>
            <w:r w:rsidR="005C69CF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tvrđeni učinci na socijalnu skrb.</w:t>
            </w:r>
          </w:p>
        </w:tc>
        <w:tc>
          <w:tcPr>
            <w:tcW w:w="4819" w:type="dxa"/>
          </w:tcPr>
          <w:p w14:paraId="7B903309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6C3E27" w:rsidRPr="006C3E27" w14:paraId="1CF667CF" w14:textId="77777777" w:rsidTr="003C304F">
        <w:trPr>
          <w:trHeight w:val="366"/>
        </w:trPr>
        <w:tc>
          <w:tcPr>
            <w:tcW w:w="850" w:type="dxa"/>
          </w:tcPr>
          <w:p w14:paraId="16B81BBA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4.1.4.</w:t>
            </w:r>
          </w:p>
        </w:tc>
        <w:tc>
          <w:tcPr>
            <w:tcW w:w="4254" w:type="dxa"/>
          </w:tcPr>
          <w:p w14:paraId="300C5B87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65202348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68800FD6" w14:textId="77777777" w:rsidTr="003C304F">
        <w:trPr>
          <w:trHeight w:val="366"/>
        </w:trPr>
        <w:tc>
          <w:tcPr>
            <w:tcW w:w="850" w:type="dxa"/>
          </w:tcPr>
          <w:p w14:paraId="33F94432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6B1072F1" w14:textId="77777777" w:rsidR="005C69CF" w:rsidRDefault="005C69CF" w:rsidP="00FE3D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286A6E7" w14:textId="773ACCCB" w:rsidR="00B53C02" w:rsidRDefault="00B53C02" w:rsidP="00FE3D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Osobe koje prijavljuju informacije 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kršenju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javno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interes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koje su saznale tijekom obavljanja aktivnosti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radnom okruženju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sagledavaju se u </w:t>
            </w:r>
            <w:r w:rsidR="00627C0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kontekstu 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prav</w:t>
            </w:r>
            <w:r w:rsidR="00627C0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na slobodu izražavanja</w:t>
            </w:r>
            <w:r w:rsidR="00627C0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a koja su </w:t>
            </w:r>
            <w:r w:rsidR="00AE4DA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 xml:space="preserve">navedena u 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članku 11. Povelje</w:t>
            </w:r>
            <w:r w:rsidR="00627C0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EU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članku 10. Konvencije za zaštitu ljudskih prava i temeljnih sloboda</w:t>
            </w:r>
            <w:r w:rsidR="00AE4DA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3112A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Osim </w:t>
            </w:r>
            <w:r w:rsidR="00FE61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same Konvencije, u okviru </w:t>
            </w:r>
            <w:r w:rsidR="00FE6137"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Vijeć</w:t>
            </w:r>
            <w:r w:rsidR="00FE61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="00FE6137"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Europe Vijeće ministara </w:t>
            </w:r>
            <w:r w:rsidR="00FE61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donijelo </w:t>
            </w:r>
            <w:r w:rsidR="001C161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je </w:t>
            </w:r>
            <w:r w:rsidR="00FE61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</w:t>
            </w:r>
            <w:r w:rsidR="00FE6137"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Preporu</w:t>
            </w:r>
            <w:r w:rsidR="00FE61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ku</w:t>
            </w:r>
            <w:r w:rsidR="00FE6137"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 zaštiti zviždača 30. travnja 2014.</w:t>
            </w:r>
            <w:r w:rsidR="00FE61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E4DA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Također, nastavno na </w:t>
            </w:r>
            <w:r w:rsidR="005739B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članak 10. </w:t>
            </w:r>
            <w:r w:rsidR="005739B8"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Konvencije </w:t>
            </w:r>
            <w:r w:rsidR="005739B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razvijena je i 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sudsk</w:t>
            </w:r>
            <w:r w:rsidR="005739B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praks</w:t>
            </w:r>
            <w:r w:rsidR="005739B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Europskog suda za ljudska prava (</w:t>
            </w:r>
            <w:proofErr w:type="spellStart"/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ESLJP</w:t>
            </w:r>
            <w:proofErr w:type="spellEnd"/>
            <w:r w:rsidRPr="00B53C0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 o slobodi izražavanja</w:t>
            </w:r>
            <w:r w:rsidR="00FE61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 kontekstu prijava </w:t>
            </w:r>
            <w:r w:rsidR="006D607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zviždača</w:t>
            </w:r>
            <w:r w:rsidR="00FE61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52167D98" w14:textId="04BA122F" w:rsidR="00B53C02" w:rsidRPr="006C3E27" w:rsidRDefault="00B53C02" w:rsidP="00FE3D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</w:tcPr>
          <w:p w14:paraId="43DD0364" w14:textId="77777777" w:rsidR="000C478F" w:rsidRPr="006C3E27" w:rsidRDefault="000C478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127D66E2" w14:textId="0EC5EF74" w:rsidR="00CF786C" w:rsidRPr="006C3E27" w:rsidRDefault="009663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Prijavitelji nepravilnosti </w:t>
            </w:r>
          </w:p>
          <w:p w14:paraId="7253E781" w14:textId="77777777" w:rsidR="00CF786C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Državno odvjetništvo RH</w:t>
            </w:r>
          </w:p>
          <w:p w14:paraId="281DF041" w14:textId="04C05564" w:rsidR="009663CF" w:rsidRDefault="009663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Policija</w:t>
            </w:r>
          </w:p>
          <w:p w14:paraId="77CC89EA" w14:textId="7445C84F" w:rsidR="009663CF" w:rsidRPr="006C3E27" w:rsidRDefault="009663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663C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Pučki pravobranitelj </w:t>
            </w:r>
          </w:p>
          <w:p w14:paraId="199E7C4D" w14:textId="77777777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</w:p>
          <w:p w14:paraId="440951D0" w14:textId="77777777" w:rsidR="00CF786C" w:rsidRPr="006C3E27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</w:p>
          <w:p w14:paraId="44EFB272" w14:textId="76E2B558" w:rsidR="00425FCB" w:rsidRPr="006C3E27" w:rsidRDefault="00425FCB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  <w:t xml:space="preserve"> </w:t>
            </w:r>
          </w:p>
          <w:p w14:paraId="46A75FCD" w14:textId="17E5277E" w:rsidR="0064075D" w:rsidRPr="006C3E27" w:rsidRDefault="00425FCB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  <w:t xml:space="preserve"> </w:t>
            </w:r>
          </w:p>
          <w:p w14:paraId="7739837A" w14:textId="77777777" w:rsidR="007F21A0" w:rsidRPr="006C3E27" w:rsidRDefault="007F21A0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475DBD9" w14:textId="77777777" w:rsidR="007F21A0" w:rsidRPr="006C3E27" w:rsidRDefault="007F21A0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C3E27" w:rsidRPr="006C3E27" w14:paraId="66B17CA8" w14:textId="77777777" w:rsidTr="003C304F">
        <w:trPr>
          <w:trHeight w:val="319"/>
        </w:trPr>
        <w:tc>
          <w:tcPr>
            <w:tcW w:w="850" w:type="dxa"/>
          </w:tcPr>
          <w:p w14:paraId="13EC7643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4.1.5.</w:t>
            </w:r>
          </w:p>
        </w:tc>
        <w:tc>
          <w:tcPr>
            <w:tcW w:w="4254" w:type="dxa"/>
          </w:tcPr>
          <w:p w14:paraId="7181A2EE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15548651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C3E27" w:rsidRPr="006C3E27" w14:paraId="42FE35B3" w14:textId="77777777" w:rsidTr="003C304F">
        <w:trPr>
          <w:trHeight w:val="319"/>
        </w:trPr>
        <w:tc>
          <w:tcPr>
            <w:tcW w:w="850" w:type="dxa"/>
          </w:tcPr>
          <w:p w14:paraId="420831D1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4F6BF145" w14:textId="77777777" w:rsidR="009352D9" w:rsidRPr="006C3E27" w:rsidRDefault="00FA0EE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druga područja.</w:t>
            </w:r>
          </w:p>
        </w:tc>
        <w:tc>
          <w:tcPr>
            <w:tcW w:w="4819" w:type="dxa"/>
          </w:tcPr>
          <w:p w14:paraId="7B13D5CE" w14:textId="77777777" w:rsidR="009352D9" w:rsidRPr="006C3E27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</w:tbl>
    <w:p w14:paraId="1BB5B958" w14:textId="1D01E626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ANALIZA UTVRĐENIH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771816CF" w14:textId="77777777" w:rsidTr="003C304F">
        <w:tc>
          <w:tcPr>
            <w:tcW w:w="850" w:type="dxa"/>
          </w:tcPr>
          <w:p w14:paraId="0482D426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9073" w:type="dxa"/>
          </w:tcPr>
          <w:p w14:paraId="2A115C8B" w14:textId="77777777" w:rsidR="009352D9" w:rsidRPr="006C3E27" w:rsidRDefault="009352D9" w:rsidP="005178C1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gospodarstva:</w:t>
            </w:r>
          </w:p>
        </w:tc>
      </w:tr>
      <w:tr w:rsidR="006C3E27" w:rsidRPr="006C3E27" w14:paraId="201B15B3" w14:textId="77777777" w:rsidTr="003C304F">
        <w:tc>
          <w:tcPr>
            <w:tcW w:w="850" w:type="dxa"/>
          </w:tcPr>
          <w:p w14:paraId="72300CF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86F479D" w14:textId="77777777" w:rsidR="009352D9" w:rsidRPr="006C3E27" w:rsidRDefault="00B37784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Nisu utvrđeni učinci ni adresati u području gospodarstva.</w:t>
            </w:r>
          </w:p>
        </w:tc>
      </w:tr>
      <w:tr w:rsidR="006C3E27" w:rsidRPr="006C3E27" w14:paraId="0A5F5AF6" w14:textId="77777777" w:rsidTr="003C304F">
        <w:tc>
          <w:tcPr>
            <w:tcW w:w="850" w:type="dxa"/>
          </w:tcPr>
          <w:p w14:paraId="4A1C285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9073" w:type="dxa"/>
          </w:tcPr>
          <w:p w14:paraId="3543F01D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održivog razvoja:</w:t>
            </w:r>
          </w:p>
        </w:tc>
      </w:tr>
      <w:tr w:rsidR="006C3E27" w:rsidRPr="006C3E27" w14:paraId="5D822366" w14:textId="77777777" w:rsidTr="003C304F">
        <w:tc>
          <w:tcPr>
            <w:tcW w:w="850" w:type="dxa"/>
          </w:tcPr>
          <w:p w14:paraId="07313B5B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06BEB714" w14:textId="77777777" w:rsidR="009352D9" w:rsidRPr="006C3E27" w:rsidRDefault="00B37784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Nisu utvrđeni učinci ni adresati u području održivog razvoja.</w:t>
            </w:r>
          </w:p>
        </w:tc>
      </w:tr>
      <w:tr w:rsidR="006C3E27" w:rsidRPr="006C3E27" w14:paraId="31EB5455" w14:textId="77777777" w:rsidTr="003C304F">
        <w:tc>
          <w:tcPr>
            <w:tcW w:w="850" w:type="dxa"/>
          </w:tcPr>
          <w:p w14:paraId="6494F58A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9073" w:type="dxa"/>
          </w:tcPr>
          <w:p w14:paraId="419CA82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socijalne skrbi:</w:t>
            </w:r>
          </w:p>
        </w:tc>
      </w:tr>
      <w:tr w:rsidR="006C3E27" w:rsidRPr="006C3E27" w14:paraId="653A4A7C" w14:textId="77777777" w:rsidTr="003C304F">
        <w:trPr>
          <w:trHeight w:val="269"/>
        </w:trPr>
        <w:tc>
          <w:tcPr>
            <w:tcW w:w="850" w:type="dxa"/>
          </w:tcPr>
          <w:p w14:paraId="2C0EFFE5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67BC4D0" w14:textId="77777777" w:rsidR="009352D9" w:rsidRPr="006C3E27" w:rsidRDefault="00B3778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Nisu utvrđeni učinci ni adresati u području </w:t>
            </w:r>
            <w:r w:rsidR="00FA0EEC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socijalne skrbi.</w:t>
            </w:r>
          </w:p>
        </w:tc>
      </w:tr>
      <w:tr w:rsidR="006C3E27" w:rsidRPr="006C3E27" w14:paraId="610540D7" w14:textId="77777777" w:rsidTr="003C304F">
        <w:tc>
          <w:tcPr>
            <w:tcW w:w="850" w:type="dxa"/>
          </w:tcPr>
          <w:p w14:paraId="0848589B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9073" w:type="dxa"/>
          </w:tcPr>
          <w:p w14:paraId="5A7BF8D1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zaštite ljudskih prava:</w:t>
            </w:r>
          </w:p>
        </w:tc>
      </w:tr>
      <w:tr w:rsidR="006C3E27" w:rsidRPr="006C3E27" w14:paraId="58A64FFA" w14:textId="77777777" w:rsidTr="003C304F">
        <w:trPr>
          <w:trHeight w:val="354"/>
        </w:trPr>
        <w:tc>
          <w:tcPr>
            <w:tcW w:w="850" w:type="dxa"/>
          </w:tcPr>
          <w:p w14:paraId="21956CEC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5636987" w14:textId="77777777" w:rsidR="009663CF" w:rsidRPr="009663CF" w:rsidRDefault="009663CF" w:rsidP="009663C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5206A3A" w14:textId="43A596F6" w:rsidR="009D65D9" w:rsidRDefault="00336C76" w:rsidP="009663C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Širenjem područja primjene i izričitim propisivanjem da se Zakon primjenjuje i</w:t>
            </w:r>
            <w:r w:rsidR="00A777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u kontekstu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 konkretno određen</w:t>
            </w:r>
            <w:r w:rsidR="00A777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kaznen</w:t>
            </w:r>
            <w:r w:rsidR="00A777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djela</w:t>
            </w:r>
            <w:r w:rsidR="00A777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i pravnih akata EU</w:t>
            </w:r>
            <w:r w:rsidR="00240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, te pojašnjavanjem da prijavitelji nepravilnosti imaju pravo na zaštitu i ukoliko prijave nepravilnosti izravno policiji i državnom odvjetništvu, </w:t>
            </w:r>
            <w:r w:rsidR="007364A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doprinosi</w:t>
            </w:r>
            <w:r w:rsidR="00240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s</w:t>
            </w:r>
            <w:r w:rsidR="007364A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e </w:t>
            </w:r>
            <w:r w:rsidR="00240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jasnoći </w:t>
            </w:r>
            <w:r w:rsidR="007364A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i predvidljivosti primjene pravnih odredbi, a što rezultira </w:t>
            </w:r>
            <w:r w:rsidR="001A1F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unaprjeđenjem</w:t>
            </w:r>
            <w:r w:rsidR="007364A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standarda zaštite prijavitelja nepravilnosti</w:t>
            </w:r>
            <w:r w:rsidR="008023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900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i </w:t>
            </w:r>
            <w:r w:rsidR="00267B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korištenjem prava na slobodu izražavanja u praksi. </w:t>
            </w:r>
            <w:r w:rsidR="00993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Takvo unaprjeđenje sagledava se i u kontekstu </w:t>
            </w:r>
            <w:r w:rsidR="00F975F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povećanja zaštite javnog interesa i olakšavanju otkrivanja koruptivnih i drugih aktivnosti koje narušavaju javni interes.</w:t>
            </w:r>
          </w:p>
          <w:p w14:paraId="239AE5B3" w14:textId="77777777" w:rsidR="009D65D9" w:rsidRDefault="009D65D9" w:rsidP="009663C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BE3AE66" w14:textId="77982A47" w:rsidR="009352D9" w:rsidRPr="006C3E27" w:rsidRDefault="009663CF" w:rsidP="009663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663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C3E27" w:rsidRPr="006C3E27" w14:paraId="7F259817" w14:textId="77777777" w:rsidTr="003C304F">
        <w:trPr>
          <w:trHeight w:val="354"/>
        </w:trPr>
        <w:tc>
          <w:tcPr>
            <w:tcW w:w="850" w:type="dxa"/>
          </w:tcPr>
          <w:p w14:paraId="7F570A40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9073" w:type="dxa"/>
            <w:shd w:val="clear" w:color="auto" w:fill="auto"/>
          </w:tcPr>
          <w:p w14:paraId="493130AF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drugim područjima:</w:t>
            </w:r>
          </w:p>
        </w:tc>
      </w:tr>
      <w:tr w:rsidR="006C3E27" w:rsidRPr="006C3E27" w14:paraId="773DD45F" w14:textId="77777777" w:rsidTr="003C304F">
        <w:trPr>
          <w:trHeight w:val="354"/>
        </w:trPr>
        <w:tc>
          <w:tcPr>
            <w:tcW w:w="850" w:type="dxa"/>
          </w:tcPr>
          <w:p w14:paraId="6048A77C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E4E2712" w14:textId="77777777" w:rsidR="009352D9" w:rsidRPr="006C3E27" w:rsidRDefault="004B67BD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ni adresati u drugim područjima.</w:t>
            </w:r>
          </w:p>
        </w:tc>
      </w:tr>
      <w:tr w:rsidR="006C3E27" w:rsidRPr="006C3E27" w14:paraId="0EF8B6D7" w14:textId="77777777" w:rsidTr="003C304F">
        <w:trPr>
          <w:trHeight w:val="354"/>
        </w:trPr>
        <w:tc>
          <w:tcPr>
            <w:tcW w:w="850" w:type="dxa"/>
          </w:tcPr>
          <w:p w14:paraId="1A0943DD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9073" w:type="dxa"/>
            <w:shd w:val="clear" w:color="auto" w:fill="auto"/>
          </w:tcPr>
          <w:p w14:paraId="707D38CB" w14:textId="468A0C06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  <w:r w:rsidR="00DE137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E137A" w:rsidRPr="00DE137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Izvori</w:t>
            </w:r>
            <w:r w:rsidR="00DE137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E137A" w:rsidRPr="00DE137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podataka su isti kao pod to</w:t>
            </w:r>
            <w:r w:rsidR="00DE137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č</w:t>
            </w:r>
            <w:r w:rsidR="00DE137A" w:rsidRPr="00DE137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kom 2.2</w:t>
            </w:r>
          </w:p>
        </w:tc>
      </w:tr>
      <w:tr w:rsidR="006C3E27" w:rsidRPr="006C3E27" w14:paraId="1E3D1404" w14:textId="77777777" w:rsidTr="003C304F">
        <w:trPr>
          <w:trHeight w:val="354"/>
        </w:trPr>
        <w:tc>
          <w:tcPr>
            <w:tcW w:w="850" w:type="dxa"/>
          </w:tcPr>
          <w:p w14:paraId="768B099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4EFB6ACD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008B34D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68BE6978" w14:textId="2DD86D64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6. SAVJETOVANJE I KONZULTACIJE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79FE9404" w14:textId="77777777" w:rsidTr="003C304F">
        <w:tc>
          <w:tcPr>
            <w:tcW w:w="850" w:type="dxa"/>
          </w:tcPr>
          <w:p w14:paraId="7ADAB688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9073" w:type="dxa"/>
          </w:tcPr>
          <w:p w14:paraId="33997771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Savjetovanje:</w:t>
            </w:r>
          </w:p>
          <w:p w14:paraId="21880398" w14:textId="77777777" w:rsidR="009352D9" w:rsidRPr="006C3E27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6C3E27" w:rsidRPr="006C3E27" w14:paraId="20C85D5A" w14:textId="77777777" w:rsidTr="003C304F">
        <w:trPr>
          <w:trHeight w:val="425"/>
        </w:trPr>
        <w:tc>
          <w:tcPr>
            <w:tcW w:w="850" w:type="dxa"/>
          </w:tcPr>
          <w:p w14:paraId="36814754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9073" w:type="dxa"/>
            <w:shd w:val="clear" w:color="auto" w:fill="auto"/>
          </w:tcPr>
          <w:p w14:paraId="189A2E52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6DEFBA3B" w14:textId="77777777" w:rsidR="009352D9" w:rsidRPr="006C3E27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62D76D3" w14:textId="77777777" w:rsidR="003C304F" w:rsidRPr="006C3E27" w:rsidRDefault="003C304F">
      <w:pPr>
        <w:rPr>
          <w:rFonts w:ascii="Times New Roman" w:hAnsi="Times New Roman" w:cs="Times New Roman"/>
          <w:sz w:val="24"/>
          <w:szCs w:val="24"/>
        </w:rPr>
      </w:pPr>
    </w:p>
    <w:p w14:paraId="62E95F6E" w14:textId="75B32F60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7.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ZAKLJUČAK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4961"/>
      </w:tblGrid>
      <w:tr w:rsidR="006C3E27" w:rsidRPr="006C3E27" w14:paraId="244741E3" w14:textId="77777777" w:rsidTr="003C304F">
        <w:tc>
          <w:tcPr>
            <w:tcW w:w="850" w:type="dxa"/>
          </w:tcPr>
          <w:p w14:paraId="18957976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4112" w:type="dxa"/>
          </w:tcPr>
          <w:p w14:paraId="6882DC98" w14:textId="77777777" w:rsidR="00662429" w:rsidRDefault="00662429" w:rsidP="00662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Predviđenim izmjenama i dopunama Zakona o zaštiti prijavitelja nepravilnosti postići će se usklađenost sa standardima Organizacije za ekonomsku suradnju i razvoj (OECD) po pitanju mogućnosti prijave stranog podmićivanja i srodnih kaznena djela. </w:t>
            </w:r>
          </w:p>
          <w:p w14:paraId="121C7296" w14:textId="77777777" w:rsidR="00662429" w:rsidRDefault="00662429" w:rsidP="00662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CBDCE31" w14:textId="0CB89F6F" w:rsidR="00662429" w:rsidRDefault="00662429" w:rsidP="00662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Zaštitit će se prijavitelj nepravilnosti koji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podnosi prijavu </w:t>
            </w:r>
            <w:r w:rsidR="00914B5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bilo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neposredno </w:t>
            </w: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državnom odvjetništvu ili policiji </w:t>
            </w:r>
            <w:r w:rsidR="00914B5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ili</w:t>
            </w: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putem nekog od  kanala za prijavu</w:t>
            </w:r>
            <w:r w:rsidR="00914B5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Zaštita prijavitelja nepravilnosti </w:t>
            </w:r>
            <w:r w:rsidR="00914B5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koji prijavljuju </w:t>
            </w:r>
            <w:r w:rsidR="00E1650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neposredno policiji ili državnom odvjetništvu </w:t>
            </w: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pružat će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tim prijaviteljima </w:t>
            </w: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na isti način kao i da je prijava zaprimljena kroz kanal za vanjsko prijavljivanje nepravilnosti. </w:t>
            </w:r>
            <w:r w:rsidR="00307B4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Nadalje, propisati će se rokovi za pojedine faze postupka za zaštitu prijavitelja nepravilnosti </w:t>
            </w:r>
            <w:r w:rsidR="00C23F0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svrhu njegovog održavanja u zadanim okvirima žurnog postupanja te će p</w:t>
            </w: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ovećati granice novčanih kazni za </w:t>
            </w:r>
            <w:r w:rsidR="00307B4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osvetu.</w:t>
            </w:r>
          </w:p>
          <w:p w14:paraId="46F95AC7" w14:textId="77777777" w:rsidR="00662429" w:rsidRDefault="00662429" w:rsidP="00662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089C0159" w14:textId="77777777" w:rsidR="00662429" w:rsidRPr="00662429" w:rsidRDefault="00662429" w:rsidP="00662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Materijalno područje primjena Zakona proširit će se također na nove akte Europske unije, slijedom čega će se izvršiti adekvatne izmjene i u Prilogu 1. Zakona.</w:t>
            </w:r>
          </w:p>
          <w:p w14:paraId="63EC7B1D" w14:textId="77777777" w:rsidR="00662429" w:rsidRPr="00662429" w:rsidRDefault="00662429" w:rsidP="00662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B4D9442" w14:textId="77777777" w:rsidR="009352D9" w:rsidRDefault="00662429" w:rsidP="00662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6242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Također će od dana stupanja Zakona na snagu Zakona o zaštiti prijavitelja nepravilnosti novčane kazne biti izražene u valuti koja je od 1. siječnja 2023. godine postala zakonsko sredstvo plaćanja u Republici Hrvatskoj. </w:t>
            </w:r>
          </w:p>
          <w:p w14:paraId="5C5B0802" w14:textId="77777777" w:rsidR="00E1650C" w:rsidRDefault="00E1650C" w:rsidP="00662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B6E3204" w14:textId="0E4C423D" w:rsidR="00E1650C" w:rsidRPr="006C3E27" w:rsidRDefault="00802F18" w:rsidP="006624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Time će se otkloniti nedoumice oko primjene Zakona i unaprijediti ukupna zaštita prijavitelja nepravilnosti</w:t>
            </w:r>
            <w:r w:rsidR="00546AB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961" w:type="dxa"/>
          </w:tcPr>
          <w:p w14:paraId="5D819918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Negativni učinci:</w:t>
            </w:r>
          </w:p>
          <w:p w14:paraId="4FDB1F29" w14:textId="72E4A1D3" w:rsidR="009352D9" w:rsidRPr="006C3E27" w:rsidRDefault="00727ECA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značajniji negativni učinci.</w:t>
            </w:r>
            <w:r w:rsidR="0064075D"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C3E27" w:rsidRPr="006C3E27" w14:paraId="422E7154" w14:textId="77777777" w:rsidTr="003C304F">
        <w:tc>
          <w:tcPr>
            <w:tcW w:w="850" w:type="dxa"/>
          </w:tcPr>
          <w:p w14:paraId="5CB75AB5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011FC945" w14:textId="77777777"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Zaključak o učincima koji će proisteći iz provedbe:</w:t>
            </w:r>
          </w:p>
          <w:p w14:paraId="772B1B2E" w14:textId="77777777" w:rsidR="00CF786C" w:rsidRDefault="00CF786C" w:rsidP="00546A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71C01FE" w14:textId="429D4072" w:rsidR="00BC7B66" w:rsidRDefault="001536BB" w:rsidP="00546A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D754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Zaštita </w:t>
            </w:r>
            <w:r w:rsidR="000B64E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prijavitelja nepravilnosti</w:t>
            </w:r>
            <w:r w:rsidR="000B64E4" w:rsidRPr="00CD754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važan je stup u borbi protiv korupcije te je </w:t>
            </w:r>
            <w:r w:rsidRPr="00CD754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dio</w:t>
            </w:r>
            <w:r w:rsidR="00C2296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ukupnih napora u poticanju </w:t>
            </w:r>
            <w:r w:rsidRPr="00CD754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transparentnosti, promicanja integriteta</w:t>
            </w:r>
            <w:r w:rsidR="00C2296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CD754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 otkrivanj</w:t>
            </w:r>
            <w:r w:rsidR="00C2296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</w:t>
            </w:r>
            <w:r w:rsidRPr="00CD754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2296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koruptivnih aktivnosti i drugih nepravilnosti kojima se krši javni interes.</w:t>
            </w:r>
            <w:r w:rsidR="00D26C8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Također, kao što se na</w:t>
            </w:r>
            <w:r w:rsidR="00C41CE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</w:t>
            </w:r>
            <w:r w:rsidR="00D26C8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odi, </w:t>
            </w:r>
            <w:r w:rsidR="00C41CE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osim zaštite javnog interesa, učinkovita zaštita prijavitelja nepravilnosti </w:t>
            </w:r>
            <w:r w:rsidR="0096334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ima utjecaja i na temeljne slobode - </w:t>
            </w:r>
            <w:r w:rsidR="00581E26" w:rsidRPr="00581E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zaštitu slobode izražavanja</w:t>
            </w:r>
            <w:r w:rsidR="0096334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. Stoga se zaključuje da pojašnjavanjem odredbi Zakona </w:t>
            </w:r>
            <w:r w:rsidR="0096334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 xml:space="preserve">koje su do sada izazivale nedoumice u provedbi </w:t>
            </w:r>
            <w:r w:rsidR="00E51B4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te podizanjem novčanih sankcija za kršenje Zakona te daljnjim širenjem područja primjene u skladu s razvojem EU prava u tom području </w:t>
            </w:r>
            <w:r w:rsidR="0087028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dolazi do ukupnog unaprjeđenja standarda za zaštitu prijavitelja nepravilnosti i pravne jasnoće</w:t>
            </w:r>
            <w:r w:rsidR="008A2D3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a što ima učinak na </w:t>
            </w:r>
            <w:r w:rsidR="00F863B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zaštitu temeljnih sloboda, na </w:t>
            </w:r>
            <w:r w:rsidR="008A2D3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unaprjeđenje okvira za borbu protiv korupcije</w:t>
            </w:r>
            <w:r w:rsidR="001548D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na povećanje zaštite javnog interesa.</w:t>
            </w:r>
          </w:p>
          <w:p w14:paraId="2CB54BEC" w14:textId="087F6117" w:rsidR="00546ABC" w:rsidRPr="006C3E27" w:rsidRDefault="00546ABC" w:rsidP="001536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FA7B6A0" w14:textId="77777777" w:rsidR="003C304F" w:rsidRPr="006C3E27" w:rsidRDefault="003C30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346DB8" w14:textId="7E4BDE9A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>8.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PRILOZI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796681C9" w14:textId="77777777" w:rsidTr="003C304F">
        <w:tc>
          <w:tcPr>
            <w:tcW w:w="850" w:type="dxa"/>
          </w:tcPr>
          <w:p w14:paraId="6DDD5DE1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</w:t>
            </w:r>
          </w:p>
        </w:tc>
        <w:tc>
          <w:tcPr>
            <w:tcW w:w="9073" w:type="dxa"/>
          </w:tcPr>
          <w:p w14:paraId="606763A4" w14:textId="2419AAE7" w:rsidR="009352D9" w:rsidRPr="006C3E27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C3E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  <w:r w:rsidR="00DE13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DE137A" w:rsidRPr="00DE13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Nema priloga.</w:t>
            </w:r>
          </w:p>
        </w:tc>
      </w:tr>
      <w:tr w:rsidR="006C3E27" w:rsidRPr="006C3E27" w14:paraId="08B258FF" w14:textId="77777777" w:rsidTr="003C304F">
        <w:tc>
          <w:tcPr>
            <w:tcW w:w="850" w:type="dxa"/>
          </w:tcPr>
          <w:p w14:paraId="6C8DFBD8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E03892E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2015FB8F" w14:textId="44F8BEA8" w:rsidR="003C304F" w:rsidRPr="006C3E27" w:rsidRDefault="003C304F" w:rsidP="006C3E27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</w:t>
      </w:r>
      <w:r w:rsidRPr="006C3E2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OVJERA ČELNIKA STRUČNOG NOSITELJA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C3E27" w:rsidRPr="006C3E27" w14:paraId="11859A92" w14:textId="77777777" w:rsidTr="003C304F">
        <w:tc>
          <w:tcPr>
            <w:tcW w:w="850" w:type="dxa"/>
          </w:tcPr>
          <w:p w14:paraId="48419639" w14:textId="77777777" w:rsidR="009352D9" w:rsidRPr="006C3E27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72CD7AF" w14:textId="77777777" w:rsidR="009352D9" w:rsidRPr="006C3E27" w:rsidRDefault="009352D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0D1835"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Damir Habijan, ministar pravosuđa, uprave i digitalne transformacije</w:t>
            </w:r>
          </w:p>
          <w:p w14:paraId="2E5B1949" w14:textId="77777777" w:rsidR="000D1835" w:rsidRPr="006C3E27" w:rsidRDefault="000D1835" w:rsidP="005178C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77E5CEA5" w14:textId="77777777" w:rsidR="000D1835" w:rsidRPr="006C3E27" w:rsidRDefault="000D1835" w:rsidP="005178C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46359AEF" w14:textId="2117B8CB" w:rsidR="009352D9" w:rsidRPr="006C3E27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0D1835"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6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DE1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srpnja </w:t>
            </w:r>
            <w:r w:rsidR="00966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64767" w:rsidRPr="006C3E27">
              <w:rPr>
                <w:rFonts w:ascii="Times New Roman" w:hAnsi="Times New Roman" w:cs="Times New Roman"/>
                <w:bCs/>
                <w:sz w:val="24"/>
                <w:szCs w:val="24"/>
              </w:rPr>
              <w:t>2025.</w:t>
            </w:r>
          </w:p>
        </w:tc>
      </w:tr>
      <w:bookmarkEnd w:id="0"/>
    </w:tbl>
    <w:p w14:paraId="4D877B0D" w14:textId="77777777" w:rsidR="00050C2A" w:rsidRPr="006C3E27" w:rsidRDefault="00050C2A">
      <w:pPr>
        <w:rPr>
          <w:rFonts w:ascii="Times New Roman" w:hAnsi="Times New Roman" w:cs="Times New Roman"/>
          <w:sz w:val="24"/>
          <w:szCs w:val="24"/>
        </w:rPr>
      </w:pPr>
    </w:p>
    <w:sectPr w:rsidR="00050C2A" w:rsidRPr="006C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17821"/>
    <w:multiLevelType w:val="hybridMultilevel"/>
    <w:tmpl w:val="EC146992"/>
    <w:lvl w:ilvl="0" w:tplc="97B8EF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44CB"/>
    <w:multiLevelType w:val="hybridMultilevel"/>
    <w:tmpl w:val="B86CBEA0"/>
    <w:lvl w:ilvl="0" w:tplc="04BCD7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44DC"/>
    <w:multiLevelType w:val="hybridMultilevel"/>
    <w:tmpl w:val="CC521588"/>
    <w:lvl w:ilvl="0" w:tplc="632647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08274">
    <w:abstractNumId w:val="2"/>
  </w:num>
  <w:num w:numId="2" w16cid:durableId="1476222610">
    <w:abstractNumId w:val="0"/>
  </w:num>
  <w:num w:numId="3" w16cid:durableId="72895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D9"/>
    <w:rsid w:val="000011C7"/>
    <w:rsid w:val="000277C9"/>
    <w:rsid w:val="00046553"/>
    <w:rsid w:val="00050C2A"/>
    <w:rsid w:val="00093377"/>
    <w:rsid w:val="000B64E4"/>
    <w:rsid w:val="000B66CD"/>
    <w:rsid w:val="000C478F"/>
    <w:rsid w:val="000D1835"/>
    <w:rsid w:val="00115490"/>
    <w:rsid w:val="0014011C"/>
    <w:rsid w:val="001536BB"/>
    <w:rsid w:val="001548D4"/>
    <w:rsid w:val="00162408"/>
    <w:rsid w:val="001667FF"/>
    <w:rsid w:val="001A1FB3"/>
    <w:rsid w:val="001B1D9F"/>
    <w:rsid w:val="001C06B2"/>
    <w:rsid w:val="001C161E"/>
    <w:rsid w:val="001D2B4D"/>
    <w:rsid w:val="001D589E"/>
    <w:rsid w:val="001D753A"/>
    <w:rsid w:val="00207769"/>
    <w:rsid w:val="00212DDA"/>
    <w:rsid w:val="002241DA"/>
    <w:rsid w:val="00224FFF"/>
    <w:rsid w:val="002401A6"/>
    <w:rsid w:val="00250335"/>
    <w:rsid w:val="00250435"/>
    <w:rsid w:val="00252241"/>
    <w:rsid w:val="002624D8"/>
    <w:rsid w:val="00267B91"/>
    <w:rsid w:val="0027068B"/>
    <w:rsid w:val="00283CA9"/>
    <w:rsid w:val="0028617F"/>
    <w:rsid w:val="002A2BF0"/>
    <w:rsid w:val="002B06C8"/>
    <w:rsid w:val="002C6C47"/>
    <w:rsid w:val="002F1CAA"/>
    <w:rsid w:val="00307B2E"/>
    <w:rsid w:val="00307B43"/>
    <w:rsid w:val="003100A1"/>
    <w:rsid w:val="003112A5"/>
    <w:rsid w:val="00322993"/>
    <w:rsid w:val="00336C76"/>
    <w:rsid w:val="0034170D"/>
    <w:rsid w:val="003434A6"/>
    <w:rsid w:val="00363635"/>
    <w:rsid w:val="00364767"/>
    <w:rsid w:val="00377E70"/>
    <w:rsid w:val="003C304F"/>
    <w:rsid w:val="003F6502"/>
    <w:rsid w:val="00425FCB"/>
    <w:rsid w:val="00437553"/>
    <w:rsid w:val="004542C2"/>
    <w:rsid w:val="00454727"/>
    <w:rsid w:val="00460294"/>
    <w:rsid w:val="00463E10"/>
    <w:rsid w:val="00476FE8"/>
    <w:rsid w:val="00484EAA"/>
    <w:rsid w:val="004A0F48"/>
    <w:rsid w:val="004A47F5"/>
    <w:rsid w:val="004A751D"/>
    <w:rsid w:val="004B1BED"/>
    <w:rsid w:val="004B67BD"/>
    <w:rsid w:val="005066A1"/>
    <w:rsid w:val="00511B39"/>
    <w:rsid w:val="0054250A"/>
    <w:rsid w:val="00545A99"/>
    <w:rsid w:val="00546ABC"/>
    <w:rsid w:val="00554490"/>
    <w:rsid w:val="005547AD"/>
    <w:rsid w:val="005739B8"/>
    <w:rsid w:val="00581E26"/>
    <w:rsid w:val="005C30DA"/>
    <w:rsid w:val="005C69CF"/>
    <w:rsid w:val="005F1C8C"/>
    <w:rsid w:val="00617FF8"/>
    <w:rsid w:val="00622F8F"/>
    <w:rsid w:val="00627C09"/>
    <w:rsid w:val="0064075D"/>
    <w:rsid w:val="00645244"/>
    <w:rsid w:val="00645E40"/>
    <w:rsid w:val="00662429"/>
    <w:rsid w:val="006A4447"/>
    <w:rsid w:val="006A5A90"/>
    <w:rsid w:val="006C3E27"/>
    <w:rsid w:val="006D607B"/>
    <w:rsid w:val="00727ECA"/>
    <w:rsid w:val="00730CDD"/>
    <w:rsid w:val="00733E48"/>
    <w:rsid w:val="007364A3"/>
    <w:rsid w:val="00751E7D"/>
    <w:rsid w:val="0076120B"/>
    <w:rsid w:val="00764853"/>
    <w:rsid w:val="007748E9"/>
    <w:rsid w:val="007804D0"/>
    <w:rsid w:val="00783E29"/>
    <w:rsid w:val="007A1420"/>
    <w:rsid w:val="007B34BB"/>
    <w:rsid w:val="007E0470"/>
    <w:rsid w:val="007F21A0"/>
    <w:rsid w:val="007F236B"/>
    <w:rsid w:val="00802300"/>
    <w:rsid w:val="00802F18"/>
    <w:rsid w:val="00822121"/>
    <w:rsid w:val="00822FB7"/>
    <w:rsid w:val="008325F6"/>
    <w:rsid w:val="00867BDA"/>
    <w:rsid w:val="0087028A"/>
    <w:rsid w:val="00871D53"/>
    <w:rsid w:val="00890F72"/>
    <w:rsid w:val="008A2D3B"/>
    <w:rsid w:val="008A7888"/>
    <w:rsid w:val="008C6B7F"/>
    <w:rsid w:val="0090014B"/>
    <w:rsid w:val="00914B51"/>
    <w:rsid w:val="009265AF"/>
    <w:rsid w:val="009352D9"/>
    <w:rsid w:val="009405DD"/>
    <w:rsid w:val="00963348"/>
    <w:rsid w:val="00965308"/>
    <w:rsid w:val="009663CF"/>
    <w:rsid w:val="00986374"/>
    <w:rsid w:val="009914E4"/>
    <w:rsid w:val="00993EE9"/>
    <w:rsid w:val="009C0A7E"/>
    <w:rsid w:val="009D65D9"/>
    <w:rsid w:val="009F5013"/>
    <w:rsid w:val="00A05EA5"/>
    <w:rsid w:val="00A11FE0"/>
    <w:rsid w:val="00A16182"/>
    <w:rsid w:val="00A22F43"/>
    <w:rsid w:val="00A2361F"/>
    <w:rsid w:val="00A66D14"/>
    <w:rsid w:val="00A707EF"/>
    <w:rsid w:val="00A72800"/>
    <w:rsid w:val="00A76725"/>
    <w:rsid w:val="00A7771A"/>
    <w:rsid w:val="00A85349"/>
    <w:rsid w:val="00A93065"/>
    <w:rsid w:val="00AA4967"/>
    <w:rsid w:val="00AC74AB"/>
    <w:rsid w:val="00AE4DAB"/>
    <w:rsid w:val="00AF70FE"/>
    <w:rsid w:val="00B122DC"/>
    <w:rsid w:val="00B31E2D"/>
    <w:rsid w:val="00B37784"/>
    <w:rsid w:val="00B53C02"/>
    <w:rsid w:val="00B54C90"/>
    <w:rsid w:val="00B72529"/>
    <w:rsid w:val="00B746A1"/>
    <w:rsid w:val="00B746DF"/>
    <w:rsid w:val="00B77342"/>
    <w:rsid w:val="00B85A67"/>
    <w:rsid w:val="00BC3F33"/>
    <w:rsid w:val="00BC7B66"/>
    <w:rsid w:val="00BD0C58"/>
    <w:rsid w:val="00BD4D76"/>
    <w:rsid w:val="00BF62A7"/>
    <w:rsid w:val="00C00F3C"/>
    <w:rsid w:val="00C0274A"/>
    <w:rsid w:val="00C03D4D"/>
    <w:rsid w:val="00C2296C"/>
    <w:rsid w:val="00C23F08"/>
    <w:rsid w:val="00C41CEB"/>
    <w:rsid w:val="00C571CB"/>
    <w:rsid w:val="00CC64A2"/>
    <w:rsid w:val="00CD525E"/>
    <w:rsid w:val="00CD754A"/>
    <w:rsid w:val="00CF24E9"/>
    <w:rsid w:val="00CF786C"/>
    <w:rsid w:val="00D05C26"/>
    <w:rsid w:val="00D12A6D"/>
    <w:rsid w:val="00D21B66"/>
    <w:rsid w:val="00D24FC9"/>
    <w:rsid w:val="00D26C83"/>
    <w:rsid w:val="00D322B8"/>
    <w:rsid w:val="00D45C01"/>
    <w:rsid w:val="00D57883"/>
    <w:rsid w:val="00D77868"/>
    <w:rsid w:val="00D8567D"/>
    <w:rsid w:val="00DB1B5E"/>
    <w:rsid w:val="00DD6579"/>
    <w:rsid w:val="00DE137A"/>
    <w:rsid w:val="00E1650C"/>
    <w:rsid w:val="00E519D0"/>
    <w:rsid w:val="00E51B4D"/>
    <w:rsid w:val="00E85192"/>
    <w:rsid w:val="00EB4135"/>
    <w:rsid w:val="00EE4055"/>
    <w:rsid w:val="00F16AEB"/>
    <w:rsid w:val="00F5694B"/>
    <w:rsid w:val="00F863BC"/>
    <w:rsid w:val="00F975F9"/>
    <w:rsid w:val="00FA0EEC"/>
    <w:rsid w:val="00FE3D77"/>
    <w:rsid w:val="00FE6137"/>
    <w:rsid w:val="00FE7E2F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3553E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paragraph" w:styleId="Naslov1">
    <w:name w:val="heading 1"/>
    <w:basedOn w:val="Normal"/>
    <w:next w:val="Normal"/>
    <w:link w:val="Naslov1Char"/>
    <w:uiPriority w:val="9"/>
    <w:qFormat/>
    <w:rsid w:val="006C3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C69C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C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DD65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70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86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8617F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28617F"/>
  </w:style>
  <w:style w:type="paragraph" w:styleId="Revizija">
    <w:name w:val="Revision"/>
    <w:hidden/>
    <w:uiPriority w:val="99"/>
    <w:semiHidden/>
    <w:rsid w:val="000B6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39117EC40814B9903CD54E1346201" ma:contentTypeVersion="9" ma:contentTypeDescription="Stvaranje novog dokumenta." ma:contentTypeScope="" ma:versionID="fd49115e2372fcf765cb7d0cd609149f">
  <xsd:schema xmlns:xsd="http://www.w3.org/2001/XMLSchema" xmlns:xs="http://www.w3.org/2001/XMLSchema" xmlns:p="http://schemas.microsoft.com/office/2006/metadata/properties" xmlns:ns3="515abf3a-4083-4792-a91c-a9422c060bd4" targetNamespace="http://schemas.microsoft.com/office/2006/metadata/properties" ma:root="true" ma:fieldsID="66910bbecb7be4c9348a4bc275e2b413" ns3:_="">
    <xsd:import namespace="515abf3a-4083-4792-a91c-a9422c060b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abf3a-4083-4792-a91c-a9422c060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68777-FEBB-4E73-A11B-3E4DE20B2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89118-C519-4C4F-923E-CF8402721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abf3a-4083-4792-a91c-a9422c060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EEBF8-481F-4AAF-9F3C-0B834BE68A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2122</Words>
  <Characters>13244</Characters>
  <Application>Microsoft Office Word</Application>
  <DocSecurity>0</DocSecurity>
  <Lines>389</Lines>
  <Paragraphs>160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Mario Čupić</cp:lastModifiedBy>
  <cp:revision>6</cp:revision>
  <dcterms:created xsi:type="dcterms:W3CDTF">2025-06-13T08:27:00Z</dcterms:created>
  <dcterms:modified xsi:type="dcterms:W3CDTF">2025-07-16T07:49:00Z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cb8467ed056f8385607db9eade0ccb06a2edd1c548c7006fdd296aa44cbabcc0</vt:lpwstr>
  </property>
  <property fmtid="{D5CDD505-2E9C-101B-9397-08002B2CF9AE}" pid="3" name="ContentTypeId">
    <vt:lpwstr>0x0101009B339117EC40814B9903CD54E1346201</vt:lpwstr>
  </property>
</Properties>
</file>