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63C8" w14:textId="77777777" w:rsidR="001F53EF" w:rsidRPr="00B435BE" w:rsidRDefault="001F53EF" w:rsidP="001F53EF">
      <w:pPr>
        <w:pStyle w:val="Naslov"/>
        <w:jc w:val="center"/>
        <w:rPr>
          <w:rFonts w:ascii="Times New Roman" w:eastAsia="Times New Roman" w:hAnsi="Times New Roman" w:cs="Times New Roman"/>
          <w:b/>
          <w:bCs/>
          <w:iCs/>
          <w:color w:val="000000" w:themeColor="text1"/>
          <w:sz w:val="24"/>
          <w:szCs w:val="24"/>
          <w:lang w:eastAsia="hr-HR"/>
        </w:rPr>
      </w:pPr>
      <w:bookmarkStart w:id="0" w:name="_Hlk191911253"/>
      <w:r w:rsidRPr="00B435BE">
        <w:rPr>
          <w:rFonts w:ascii="Times New Roman" w:eastAsia="Times New Roman" w:hAnsi="Times New Roman" w:cs="Times New Roman"/>
          <w:b/>
          <w:bCs/>
          <w:color w:val="000000" w:themeColor="text1"/>
          <w:sz w:val="24"/>
          <w:szCs w:val="24"/>
          <w:lang w:eastAsia="hr-HR"/>
        </w:rPr>
        <w:t xml:space="preserve">PRIJEDLOG </w:t>
      </w:r>
      <w:r w:rsidRPr="00B435BE">
        <w:rPr>
          <w:rFonts w:ascii="Times New Roman" w:eastAsia="Calibri" w:hAnsi="Times New Roman" w:cs="Times New Roman"/>
          <w:b/>
          <w:bCs/>
          <w:color w:val="000000" w:themeColor="text1"/>
          <w:sz w:val="24"/>
          <w:szCs w:val="24"/>
        </w:rPr>
        <w:t>ZAKONA O IZMJENAMA I DOPUNAMA ZAKONA O ZAŠTITI PRIJAVITELJA NEPRAVILNOSTI</w:t>
      </w:r>
    </w:p>
    <w:p w14:paraId="1D61C9CC" w14:textId="77777777" w:rsidR="001F53EF" w:rsidRPr="001F53EF" w:rsidRDefault="001F53EF" w:rsidP="001F53EF">
      <w:pPr>
        <w:spacing w:after="0" w:line="276" w:lineRule="auto"/>
        <w:jc w:val="both"/>
        <w:rPr>
          <w:rFonts w:ascii="Times New Roman" w:eastAsia="Times New Roman" w:hAnsi="Times New Roman" w:cs="Times New Roman"/>
          <w:b/>
          <w:bCs/>
          <w:iCs/>
          <w:color w:val="000000" w:themeColor="text1"/>
          <w:kern w:val="0"/>
          <w:lang w:eastAsia="hr-HR"/>
          <w14:ligatures w14:val="none"/>
        </w:rPr>
      </w:pPr>
    </w:p>
    <w:p w14:paraId="4B875E4A" w14:textId="77777777" w:rsidR="001F53EF" w:rsidRPr="001F53EF" w:rsidRDefault="001F53EF" w:rsidP="001F53EF">
      <w:pPr>
        <w:spacing w:after="0" w:line="276" w:lineRule="auto"/>
        <w:jc w:val="both"/>
        <w:rPr>
          <w:rFonts w:ascii="Times New Roman" w:eastAsia="Times New Roman" w:hAnsi="Times New Roman" w:cs="Times New Roman"/>
          <w:b/>
          <w:bCs/>
          <w:iCs/>
          <w:color w:val="000000" w:themeColor="text1"/>
          <w:kern w:val="0"/>
          <w:lang w:eastAsia="hr-HR"/>
          <w14:ligatures w14:val="none"/>
        </w:rPr>
      </w:pPr>
    </w:p>
    <w:p w14:paraId="23392C27" w14:textId="77777777" w:rsidR="001F53EF" w:rsidRPr="00B435BE" w:rsidRDefault="001F53EF" w:rsidP="001F53EF">
      <w:pPr>
        <w:pStyle w:val="Naslov1"/>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I.</w:t>
      </w:r>
      <w:r w:rsidRPr="00B435BE">
        <w:rPr>
          <w:rFonts w:ascii="Times New Roman" w:eastAsia="Times New Roman" w:hAnsi="Times New Roman" w:cs="Times New Roman"/>
          <w:b/>
          <w:bCs/>
          <w:color w:val="000000" w:themeColor="text1"/>
          <w:sz w:val="24"/>
          <w:szCs w:val="24"/>
          <w:lang w:eastAsia="hr-HR"/>
        </w:rPr>
        <w:tab/>
        <w:t>USTAVNA OSNOVA ZA DONOŠENJE ZAKONA</w:t>
      </w:r>
    </w:p>
    <w:p w14:paraId="635FA3E4" w14:textId="77777777" w:rsidR="001F53EF" w:rsidRPr="001F53EF" w:rsidRDefault="001F53EF" w:rsidP="001F53EF">
      <w:pPr>
        <w:spacing w:after="0" w:line="276" w:lineRule="auto"/>
        <w:jc w:val="both"/>
        <w:rPr>
          <w:rFonts w:ascii="Times New Roman" w:eastAsia="Times New Roman" w:hAnsi="Times New Roman" w:cs="Times New Roman"/>
          <w:b/>
          <w:bCs/>
          <w:iCs/>
          <w:color w:val="000000" w:themeColor="text1"/>
          <w:kern w:val="0"/>
          <w:lang w:eastAsia="hr-HR"/>
          <w14:ligatures w14:val="none"/>
        </w:rPr>
      </w:pPr>
    </w:p>
    <w:p w14:paraId="671F45DB" w14:textId="77777777" w:rsidR="001F53EF" w:rsidRPr="001F53EF" w:rsidRDefault="001F53EF" w:rsidP="001F53EF">
      <w:pPr>
        <w:spacing w:after="0" w:line="240" w:lineRule="auto"/>
        <w:jc w:val="both"/>
        <w:rPr>
          <w:rFonts w:ascii="Times New Roman" w:eastAsia="Times New Roman" w:hAnsi="Times New Roman" w:cs="Times New Roman"/>
          <w:bCs/>
          <w:iCs/>
          <w:color w:val="000000" w:themeColor="text1"/>
          <w:kern w:val="0"/>
          <w:lang w:eastAsia="hr-HR"/>
          <w14:ligatures w14:val="none"/>
        </w:rPr>
      </w:pPr>
      <w:r w:rsidRPr="001F53EF">
        <w:rPr>
          <w:rFonts w:ascii="Times New Roman" w:eastAsia="Times New Roman" w:hAnsi="Times New Roman" w:cs="Times New Roman"/>
          <w:bCs/>
          <w:iCs/>
          <w:color w:val="000000" w:themeColor="text1"/>
          <w:kern w:val="0"/>
          <w:lang w:eastAsia="hr-HR"/>
          <w14:ligatures w14:val="none"/>
        </w:rPr>
        <w:tab/>
        <w:t xml:space="preserve">Ustavna osnova za donošenje ovoga Zakona sadržana je u odredbi članka 2. stavka 4. podstavka 1. Ustava Republike Hrvatske („Narodne novine“, br. 85/10. - pročišćeni tekst i 5/14. - Odluka Ustavnog suda Republike Hrvatske). </w:t>
      </w:r>
    </w:p>
    <w:p w14:paraId="35C7CF35" w14:textId="77777777" w:rsidR="001F53EF" w:rsidRPr="001F53EF" w:rsidRDefault="001F53EF" w:rsidP="001F53EF">
      <w:pPr>
        <w:spacing w:after="0" w:line="240" w:lineRule="auto"/>
        <w:ind w:firstLine="708"/>
        <w:contextualSpacing/>
        <w:jc w:val="center"/>
        <w:rPr>
          <w:rFonts w:ascii="Times New Roman" w:eastAsia="Calibri" w:hAnsi="Times New Roman" w:cs="Times New Roman"/>
          <w:b/>
          <w:color w:val="000000" w:themeColor="text1"/>
          <w:kern w:val="0"/>
          <w14:ligatures w14:val="none"/>
        </w:rPr>
      </w:pPr>
    </w:p>
    <w:bookmarkEnd w:id="0"/>
    <w:p w14:paraId="4D64E644" w14:textId="77777777" w:rsidR="001F53EF" w:rsidRPr="001F53EF" w:rsidRDefault="001F53EF" w:rsidP="001F53EF">
      <w:pPr>
        <w:spacing w:after="0" w:line="240" w:lineRule="auto"/>
        <w:ind w:firstLine="708"/>
        <w:contextualSpacing/>
        <w:jc w:val="both"/>
        <w:rPr>
          <w:rFonts w:ascii="Times New Roman" w:eastAsia="Calibri" w:hAnsi="Times New Roman" w:cs="Times New Roman"/>
          <w:bCs/>
          <w:color w:val="000000" w:themeColor="text1"/>
          <w:kern w:val="0"/>
          <w14:ligatures w14:val="none"/>
        </w:rPr>
      </w:pPr>
    </w:p>
    <w:p w14:paraId="32E29984" w14:textId="68E22005" w:rsidR="001F53EF" w:rsidRPr="00B435BE" w:rsidRDefault="001F53EF" w:rsidP="001F53EF">
      <w:pPr>
        <w:pStyle w:val="Naslov1"/>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OCJENA STANJA I OSNOVNA PITANJA KOJA SE TREBAJU UREDITI ZAKONOM TE POSLJEDICE KOJE ĆE DONOŠENJEM ZAKONA PROISTEĆI</w:t>
      </w:r>
    </w:p>
    <w:p w14:paraId="3A283C7D" w14:textId="77777777" w:rsidR="001F53EF" w:rsidRPr="001F53EF" w:rsidRDefault="001F53EF" w:rsidP="001F53EF">
      <w:pPr>
        <w:spacing w:after="0" w:line="240" w:lineRule="auto"/>
        <w:jc w:val="both"/>
        <w:rPr>
          <w:rFonts w:ascii="Times New Roman" w:eastAsia="Calibri" w:hAnsi="Times New Roman" w:cs="Times New Roman"/>
          <w:b/>
          <w:color w:val="000000" w:themeColor="text1"/>
          <w:kern w:val="0"/>
          <w14:ligatures w14:val="none"/>
        </w:rPr>
      </w:pPr>
    </w:p>
    <w:p w14:paraId="34A55197" w14:textId="77777777" w:rsidR="001F53EF" w:rsidRPr="001F53EF" w:rsidRDefault="001F53EF" w:rsidP="001F53EF">
      <w:pPr>
        <w:spacing w:after="0" w:line="240" w:lineRule="auto"/>
        <w:ind w:firstLine="708"/>
        <w:jc w:val="both"/>
        <w:rPr>
          <w:rFonts w:ascii="Times New Roman" w:eastAsia="Calibri" w:hAnsi="Times New Roman" w:cs="Times New Roman"/>
          <w:b/>
          <w:color w:val="000000" w:themeColor="text1"/>
          <w:kern w:val="0"/>
          <w14:ligatures w14:val="none"/>
        </w:rPr>
      </w:pPr>
      <w:r w:rsidRPr="001F53EF">
        <w:rPr>
          <w:rFonts w:ascii="Times New Roman" w:eastAsia="Calibri" w:hAnsi="Times New Roman" w:cs="Times New Roman"/>
          <w:b/>
          <w:color w:val="000000" w:themeColor="text1"/>
          <w:kern w:val="0"/>
          <w14:ligatures w14:val="none"/>
        </w:rPr>
        <w:t>Ocjena stanja</w:t>
      </w:r>
    </w:p>
    <w:p w14:paraId="4537E0F3" w14:textId="77777777" w:rsidR="001F53EF" w:rsidRPr="001F53EF" w:rsidRDefault="001F53EF" w:rsidP="001F53EF">
      <w:pPr>
        <w:spacing w:after="0" w:line="240" w:lineRule="auto"/>
        <w:jc w:val="both"/>
        <w:rPr>
          <w:rFonts w:ascii="Times New Roman" w:eastAsia="Calibri" w:hAnsi="Times New Roman" w:cs="Times New Roman"/>
          <w:color w:val="000000" w:themeColor="text1"/>
          <w:kern w:val="0"/>
          <w14:ligatures w14:val="none"/>
        </w:rPr>
      </w:pPr>
    </w:p>
    <w:p w14:paraId="0BBDB4FB"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Prvi </w:t>
      </w:r>
      <w:bookmarkStart w:id="1" w:name="_Hlk192007589"/>
      <w:r w:rsidRPr="001F53EF">
        <w:rPr>
          <w:rFonts w:ascii="Times New Roman" w:eastAsia="Calibri" w:hAnsi="Times New Roman" w:cs="Times New Roman"/>
          <w:color w:val="000000" w:themeColor="text1"/>
          <w:kern w:val="0"/>
          <w14:ligatures w14:val="none"/>
        </w:rPr>
        <w:t xml:space="preserve">Zakon o zaštiti prijavitelja nepravilnosti </w:t>
      </w:r>
      <w:bookmarkEnd w:id="1"/>
      <w:r w:rsidRPr="001F53EF">
        <w:rPr>
          <w:rFonts w:ascii="Times New Roman" w:eastAsia="Calibri" w:hAnsi="Times New Roman" w:cs="Times New Roman"/>
          <w:color w:val="000000" w:themeColor="text1"/>
          <w:kern w:val="0"/>
          <w14:ligatures w14:val="none"/>
        </w:rPr>
        <w:t>donesen je 8. veljače 2019. („Narodne novine“, broj 17/19.), a stupio je na snagu 1. srpnja 2019. Prije donošenja tog Zakona Republika Hrvatska nije imala cjelovit zakon koji bi na jedinstveni način uređivao problematiku zaštite prijavitelja nepravilnosti, odnosno „zviždača“ kako se prijavitelji nepravilnosti kolokvijalno nazivaju. Dodatno, jedan od razloga za sustavno zakonsko uređenje pitanja zaštiti prijavitelja nepravilnosti bila je činjenica da je Republika Hrvatska stranka međunarodnih ugovora koji sadrže odredbe za zaštitu osoba koje u dobroj vjeri prijavljuju nepravilnosti, posebice korupciju.</w:t>
      </w:r>
    </w:p>
    <w:p w14:paraId="07D4A77A" w14:textId="77777777" w:rsidR="001F53EF" w:rsidRPr="001F53EF" w:rsidRDefault="001F53EF" w:rsidP="001F53EF">
      <w:pPr>
        <w:autoSpaceDE w:val="0"/>
        <w:autoSpaceDN w:val="0"/>
        <w:adjustRightInd w:val="0"/>
        <w:spacing w:after="0" w:line="240" w:lineRule="auto"/>
        <w:jc w:val="both"/>
        <w:rPr>
          <w:rFonts w:ascii="Times New Roman" w:eastAsia="Calibri" w:hAnsi="Times New Roman" w:cs="Times New Roman"/>
          <w:color w:val="000000" w:themeColor="text1"/>
          <w:kern w:val="0"/>
          <w14:ligatures w14:val="none"/>
        </w:rPr>
      </w:pPr>
    </w:p>
    <w:p w14:paraId="04299FD5"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Po donošenju spomenutog Zakona o zaštiti prijavitelja nepravilnosti, na razini Europske unije donesena je Direktiva (EU) 2019/1937 Europskog parlamenta i Vijeća od 23. listopada 2019. o zaštiti osoba koje prijavljuju povrede prava Unije (SL L 305, 26.11.2019.; u daljnjem tekstu: Direktiva </w:t>
      </w:r>
      <w:bookmarkStart w:id="2" w:name="_Hlk194012902"/>
      <w:r w:rsidRPr="001F53EF">
        <w:rPr>
          <w:rFonts w:ascii="Times New Roman" w:eastAsia="Calibri" w:hAnsi="Times New Roman" w:cs="Times New Roman"/>
          <w:color w:val="000000" w:themeColor="text1"/>
          <w:kern w:val="0"/>
          <w14:ligatures w14:val="none"/>
        </w:rPr>
        <w:t>(EU) 2019/1937</w:t>
      </w:r>
      <w:bookmarkEnd w:id="2"/>
      <w:r w:rsidRPr="001F53EF">
        <w:rPr>
          <w:rFonts w:ascii="Times New Roman" w:eastAsia="Calibri" w:hAnsi="Times New Roman" w:cs="Times New Roman"/>
          <w:color w:val="000000" w:themeColor="text1"/>
          <w:kern w:val="0"/>
          <w14:ligatures w14:val="none"/>
        </w:rPr>
        <w:t>), koja je stupila je na snagu 16. prosinca 2019. Navedenom Direktivom (EU) 2019/1937 štite se prijavitelji nepravilnosti u kontekstu primjene prava Europske unije, u točno propisanim područjima. Obveza država članica Europske unije bila je da u roku od dvije godine od njezinog stupanja na snagu, Direktivu (EU) 2019/1937 prenesu u nacionalna zakonodavstva. Direktiva (EU) 2019/1937 polazi od članka 11. Povelje Europske unije o temeljnim pravima kojim je zajamčeno pravo na slobodu izražavanja (medijske slobode i pluralizam). Temelji se i na sudskoj praksi Europskog suda za ljudska prava o slobodi izražavanja i na načelima koja je razvilo Vijeće Europe u svojoj Preporuci o zaštiti zviždača iz 2014. godine.</w:t>
      </w:r>
    </w:p>
    <w:p w14:paraId="4BE55DCF"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p>
    <w:p w14:paraId="394CA737"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Zbog potrebe usklađivanja nacionalnog zakonodavstva s pravnom stečevinom Europske unije, odnosno Direktivom </w:t>
      </w:r>
      <w:bookmarkStart w:id="3" w:name="_Hlk193706123"/>
      <w:r w:rsidRPr="001F53EF">
        <w:rPr>
          <w:rFonts w:ascii="Times New Roman" w:eastAsia="Calibri" w:hAnsi="Times New Roman" w:cs="Times New Roman"/>
          <w:color w:val="000000" w:themeColor="text1"/>
          <w:kern w:val="0"/>
          <w14:ligatures w14:val="none"/>
        </w:rPr>
        <w:t>(EU) 2019/1937</w:t>
      </w:r>
      <w:bookmarkEnd w:id="3"/>
      <w:r w:rsidRPr="001F53EF">
        <w:rPr>
          <w:rFonts w:ascii="Times New Roman" w:eastAsia="Calibri" w:hAnsi="Times New Roman" w:cs="Times New Roman"/>
          <w:color w:val="000000" w:themeColor="text1"/>
          <w:kern w:val="0"/>
          <w14:ligatures w14:val="none"/>
        </w:rPr>
        <w:t xml:space="preserve">, Hrvatski sabor donio je 8. travnja 2022. novi Zakon o zaštiti prijavitelja nepravilnosti („Narodne novine“, broj 46/22., u daljnjem tekstu: Zakon). </w:t>
      </w:r>
      <w:bookmarkStart w:id="4" w:name="_Hlk194173886"/>
      <w:r w:rsidRPr="001F53EF">
        <w:rPr>
          <w:rFonts w:ascii="Times New Roman" w:eastAsia="Calibri" w:hAnsi="Times New Roman" w:cs="Times New Roman"/>
          <w:color w:val="000000" w:themeColor="text1"/>
          <w:kern w:val="0"/>
          <w14:ligatures w14:val="none"/>
        </w:rPr>
        <w:t xml:space="preserve">Zakon je stupio na snagu 23. travnja 2022. </w:t>
      </w:r>
      <w:bookmarkEnd w:id="4"/>
      <w:r w:rsidRPr="001F53EF">
        <w:rPr>
          <w:rFonts w:ascii="Times New Roman" w:eastAsia="Calibri" w:hAnsi="Times New Roman" w:cs="Times New Roman"/>
          <w:color w:val="000000" w:themeColor="text1"/>
          <w:kern w:val="0"/>
          <w14:ligatures w14:val="none"/>
        </w:rPr>
        <w:t xml:space="preserve">Novim je Zakonom, u odnosu na prethodni zakon, prošireno područje primjene na pravnu stečevinu Europske unije, predviđena su dodatna unaprjeđenja sustava prijave odnosno javnog razotkrivanja nepravilnosti po uzoru na Direktivu (EU) 2019/1937, ojačana je zaštita prijavitelja nepravilnosti, kao i povezanih osoba, povjerljivih osoba i njenih zamjenika te je poboljšan mehanizam prekršajnog sankcioniranja. </w:t>
      </w:r>
      <w:r w:rsidRPr="001F53EF">
        <w:rPr>
          <w:rFonts w:ascii="Times New Roman" w:eastAsia="Calibri" w:hAnsi="Times New Roman" w:cs="Times New Roman"/>
          <w:color w:val="000000" w:themeColor="text1"/>
          <w:kern w:val="0"/>
          <w14:ligatures w14:val="none"/>
        </w:rPr>
        <w:lastRenderedPageBreak/>
        <w:t>Također su izmijenjene odredbe za koje se u praksi primjene prethodnog zakona pokazalo da im je potrebno unaprjeđenje.</w:t>
      </w:r>
    </w:p>
    <w:p w14:paraId="4CB7BABA"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p>
    <w:p w14:paraId="3F8351EE"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U </w:t>
      </w:r>
      <w:bookmarkStart w:id="5" w:name="_Hlk195529757"/>
      <w:r w:rsidRPr="001F53EF">
        <w:rPr>
          <w:rFonts w:ascii="Times New Roman" w:eastAsia="Calibri" w:hAnsi="Times New Roman" w:cs="Times New Roman"/>
          <w:color w:val="000000" w:themeColor="text1"/>
          <w:kern w:val="0"/>
          <w14:ligatures w14:val="none"/>
        </w:rPr>
        <w:t>kontekstu pristupanja Republike Hrvatske Organizaciji za gospodarsku suradnju i razvoj (u daljnjem tekstu: OECD</w:t>
      </w:r>
      <w:bookmarkEnd w:id="5"/>
      <w:r w:rsidRPr="001F53EF">
        <w:rPr>
          <w:rFonts w:ascii="Times New Roman" w:eastAsia="Calibri" w:hAnsi="Times New Roman" w:cs="Times New Roman"/>
          <w:color w:val="000000" w:themeColor="text1"/>
          <w:kern w:val="0"/>
          <w14:ligatures w14:val="none"/>
        </w:rPr>
        <w:t xml:space="preserve">), Zakon je bio predmetnom ocjene Radne skupine </w:t>
      </w:r>
      <w:bookmarkStart w:id="6" w:name="_Hlk194181060"/>
      <w:r w:rsidRPr="001F53EF">
        <w:rPr>
          <w:rFonts w:ascii="Times New Roman" w:eastAsia="Calibri" w:hAnsi="Times New Roman" w:cs="Times New Roman"/>
          <w:color w:val="000000" w:themeColor="text1"/>
          <w:kern w:val="0"/>
          <w14:ligatures w14:val="none"/>
        </w:rPr>
        <w:t>OECD-a protiv podmićivanja u međunarodnim poslovnim transakcijama</w:t>
      </w:r>
      <w:bookmarkEnd w:id="6"/>
      <w:r w:rsidRPr="001F53EF">
        <w:rPr>
          <w:rFonts w:ascii="Times New Roman" w:eastAsia="Calibri" w:hAnsi="Times New Roman" w:cs="Times New Roman"/>
          <w:color w:val="000000" w:themeColor="text1"/>
          <w:kern w:val="0"/>
          <w14:ligatures w14:val="none"/>
        </w:rPr>
        <w:t xml:space="preserve">, koja je nadležna za nadzor i praćenje provedbe </w:t>
      </w:r>
      <w:bookmarkStart w:id="7" w:name="_Hlk194181365"/>
      <w:r w:rsidRPr="001F53EF">
        <w:rPr>
          <w:rFonts w:ascii="Times New Roman" w:eastAsia="Calibri" w:hAnsi="Times New Roman" w:cs="Times New Roman"/>
          <w:color w:val="000000" w:themeColor="text1"/>
          <w:kern w:val="0"/>
          <w14:ligatures w14:val="none"/>
        </w:rPr>
        <w:t>Konvencije o borbi protiv podmićivanja stranih javnih službenika u međunarodnim poslovnim transakcijama</w:t>
      </w:r>
      <w:bookmarkEnd w:id="7"/>
      <w:r w:rsidRPr="001F53EF">
        <w:rPr>
          <w:rFonts w:ascii="Times New Roman" w:eastAsia="Calibri" w:hAnsi="Times New Roman" w:cs="Times New Roman"/>
          <w:color w:val="000000" w:themeColor="text1"/>
          <w:kern w:val="0"/>
          <w14:ligatures w14:val="none"/>
        </w:rPr>
        <w:t xml:space="preserve"> („Narodne novine-Međunarodni ugovori“, broj 10/23.), Preporuke Vijeća OECD-a za daljnju borbu protiv podmićivanja stranih javnih službenika u međunarodnim poslovnim transakcijama iz 2021. godine i povezanih instrumenata. U tom kontekstu, pozdravljeno je zakonsko uređenje pitanja zaštite prijavitelja nepravilnosti, odnosno donošenje Zakona koji je pozitivno ocjenjen te je posebno naglašeno njegovo široko području primjene. Radna skupina OECD-a uputila je dodatne preporuke za daljnje poboljšanje zakonodavnog okvira zaštite prijavitelja nepravilnosti kako bi se ono uskladilo s instrumentima iz njezine nadležnosti, kao i dobrim praksama OECD-a u ovom području.</w:t>
      </w:r>
    </w:p>
    <w:p w14:paraId="2BEAE191"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p>
    <w:p w14:paraId="6CDC43CD"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Nadalje, nakon donošenja Direktive (EU) 2019/1937, njezino materijalno područje primjene prošireno je u više navrata novim aktima Europske unije, slijedom čega je potrebno proširiti i materijalno područje primjene Zakona, radi daljnjeg usklađivanja sa zakonodavstvom Europske unije.</w:t>
      </w:r>
    </w:p>
    <w:p w14:paraId="5921FE4A"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p>
    <w:p w14:paraId="08254F9A" w14:textId="77777777" w:rsidR="001F53EF" w:rsidRPr="001F53EF" w:rsidRDefault="001F53EF" w:rsidP="001F53EF">
      <w:pPr>
        <w:spacing w:line="259" w:lineRule="auto"/>
        <w:ind w:firstLine="708"/>
        <w:rPr>
          <w:rFonts w:ascii="Times New Roman" w:eastAsia="Calibri" w:hAnsi="Times New Roman" w:cs="Times New Roman"/>
          <w:b/>
          <w:bCs/>
          <w:color w:val="000000" w:themeColor="text1"/>
          <w:kern w:val="0"/>
          <w14:ligatures w14:val="none"/>
        </w:rPr>
      </w:pPr>
      <w:r w:rsidRPr="001F53EF">
        <w:rPr>
          <w:rFonts w:ascii="Times New Roman" w:eastAsia="Calibri" w:hAnsi="Times New Roman" w:cs="Times New Roman"/>
          <w:b/>
          <w:bCs/>
          <w:color w:val="000000" w:themeColor="text1"/>
          <w:kern w:val="0"/>
          <w14:ligatures w14:val="none"/>
        </w:rPr>
        <w:t>Osnovna pitanja koja se trebaju urediti zakonom</w:t>
      </w:r>
    </w:p>
    <w:p w14:paraId="1A6B7DF2"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Ovaj Prijedlog zakona o izmjenama i dopunama Zakona o zaštiti prijavitelja nepravilnosti (dalje u tekstu: Prijedlog zakona) predlaže se zbog potrebe usklađivanja Zakona s novinama u pravnoj stečevini Europske unije, odnosno pravnim aktima koji su doneseni nakon stupanja Zakona na snagu, te radi  usklađivanja s dobivenim preporukama OECD-a u okviru pristupnog procesa Republike Hrvatske toj Organizaciji.</w:t>
      </w:r>
    </w:p>
    <w:p w14:paraId="28CB6CD4"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p>
    <w:p w14:paraId="1F1AD889"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 U kontekstu usklađivanja Zakona s pravnom stečevinom Europske unije, nakon donošenja Zakona kojim je u hrvatsko zakonodavstvo prenesena </w:t>
      </w:r>
      <w:bookmarkStart w:id="8" w:name="_Hlk194179950"/>
      <w:r w:rsidRPr="001F53EF">
        <w:rPr>
          <w:rFonts w:ascii="Times New Roman" w:eastAsia="Calibri" w:hAnsi="Times New Roman" w:cs="Times New Roman"/>
          <w:color w:val="000000" w:themeColor="text1"/>
          <w:kern w:val="0"/>
          <w14:ligatures w14:val="none"/>
        </w:rPr>
        <w:t>Direktiva (EU) 2019/1937</w:t>
      </w:r>
      <w:bookmarkEnd w:id="8"/>
      <w:r w:rsidRPr="001F53EF">
        <w:rPr>
          <w:rFonts w:ascii="Times New Roman" w:eastAsia="Calibri" w:hAnsi="Times New Roman" w:cs="Times New Roman"/>
          <w:color w:val="000000" w:themeColor="text1"/>
          <w:kern w:val="0"/>
          <w14:ligatures w14:val="none"/>
        </w:rPr>
        <w:t xml:space="preserve">, područje primjene </w:t>
      </w:r>
      <w:bookmarkStart w:id="9" w:name="_Hlk194175015"/>
      <w:r w:rsidRPr="001F53EF">
        <w:rPr>
          <w:rFonts w:ascii="Times New Roman" w:eastAsia="Calibri" w:hAnsi="Times New Roman" w:cs="Times New Roman"/>
          <w:color w:val="000000" w:themeColor="text1"/>
          <w:kern w:val="0"/>
          <w14:ligatures w14:val="none"/>
        </w:rPr>
        <w:t xml:space="preserve">navedene Direktive proširilo se </w:t>
      </w:r>
      <w:bookmarkEnd w:id="9"/>
      <w:r w:rsidRPr="001F53EF">
        <w:rPr>
          <w:rFonts w:ascii="Times New Roman" w:eastAsia="Calibri" w:hAnsi="Times New Roman" w:cs="Times New Roman"/>
          <w:color w:val="000000" w:themeColor="text1"/>
          <w:kern w:val="0"/>
          <w14:ligatures w14:val="none"/>
        </w:rPr>
        <w:t xml:space="preserve">donošenjem novih akta Europske unije. </w:t>
      </w:r>
      <w:bookmarkStart w:id="10" w:name="_Hlk194175510"/>
      <w:r w:rsidRPr="001F53EF">
        <w:rPr>
          <w:rFonts w:ascii="Times New Roman" w:eastAsia="Calibri" w:hAnsi="Times New Roman" w:cs="Times New Roman"/>
          <w:color w:val="000000" w:themeColor="text1"/>
          <w:kern w:val="0"/>
          <w14:ligatures w14:val="none"/>
        </w:rPr>
        <w:t>Sukladno tome, potrebno je proširiti i materijalno područje primjene Zakona</w:t>
      </w:r>
      <w:bookmarkEnd w:id="10"/>
      <w:r w:rsidRPr="001F53EF">
        <w:rPr>
          <w:rFonts w:ascii="Times New Roman" w:eastAsia="Calibri" w:hAnsi="Times New Roman" w:cs="Times New Roman"/>
          <w:color w:val="000000" w:themeColor="text1"/>
          <w:kern w:val="0"/>
          <w14:ligatures w14:val="none"/>
        </w:rPr>
        <w:t>, na način da se u popis akata u Prilogu Zakona uvrste novi pravni akti Europske unije na koje je prošireno materijalno područje primjene Direktive (EU) 2019/1937. Slijedom toga, na odgovarajući način i na odgovarajućem mjestu, u Prilog Zakona potrebno je dodatno navesti sljedeće akte Europske unije:</w:t>
      </w:r>
    </w:p>
    <w:p w14:paraId="63F1B93D" w14:textId="77777777" w:rsidR="001F53EF" w:rsidRPr="001F53EF" w:rsidRDefault="001F53EF" w:rsidP="001F53EF">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Uredba (EU) 2020/1503 Europskog parlamenta i Vijeća od 7. listopada 2020. o europskim pružateljima usluga skupnog financiranja za poduzeća i izmjeni Uredbe (EU) 2017/1129 i Direktive (EU) 2019/1937 (SL L 347, 20.10.2020., str. 1.);</w:t>
      </w:r>
    </w:p>
    <w:p w14:paraId="4B5C3F36" w14:textId="77777777" w:rsidR="001F53EF" w:rsidRPr="001F53EF" w:rsidRDefault="001F53EF" w:rsidP="001F53EF">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Uredba (EU) 2023/1114 Europskog parlamenta i Vijeća od 31. svibnja 2023. o tržištima </w:t>
      </w:r>
      <w:proofErr w:type="spellStart"/>
      <w:r w:rsidRPr="001F53EF">
        <w:rPr>
          <w:rFonts w:ascii="Times New Roman" w:eastAsia="Calibri" w:hAnsi="Times New Roman" w:cs="Times New Roman"/>
          <w:color w:val="000000" w:themeColor="text1"/>
          <w:kern w:val="0"/>
          <w14:ligatures w14:val="none"/>
        </w:rPr>
        <w:t>kriptoimovine</w:t>
      </w:r>
      <w:proofErr w:type="spellEnd"/>
      <w:r w:rsidRPr="001F53EF">
        <w:rPr>
          <w:rFonts w:ascii="Times New Roman" w:eastAsia="Calibri" w:hAnsi="Times New Roman" w:cs="Times New Roman"/>
          <w:color w:val="000000" w:themeColor="text1"/>
          <w:kern w:val="0"/>
          <w14:ligatures w14:val="none"/>
        </w:rPr>
        <w:t xml:space="preserve"> i izmjeni uredaba (EU) br. 1093/2010 i (EU) br. 1095/2010 te direktiva 2013/36/EU i (EU) 2019/1937 (SL L 150, 9.6.2023., str. 40);</w:t>
      </w:r>
    </w:p>
    <w:p w14:paraId="2CF1E398" w14:textId="77777777" w:rsidR="001F53EF" w:rsidRPr="001F53EF" w:rsidRDefault="001F53EF" w:rsidP="001F53EF">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Uredba (EU) 2024/573 Europskog parlamenta i Vijeća od 7. veljače 2024. o </w:t>
      </w:r>
      <w:proofErr w:type="spellStart"/>
      <w:r w:rsidRPr="001F53EF">
        <w:rPr>
          <w:rFonts w:ascii="Times New Roman" w:eastAsia="Calibri" w:hAnsi="Times New Roman" w:cs="Times New Roman"/>
          <w:color w:val="000000" w:themeColor="text1"/>
          <w:kern w:val="0"/>
          <w14:ligatures w14:val="none"/>
        </w:rPr>
        <w:t>fluoriranim</w:t>
      </w:r>
      <w:proofErr w:type="spellEnd"/>
      <w:r w:rsidRPr="001F53EF">
        <w:rPr>
          <w:rFonts w:ascii="Times New Roman" w:eastAsia="Calibri" w:hAnsi="Times New Roman" w:cs="Times New Roman"/>
          <w:color w:val="000000" w:themeColor="text1"/>
          <w:kern w:val="0"/>
          <w14:ligatures w14:val="none"/>
        </w:rPr>
        <w:t xml:space="preserve"> stakleničkim plinovima, izmjeni Direktive (EU) 2019/1937 i stavljanju izvan snage Uredbe (EU) br. 517/2014 (SL L, 2024/573, 20.2.2024, ELI: http://data.europa.eu/eli/reg/2024/573/oj);</w:t>
      </w:r>
    </w:p>
    <w:p w14:paraId="56B5040D" w14:textId="77777777" w:rsidR="001F53EF" w:rsidRPr="001F53EF" w:rsidRDefault="001F53EF" w:rsidP="001F53EF">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Direktiva (EU) 2024/1760 Europskog parlamenta i Vijeća od 13. lipnja 2024. o dužnoj pažnji za održivo poslovanje i izmjeni Direktive (EU) 2019/1937 te Uredbe (EU) </w:t>
      </w:r>
      <w:r w:rsidRPr="001F53EF">
        <w:rPr>
          <w:rFonts w:ascii="Times New Roman" w:eastAsia="Calibri" w:hAnsi="Times New Roman" w:cs="Times New Roman"/>
          <w:color w:val="000000" w:themeColor="text1"/>
          <w:kern w:val="0"/>
          <w14:ligatures w14:val="none"/>
        </w:rPr>
        <w:lastRenderedPageBreak/>
        <w:t>2023/2859 (Tekst značajan za EGP) (SL L, 2024/1760, 5.7.2024., ELI: http://data.europa.eu/eli/dir/2024/1760/oj);</w:t>
      </w:r>
    </w:p>
    <w:p w14:paraId="79694BA6" w14:textId="77777777" w:rsidR="001F53EF" w:rsidRPr="001F53EF" w:rsidRDefault="001F53EF" w:rsidP="001F53EF">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Uredba (EU) 2022/1925 Europskog parlamenta i Vijeća od 14. rujna 2022. o pravednim tržištima s mogućnošću neograničenog tržišnog natjecanja u digitalnom sektoru i izmjeni direktiva (EU) 2019/1937 i (EU) 2020/1828 (Akt o digitalnim tržištima) (Tekst značajan za EGP) (SL L 265, 12.10.2022., str. 1.);</w:t>
      </w:r>
    </w:p>
    <w:p w14:paraId="578812D8" w14:textId="77777777" w:rsidR="001F53EF" w:rsidRPr="001F53EF" w:rsidRDefault="001F53EF" w:rsidP="001F53EF">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Uredba (EU) 2024/1624 Europskog parlamenta i Vijeća od 31. svibnja 2024. o sprečavanju korištenja financijskog sustava u svrhu pranja novca ili financiranja terorizma (SL L, 2024/1624, 19.6.2024., ELI: http://data.europa.eu/eli/reg/2024/1624/oj);</w:t>
      </w:r>
    </w:p>
    <w:p w14:paraId="1A47C5E8" w14:textId="77777777" w:rsidR="001F53EF" w:rsidRPr="001F53EF" w:rsidRDefault="001F53EF" w:rsidP="001F53EF">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Direktiva (EU) 2024/1226 Europskog parlamenta i Vijeća od 24. travnja 2024. o definiciji kaznenih djela i sankcija za kršenje </w:t>
      </w:r>
      <w:proofErr w:type="spellStart"/>
      <w:r w:rsidRPr="001F53EF">
        <w:rPr>
          <w:rFonts w:ascii="Times New Roman" w:eastAsia="Calibri" w:hAnsi="Times New Roman" w:cs="Times New Roman"/>
          <w:color w:val="000000" w:themeColor="text1"/>
          <w:kern w:val="0"/>
          <w14:ligatures w14:val="none"/>
        </w:rPr>
        <w:t>Unijinih</w:t>
      </w:r>
      <w:proofErr w:type="spellEnd"/>
      <w:r w:rsidRPr="001F53EF">
        <w:rPr>
          <w:rFonts w:ascii="Times New Roman" w:eastAsia="Calibri" w:hAnsi="Times New Roman" w:cs="Times New Roman"/>
          <w:color w:val="000000" w:themeColor="text1"/>
          <w:kern w:val="0"/>
          <w14:ligatures w14:val="none"/>
        </w:rPr>
        <w:t xml:space="preserve"> mjera ograničavanja i izmjeni Direktive (EU) 2018/1673 (SL L, 2024/1226, 29.4.2024., ELI: http://data.europa.eu/eli/dir/2024/1226/oj);</w:t>
      </w:r>
    </w:p>
    <w:p w14:paraId="4E801C2A" w14:textId="77777777" w:rsidR="001F53EF" w:rsidRPr="001F53EF" w:rsidRDefault="001F53EF" w:rsidP="001F53EF">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Uredba (EU) 2024/1689 Europskog parlamenta i Vijeća od 13. lipnja 2024. o utvrđivanju usklađenih pravila o umjetnoj inteligenciji i o izmjeni uredaba (EZ) br. 300/2008, (EU) br. 167/2013, (EU) br. 168/2013, (EU) 2018/858, (EU) 2018/1139 i (EU) 2019/2144 te direktiva 2014/90/EU, (EU) 2016/797 i (EU) 2020/1828 (Akt o umjetnoj inteligenciji) (Tekst značajan za EGP) (SL L, 2024/1689, 12.7.2024, ELI: http://data.europa.eu/eli/reg/2024/1689/oj);</w:t>
      </w:r>
    </w:p>
    <w:p w14:paraId="23C54AA8" w14:textId="77777777" w:rsidR="001F53EF" w:rsidRPr="001F53EF" w:rsidRDefault="001F53EF" w:rsidP="001F53EF">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Uredba (EU) 2024/3015 Europskog parlamenta i Vijeća od 27. studenoga 2024. o zabrani proizvoda nastalih prisilnim radom na tržištu Unije i izmjeni Direktive (EU) 2019/1937 (Tekst značajan za EGP) (SL L, 2024/3015, 12.12.2024, ELI: http://data.europa.eu/eli/reg/2024/3015/oj).</w:t>
      </w:r>
    </w:p>
    <w:p w14:paraId="62CDC8E0" w14:textId="77777777" w:rsidR="001F53EF" w:rsidRPr="001F53EF" w:rsidRDefault="001F53EF" w:rsidP="001F53EF">
      <w:pPr>
        <w:autoSpaceDE w:val="0"/>
        <w:autoSpaceDN w:val="0"/>
        <w:adjustRightInd w:val="0"/>
        <w:spacing w:after="0" w:line="240" w:lineRule="auto"/>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Dodatno, radi bolje preglednosti i konzistentnosti, te radi uklanjanja nejasnoća koje su mogle nastati zbog pozivanja na odredbe Direktiva (EU) 2019/1937 (umjesto na istovjetne odredbe Zakona), predlaže se Prijedlogom zakona utvrditi novi tekst Priloga koji će činiti njegov sastavni dio i koji će zamijeniti postojeći Prilog Zakonu.   </w:t>
      </w:r>
    </w:p>
    <w:p w14:paraId="0BA01BE9" w14:textId="77777777" w:rsidR="001F53EF" w:rsidRPr="001F53EF" w:rsidRDefault="001F53EF" w:rsidP="001F53EF">
      <w:pPr>
        <w:autoSpaceDE w:val="0"/>
        <w:autoSpaceDN w:val="0"/>
        <w:adjustRightInd w:val="0"/>
        <w:spacing w:after="0" w:line="240" w:lineRule="auto"/>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ab/>
      </w:r>
    </w:p>
    <w:p w14:paraId="185B67A7"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bCs/>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Nadalje, ovaj Prijedlog zakona predlaže se radi ispunjavanja preporuka OECD-a i kriterija za pristup Republike Hrvatske toj Organizaciji. </w:t>
      </w:r>
      <w:r w:rsidRPr="001F53EF">
        <w:rPr>
          <w:rFonts w:ascii="Times New Roman" w:eastAsia="Calibri" w:hAnsi="Times New Roman" w:cs="Times New Roman"/>
          <w:bCs/>
          <w:color w:val="000000" w:themeColor="text1"/>
          <w:kern w:val="0"/>
          <w14:ligatures w14:val="none"/>
        </w:rPr>
        <w:t>Radna skupina OECD-a protiv podmićivanja u međunarodnim poslovnim transakcijama</w:t>
      </w:r>
      <w:r w:rsidRPr="001F53EF" w:rsidDel="007D0733">
        <w:rPr>
          <w:rFonts w:ascii="Times New Roman" w:eastAsia="Calibri" w:hAnsi="Times New Roman" w:cs="Times New Roman"/>
          <w:bCs/>
          <w:color w:val="000000" w:themeColor="text1"/>
          <w:kern w:val="0"/>
          <w14:ligatures w14:val="none"/>
        </w:rPr>
        <w:t xml:space="preserve"> </w:t>
      </w:r>
      <w:r w:rsidRPr="001F53EF">
        <w:rPr>
          <w:rFonts w:ascii="Times New Roman" w:eastAsia="Calibri" w:hAnsi="Times New Roman" w:cs="Times New Roman"/>
          <w:bCs/>
          <w:color w:val="000000" w:themeColor="text1"/>
          <w:kern w:val="0"/>
          <w14:ligatures w14:val="none"/>
        </w:rPr>
        <w:t>usvojila je 13. prosinca 2024.</w:t>
      </w:r>
      <w:r w:rsidRPr="001F53EF">
        <w:rPr>
          <w:rFonts w:ascii="Times New Roman" w:eastAsia="Calibri" w:hAnsi="Times New Roman" w:cs="Times New Roman"/>
          <w:color w:val="000000" w:themeColor="text1"/>
          <w:kern w:val="0"/>
          <w14:ligatures w14:val="none"/>
        </w:rPr>
        <w:t xml:space="preserve"> </w:t>
      </w:r>
      <w:bookmarkStart w:id="11" w:name="_Hlk195483935"/>
      <w:r w:rsidRPr="001F53EF">
        <w:rPr>
          <w:rFonts w:ascii="Times New Roman" w:eastAsia="Calibri" w:hAnsi="Times New Roman" w:cs="Times New Roman"/>
          <w:bCs/>
          <w:color w:val="000000" w:themeColor="text1"/>
          <w:kern w:val="0"/>
          <w14:ligatures w14:val="none"/>
        </w:rPr>
        <w:t xml:space="preserve">Izvješće 2. faze evaluacije za Republiku Hrvatsku </w:t>
      </w:r>
      <w:bookmarkEnd w:id="11"/>
      <w:r w:rsidRPr="001F53EF">
        <w:rPr>
          <w:rFonts w:ascii="Times New Roman" w:eastAsia="Calibri" w:hAnsi="Times New Roman" w:cs="Times New Roman"/>
          <w:bCs/>
          <w:color w:val="000000" w:themeColor="text1"/>
          <w:kern w:val="0"/>
          <w14:ligatures w14:val="none"/>
        </w:rPr>
        <w:t>o provedbi Konvencije o borbi protiv podmićivanja stranih javnih službenika u međunarodnim poslovnim transakcijama, koje sadrži preporuke Radne skupine OECD-a upućene Republici Hrvatskoj.</w:t>
      </w:r>
      <w:r w:rsidRPr="001F53EF">
        <w:rPr>
          <w:rFonts w:ascii="Times New Roman" w:eastAsia="Calibri" w:hAnsi="Times New Roman" w:cs="Times New Roman"/>
          <w:color w:val="000000" w:themeColor="text1"/>
          <w:kern w:val="0"/>
          <w14:ligatures w14:val="none"/>
        </w:rPr>
        <w:t xml:space="preserve"> Nadalje, </w:t>
      </w:r>
      <w:r w:rsidRPr="001F53EF">
        <w:rPr>
          <w:rFonts w:ascii="Times New Roman" w:eastAsia="Calibri" w:hAnsi="Times New Roman" w:cs="Times New Roman"/>
          <w:bCs/>
          <w:color w:val="000000" w:themeColor="text1"/>
          <w:kern w:val="0"/>
          <w14:ligatures w14:val="none"/>
        </w:rPr>
        <w:t xml:space="preserve">Radna skupina je na sastanku 13. ožujka 2025. provela preliminarnu </w:t>
      </w:r>
      <w:bookmarkStart w:id="12" w:name="_Hlk195483817"/>
      <w:r w:rsidRPr="001F53EF">
        <w:rPr>
          <w:rFonts w:ascii="Times New Roman" w:eastAsia="Calibri" w:hAnsi="Times New Roman" w:cs="Times New Roman"/>
          <w:bCs/>
          <w:color w:val="000000" w:themeColor="text1"/>
          <w:kern w:val="0"/>
          <w14:ligatures w14:val="none"/>
        </w:rPr>
        <w:t>procjenu spremnosti Republike Hrvatske</w:t>
      </w:r>
      <w:bookmarkEnd w:id="12"/>
      <w:r w:rsidRPr="001F53EF">
        <w:rPr>
          <w:rFonts w:ascii="Times New Roman" w:eastAsia="Calibri" w:hAnsi="Times New Roman" w:cs="Times New Roman"/>
          <w:bCs/>
          <w:color w:val="000000" w:themeColor="text1"/>
          <w:kern w:val="0"/>
          <w14:ligatures w14:val="none"/>
        </w:rPr>
        <w:t xml:space="preserve"> za pristupanje OECD-u iz svog djelokruga, kojom prilikom su članovi Radne skupine pozdravili napore koje Republika Hrvatska poduzima u provedbi navedene Konvencije i povezanih instrumenata OECD-a.</w:t>
      </w:r>
      <w:r w:rsidRPr="001F53EF">
        <w:rPr>
          <w:rFonts w:ascii="Times New Roman" w:eastAsia="Calibri" w:hAnsi="Times New Roman" w:cs="Times New Roman"/>
          <w:color w:val="000000" w:themeColor="text1"/>
          <w:kern w:val="0"/>
          <w14:ligatures w14:val="none"/>
        </w:rPr>
        <w:t xml:space="preserve"> </w:t>
      </w:r>
      <w:r w:rsidRPr="001F53EF">
        <w:rPr>
          <w:rFonts w:ascii="Times New Roman" w:eastAsia="Calibri" w:hAnsi="Times New Roman" w:cs="Times New Roman"/>
          <w:bCs/>
          <w:color w:val="000000" w:themeColor="text1"/>
          <w:kern w:val="0"/>
          <w14:ligatures w14:val="none"/>
        </w:rPr>
        <w:t>Prije nego što Radna skupina da svoje pozitivno mišljenje</w:t>
      </w:r>
      <w:r w:rsidRPr="001F53EF">
        <w:rPr>
          <w:rFonts w:ascii="Times New Roman" w:eastAsia="Calibri" w:hAnsi="Times New Roman" w:cs="Times New Roman"/>
          <w:color w:val="000000" w:themeColor="text1"/>
          <w:kern w:val="0"/>
          <w14:ligatures w14:val="none"/>
        </w:rPr>
        <w:t xml:space="preserve"> u okviru postupka pune </w:t>
      </w:r>
      <w:r w:rsidRPr="001F53EF">
        <w:rPr>
          <w:rFonts w:ascii="Times New Roman" w:eastAsia="Calibri" w:hAnsi="Times New Roman" w:cs="Times New Roman"/>
          <w:bCs/>
          <w:color w:val="000000" w:themeColor="text1"/>
          <w:kern w:val="0"/>
          <w14:ligatures w14:val="none"/>
        </w:rPr>
        <w:t>procjene spremnosti za ulazak u OECD, Republika Hrvatska morat će, kao što je to uobičajena praksa, udovoljiti kratkoročnim preporukama, koje su utvrđene na sastanku u ožujku 2025., a koje polaze od preporuka sadržanih u spomenutom Izvješće 2. faze evaluacije za Republiku Hrvatsku. U kontekstu zaštite prijavitelja nepravilnosti, Radna skupina preporučila je Republici Hrvatskoj da:</w:t>
      </w:r>
    </w:p>
    <w:p w14:paraId="05A43961" w14:textId="77777777" w:rsidR="001F53EF" w:rsidRPr="001F53EF" w:rsidRDefault="001F53EF" w:rsidP="001F53EF">
      <w:pPr>
        <w:numPr>
          <w:ilvl w:val="0"/>
          <w:numId w:val="33"/>
        </w:numPr>
        <w:autoSpaceDE w:val="0"/>
        <w:autoSpaceDN w:val="0"/>
        <w:adjustRightInd w:val="0"/>
        <w:spacing w:after="0" w:line="240" w:lineRule="auto"/>
        <w:ind w:left="714" w:hanging="357"/>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dopuni Zakon kako bi se izričito pojasnilo da on obuhvaća i prijavljivanje podmićivanja stranih javnih službenika i povezana kaznena djela;</w:t>
      </w:r>
    </w:p>
    <w:p w14:paraId="0839EB33" w14:textId="77777777" w:rsidR="001F53EF" w:rsidRPr="001F53EF" w:rsidRDefault="001F53EF" w:rsidP="001F53EF">
      <w:pPr>
        <w:numPr>
          <w:ilvl w:val="0"/>
          <w:numId w:val="33"/>
        </w:numPr>
        <w:autoSpaceDE w:val="0"/>
        <w:autoSpaceDN w:val="0"/>
        <w:adjustRightInd w:val="0"/>
        <w:spacing w:after="0" w:line="240" w:lineRule="auto"/>
        <w:ind w:left="714" w:hanging="357"/>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dopuni Zakon kako bi se osigurala zaštita prijavitelju nepravilnosti koji nepravilnost prijavljuje izravno državnom odvjetništvu ili policiji umjesto putem jednog od kanala </w:t>
      </w:r>
      <w:r w:rsidRPr="001F53EF">
        <w:rPr>
          <w:rFonts w:ascii="Times New Roman" w:eastAsia="Calibri" w:hAnsi="Times New Roman" w:cs="Times New Roman"/>
          <w:color w:val="000000" w:themeColor="text1"/>
          <w:kern w:val="0"/>
          <w14:ligatures w14:val="none"/>
        </w:rPr>
        <w:lastRenderedPageBreak/>
        <w:t>za prijavljivanje predviđenih Zakonom, ili koji nepravilnost prvo prijavljuje državnom odvjetništvu ili policiji;</w:t>
      </w:r>
    </w:p>
    <w:p w14:paraId="3100B668" w14:textId="77777777" w:rsidR="001F53EF" w:rsidRPr="001F53EF" w:rsidRDefault="001F53EF" w:rsidP="001F53EF">
      <w:pPr>
        <w:numPr>
          <w:ilvl w:val="0"/>
          <w:numId w:val="33"/>
        </w:numPr>
        <w:autoSpaceDE w:val="0"/>
        <w:autoSpaceDN w:val="0"/>
        <w:adjustRightInd w:val="0"/>
        <w:spacing w:after="0" w:line="240" w:lineRule="auto"/>
        <w:ind w:left="714" w:hanging="357"/>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poduzme mjere kako bi se osigurala pravovremenost sudskih postupaka za zaštitu prijavitelji nepravilnosti,  </w:t>
      </w:r>
    </w:p>
    <w:p w14:paraId="03627413" w14:textId="77777777" w:rsidR="001F53EF" w:rsidRPr="001F53EF" w:rsidRDefault="001F53EF" w:rsidP="001F53EF">
      <w:pPr>
        <w:numPr>
          <w:ilvl w:val="0"/>
          <w:numId w:val="33"/>
        </w:numPr>
        <w:autoSpaceDE w:val="0"/>
        <w:autoSpaceDN w:val="0"/>
        <w:adjustRightInd w:val="0"/>
        <w:spacing w:after="0" w:line="240" w:lineRule="auto"/>
        <w:ind w:left="714" w:hanging="357"/>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osigura da su novčane kazne za osvetu protiv prijavitelja nepravilnosti učinkovite, razmjerne  i </w:t>
      </w:r>
      <w:proofErr w:type="spellStart"/>
      <w:r w:rsidRPr="001F53EF">
        <w:rPr>
          <w:rFonts w:ascii="Times New Roman" w:eastAsia="Calibri" w:hAnsi="Times New Roman" w:cs="Times New Roman"/>
          <w:color w:val="000000" w:themeColor="text1"/>
          <w:kern w:val="0"/>
          <w14:ligatures w14:val="none"/>
        </w:rPr>
        <w:t>odvraćajuće</w:t>
      </w:r>
      <w:proofErr w:type="spellEnd"/>
      <w:r w:rsidRPr="001F53EF">
        <w:rPr>
          <w:rFonts w:ascii="Times New Roman" w:eastAsia="Calibri" w:hAnsi="Times New Roman" w:cs="Times New Roman"/>
          <w:color w:val="000000" w:themeColor="text1"/>
          <w:kern w:val="0"/>
          <w14:ligatures w14:val="none"/>
        </w:rPr>
        <w:t>,</w:t>
      </w:r>
    </w:p>
    <w:p w14:paraId="730BAA88" w14:textId="77777777" w:rsidR="001F53EF" w:rsidRPr="001F53EF" w:rsidRDefault="001F53EF" w:rsidP="001F53EF">
      <w:pPr>
        <w:numPr>
          <w:ilvl w:val="0"/>
          <w:numId w:val="33"/>
        </w:numPr>
        <w:autoSpaceDE w:val="0"/>
        <w:autoSpaceDN w:val="0"/>
        <w:adjustRightInd w:val="0"/>
        <w:spacing w:after="0" w:line="240" w:lineRule="auto"/>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dodatno podigne svijest i osigura vodstvo poslodavcima i mogućim prijaviteljima nepravilnosti, te </w:t>
      </w:r>
    </w:p>
    <w:p w14:paraId="219A1500" w14:textId="77777777" w:rsidR="001F53EF" w:rsidRPr="001F53EF" w:rsidRDefault="001F53EF" w:rsidP="001F53EF">
      <w:pPr>
        <w:numPr>
          <w:ilvl w:val="0"/>
          <w:numId w:val="33"/>
        </w:numPr>
        <w:autoSpaceDE w:val="0"/>
        <w:autoSpaceDN w:val="0"/>
        <w:adjustRightInd w:val="0"/>
        <w:spacing w:after="0" w:line="240" w:lineRule="auto"/>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osigura da Pučki pravobranitelj ima dovoljno resursa za svoju poziciju u kontekstu zaštite prijavitelja nepravilnosti.</w:t>
      </w:r>
    </w:p>
    <w:p w14:paraId="2F246290" w14:textId="77777777" w:rsidR="001F53EF" w:rsidRPr="001F53EF" w:rsidRDefault="001F53EF" w:rsidP="001F53EF">
      <w:pPr>
        <w:autoSpaceDE w:val="0"/>
        <w:autoSpaceDN w:val="0"/>
        <w:adjustRightInd w:val="0"/>
        <w:spacing w:after="0" w:line="240" w:lineRule="auto"/>
        <w:ind w:left="714"/>
        <w:jc w:val="both"/>
        <w:rPr>
          <w:rFonts w:ascii="Times New Roman" w:eastAsia="Calibri" w:hAnsi="Times New Roman" w:cs="Times New Roman"/>
          <w:color w:val="000000" w:themeColor="text1"/>
          <w:kern w:val="0"/>
          <w14:ligatures w14:val="none"/>
        </w:rPr>
      </w:pPr>
    </w:p>
    <w:p w14:paraId="21E605AE" w14:textId="77777777" w:rsidR="001F53EF" w:rsidRPr="001F53EF" w:rsidRDefault="001F53EF" w:rsidP="001F53EF">
      <w:pPr>
        <w:spacing w:after="0" w:line="240" w:lineRule="auto"/>
        <w:ind w:firstLine="567"/>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Na kraju, potreba za izmjenama Zakona vezana je i uz uvođenje eura kao službene valute u Republici Hrvatskoj. Prijedlogom zakona predlaže se iskazivanje svih utvrđenih iznosa novčanih kazni u valuti euro.</w:t>
      </w:r>
    </w:p>
    <w:p w14:paraId="1074B61C" w14:textId="77777777" w:rsidR="001F53EF" w:rsidRPr="001F53EF" w:rsidRDefault="001F53EF" w:rsidP="001F53EF">
      <w:pPr>
        <w:spacing w:after="0" w:line="240" w:lineRule="auto"/>
        <w:jc w:val="both"/>
        <w:rPr>
          <w:rFonts w:ascii="Times New Roman" w:eastAsia="Calibri" w:hAnsi="Times New Roman" w:cs="Times New Roman"/>
          <w:color w:val="000000" w:themeColor="text1"/>
          <w:kern w:val="0"/>
          <w14:ligatures w14:val="none"/>
        </w:rPr>
      </w:pPr>
    </w:p>
    <w:p w14:paraId="687B181A" w14:textId="77777777" w:rsidR="001F53EF" w:rsidRPr="001F53EF" w:rsidRDefault="001F53EF" w:rsidP="001F53EF">
      <w:pPr>
        <w:spacing w:line="259" w:lineRule="auto"/>
        <w:ind w:firstLine="708"/>
        <w:rPr>
          <w:rFonts w:ascii="Times New Roman" w:eastAsia="Calibri" w:hAnsi="Times New Roman" w:cs="Times New Roman"/>
          <w:b/>
          <w:bCs/>
          <w:color w:val="000000" w:themeColor="text1"/>
          <w:kern w:val="0"/>
          <w14:ligatures w14:val="none"/>
        </w:rPr>
      </w:pPr>
      <w:r w:rsidRPr="001F53EF">
        <w:rPr>
          <w:rFonts w:ascii="Times New Roman" w:eastAsia="Calibri" w:hAnsi="Times New Roman" w:cs="Times New Roman"/>
          <w:b/>
          <w:bCs/>
          <w:color w:val="000000" w:themeColor="text1"/>
          <w:kern w:val="0"/>
          <w14:ligatures w14:val="none"/>
        </w:rPr>
        <w:t>Posljedice koje će donošenjem zakona proisteći</w:t>
      </w:r>
    </w:p>
    <w:p w14:paraId="555885AB" w14:textId="77777777" w:rsidR="001F53EF" w:rsidRPr="001F53EF" w:rsidRDefault="001F53EF" w:rsidP="001F53EF">
      <w:pPr>
        <w:autoSpaceDE w:val="0"/>
        <w:autoSpaceDN w:val="0"/>
        <w:adjustRightInd w:val="0"/>
        <w:spacing w:before="240" w:after="12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Ovaj Prijedlog zakona predlaže se s ciljem dodatnog jačanja zaštite prijavitelja nepravilnosti koja je osigurana Zakonom u kontekstu navedenih prepreka. Njime se dodatno pojašnjavaju pojedine odredbe Zakona, povisuju novčane sankcija za kršenje Zakona, ali i izričito uređuje njegovo područje primjene, uvažavajući najnovije izmjene u zakonodavstvu Europske unije, kao i preporuke OECD-a upućene Republici Hrvatskoj u području zaštite prijavitelja nepravilnosti. </w:t>
      </w:r>
    </w:p>
    <w:p w14:paraId="400CE45C" w14:textId="77777777" w:rsidR="001F53EF" w:rsidRPr="001F53EF" w:rsidRDefault="001F53EF" w:rsidP="001F53EF">
      <w:pPr>
        <w:autoSpaceDE w:val="0"/>
        <w:autoSpaceDN w:val="0"/>
        <w:adjustRightInd w:val="0"/>
        <w:spacing w:before="240" w:after="12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Donošenjem Prijedloga zakona, važeći Zakon uskladit će se s najnovijim izmjenama Direktive (EU) 2019/1937 i to izmjenom popisa akata Europske unije navedenim u prilogu Zakona kojim se uređuje njegovo materijalnog područja primjene u kontekstu novih akata Europske unije na koje je proširena primjena predmetne Direktive.  </w:t>
      </w:r>
    </w:p>
    <w:p w14:paraId="49A18533"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Preporuke OECD-a koje se tiču zakonskih intervencija za daljnje poboljšanje zakonodavnog okvira zaštite prijavitelja nepravilnosti u svrhu usklađenja s instrumentima i dobrim praksama OECD-a u ovom području adresiraju se kroz ove izmjene i dopune. Prvenstveno  se pojašnjava odredba o materijalnom području primjene Zakona koje će sada izrijekom obuhvatiti </w:t>
      </w:r>
      <w:bookmarkStart w:id="13" w:name="_Hlk195532082"/>
      <w:r w:rsidRPr="001F53EF">
        <w:rPr>
          <w:rFonts w:ascii="Times New Roman" w:eastAsia="Calibri" w:hAnsi="Times New Roman" w:cs="Times New Roman"/>
          <w:color w:val="000000" w:themeColor="text1"/>
          <w:kern w:val="0"/>
          <w14:ligatures w14:val="none"/>
        </w:rPr>
        <w:t xml:space="preserve">kaznena djela protiv službene dužnosti, kaznena djela protiv gospodarstva, </w:t>
      </w:r>
      <w:bookmarkEnd w:id="13"/>
      <w:r w:rsidRPr="001F53EF">
        <w:rPr>
          <w:rFonts w:ascii="Times New Roman" w:eastAsia="Calibri" w:hAnsi="Times New Roman" w:cs="Times New Roman"/>
          <w:color w:val="000000" w:themeColor="text1"/>
          <w:kern w:val="0"/>
          <w14:ligatures w14:val="none"/>
        </w:rPr>
        <w:t xml:space="preserve">kazneno djelo iz članka 233. (pronevjera) te kazneno djelo iz članka 339. (podmićivanje zastupnika) Kaznenog zakona. Ovom se  prilikom svakako pojašnjava kako kaznena djela protiv gospodarstva iz glave 24. Kaznenog zakona obuhvaćaju sljedeća kaznena djela: zlouporaba povjerenja u gospodarskom poslovanju (članak 246.), prijevara u gospodarskom poslovanju (članak  247.), povreda obveze vođenja trgovačkih i poslovnih knjiga (članak 248.), </w:t>
      </w:r>
      <w:proofErr w:type="spellStart"/>
      <w:r w:rsidRPr="001F53EF">
        <w:rPr>
          <w:rFonts w:ascii="Times New Roman" w:eastAsia="Calibri" w:hAnsi="Times New Roman" w:cs="Times New Roman"/>
          <w:color w:val="000000" w:themeColor="text1"/>
          <w:kern w:val="0"/>
          <w14:ligatures w14:val="none"/>
        </w:rPr>
        <w:t>prouzročenje</w:t>
      </w:r>
      <w:proofErr w:type="spellEnd"/>
      <w:r w:rsidRPr="001F53EF">
        <w:rPr>
          <w:rFonts w:ascii="Times New Roman" w:eastAsia="Calibri" w:hAnsi="Times New Roman" w:cs="Times New Roman"/>
          <w:color w:val="000000" w:themeColor="text1"/>
          <w:kern w:val="0"/>
          <w14:ligatures w14:val="none"/>
        </w:rPr>
        <w:t xml:space="preserve"> stečaja (članak 249.), pogodovanje vjerovnika (članak 250.), primanje i davanje mita u postupku stečaja (članak 251.), primanje mita u gospodarskom poslovanju (članak  252.), davanje mita u gospodarskom poslovanju (članak  253.), zlouporaba u postupku javne nabave (članak  254.), zavaravajuće oglašivanje (članak 255.), utaja poreza ili carine (članak 256.), izbjegavanje carinskog nadzora (članak 257.), subvencijska prijevara (članak 258.), zlouporaba povlaštenih informacija (članak 259.), zlouporaba tržišta kapitala (članak 260.), neovlaštena uporaba tuđe tvrtke (članak 261.), odavanje i neovlašteno pribavljanje poslovne tajne (članak 262.), nedozvoljena proizvodnja (članak 263.), nedozvoljena trgovina (članak  264.) te pranje novca (članak 265.).</w:t>
      </w:r>
    </w:p>
    <w:p w14:paraId="547FBEF5"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p>
    <w:p w14:paraId="43CD9725"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lastRenderedPageBreak/>
        <w:t xml:space="preserve">Nadalje, kaznena djela službene dužnosti iz glave 28. Kaznenog zakona obuhvaćaju sljedeća kaznena djela: zlouporaba položaja i ovlasti (članak 291.), nezakonito pogodovanje (članak 292.), primanje mita (članak 293.), davanje mita (članak 294.), trgovanje utjecajem (članak 295.), davanje mita za trgovanje utjecajem (članak 296.), iznuđivanje iskaza (članak 297.), protuzakonita pretraga (članak 298.), protuzakonito oslobođenje osobe kojoj je oduzeta sloboda (članak  299.), odavanje službene tajne (članak 300.). </w:t>
      </w:r>
    </w:p>
    <w:p w14:paraId="412C2DA0"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p>
    <w:p w14:paraId="56DF1C07"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Svakako se napominje kako se zaštita prijavitelja ne ograničava samo na navedena kaznena djela već se ista primjenjuje u kontekstu i drugih situacija vezanih za ostala kaznena djela glede kojih postoji ugrožavanje javnog interesa sukladno 4. stavak 1. točka d).</w:t>
      </w:r>
    </w:p>
    <w:p w14:paraId="48432EA1"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p>
    <w:p w14:paraId="5460BA84"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Što se tiče same procedure prijavljivanja kaznenih djela, osobe koje prijavljuju nepravilnosti izravno policiji ili državnom odvjetništvu ovim će Prijedlogom imati  pravo na zaštitu pod istim uvjetima kao osobe koje podnose prijavu nadležnom tijelu za vanjsko prijavljivanje. Ako je prijava nepravilnosti zaprimljena u policiji ili državnom odvjetništvu, ta su je tijela dužna bez odgode, , proslijediti nadležnom tijelu za vanjsko prijavljivanje</w:t>
      </w:r>
    </w:p>
    <w:p w14:paraId="1DE0469A" w14:textId="77777777" w:rsidR="001F53EF" w:rsidRPr="001F53EF" w:rsidRDefault="001F53EF" w:rsidP="001F53EF">
      <w:pPr>
        <w:autoSpaceDE w:val="0"/>
        <w:autoSpaceDN w:val="0"/>
        <w:adjustRightInd w:val="0"/>
        <w:spacing w:after="0" w:line="240" w:lineRule="auto"/>
        <w:ind w:firstLine="708"/>
        <w:jc w:val="both"/>
        <w:rPr>
          <w:rFonts w:ascii="Times New Roman" w:eastAsia="Calibri" w:hAnsi="Times New Roman" w:cs="Times New Roman"/>
          <w:color w:val="000000" w:themeColor="text1"/>
          <w:kern w:val="0"/>
          <w14:ligatures w14:val="none"/>
        </w:rPr>
      </w:pPr>
    </w:p>
    <w:p w14:paraId="400143F5" w14:textId="77777777" w:rsidR="001F53EF" w:rsidRPr="001F53EF" w:rsidRDefault="001F53EF" w:rsidP="001F53EF">
      <w:pPr>
        <w:spacing w:after="0" w:line="240" w:lineRule="auto"/>
        <w:ind w:firstLine="708"/>
        <w:contextualSpacing/>
        <w:jc w:val="both"/>
        <w:rPr>
          <w:rFonts w:ascii="Times New Roman" w:eastAsia="Calibri" w:hAnsi="Times New Roman" w:cs="Times New Roman"/>
          <w:bCs/>
          <w:color w:val="000000" w:themeColor="text1"/>
          <w:kern w:val="0"/>
          <w14:ligatures w14:val="none"/>
        </w:rPr>
      </w:pPr>
      <w:r w:rsidRPr="001F53EF">
        <w:rPr>
          <w:rFonts w:ascii="Times New Roman" w:eastAsia="Calibri" w:hAnsi="Times New Roman" w:cs="Times New Roman"/>
          <w:color w:val="000000" w:themeColor="text1"/>
          <w:kern w:val="0"/>
          <w14:ligatures w14:val="none"/>
        </w:rPr>
        <w:t>Također se u okviru unaprjeđenja</w:t>
      </w:r>
      <w:r w:rsidRPr="001F53EF">
        <w:rPr>
          <w:rFonts w:ascii="Times New Roman" w:eastAsia="Calibri" w:hAnsi="Times New Roman" w:cs="Times New Roman"/>
          <w:bCs/>
          <w:color w:val="000000" w:themeColor="text1"/>
          <w:kern w:val="0"/>
          <w14:ligatures w14:val="none"/>
        </w:rPr>
        <w:t xml:space="preserve"> postupka sudske zaštite prijavitelja nepravilnosti propisuju rokovi za odgovor na tužbu te rok za održanje </w:t>
      </w:r>
      <w:r w:rsidRPr="001F53EF">
        <w:rPr>
          <w:rFonts w:ascii="Times New Roman" w:eastAsia="Times New Roman" w:hAnsi="Times New Roman" w:cs="Times New Roman"/>
          <w:color w:val="000000" w:themeColor="text1"/>
          <w:kern w:val="0"/>
          <w:lang w:eastAsia="hr-HR"/>
          <w14:ligatures w14:val="none"/>
        </w:rPr>
        <w:t>ročište za glavnu raspravu, rok za okončanje postupka pred prvostupanjskim sudom te rok za donošenje odluke o žalbi za drugostupanjski sud, a sve s ciljem da se kroz konkretno navođenje rokova za pojedine faze postupka ubrzaju sudski postupci za zaštitu prijavitelja nepravilnosti.</w:t>
      </w:r>
    </w:p>
    <w:p w14:paraId="0B98E8D2" w14:textId="77777777" w:rsidR="001F53EF" w:rsidRPr="001F53EF" w:rsidRDefault="001F53EF" w:rsidP="001F53EF">
      <w:pPr>
        <w:autoSpaceDE w:val="0"/>
        <w:autoSpaceDN w:val="0"/>
        <w:adjustRightInd w:val="0"/>
        <w:spacing w:before="240" w:after="12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Zaključno, </w:t>
      </w:r>
      <w:bookmarkStart w:id="14" w:name="_Hlk195484720"/>
      <w:r w:rsidRPr="001F53EF">
        <w:rPr>
          <w:rFonts w:ascii="Times New Roman" w:eastAsia="Calibri" w:hAnsi="Times New Roman" w:cs="Times New Roman"/>
          <w:color w:val="000000" w:themeColor="text1"/>
          <w:kern w:val="0"/>
          <w14:ligatures w14:val="none"/>
        </w:rPr>
        <w:t xml:space="preserve">povećanjem donjih i gornjih granica novčanih kazni nastoji se postići da novčane kazne za prekršaje zbog kršenja odredbi Zakona budu učinkovite, razmjerne i </w:t>
      </w:r>
      <w:proofErr w:type="spellStart"/>
      <w:r w:rsidRPr="001F53EF">
        <w:rPr>
          <w:rFonts w:ascii="Times New Roman" w:eastAsia="Calibri" w:hAnsi="Times New Roman" w:cs="Times New Roman"/>
          <w:color w:val="000000" w:themeColor="text1"/>
          <w:kern w:val="0"/>
          <w14:ligatures w14:val="none"/>
        </w:rPr>
        <w:t>odvraćajuće</w:t>
      </w:r>
      <w:proofErr w:type="spellEnd"/>
      <w:r w:rsidRPr="001F53EF">
        <w:rPr>
          <w:rFonts w:ascii="Times New Roman" w:eastAsia="Calibri" w:hAnsi="Times New Roman" w:cs="Times New Roman"/>
          <w:color w:val="000000" w:themeColor="text1"/>
          <w:kern w:val="0"/>
          <w14:ligatures w14:val="none"/>
        </w:rPr>
        <w:t>. Novčane kazne bit će izražene u valuti euro koja je od 1. siječnja 2023. postala zakonsko sredstvo plaćanja u Republici Hrvatskoj</w:t>
      </w:r>
      <w:bookmarkEnd w:id="14"/>
      <w:r w:rsidRPr="001F53EF">
        <w:rPr>
          <w:rFonts w:ascii="Times New Roman" w:eastAsia="Calibri" w:hAnsi="Times New Roman" w:cs="Times New Roman"/>
          <w:color w:val="000000" w:themeColor="text1"/>
          <w:kern w:val="0"/>
          <w14:ligatures w14:val="none"/>
        </w:rPr>
        <w:t>.</w:t>
      </w:r>
    </w:p>
    <w:p w14:paraId="04287977"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 </w:t>
      </w:r>
    </w:p>
    <w:p w14:paraId="1FC86E0C" w14:textId="77777777" w:rsidR="001F53EF" w:rsidRPr="00B435BE" w:rsidRDefault="001F53EF" w:rsidP="001F53EF">
      <w:pPr>
        <w:pStyle w:val="Naslov1"/>
        <w:jc w:val="center"/>
        <w:rPr>
          <w:rFonts w:ascii="Times New Roman" w:eastAsia="Calibri" w:hAnsi="Times New Roman" w:cs="Times New Roman"/>
          <w:b/>
          <w:bCs/>
          <w:color w:val="000000" w:themeColor="text1"/>
          <w:sz w:val="24"/>
          <w:szCs w:val="24"/>
        </w:rPr>
      </w:pPr>
      <w:bookmarkStart w:id="15" w:name="_Hlk199928558"/>
      <w:r w:rsidRPr="00B435BE">
        <w:rPr>
          <w:rFonts w:ascii="Times New Roman" w:eastAsia="Calibri" w:hAnsi="Times New Roman" w:cs="Times New Roman"/>
          <w:b/>
          <w:bCs/>
          <w:color w:val="000000" w:themeColor="text1"/>
          <w:sz w:val="24"/>
          <w:szCs w:val="24"/>
        </w:rPr>
        <w:t>OCJENA I IZVORI SREDSTAVA POTREBNIH ZA PROVOĐENJE ZAKONA</w:t>
      </w:r>
    </w:p>
    <w:p w14:paraId="67329574" w14:textId="77777777" w:rsidR="001F53EF" w:rsidRPr="001F53EF" w:rsidRDefault="001F53EF" w:rsidP="001F53EF">
      <w:pPr>
        <w:spacing w:after="0" w:line="240" w:lineRule="auto"/>
        <w:jc w:val="both"/>
        <w:rPr>
          <w:rFonts w:ascii="Times New Roman" w:eastAsia="Calibri" w:hAnsi="Times New Roman" w:cs="Times New Roman"/>
          <w:b/>
          <w:color w:val="000000" w:themeColor="text1"/>
          <w:kern w:val="0"/>
          <w14:ligatures w14:val="none"/>
        </w:rPr>
      </w:pPr>
    </w:p>
    <w:p w14:paraId="1A9C6DD7" w14:textId="77777777" w:rsidR="001F53EF" w:rsidRPr="001F53EF" w:rsidRDefault="001F53EF" w:rsidP="001F53EF">
      <w:pPr>
        <w:spacing w:line="259" w:lineRule="auto"/>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shd w:val="clear" w:color="auto" w:fill="FFFFFF"/>
          <w14:ligatures w14:val="none"/>
        </w:rPr>
        <w:t xml:space="preserve">Za provedbu ovoga Zakona nije potrebno osigurati dodatna sredstva u državnom proračunu Republike Hrvatske. </w:t>
      </w:r>
      <w:r w:rsidRPr="001F53EF">
        <w:rPr>
          <w:rFonts w:ascii="Times New Roman" w:eastAsia="Calibri" w:hAnsi="Times New Roman" w:cs="Times New Roman"/>
          <w:color w:val="000000" w:themeColor="text1"/>
          <w:kern w:val="0"/>
          <w14:ligatures w14:val="none"/>
        </w:rPr>
        <w:br w:type="page"/>
      </w:r>
    </w:p>
    <w:bookmarkEnd w:id="15"/>
    <w:p w14:paraId="7E2E9DC1" w14:textId="77777777" w:rsidR="001F53EF" w:rsidRPr="00B435BE" w:rsidRDefault="001F53EF" w:rsidP="001F53EF">
      <w:pPr>
        <w:pStyle w:val="Naslov2"/>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lastRenderedPageBreak/>
        <w:t>PRIJEDLOG ZAKONA O IZMJENAMA I DOPUNAMA ZAKONA O ZAŠTITI PRIJAVITELJA NEPRAVILNOSTI</w:t>
      </w:r>
    </w:p>
    <w:p w14:paraId="5D66EE59" w14:textId="77777777" w:rsidR="001F53EF" w:rsidRPr="001F53EF" w:rsidRDefault="001F53EF" w:rsidP="001F53EF">
      <w:pPr>
        <w:spacing w:after="0" w:line="240" w:lineRule="auto"/>
        <w:ind w:firstLine="708"/>
        <w:contextualSpacing/>
        <w:jc w:val="center"/>
        <w:rPr>
          <w:rFonts w:ascii="Times New Roman" w:eastAsia="Calibri" w:hAnsi="Times New Roman" w:cs="Times New Roman"/>
          <w:b/>
          <w:color w:val="000000" w:themeColor="text1"/>
          <w:kern w:val="0"/>
          <w14:ligatures w14:val="none"/>
        </w:rPr>
      </w:pPr>
    </w:p>
    <w:p w14:paraId="50D2A246"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Članak 1.</w:t>
      </w:r>
    </w:p>
    <w:p w14:paraId="3BA83E62" w14:textId="77777777" w:rsidR="001F53EF" w:rsidRPr="001F53EF" w:rsidRDefault="001F53EF" w:rsidP="001F53EF">
      <w:pPr>
        <w:spacing w:after="0" w:line="240" w:lineRule="auto"/>
        <w:jc w:val="center"/>
        <w:rPr>
          <w:rFonts w:ascii="Times New Roman" w:eastAsia="Calibri" w:hAnsi="Times New Roman" w:cs="Times New Roman"/>
          <w:b/>
          <w:bCs/>
          <w:color w:val="000000" w:themeColor="text1"/>
          <w:kern w:val="0"/>
          <w14:ligatures w14:val="none"/>
        </w:rPr>
      </w:pPr>
    </w:p>
    <w:p w14:paraId="406DFF1B"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U Zakonu </w:t>
      </w:r>
      <w:bookmarkStart w:id="16" w:name="_Hlk194011960"/>
      <w:r w:rsidRPr="001F53EF">
        <w:rPr>
          <w:rFonts w:ascii="Times New Roman" w:eastAsia="Calibri" w:hAnsi="Times New Roman" w:cs="Times New Roman"/>
          <w:color w:val="000000" w:themeColor="text1"/>
          <w:kern w:val="0"/>
          <w14:ligatures w14:val="none"/>
        </w:rPr>
        <w:t>o zaštiti prijavitelja nepravilnosti („Narodne novine“, broj 46/22.)</w:t>
      </w:r>
      <w:bookmarkEnd w:id="16"/>
      <w:r w:rsidRPr="001F53EF">
        <w:rPr>
          <w:rFonts w:ascii="Times New Roman" w:eastAsia="Calibri" w:hAnsi="Times New Roman" w:cs="Times New Roman"/>
          <w:color w:val="000000" w:themeColor="text1"/>
          <w:kern w:val="0"/>
          <w14:ligatures w14:val="none"/>
        </w:rPr>
        <w:t xml:space="preserve"> u članku 4. stavku 1. iza točke c) dodaju se nova točka d) i točka e) koje glase: </w:t>
      </w:r>
    </w:p>
    <w:p w14:paraId="56E08FEA"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„d) koje su obuhvaćene područjem primjene akata Europske unije navedenih u dijelu I. odjeljku K. Priloga ovom Zakonu</w:t>
      </w:r>
    </w:p>
    <w:p w14:paraId="7FFDED6E"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e) koje se odnose na kaznena djela protiv gospodarstva, kaznena djela protiv službene dužnosti i kaznena djela iz članka 233. (pronevjera) te iz članka 339. (podmićivanje zastupnika) Kaznenog zakona“.</w:t>
      </w:r>
    </w:p>
    <w:p w14:paraId="4B8A849B"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p>
    <w:p w14:paraId="1C0DFAAA"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Dosadašnja točka d) postaje točka f).</w:t>
      </w:r>
    </w:p>
    <w:p w14:paraId="5F5602C1" w14:textId="77777777" w:rsidR="001F53EF" w:rsidRPr="001F53EF" w:rsidRDefault="001F53EF" w:rsidP="001F53EF">
      <w:pPr>
        <w:spacing w:after="0" w:line="240" w:lineRule="auto"/>
        <w:jc w:val="both"/>
        <w:rPr>
          <w:rFonts w:ascii="Times New Roman" w:eastAsia="Calibri" w:hAnsi="Times New Roman" w:cs="Times New Roman"/>
          <w:color w:val="000000" w:themeColor="text1"/>
          <w:kern w:val="0"/>
          <w14:ligatures w14:val="none"/>
        </w:rPr>
      </w:pPr>
    </w:p>
    <w:p w14:paraId="01B48C65" w14:textId="77777777" w:rsidR="001F53EF" w:rsidRPr="001F53EF" w:rsidRDefault="001F53EF" w:rsidP="001F53EF">
      <w:pPr>
        <w:spacing w:after="0" w:line="240" w:lineRule="auto"/>
        <w:jc w:val="both"/>
        <w:rPr>
          <w:rFonts w:ascii="Times New Roman" w:eastAsia="Calibri" w:hAnsi="Times New Roman" w:cs="Times New Roman"/>
          <w:color w:val="000000" w:themeColor="text1"/>
          <w:kern w:val="0"/>
          <w14:ligatures w14:val="none"/>
        </w:rPr>
      </w:pPr>
    </w:p>
    <w:p w14:paraId="067AAFD9"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Članak 2.</w:t>
      </w:r>
    </w:p>
    <w:p w14:paraId="2BB8D14E" w14:textId="77777777" w:rsidR="001F53EF" w:rsidRPr="001F53EF" w:rsidRDefault="001F53EF" w:rsidP="001F53EF">
      <w:pPr>
        <w:spacing w:after="0" w:line="240" w:lineRule="auto"/>
        <w:jc w:val="center"/>
        <w:rPr>
          <w:rFonts w:ascii="Times New Roman" w:eastAsia="Calibri" w:hAnsi="Times New Roman" w:cs="Times New Roman"/>
          <w:b/>
          <w:bCs/>
          <w:color w:val="000000" w:themeColor="text1"/>
          <w:kern w:val="0"/>
          <w14:ligatures w14:val="none"/>
        </w:rPr>
      </w:pPr>
    </w:p>
    <w:p w14:paraId="6C427404"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 članku 12. iza stavka 3. dodaje se stavak 4. koji glasi:</w:t>
      </w:r>
    </w:p>
    <w:p w14:paraId="4C69B47A"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„(4) </w:t>
      </w:r>
      <w:bookmarkStart w:id="17" w:name="_Hlk192072843"/>
      <w:r w:rsidRPr="001F53EF">
        <w:rPr>
          <w:rFonts w:ascii="Times New Roman" w:eastAsia="Calibri" w:hAnsi="Times New Roman" w:cs="Times New Roman"/>
          <w:color w:val="000000" w:themeColor="text1"/>
          <w:kern w:val="0"/>
          <w14:ligatures w14:val="none"/>
        </w:rPr>
        <w:t>Osobe koje nepravilnosti prijavljuju izravno policiji ili državnom odvjetništvu imaju pravo na zaštitu propisanu ovim Zakonom pod istim uvjetima kao osobe koje podnose prijavu nadležnom tijelu za vanjsko prijavljivanje</w:t>
      </w:r>
      <w:bookmarkEnd w:id="17"/>
      <w:r w:rsidRPr="001F53EF">
        <w:rPr>
          <w:rFonts w:ascii="Times New Roman" w:eastAsia="Calibri" w:hAnsi="Times New Roman" w:cs="Times New Roman"/>
          <w:color w:val="000000" w:themeColor="text1"/>
          <w:kern w:val="0"/>
          <w14:ligatures w14:val="none"/>
        </w:rPr>
        <w:t>“.</w:t>
      </w:r>
    </w:p>
    <w:p w14:paraId="0E3D87A9" w14:textId="77777777" w:rsidR="001F53EF" w:rsidRPr="001F53EF" w:rsidRDefault="001F53EF" w:rsidP="001F53EF">
      <w:pPr>
        <w:spacing w:after="0" w:line="240" w:lineRule="auto"/>
        <w:jc w:val="both"/>
        <w:rPr>
          <w:rFonts w:ascii="Times New Roman" w:eastAsia="Calibri" w:hAnsi="Times New Roman" w:cs="Times New Roman"/>
          <w:color w:val="000000" w:themeColor="text1"/>
          <w:kern w:val="0"/>
          <w14:ligatures w14:val="none"/>
        </w:rPr>
      </w:pPr>
    </w:p>
    <w:p w14:paraId="698A21FA" w14:textId="77777777" w:rsidR="001F53EF" w:rsidRPr="001F53EF" w:rsidRDefault="001F53EF" w:rsidP="001F53EF">
      <w:pPr>
        <w:spacing w:line="259" w:lineRule="auto"/>
        <w:rPr>
          <w:rFonts w:ascii="Calibri" w:eastAsia="Calibri" w:hAnsi="Calibri" w:cs="Times New Roman"/>
          <w:color w:val="000000" w:themeColor="text1"/>
          <w:kern w:val="0"/>
          <w:sz w:val="22"/>
          <w:szCs w:val="22"/>
          <w14:ligatures w14:val="none"/>
        </w:rPr>
      </w:pPr>
    </w:p>
    <w:p w14:paraId="73466DE0"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Članak 3.</w:t>
      </w:r>
    </w:p>
    <w:p w14:paraId="6FF22674" w14:textId="77777777" w:rsidR="001F53EF" w:rsidRPr="001F53EF" w:rsidRDefault="001F53EF" w:rsidP="001F53EF">
      <w:pPr>
        <w:spacing w:after="0" w:line="240" w:lineRule="auto"/>
        <w:jc w:val="center"/>
        <w:rPr>
          <w:rFonts w:ascii="Times New Roman" w:eastAsia="Calibri" w:hAnsi="Times New Roman" w:cs="Times New Roman"/>
          <w:b/>
          <w:bCs/>
          <w:color w:val="000000" w:themeColor="text1"/>
          <w:kern w:val="0"/>
          <w14:ligatures w14:val="none"/>
        </w:rPr>
      </w:pPr>
    </w:p>
    <w:p w14:paraId="37BA288D"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U članku 23. iza stavka 3. dodaje se novi stavak 4. koji glasi: </w:t>
      </w:r>
    </w:p>
    <w:p w14:paraId="7BB27F29"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„(4) Ako je prijava nepravilnosti zaprimljena u policiji ili državnom odvjetništvu, ista su je tijela dužna </w:t>
      </w:r>
      <w:bookmarkStart w:id="18" w:name="_Hlk192073184"/>
      <w:r w:rsidRPr="001F53EF">
        <w:rPr>
          <w:rFonts w:ascii="Times New Roman" w:eastAsia="Calibri" w:hAnsi="Times New Roman" w:cs="Times New Roman"/>
          <w:color w:val="000000" w:themeColor="text1"/>
          <w:kern w:val="0"/>
          <w14:ligatures w14:val="none"/>
        </w:rPr>
        <w:t xml:space="preserve">bez odgode, proslijediti nadležnom tijelu za vanjsko prijavljivanje.“ </w:t>
      </w:r>
    </w:p>
    <w:bookmarkEnd w:id="18"/>
    <w:p w14:paraId="09C55537"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p>
    <w:p w14:paraId="7262C245"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Dosadašnji stavak 4. postaje stavak 5.</w:t>
      </w:r>
    </w:p>
    <w:p w14:paraId="51C3C01C"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p>
    <w:p w14:paraId="5DADD381" w14:textId="77777777" w:rsidR="001F53EF" w:rsidRPr="001F53EF" w:rsidRDefault="001F53EF" w:rsidP="001F53EF">
      <w:pPr>
        <w:spacing w:after="0" w:line="240" w:lineRule="auto"/>
        <w:contextualSpacing/>
        <w:jc w:val="center"/>
        <w:rPr>
          <w:rFonts w:ascii="Times New Roman" w:eastAsia="Calibri" w:hAnsi="Times New Roman" w:cs="Times New Roman"/>
          <w:b/>
          <w:bCs/>
          <w:color w:val="000000" w:themeColor="text1"/>
          <w:kern w:val="0"/>
          <w14:ligatures w14:val="none"/>
        </w:rPr>
      </w:pPr>
    </w:p>
    <w:p w14:paraId="7097D3D4"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Članak 4.</w:t>
      </w:r>
    </w:p>
    <w:p w14:paraId="0BA64F4D" w14:textId="77777777" w:rsidR="001F53EF" w:rsidRPr="001F53EF" w:rsidRDefault="001F53EF" w:rsidP="001F53EF">
      <w:pPr>
        <w:spacing w:after="0" w:line="240" w:lineRule="auto"/>
        <w:jc w:val="center"/>
        <w:rPr>
          <w:rFonts w:ascii="Times New Roman" w:eastAsia="Calibri" w:hAnsi="Times New Roman" w:cs="Times New Roman"/>
          <w:b/>
          <w:bCs/>
          <w:color w:val="000000" w:themeColor="text1"/>
          <w:kern w:val="0"/>
          <w14:ligatures w14:val="none"/>
        </w:rPr>
      </w:pPr>
    </w:p>
    <w:p w14:paraId="063CE404"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U članku 24. stavku 2. točki 2. iza riječi „od dana“ dodaje se riječ „zaprimanja“. </w:t>
      </w:r>
    </w:p>
    <w:p w14:paraId="690412EA"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p>
    <w:p w14:paraId="5C569451"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Iza stavka 2. dodaje se novi stavak 3. koji glasi: </w:t>
      </w:r>
    </w:p>
    <w:p w14:paraId="0084C431"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„(3) Ako je prijava podnesena izravno policiji i/ili državnom odvjetništvu, a ta su tijela ujedno jedina nadležna za postupanje po sadržaju prijave, ne primjenjuje se odredba stavka 2. točke 4. ovoga članka.“</w:t>
      </w:r>
    </w:p>
    <w:p w14:paraId="00673A56"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p>
    <w:p w14:paraId="1335A101"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Dosadašnji stavak 3. postaje stavak 4.</w:t>
      </w:r>
    </w:p>
    <w:p w14:paraId="0B6E6557"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p>
    <w:p w14:paraId="25326AA3"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p>
    <w:p w14:paraId="1A31B341"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lastRenderedPageBreak/>
        <w:t>Članak 5.</w:t>
      </w:r>
    </w:p>
    <w:p w14:paraId="7FB67563"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p>
    <w:p w14:paraId="15C260B0"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 članku 28. iza stavka 3. dodaju se stavci 4., 5. i 6. koji glase:</w:t>
      </w:r>
    </w:p>
    <w:p w14:paraId="5D03EE04" w14:textId="77777777" w:rsidR="001F53EF" w:rsidRPr="001F53EF" w:rsidRDefault="001F53EF" w:rsidP="001F53EF">
      <w:pPr>
        <w:spacing w:after="48" w:line="240" w:lineRule="auto"/>
        <w:ind w:firstLine="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„(4) U postupku sudske zaštite prijavitelja nepravilnosti rok za odgovor na tužbu je 15 dana, a ročište za glavnu raspravu se mora održati u roku od 30 dana od dana primitka odgovora na tužbu.</w:t>
      </w:r>
    </w:p>
    <w:p w14:paraId="7ACF047D" w14:textId="77777777" w:rsidR="001F53EF" w:rsidRPr="001F53EF" w:rsidRDefault="001F53EF" w:rsidP="001F53EF">
      <w:pPr>
        <w:spacing w:after="48" w:line="240" w:lineRule="auto"/>
        <w:ind w:firstLine="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(5) U postupku sudske zaštite prijavitelja nepravilnosti, postupak pred prvostupanjskim sudom mora se okončati u roku od šest mjeseci od dana podnošenja tužbe.</w:t>
      </w:r>
    </w:p>
    <w:p w14:paraId="72EC24F8" w14:textId="77777777" w:rsidR="001F53EF" w:rsidRPr="001F53EF" w:rsidRDefault="001F53EF" w:rsidP="001F53EF">
      <w:pPr>
        <w:spacing w:after="48" w:line="240" w:lineRule="auto"/>
        <w:ind w:firstLine="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(6) U postupku sudske zaštite prijavitelja nepravilnosti, drugostupanjski sud je dužan donijeti odluku o žalbi podnesenoj protiv odluke prvostupanjskog suda u roku od 30 dana od dana primitka žalbe.“</w:t>
      </w:r>
    </w:p>
    <w:p w14:paraId="68533E25"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p>
    <w:p w14:paraId="5C83FB9D"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Članak 6.</w:t>
      </w:r>
    </w:p>
    <w:p w14:paraId="4E589EA2" w14:textId="77777777" w:rsidR="001F53EF" w:rsidRPr="001F53EF" w:rsidRDefault="001F53EF" w:rsidP="001F53EF">
      <w:pPr>
        <w:spacing w:after="0" w:line="240" w:lineRule="auto"/>
        <w:jc w:val="center"/>
        <w:rPr>
          <w:rFonts w:ascii="Times New Roman" w:eastAsia="Calibri" w:hAnsi="Times New Roman" w:cs="Times New Roman"/>
          <w:b/>
          <w:bCs/>
          <w:color w:val="000000" w:themeColor="text1"/>
          <w:kern w:val="0"/>
          <w14:ligatures w14:val="none"/>
        </w:rPr>
      </w:pPr>
    </w:p>
    <w:p w14:paraId="38CA9C92" w14:textId="77777777" w:rsidR="001F53EF" w:rsidRPr="001F53EF" w:rsidRDefault="001F53EF" w:rsidP="001F53EF">
      <w:pPr>
        <w:spacing w:line="259"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 članku 35. stavku 1. riječi: „</w:t>
      </w:r>
      <w:r w:rsidRPr="001F53EF">
        <w:rPr>
          <w:rFonts w:ascii="Times New Roman" w:eastAsia="Calibri" w:hAnsi="Times New Roman" w:cs="Times New Roman"/>
          <w:color w:val="000000" w:themeColor="text1"/>
          <w:kern w:val="0"/>
          <w:shd w:val="clear" w:color="auto" w:fill="FFFFFF"/>
          <w14:ligatures w14:val="none"/>
        </w:rPr>
        <w:t>od 10.000,00 do 30.000,00 kuna“ zamjenjuju se riječima: „</w:t>
      </w:r>
      <w:r w:rsidRPr="001F53EF">
        <w:rPr>
          <w:rFonts w:ascii="Times New Roman" w:eastAsia="Times New Roman" w:hAnsi="Times New Roman" w:cs="Times New Roman"/>
          <w:color w:val="000000" w:themeColor="text1"/>
          <w:kern w:val="0"/>
          <w:lang w:eastAsia="hr-HR"/>
          <w14:ligatures w14:val="none"/>
        </w:rPr>
        <w:t xml:space="preserve">od 2.000,00 do 8.000,00 eura“. </w:t>
      </w:r>
      <w:r w:rsidRPr="001F53EF">
        <w:rPr>
          <w:rFonts w:ascii="Times New Roman" w:eastAsia="Calibri" w:hAnsi="Times New Roman" w:cs="Times New Roman"/>
          <w:color w:val="000000" w:themeColor="text1"/>
          <w:kern w:val="0"/>
          <w14:ligatures w14:val="none"/>
        </w:rPr>
        <w:t xml:space="preserve"> </w:t>
      </w:r>
    </w:p>
    <w:p w14:paraId="4FE56035" w14:textId="77777777" w:rsidR="001F53EF" w:rsidRPr="001F53EF" w:rsidRDefault="001F53EF" w:rsidP="001F53EF">
      <w:pPr>
        <w:spacing w:line="259" w:lineRule="auto"/>
        <w:ind w:firstLine="708"/>
        <w:jc w:val="both"/>
        <w:rPr>
          <w:rFonts w:ascii="Times New Roman" w:eastAsia="Times New Roman" w:hAnsi="Times New Roman" w:cs="Times New Roman"/>
          <w:color w:val="000000" w:themeColor="text1"/>
          <w:kern w:val="0"/>
          <w:lang w:eastAsia="hr-HR"/>
          <w14:ligatures w14:val="none"/>
        </w:rPr>
      </w:pPr>
      <w:r w:rsidRPr="001F53EF">
        <w:rPr>
          <w:rFonts w:ascii="Times New Roman" w:eastAsia="Calibri" w:hAnsi="Times New Roman" w:cs="Times New Roman"/>
          <w:color w:val="000000" w:themeColor="text1"/>
          <w:kern w:val="0"/>
          <w14:ligatures w14:val="none"/>
        </w:rPr>
        <w:t>U stavku 2. riječi: „</w:t>
      </w:r>
      <w:r w:rsidRPr="001F53EF">
        <w:rPr>
          <w:rFonts w:ascii="Times New Roman" w:eastAsia="Calibri" w:hAnsi="Times New Roman" w:cs="Times New Roman"/>
          <w:color w:val="000000" w:themeColor="text1"/>
          <w:kern w:val="0"/>
          <w:shd w:val="clear" w:color="auto" w:fill="FFFFFF"/>
          <w14:ligatures w14:val="none"/>
        </w:rPr>
        <w:t>od 1000,00 do 10.000,00 kuna“ zamjenjuju se riječima: „</w:t>
      </w:r>
      <w:r w:rsidRPr="001F53EF">
        <w:rPr>
          <w:rFonts w:ascii="Times New Roman" w:eastAsia="Times New Roman" w:hAnsi="Times New Roman" w:cs="Times New Roman"/>
          <w:color w:val="000000" w:themeColor="text1"/>
          <w:kern w:val="0"/>
          <w:lang w:eastAsia="hr-HR"/>
          <w14:ligatures w14:val="none"/>
        </w:rPr>
        <w:t xml:space="preserve">od 1000,00 do 3.000,00 eura“. </w:t>
      </w:r>
    </w:p>
    <w:p w14:paraId="2DA8C2EC" w14:textId="77777777" w:rsidR="001F53EF" w:rsidRPr="001F53EF" w:rsidRDefault="001F53EF" w:rsidP="001F53EF">
      <w:pPr>
        <w:spacing w:line="259"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 stavku 3. riječi: „od 1000,00 do 10.000,00 kuna“ zamjenjuju se riječima od 1000,00 do 3.000,00 eura“.</w:t>
      </w:r>
    </w:p>
    <w:p w14:paraId="3E4AA044" w14:textId="77777777" w:rsidR="001F53EF" w:rsidRPr="001F53EF" w:rsidRDefault="001F53EF" w:rsidP="001F53EF">
      <w:pPr>
        <w:spacing w:after="0" w:line="240" w:lineRule="auto"/>
        <w:contextualSpacing/>
        <w:jc w:val="center"/>
        <w:rPr>
          <w:rFonts w:ascii="Times New Roman" w:eastAsia="Calibri" w:hAnsi="Times New Roman" w:cs="Times New Roman"/>
          <w:b/>
          <w:bCs/>
          <w:color w:val="000000" w:themeColor="text1"/>
          <w:kern w:val="0"/>
          <w14:ligatures w14:val="none"/>
        </w:rPr>
      </w:pPr>
    </w:p>
    <w:p w14:paraId="4FF323F3"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Članak 7.</w:t>
      </w:r>
    </w:p>
    <w:p w14:paraId="3DB6F38D" w14:textId="77777777" w:rsidR="001F53EF" w:rsidRPr="001F53EF" w:rsidRDefault="001F53EF" w:rsidP="001F53EF">
      <w:pPr>
        <w:spacing w:after="0" w:line="240" w:lineRule="auto"/>
        <w:jc w:val="center"/>
        <w:rPr>
          <w:rFonts w:ascii="Times New Roman" w:eastAsia="Calibri" w:hAnsi="Times New Roman" w:cs="Times New Roman"/>
          <w:b/>
          <w:bCs/>
          <w:color w:val="000000" w:themeColor="text1"/>
          <w:kern w:val="0"/>
          <w14:ligatures w14:val="none"/>
        </w:rPr>
      </w:pPr>
    </w:p>
    <w:p w14:paraId="2EAA2CA2" w14:textId="77777777" w:rsidR="001F53EF" w:rsidRPr="001F53EF" w:rsidRDefault="001F53EF" w:rsidP="001F53EF">
      <w:pPr>
        <w:spacing w:line="259" w:lineRule="auto"/>
        <w:ind w:firstLine="708"/>
        <w:jc w:val="both"/>
        <w:rPr>
          <w:rFonts w:ascii="Times New Roman" w:eastAsia="Times New Roman" w:hAnsi="Times New Roman" w:cs="Times New Roman"/>
          <w:color w:val="000000" w:themeColor="text1"/>
          <w:kern w:val="0"/>
          <w:lang w:eastAsia="hr-HR"/>
          <w14:ligatures w14:val="none"/>
        </w:rPr>
      </w:pPr>
      <w:r w:rsidRPr="001F53EF">
        <w:rPr>
          <w:rFonts w:ascii="Times New Roman" w:eastAsia="Calibri" w:hAnsi="Times New Roman" w:cs="Times New Roman"/>
          <w:color w:val="000000" w:themeColor="text1"/>
          <w:kern w:val="0"/>
          <w14:ligatures w14:val="none"/>
        </w:rPr>
        <w:t>U članku 36. stavku 1. riječi</w:t>
      </w:r>
      <w:r w:rsidRPr="001F53EF">
        <w:rPr>
          <w:rFonts w:ascii="Times New Roman" w:eastAsia="Calibri" w:hAnsi="Times New Roman" w:cs="Times New Roman"/>
          <w:color w:val="000000" w:themeColor="text1"/>
          <w:kern w:val="0"/>
          <w:shd w:val="clear" w:color="auto" w:fill="FFFFFF"/>
          <w14:ligatures w14:val="none"/>
        </w:rPr>
        <w:t>: „od 30.000,00 do 50.000,00 kuna“</w:t>
      </w:r>
      <w:r w:rsidRPr="001F53EF">
        <w:rPr>
          <w:rFonts w:ascii="Times New Roman" w:eastAsia="Calibri" w:hAnsi="Times New Roman" w:cs="Times New Roman"/>
          <w:color w:val="000000" w:themeColor="text1"/>
          <w:kern w:val="0"/>
          <w14:ligatures w14:val="none"/>
        </w:rPr>
        <w:t xml:space="preserve"> </w:t>
      </w:r>
      <w:r w:rsidRPr="001F53EF">
        <w:rPr>
          <w:rFonts w:ascii="Times New Roman" w:eastAsia="Calibri" w:hAnsi="Times New Roman" w:cs="Times New Roman"/>
          <w:color w:val="000000" w:themeColor="text1"/>
          <w:kern w:val="0"/>
          <w:shd w:val="clear" w:color="auto" w:fill="FFFFFF"/>
          <w14:ligatures w14:val="none"/>
        </w:rPr>
        <w:t>zamjenjuju se riječima: „</w:t>
      </w:r>
      <w:r w:rsidRPr="001F53EF">
        <w:rPr>
          <w:rFonts w:ascii="Times New Roman" w:eastAsia="Times New Roman" w:hAnsi="Times New Roman" w:cs="Times New Roman"/>
          <w:color w:val="000000" w:themeColor="text1"/>
          <w:kern w:val="0"/>
          <w:lang w:eastAsia="hr-HR"/>
          <w14:ligatures w14:val="none"/>
        </w:rPr>
        <w:t xml:space="preserve">od 5.000,00 do 35.000,00 eura“. </w:t>
      </w:r>
    </w:p>
    <w:p w14:paraId="517F1679" w14:textId="77777777" w:rsidR="001F53EF" w:rsidRPr="001F53EF" w:rsidRDefault="001F53EF" w:rsidP="001F53EF">
      <w:pPr>
        <w:spacing w:line="259" w:lineRule="auto"/>
        <w:ind w:firstLine="708"/>
        <w:jc w:val="both"/>
        <w:rPr>
          <w:rFonts w:ascii="Times New Roman" w:eastAsia="Times New Roman" w:hAnsi="Times New Roman" w:cs="Times New Roman"/>
          <w:color w:val="000000" w:themeColor="text1"/>
          <w:kern w:val="0"/>
          <w:lang w:eastAsia="hr-HR"/>
          <w14:ligatures w14:val="none"/>
        </w:rPr>
      </w:pPr>
      <w:r w:rsidRPr="001F53EF">
        <w:rPr>
          <w:rFonts w:ascii="Times New Roman" w:eastAsia="Calibri" w:hAnsi="Times New Roman" w:cs="Times New Roman"/>
          <w:color w:val="000000" w:themeColor="text1"/>
          <w:kern w:val="0"/>
          <w14:ligatures w14:val="none"/>
        </w:rPr>
        <w:t>U stavku 2. riječi</w:t>
      </w:r>
      <w:r w:rsidRPr="001F53EF">
        <w:rPr>
          <w:rFonts w:ascii="Times New Roman" w:eastAsia="Calibri" w:hAnsi="Times New Roman" w:cs="Times New Roman"/>
          <w:color w:val="000000" w:themeColor="text1"/>
          <w:kern w:val="0"/>
          <w:shd w:val="clear" w:color="auto" w:fill="FFFFFF"/>
          <w14:ligatures w14:val="none"/>
        </w:rPr>
        <w:t>: „od 3000,00 do 30.000,00 kuna“</w:t>
      </w:r>
      <w:r w:rsidRPr="001F53EF">
        <w:rPr>
          <w:rFonts w:ascii="Times New Roman" w:eastAsia="Calibri" w:hAnsi="Times New Roman" w:cs="Times New Roman"/>
          <w:color w:val="000000" w:themeColor="text1"/>
          <w:kern w:val="0"/>
          <w14:ligatures w14:val="none"/>
        </w:rPr>
        <w:t xml:space="preserve"> </w:t>
      </w:r>
      <w:r w:rsidRPr="001F53EF">
        <w:rPr>
          <w:rFonts w:ascii="Times New Roman" w:eastAsia="Calibri" w:hAnsi="Times New Roman" w:cs="Times New Roman"/>
          <w:color w:val="000000" w:themeColor="text1"/>
          <w:kern w:val="0"/>
          <w:shd w:val="clear" w:color="auto" w:fill="FFFFFF"/>
          <w14:ligatures w14:val="none"/>
        </w:rPr>
        <w:t>zamjenjuju se riječima: „</w:t>
      </w:r>
      <w:r w:rsidRPr="001F53EF">
        <w:rPr>
          <w:rFonts w:ascii="Times New Roman" w:eastAsia="Times New Roman" w:hAnsi="Times New Roman" w:cs="Times New Roman"/>
          <w:color w:val="000000" w:themeColor="text1"/>
          <w:kern w:val="0"/>
          <w:lang w:eastAsia="hr-HR"/>
          <w14:ligatures w14:val="none"/>
        </w:rPr>
        <w:t xml:space="preserve">od 600,00 do 6.000,00 eura“. </w:t>
      </w:r>
    </w:p>
    <w:p w14:paraId="138DEEB6" w14:textId="77777777" w:rsidR="001F53EF" w:rsidRPr="001F53EF" w:rsidRDefault="001F53EF" w:rsidP="001F53EF">
      <w:pPr>
        <w:spacing w:line="259"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 stavku 3. riječi</w:t>
      </w:r>
      <w:r w:rsidRPr="001F53EF">
        <w:rPr>
          <w:rFonts w:ascii="Times New Roman" w:eastAsia="Calibri" w:hAnsi="Times New Roman" w:cs="Times New Roman"/>
          <w:color w:val="000000" w:themeColor="text1"/>
          <w:kern w:val="0"/>
          <w:shd w:val="clear" w:color="auto" w:fill="FFFFFF"/>
          <w14:ligatures w14:val="none"/>
        </w:rPr>
        <w:t>: „od 3000,00 do 30.000,00 kuna“</w:t>
      </w:r>
      <w:r w:rsidRPr="001F53EF">
        <w:rPr>
          <w:rFonts w:ascii="Times New Roman" w:eastAsia="Calibri" w:hAnsi="Times New Roman" w:cs="Times New Roman"/>
          <w:color w:val="000000" w:themeColor="text1"/>
          <w:kern w:val="0"/>
          <w14:ligatures w14:val="none"/>
        </w:rPr>
        <w:t xml:space="preserve"> </w:t>
      </w:r>
      <w:r w:rsidRPr="001F53EF">
        <w:rPr>
          <w:rFonts w:ascii="Times New Roman" w:eastAsia="Calibri" w:hAnsi="Times New Roman" w:cs="Times New Roman"/>
          <w:color w:val="000000" w:themeColor="text1"/>
          <w:kern w:val="0"/>
          <w:shd w:val="clear" w:color="auto" w:fill="FFFFFF"/>
          <w14:ligatures w14:val="none"/>
        </w:rPr>
        <w:t xml:space="preserve">zamjenjuju se riječima: „ </w:t>
      </w:r>
      <w:r w:rsidRPr="001F53EF">
        <w:rPr>
          <w:rFonts w:ascii="Times New Roman" w:eastAsia="Times New Roman" w:hAnsi="Times New Roman" w:cs="Times New Roman"/>
          <w:color w:val="000000" w:themeColor="text1"/>
          <w:kern w:val="0"/>
          <w:lang w:eastAsia="hr-HR"/>
          <w14:ligatures w14:val="none"/>
        </w:rPr>
        <w:t xml:space="preserve">od 600,00 do 6.000,00 eura“. </w:t>
      </w:r>
    </w:p>
    <w:p w14:paraId="470B6BEC" w14:textId="77777777" w:rsidR="001F53EF" w:rsidRPr="001F53EF" w:rsidRDefault="001F53EF" w:rsidP="001F53EF">
      <w:pPr>
        <w:spacing w:line="259"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 stavku 4. riječi</w:t>
      </w:r>
      <w:r w:rsidRPr="001F53EF">
        <w:rPr>
          <w:rFonts w:ascii="Times New Roman" w:eastAsia="Calibri" w:hAnsi="Times New Roman" w:cs="Times New Roman"/>
          <w:color w:val="000000" w:themeColor="text1"/>
          <w:kern w:val="0"/>
          <w:shd w:val="clear" w:color="auto" w:fill="FFFFFF"/>
          <w14:ligatures w14:val="none"/>
        </w:rPr>
        <w:t>: „od 3000,00 do 30.000,00 kuna“</w:t>
      </w:r>
      <w:r w:rsidRPr="001F53EF">
        <w:rPr>
          <w:rFonts w:ascii="Times New Roman" w:eastAsia="Calibri" w:hAnsi="Times New Roman" w:cs="Times New Roman"/>
          <w:color w:val="000000" w:themeColor="text1"/>
          <w:kern w:val="0"/>
          <w14:ligatures w14:val="none"/>
        </w:rPr>
        <w:t xml:space="preserve"> </w:t>
      </w:r>
      <w:r w:rsidRPr="001F53EF">
        <w:rPr>
          <w:rFonts w:ascii="Times New Roman" w:eastAsia="Calibri" w:hAnsi="Times New Roman" w:cs="Times New Roman"/>
          <w:color w:val="000000" w:themeColor="text1"/>
          <w:kern w:val="0"/>
          <w:shd w:val="clear" w:color="auto" w:fill="FFFFFF"/>
          <w14:ligatures w14:val="none"/>
        </w:rPr>
        <w:t>zamjenjuju se riječima: „</w:t>
      </w:r>
      <w:r w:rsidRPr="001F53EF">
        <w:rPr>
          <w:rFonts w:ascii="Times New Roman" w:eastAsia="Times New Roman" w:hAnsi="Times New Roman" w:cs="Times New Roman"/>
          <w:color w:val="000000" w:themeColor="text1"/>
          <w:kern w:val="0"/>
          <w:lang w:eastAsia="hr-HR"/>
          <w14:ligatures w14:val="none"/>
        </w:rPr>
        <w:t xml:space="preserve">od 600,00 do 6.000,00 eura“. </w:t>
      </w:r>
    </w:p>
    <w:p w14:paraId="1C38123B" w14:textId="77777777" w:rsidR="001F53EF" w:rsidRPr="001F53EF" w:rsidRDefault="001F53EF" w:rsidP="001F53EF">
      <w:pPr>
        <w:spacing w:after="0" w:line="240" w:lineRule="auto"/>
        <w:rPr>
          <w:rFonts w:ascii="Times New Roman" w:eastAsia="Calibri" w:hAnsi="Times New Roman" w:cs="Times New Roman"/>
          <w:b/>
          <w:bCs/>
          <w:color w:val="000000" w:themeColor="text1"/>
          <w:kern w:val="0"/>
          <w14:ligatures w14:val="none"/>
        </w:rPr>
      </w:pPr>
    </w:p>
    <w:p w14:paraId="2E201E94"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Članak 8.</w:t>
      </w:r>
    </w:p>
    <w:p w14:paraId="2141CFA3" w14:textId="77777777" w:rsidR="001F53EF" w:rsidRPr="001F53EF" w:rsidRDefault="001F53EF" w:rsidP="001F53EF">
      <w:pPr>
        <w:spacing w:after="0" w:line="240" w:lineRule="auto"/>
        <w:jc w:val="center"/>
        <w:rPr>
          <w:rFonts w:ascii="Times New Roman" w:eastAsia="Calibri" w:hAnsi="Times New Roman" w:cs="Times New Roman"/>
          <w:b/>
          <w:bCs/>
          <w:color w:val="000000" w:themeColor="text1"/>
          <w:kern w:val="0"/>
          <w14:ligatures w14:val="none"/>
        </w:rPr>
      </w:pPr>
    </w:p>
    <w:p w14:paraId="74C758B5" w14:textId="77777777" w:rsidR="001F53EF" w:rsidRPr="001F53EF" w:rsidRDefault="001F53EF" w:rsidP="001F53EF">
      <w:pPr>
        <w:spacing w:line="259" w:lineRule="auto"/>
        <w:ind w:firstLine="708"/>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U članku 37. riječi</w:t>
      </w:r>
      <w:r w:rsidRPr="001F53EF">
        <w:rPr>
          <w:rFonts w:ascii="Times New Roman" w:eastAsia="Calibri" w:hAnsi="Times New Roman" w:cs="Times New Roman"/>
          <w:color w:val="000000" w:themeColor="text1"/>
          <w:kern w:val="0"/>
          <w:shd w:val="clear" w:color="auto" w:fill="FFFFFF"/>
          <w14:ligatures w14:val="none"/>
        </w:rPr>
        <w:t>: „</w:t>
      </w:r>
      <w:r w:rsidRPr="001F53EF">
        <w:rPr>
          <w:rFonts w:ascii="Times New Roman" w:eastAsia="Calibri" w:hAnsi="Times New Roman" w:cs="Times New Roman"/>
          <w:color w:val="000000" w:themeColor="text1"/>
          <w:kern w:val="0"/>
          <w14:ligatures w14:val="none"/>
        </w:rPr>
        <w:t xml:space="preserve">od 3000,00 do 30.000,00 kuna  zamjenjuju se riječima „od </w:t>
      </w:r>
      <w:r w:rsidRPr="001F53EF">
        <w:rPr>
          <w:rFonts w:ascii="Times New Roman" w:eastAsia="Times New Roman" w:hAnsi="Times New Roman" w:cs="Times New Roman"/>
          <w:color w:val="000000" w:themeColor="text1"/>
          <w:kern w:val="0"/>
          <w:lang w:eastAsia="hr-HR"/>
          <w14:ligatures w14:val="none"/>
        </w:rPr>
        <w:t xml:space="preserve">600,00 </w:t>
      </w:r>
      <w:r w:rsidRPr="001F53EF">
        <w:rPr>
          <w:rFonts w:ascii="Times New Roman" w:eastAsia="Calibri" w:hAnsi="Times New Roman" w:cs="Times New Roman"/>
          <w:color w:val="000000" w:themeColor="text1"/>
          <w:kern w:val="0"/>
          <w14:ligatures w14:val="none"/>
        </w:rPr>
        <w:t xml:space="preserve">do 4.000,00 eura“. </w:t>
      </w:r>
    </w:p>
    <w:p w14:paraId="1EA3164F" w14:textId="77777777" w:rsidR="001F53EF" w:rsidRPr="001F53EF" w:rsidRDefault="001F53EF" w:rsidP="001F53EF">
      <w:pPr>
        <w:spacing w:after="0" w:line="240" w:lineRule="auto"/>
        <w:rPr>
          <w:rFonts w:ascii="Times New Roman" w:eastAsia="Calibri" w:hAnsi="Times New Roman" w:cs="Times New Roman"/>
          <w:b/>
          <w:bCs/>
          <w:color w:val="000000" w:themeColor="text1"/>
          <w:kern w:val="0"/>
          <w14:ligatures w14:val="none"/>
        </w:rPr>
      </w:pPr>
    </w:p>
    <w:p w14:paraId="719BA698"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bookmarkStart w:id="19" w:name="_Hlk194009550"/>
      <w:r w:rsidRPr="00B435BE">
        <w:rPr>
          <w:rFonts w:ascii="Times New Roman" w:eastAsia="Calibri" w:hAnsi="Times New Roman" w:cs="Times New Roman"/>
          <w:b/>
          <w:bCs/>
          <w:color w:val="000000" w:themeColor="text1"/>
          <w:sz w:val="24"/>
          <w:szCs w:val="24"/>
        </w:rPr>
        <w:t>Članak 9.</w:t>
      </w:r>
    </w:p>
    <w:bookmarkEnd w:id="19"/>
    <w:p w14:paraId="7B530383" w14:textId="77777777" w:rsidR="001F53EF" w:rsidRPr="001F53EF" w:rsidRDefault="001F53EF" w:rsidP="001F53EF">
      <w:pPr>
        <w:spacing w:after="0" w:line="240" w:lineRule="auto"/>
        <w:jc w:val="center"/>
        <w:rPr>
          <w:rFonts w:ascii="Times New Roman" w:eastAsia="Calibri" w:hAnsi="Times New Roman" w:cs="Times New Roman"/>
          <w:b/>
          <w:bCs/>
          <w:color w:val="000000" w:themeColor="text1"/>
          <w:kern w:val="0"/>
          <w14:ligatures w14:val="none"/>
        </w:rPr>
      </w:pPr>
    </w:p>
    <w:p w14:paraId="3ABAA0D1" w14:textId="77777777" w:rsidR="001F53EF" w:rsidRPr="001F53EF" w:rsidRDefault="001F53EF" w:rsidP="001F53EF">
      <w:pPr>
        <w:spacing w:line="259" w:lineRule="auto"/>
        <w:ind w:firstLine="708"/>
        <w:jc w:val="both"/>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 xml:space="preserve">U članku 38. </w:t>
      </w:r>
      <w:r w:rsidRPr="001F53EF">
        <w:rPr>
          <w:rFonts w:ascii="Times New Roman" w:eastAsia="Calibri" w:hAnsi="Times New Roman" w:cs="Times New Roman"/>
          <w:color w:val="000000" w:themeColor="text1"/>
          <w:kern w:val="0"/>
          <w14:ligatures w14:val="none"/>
        </w:rPr>
        <w:t>riječi</w:t>
      </w:r>
      <w:r w:rsidRPr="001F53EF">
        <w:rPr>
          <w:rFonts w:ascii="Times New Roman" w:eastAsia="Calibri" w:hAnsi="Times New Roman" w:cs="Times New Roman"/>
          <w:color w:val="000000" w:themeColor="text1"/>
          <w:kern w:val="0"/>
          <w:shd w:val="clear" w:color="auto" w:fill="FFFFFF"/>
          <w14:ligatures w14:val="none"/>
        </w:rPr>
        <w:t xml:space="preserve">: „od 3000,00 do 30.000,00 kuna zamjenjuju se riječima </w:t>
      </w:r>
      <w:r w:rsidRPr="001F53EF">
        <w:rPr>
          <w:rFonts w:ascii="Times New Roman" w:eastAsia="Times New Roman" w:hAnsi="Times New Roman" w:cs="Times New Roman"/>
          <w:color w:val="000000" w:themeColor="text1"/>
          <w:kern w:val="0"/>
          <w:lang w:eastAsia="hr-HR"/>
          <w14:ligatures w14:val="none"/>
        </w:rPr>
        <w:t>od 600,00 do 4.000,00 eura“.</w:t>
      </w:r>
    </w:p>
    <w:p w14:paraId="24B83EE1"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Članak 10.</w:t>
      </w:r>
    </w:p>
    <w:p w14:paraId="4B51061E" w14:textId="77777777" w:rsidR="001F53EF" w:rsidRPr="001F53EF" w:rsidRDefault="001F53EF" w:rsidP="001F53EF">
      <w:pPr>
        <w:spacing w:before="204" w:after="72" w:line="240" w:lineRule="auto"/>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lang w:eastAsia="hr-HR"/>
          <w14:ligatures w14:val="none"/>
        </w:rPr>
        <w:tab/>
      </w:r>
      <w:r w:rsidRPr="001F53EF">
        <w:rPr>
          <w:rFonts w:ascii="Times New Roman" w:eastAsia="Times New Roman" w:hAnsi="Times New Roman" w:cs="Times New Roman"/>
          <w:color w:val="000000" w:themeColor="text1"/>
          <w:kern w:val="0"/>
          <w:lang w:eastAsia="hr-HR"/>
          <w14:ligatures w14:val="none"/>
        </w:rPr>
        <w:t>Prilog Zakonu o zaštiti prijavitelja nepravilnosti („Narodne novine“, broj 46/22.) zamjenjuje se novim tekstom, koji se nalazi u prilogu ovoga Zakona i čini njegov sastavni dio.</w:t>
      </w:r>
    </w:p>
    <w:p w14:paraId="7E649891" w14:textId="77777777" w:rsidR="001F53EF" w:rsidRPr="001F53EF" w:rsidRDefault="001F53EF" w:rsidP="001F53EF">
      <w:pPr>
        <w:spacing w:line="259" w:lineRule="auto"/>
        <w:jc w:val="center"/>
        <w:rPr>
          <w:rFonts w:ascii="Times New Roman" w:eastAsia="Times New Roman" w:hAnsi="Times New Roman" w:cs="Times New Roman"/>
          <w:b/>
          <w:bCs/>
          <w:color w:val="000000" w:themeColor="text1"/>
          <w:kern w:val="0"/>
          <w:lang w:eastAsia="hr-HR"/>
          <w14:ligatures w14:val="none"/>
        </w:rPr>
      </w:pPr>
    </w:p>
    <w:p w14:paraId="743DF38D"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Članak 11.</w:t>
      </w:r>
    </w:p>
    <w:p w14:paraId="07B55240" w14:textId="77777777" w:rsidR="001F53EF" w:rsidRPr="001F53EF" w:rsidRDefault="001F53EF" w:rsidP="001F53EF">
      <w:pPr>
        <w:spacing w:line="259" w:lineRule="auto"/>
        <w:ind w:firstLine="708"/>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Ovaj Zakon stupa na snagu osmoga dana od dana objave u ,,Narodnim novinama“.</w:t>
      </w:r>
    </w:p>
    <w:p w14:paraId="522115A0" w14:textId="77777777" w:rsidR="001F53EF" w:rsidRPr="001F53EF" w:rsidRDefault="001F53EF" w:rsidP="001F53EF">
      <w:pPr>
        <w:spacing w:line="259" w:lineRule="auto"/>
        <w:ind w:firstLine="708"/>
        <w:rPr>
          <w:rFonts w:ascii="Times New Roman" w:eastAsia="Times New Roman" w:hAnsi="Times New Roman" w:cs="Times New Roman"/>
          <w:color w:val="000000" w:themeColor="text1"/>
          <w:kern w:val="0"/>
          <w:lang w:eastAsia="hr-HR"/>
          <w14:ligatures w14:val="none"/>
        </w:rPr>
      </w:pPr>
    </w:p>
    <w:p w14:paraId="5A4773B0" w14:textId="77777777" w:rsidR="001F53EF" w:rsidRPr="00B435BE" w:rsidRDefault="001F53EF" w:rsidP="001F53EF">
      <w:pPr>
        <w:pStyle w:val="Naslov2"/>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PRILOG</w:t>
      </w:r>
    </w:p>
    <w:p w14:paraId="022E1B9B" w14:textId="77777777" w:rsidR="001F53EF" w:rsidRPr="001F53EF" w:rsidRDefault="001F53EF" w:rsidP="001F53EF">
      <w:pPr>
        <w:shd w:val="clear" w:color="auto" w:fill="FFFFFF"/>
        <w:spacing w:after="0" w:line="240" w:lineRule="auto"/>
        <w:jc w:val="center"/>
        <w:textAlignment w:val="baseline"/>
        <w:rPr>
          <w:rFonts w:ascii="Times New Roman" w:eastAsia="Times New Roman" w:hAnsi="Times New Roman" w:cs="Times New Roman"/>
          <w:color w:val="000000" w:themeColor="text1"/>
          <w:kern w:val="0"/>
          <w:bdr w:val="none" w:sz="0" w:space="0" w:color="auto" w:frame="1"/>
          <w:lang w:eastAsia="hr-HR"/>
          <w14:ligatures w14:val="none"/>
        </w:rPr>
      </w:pPr>
    </w:p>
    <w:p w14:paraId="3DE5B5AB"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bdr w:val="none" w:sz="0" w:space="0" w:color="auto" w:frame="1"/>
          <w:lang w:eastAsia="hr-HR"/>
        </w:rPr>
      </w:pPr>
      <w:r w:rsidRPr="00B435BE">
        <w:rPr>
          <w:rFonts w:ascii="Times New Roman" w:eastAsia="Times New Roman" w:hAnsi="Times New Roman" w:cs="Times New Roman"/>
          <w:b/>
          <w:bCs/>
          <w:color w:val="000000" w:themeColor="text1"/>
          <w:sz w:val="24"/>
          <w:szCs w:val="24"/>
          <w:bdr w:val="none" w:sz="0" w:space="0" w:color="auto" w:frame="1"/>
          <w:lang w:eastAsia="hr-HR"/>
        </w:rPr>
        <w:t>Dio I.</w:t>
      </w:r>
    </w:p>
    <w:p w14:paraId="307728FB" w14:textId="77777777" w:rsidR="001F53EF" w:rsidRPr="001F53EF" w:rsidRDefault="001F53EF" w:rsidP="001F53EF">
      <w:pPr>
        <w:shd w:val="clear" w:color="auto" w:fill="FFFFFF"/>
        <w:spacing w:after="0" w:line="240" w:lineRule="auto"/>
        <w:jc w:val="center"/>
        <w:textAlignment w:val="baseline"/>
        <w:rPr>
          <w:rFonts w:ascii="Times New Roman" w:eastAsia="Times New Roman" w:hAnsi="Times New Roman" w:cs="Times New Roman"/>
          <w:color w:val="000000" w:themeColor="text1"/>
          <w:kern w:val="0"/>
          <w:bdr w:val="none" w:sz="0" w:space="0" w:color="auto" w:frame="1"/>
          <w:lang w:eastAsia="hr-HR"/>
          <w14:ligatures w14:val="none"/>
        </w:rPr>
      </w:pPr>
    </w:p>
    <w:p w14:paraId="666BF714" w14:textId="77777777" w:rsidR="001F53EF" w:rsidRPr="001F53EF" w:rsidRDefault="001F53EF" w:rsidP="001F53EF">
      <w:pPr>
        <w:shd w:val="clear" w:color="auto" w:fill="FFFFFF"/>
        <w:spacing w:after="0" w:line="240" w:lineRule="auto"/>
        <w:ind w:left="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A.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1. </w:t>
      </w:r>
      <w:bookmarkStart w:id="20" w:name="_Hlk194069696"/>
      <w:r w:rsidRPr="001F53EF">
        <w:rPr>
          <w:rFonts w:ascii="Times New Roman" w:eastAsia="Times New Roman" w:hAnsi="Times New Roman" w:cs="Times New Roman"/>
          <w:color w:val="000000" w:themeColor="text1"/>
          <w:kern w:val="0"/>
          <w:lang w:eastAsia="hr-HR"/>
          <w14:ligatures w14:val="none"/>
        </w:rPr>
        <w:t>ovoga Zakona</w:t>
      </w:r>
      <w:bookmarkEnd w:id="20"/>
      <w:r w:rsidRPr="001F53EF">
        <w:rPr>
          <w:rFonts w:ascii="Times New Roman" w:eastAsia="Times New Roman" w:hAnsi="Times New Roman" w:cs="Times New Roman"/>
          <w:color w:val="000000" w:themeColor="text1"/>
          <w:kern w:val="0"/>
          <w:lang w:eastAsia="hr-HR"/>
          <w14:ligatures w14:val="none"/>
        </w:rPr>
        <w:t xml:space="preserve"> (javna nabava):</w:t>
      </w:r>
    </w:p>
    <w:p w14:paraId="56F2A88F" w14:textId="77777777" w:rsidR="001F53EF" w:rsidRPr="001F53EF" w:rsidRDefault="001F53EF" w:rsidP="001F53EF">
      <w:pPr>
        <w:numPr>
          <w:ilvl w:val="0"/>
          <w:numId w:val="26"/>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Pravila postupka za javnu nabavu i dodjelu koncesija, za dodjelu ugovora u području obrane i sigurnosti te za dodjelu ugovora subjekata koji djeluju u sektoru vodnog gospodarstva, energetskom i prometnom sektoru te sektoru poštanskih usluga i svakog drugog ugovora, kako su utvrđena:</w:t>
      </w:r>
    </w:p>
    <w:p w14:paraId="36395E2D" w14:textId="77777777" w:rsidR="001F53EF" w:rsidRPr="001F53EF" w:rsidRDefault="001F53EF" w:rsidP="001F53EF">
      <w:pPr>
        <w:numPr>
          <w:ilvl w:val="0"/>
          <w:numId w:val="7"/>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2014/23/EU Europskog parlamenta i Vijeća od 26. veljače 2014. o dodjeli ugovorâ o koncesiji (SL L 94, 28. 3. 2014., str. 1.)</w:t>
      </w:r>
    </w:p>
    <w:p w14:paraId="51DEB139" w14:textId="77777777" w:rsidR="001F53EF" w:rsidRPr="001F53EF" w:rsidRDefault="001F53EF" w:rsidP="001F53EF">
      <w:pPr>
        <w:numPr>
          <w:ilvl w:val="0"/>
          <w:numId w:val="7"/>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2014/24/EU Europskog parlamenta i Vijeća od 26. veljače 2014. o javnoj nabavi i o stavljanju izvan snage Direktive 2004/18/EZ (SL L 94, 28. 3. 2014., str. 65.)</w:t>
      </w:r>
    </w:p>
    <w:p w14:paraId="6741BF7B" w14:textId="77777777" w:rsidR="001F53EF" w:rsidRPr="001F53EF" w:rsidRDefault="001F53EF" w:rsidP="001F53EF">
      <w:pPr>
        <w:numPr>
          <w:ilvl w:val="0"/>
          <w:numId w:val="7"/>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2014/25/EU Europskog parlamenta i Vijeća od 26. veljače 2014. o nabavi subjekata koji djeluju u sektoru vodnog gospodarstva, energetskom i prometnom sektoru te sektoru poštanskih usluga i stavljanju izvan snage Direktive 2004/17/EZ (SL L 94, 28. 3. 2014., str. 243.)</w:t>
      </w:r>
    </w:p>
    <w:p w14:paraId="605BC17A" w14:textId="77777777" w:rsidR="001F53EF" w:rsidRPr="001F53EF" w:rsidRDefault="001F53EF" w:rsidP="001F53EF">
      <w:pPr>
        <w:numPr>
          <w:ilvl w:val="0"/>
          <w:numId w:val="7"/>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2009/81/EZ Europskog parlamenta i Vijeća od 13. srpnja 2009. o usklađivanju postupaka nabave za određene ugovore o radovima, ugovore o nabavi robe i ugovore o uslugama koje sklapaju javni naručitelji ili naručitelji u području obrane i sigurnosti te izmjeni direktiva 2004/17/EZ i 2004/18/EZ (SL L 216, 20. 8. 2009., str. 76.).</w:t>
      </w:r>
    </w:p>
    <w:p w14:paraId="3B1A3F76" w14:textId="77777777" w:rsidR="001F53EF" w:rsidRPr="001F53EF" w:rsidRDefault="001F53EF" w:rsidP="001F53EF">
      <w:pPr>
        <w:numPr>
          <w:ilvl w:val="0"/>
          <w:numId w:val="26"/>
        </w:numPr>
        <w:shd w:val="clear" w:color="auto" w:fill="FFFFFF"/>
        <w:spacing w:after="48" w:line="240" w:lineRule="auto"/>
        <w:ind w:left="1276" w:hanging="56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Postupci preispitivanja uređeni su sljedećim:</w:t>
      </w:r>
    </w:p>
    <w:p w14:paraId="7901590C" w14:textId="77777777" w:rsidR="001F53EF" w:rsidRPr="001F53EF" w:rsidRDefault="001F53EF" w:rsidP="001F53EF">
      <w:pPr>
        <w:numPr>
          <w:ilvl w:val="0"/>
          <w:numId w:val="8"/>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Vijeća 92/13/EEZ od 25. veljače 1992. o usklađivanju zakona i drugih propisa o primjeni pravila Zajednice u postupcima nabave subjekata koji djeluju u sektoru vodnoga gospodarstva, energetskom, prometnom i telekomunikacijskom sektoru (SL L 76, 23. 3. 1992., str. 14.)</w:t>
      </w:r>
    </w:p>
    <w:p w14:paraId="43C210A1" w14:textId="77777777" w:rsidR="001F53EF" w:rsidRPr="001F53EF" w:rsidRDefault="001F53EF" w:rsidP="001F53EF">
      <w:pPr>
        <w:numPr>
          <w:ilvl w:val="0"/>
          <w:numId w:val="8"/>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Vijeća 89/665/EEZ od 21. prosinca 1989. o usklađivanju zakona i drugih propisa u odnosu na primjenu postupaka kontrole na sklapanje ugovora o javnoj nabavi robe i javnim radovima (SL L 395, 30. 12. 1989., str. 33.).</w:t>
      </w:r>
    </w:p>
    <w:p w14:paraId="0704C04A" w14:textId="77777777" w:rsidR="001F53EF" w:rsidRPr="001F53EF" w:rsidRDefault="001F53EF" w:rsidP="001F53EF">
      <w:pPr>
        <w:shd w:val="clear" w:color="auto" w:fill="FFFFFF"/>
        <w:spacing w:after="0" w:line="240" w:lineRule="auto"/>
        <w:ind w:firstLine="708"/>
        <w:jc w:val="both"/>
        <w:textAlignment w:val="baseline"/>
        <w:rPr>
          <w:rFonts w:ascii="Times New Roman" w:eastAsia="Times New Roman" w:hAnsi="Times New Roman" w:cs="Times New Roman"/>
          <w:b/>
          <w:bCs/>
          <w:color w:val="000000" w:themeColor="text1"/>
          <w:kern w:val="0"/>
          <w:bdr w:val="none" w:sz="0" w:space="0" w:color="auto" w:frame="1"/>
          <w:lang w:eastAsia="hr-HR"/>
          <w14:ligatures w14:val="none"/>
        </w:rPr>
      </w:pPr>
    </w:p>
    <w:p w14:paraId="5C519B84" w14:textId="77777777" w:rsidR="001F53EF" w:rsidRPr="001F53EF" w:rsidRDefault="001F53EF" w:rsidP="001F53E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B.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2. ovoga Zakona (financijske usluge, proizvodi i tržišta te sprječavanje pranja novca i financiranja terorizma):</w:t>
      </w:r>
    </w:p>
    <w:p w14:paraId="41C7FF7A" w14:textId="77777777" w:rsidR="001F53EF" w:rsidRPr="001F53EF" w:rsidRDefault="001F53EF" w:rsidP="001F53EF">
      <w:p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Pravila kojima se utvrđuju regulatorni i nadzorni okvir te zaštita potrošača i ulagača u području financijskih usluga i tržišta kapitala, bankarstva i kreditiranja, ulaganja, osiguranja i reosiguranja, strukovnih i osobnih mirovinskih proizvoda, vrijednosnih papira, investicijskih fondova i platnih usluga u Uniji te djelatnosti iz Priloga I. Direktivi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str. 338), kako su utvrđena:</w:t>
      </w:r>
    </w:p>
    <w:p w14:paraId="30A0D412"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2009/110/EZ Europskog parlamenta i Vijeća od 16. rujna 2009. o osnivanju, obavljanju djelatnosti i bonitetnom nadzoru poslovanja institucija za elektronički novac te o izmjeni direktiva 2005/60/EZ i 2006/48/EZ i stavljanju izvan snage Direktive 2000/46/EZ (SL L 267, 10. 10. 2009., str. 7.)</w:t>
      </w:r>
    </w:p>
    <w:p w14:paraId="24F48DD5"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2011/61/EU Europskog parlamenta i Vijeća od 8. lipnja 2011. o upraviteljima alternativnih investicijskih fondova i o izmjeni direktiva 2003/41/EZ i 2009/65/EZ te uredbi (EZ) br. 1060/2009 i (EU) br. 1095/2010 (SL L 174, 1. 7. 2011., str. 1.)</w:t>
      </w:r>
    </w:p>
    <w:p w14:paraId="54F1EF4E"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236/2012 Europskog parlamenta i Vijeća od 14. ožujka 2012. o kratkoj prodaji i određenim aspektima kreditnih izvedenica na osnovi nastanka statusa neispunjavanja obveza (SL L 86, 24. 3. 2012., str. 1.)</w:t>
      </w:r>
    </w:p>
    <w:p w14:paraId="607675C0"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345/2013 Europskog parlamenta i Vijeća od 17. travnja 2013. o europskim fondovima poduzetničkog kapitala (SL L 115, 25. 4. 2013., str. 1.)</w:t>
      </w:r>
    </w:p>
    <w:p w14:paraId="3B902E9A"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346/2013 Europskog parlamenta i Vijeća od 17. travnja 2013. o europskim fondovima za socijalno poduzetništvo (SL L 115, 25. 4. 2013., str. 18.)</w:t>
      </w:r>
    </w:p>
    <w:p w14:paraId="25589A58"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2014/17/EU Europskog parlamenta i Vijeća od 4. veljače 2014. o ugovorima o potrošačkim kreditima koji se odnose na stambene nekretnine i o izmjeni direktiva 2008/48/EZ i 2013/36/EU i Uredbe (EU) br. 1093/2010 (SL L 60, 28. 2. 2014., str. 34.)</w:t>
      </w:r>
    </w:p>
    <w:p w14:paraId="5325F7FC"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537/2014 Europskog parlamenta i Vijeća od 16. travnja 2014. o posebnim zahtjevima u vezi zakonske revizije subjekata od javnog interesa i stavljanju izvan snage Odluke Komisije 2005/909/EZ (SL L 158, 27. 5. 2014., str. 77.)</w:t>
      </w:r>
    </w:p>
    <w:p w14:paraId="72A76C77"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600/2014 Europskog parlamenta i Vijeća od 15. svibnja 2014. o tržištima financijskih instrumenata i izmjeni Uredbe (EU) br. 648/2012 (SL L 173, 12. 6. 2014., str. 84.)</w:t>
      </w:r>
    </w:p>
    <w:p w14:paraId="1BF8FCFB"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(EU) 2015/2366 Europskog parlamenta i Vijeća od 25. studenoga 2015. o platnim uslugama na unutarnjem tržištu, o izmjeni direktiva 2002/65/EZ, 2009/110/EZ i 2013/36/EU te Uredbe (EU) br. 1093/2010 i o stavljanju izvan snage Direktive 2007/64/EZ (SL L 337, 23. 12. 2015., str. 35.)</w:t>
      </w:r>
    </w:p>
    <w:p w14:paraId="3A0DE474"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2004/25/EZ Europskog parlamenta i Vijeća od 21. travnja 2004. o ponudama za preuzimanje (SL L 142, 30. 4. 2004., str. 12.)</w:t>
      </w:r>
    </w:p>
    <w:p w14:paraId="4202039E"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2007/36/EZ Europskog parlamenta i Vijeća od 11. srpnja 2007. o izvršavanju pojedinih prava dioničara trgovačkih društava uvrštenih na burzu (SL L 184, 14. 7. 2007., str. 17.)</w:t>
      </w:r>
    </w:p>
    <w:p w14:paraId="62519731"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2004/109/EZ Europskog parlamenta i Vijeća od 15. prosinca 2004. o usklađivanju zahtjeva za transparentnošću u vezi s informacijama o izdavateljima čiji su vrijednosni papiri uvršteni za trgovanje na uređenom tržištu i o izmjeni Direktive 2001/34/EZ (SL L 390, 31. 12. 2004., str. 38.)</w:t>
      </w:r>
    </w:p>
    <w:p w14:paraId="6F2227FC"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Uredbom (EU) br. 648/2012 Europskog parlamenta i Vijeća od 4. srpnja 2012. o OTC izvedenicama, središnjoj drugoj ugovornoj strani i trgovinskom repozitoriju (SL L 201, 27. 7. 2012., str. 1.)</w:t>
      </w:r>
    </w:p>
    <w:p w14:paraId="0C64F20D"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(SL L 171, 29. 6. 2016., str. 1.)</w:t>
      </w:r>
    </w:p>
    <w:p w14:paraId="17A687CF"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2009/138/EZ Europskog parlamenta i Vijeća od 25. studenog 2009. o osnivanju i obavljanju djelatnosti osiguranja i reosiguranja (Solventnost II) (SL L 335, 17. 12. 2009., str. 1.)</w:t>
      </w:r>
    </w:p>
    <w:p w14:paraId="6AB4D4AE"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 6. 2014., str. 190.)</w:t>
      </w:r>
    </w:p>
    <w:p w14:paraId="3650182A"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2002/87/EZ Europskog parlamenta i Vijeća od 16. prosinca 2002. o dodatnom nadzoru kreditnih institucija, društava za osiguranje i investicijskih društava u financijskom konglomeratu i o izmjeni direktiva Vijeća 73/239/EEZ, 79/267/EEZ, 92/49/EEZ, 92/96/EEZ, 93/6/EEZ i 93/22/EEZ i direktiva 98/78/EZ i 2000/12/EZ Europskog parlamenta i Vijeća (SL L 35, 11. 2. 2003., str. 1.)</w:t>
      </w:r>
    </w:p>
    <w:p w14:paraId="39BBCDE3"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2014/49/EU Europskog parlamenta i Vijeća od 16. travnja 2014. o sustavima osiguranja depozita (SL L 173, 12. 6. 2014., str. 149.)</w:t>
      </w:r>
    </w:p>
    <w:p w14:paraId="74D65401"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97/9/EZ Europskog parlamenta i Vijeća od 3. ožujka 1997. o sustavima naknada štete za investitore (SL L 84, 26. 3. 1997., str. 22.)</w:t>
      </w:r>
    </w:p>
    <w:p w14:paraId="5D61A2B2"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575/2013 Europskog parlamenta i Vijeća od 26. lipnja 2013. o bonitetnim zahtjevima za kreditne institucije i investicijska društva i o izmjeni Uredbe (EU) br. 648/2012 (SL L 176, 27. 6. 2013., str. 1.).</w:t>
      </w:r>
    </w:p>
    <w:p w14:paraId="05AB7C15"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Uredba (EU) 2020/1503 Europskog parlamenta i Vijeća od 7. listopada 2020. o europskim pružateljima usluga skupnog financiranja za poduzeća i izmjeni Uredbe (EU) 2017/1129 i Direktive (EU) 2019/1937 (SL L 347, 20.10.2020, str. 1–49).</w:t>
      </w:r>
    </w:p>
    <w:p w14:paraId="1EC3D6F2" w14:textId="77777777" w:rsidR="001F53EF" w:rsidRPr="001F53EF" w:rsidRDefault="001F53EF" w:rsidP="001F53EF">
      <w:pPr>
        <w:numPr>
          <w:ilvl w:val="0"/>
          <w:numId w:val="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Uredba (EU) 2023/1114 Europskog parlamenta i Vijeća od 31. svibnja 2023. o tržištima </w:t>
      </w:r>
      <w:proofErr w:type="spellStart"/>
      <w:r w:rsidRPr="001F53EF">
        <w:rPr>
          <w:rFonts w:ascii="Times New Roman" w:eastAsia="Times New Roman" w:hAnsi="Times New Roman" w:cs="Times New Roman"/>
          <w:color w:val="000000" w:themeColor="text1"/>
          <w:kern w:val="0"/>
          <w:lang w:eastAsia="hr-HR"/>
          <w14:ligatures w14:val="none"/>
        </w:rPr>
        <w:t>kriptoimovine</w:t>
      </w:r>
      <w:proofErr w:type="spellEnd"/>
      <w:r w:rsidRPr="001F53EF">
        <w:rPr>
          <w:rFonts w:ascii="Times New Roman" w:eastAsia="Times New Roman" w:hAnsi="Times New Roman" w:cs="Times New Roman"/>
          <w:color w:val="000000" w:themeColor="text1"/>
          <w:kern w:val="0"/>
          <w:lang w:eastAsia="hr-HR"/>
          <w14:ligatures w14:val="none"/>
        </w:rPr>
        <w:t xml:space="preserve"> i izmjeni uredaba (EU) br. 1093/2010 i (EU) br. 1095/2010 te direktiva 2013/36/EU i (EU) 2019/1937 (Tekst značajan za EGP) (SL L 150, 9.6.2023., str. 40–205).</w:t>
      </w:r>
    </w:p>
    <w:p w14:paraId="5A19C6EC"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p>
    <w:p w14:paraId="29F130BD" w14:textId="77777777" w:rsidR="001F53EF" w:rsidRPr="001F53EF" w:rsidRDefault="001F53EF" w:rsidP="001F53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C.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3. ovoga Zakona (sigurnost i sukladnost proizvoda):</w:t>
      </w:r>
    </w:p>
    <w:p w14:paraId="24E796CE" w14:textId="77777777" w:rsidR="001F53EF" w:rsidRPr="001F53EF" w:rsidRDefault="001F53EF" w:rsidP="001F53EF">
      <w:pPr>
        <w:numPr>
          <w:ilvl w:val="0"/>
          <w:numId w:val="28"/>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Zahtjevi za sigurnost i sukladnost proizvoda koji se stavljaju na tržište Unije, kako su definirani i uređeni:</w:t>
      </w:r>
    </w:p>
    <w:p w14:paraId="63913600" w14:textId="77777777" w:rsidR="001F53EF" w:rsidRPr="001F53EF" w:rsidRDefault="001F53EF" w:rsidP="001F53EF">
      <w:pPr>
        <w:numPr>
          <w:ilvl w:val="0"/>
          <w:numId w:val="10"/>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2001/95/EZ Europskog parlamenta i Vijeća od 3. prosinca 2001. o općoj sigurnosti proizvoda (SL L 11, 15. 1. 2002., str. 4.)</w:t>
      </w:r>
    </w:p>
    <w:p w14:paraId="54D17DAF" w14:textId="77777777" w:rsidR="001F53EF" w:rsidRPr="001F53EF" w:rsidRDefault="001F53EF" w:rsidP="001F53EF">
      <w:pPr>
        <w:numPr>
          <w:ilvl w:val="0"/>
          <w:numId w:val="10"/>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zakonodavstvom Unije o usklađivanju izrađenih proizvoda, uključujući zahtjeve za označivanje, osim hrane i hrane za životinje, lijekova za humanu i veterinarsku primjenu, živih biljaka i životinja, proizvoda ljudskog porijekla i proizvoda biljaka i životinja koji su u izravnoj vezi s njihovom daljnjom reprodukcijom, kako je </w:t>
      </w:r>
      <w:r w:rsidRPr="001F53EF">
        <w:rPr>
          <w:rFonts w:ascii="Times New Roman" w:eastAsia="Times New Roman" w:hAnsi="Times New Roman" w:cs="Times New Roman"/>
          <w:color w:val="000000" w:themeColor="text1"/>
          <w:kern w:val="0"/>
          <w:lang w:eastAsia="hr-HR"/>
          <w14:ligatures w14:val="none"/>
        </w:rPr>
        <w:lastRenderedPageBreak/>
        <w:t>navedeno u prilozima I. i II. Uredbi (EU) 2019/1020 Europskog parlamenta i Vijeća od 20. lipnja 2019. o nadzoru tržišta i sukladnosti proizvoda i o izmjeni Direktive 2004/42/EZ i uredbi (EZ) br. 765/2008 i (EU) br. 305/2011 (SL L 169, 25. 6. 2019., str. 1.)</w:t>
      </w:r>
    </w:p>
    <w:p w14:paraId="03CF7AB2" w14:textId="77777777" w:rsidR="001F53EF" w:rsidRPr="001F53EF" w:rsidRDefault="001F53EF" w:rsidP="001F53EF">
      <w:pPr>
        <w:numPr>
          <w:ilvl w:val="0"/>
          <w:numId w:val="10"/>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2007/46/EZ Europskog parlamenta i Vijeća od 5. rujna 2007. o uspostavi okvira za homologaciju motornih vozila i njihovih prikolica te sustava, sastavnih dijelova i zasebnih tehničkih jedinica namijenjenih za takva vozila (Okvirna direktiva) (SL L 263, 9. 10. 2007., str. 1.).</w:t>
      </w:r>
    </w:p>
    <w:p w14:paraId="49A2A327" w14:textId="77777777" w:rsidR="001F53EF" w:rsidRPr="001F53EF" w:rsidRDefault="001F53EF" w:rsidP="001F53EF">
      <w:pPr>
        <w:numPr>
          <w:ilvl w:val="0"/>
          <w:numId w:val="10"/>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Uredba (EU) 2024/3015 Europskog parlamenta i Vijeća od 27. studenoga 2024. o zabrani proizvoda nastalih prisilnim radom na tržištu Unije i izmjeni Direktive (EU) 2019/1937 (SL L, 2024/3015, 12.12.2024., ELI: http://data.europa.eu/eli/reg/2024/3015/oj).</w:t>
      </w:r>
    </w:p>
    <w:p w14:paraId="7F59FA9D" w14:textId="77777777" w:rsidR="001F53EF" w:rsidRPr="001F53EF" w:rsidRDefault="001F53EF" w:rsidP="001F53EF">
      <w:pPr>
        <w:numPr>
          <w:ilvl w:val="0"/>
          <w:numId w:val="28"/>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Pravila o stavljanju na tržište i uporabi osjetljivih i opasnih proizvoda, kako su utvrđena:</w:t>
      </w:r>
    </w:p>
    <w:p w14:paraId="39F04502" w14:textId="77777777" w:rsidR="001F53EF" w:rsidRPr="001F53EF" w:rsidRDefault="001F53EF" w:rsidP="001F53EF">
      <w:pPr>
        <w:numPr>
          <w:ilvl w:val="0"/>
          <w:numId w:val="11"/>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2009/43/EZ Europskog parlamenta i Vijeća od 6. svibnja 2009. o pojednostavnjivanju uvjeta za transfer obrambenih proizvoda unutar Zajednice (SL L 146, 10. 6. 2009., str. 1.)</w:t>
      </w:r>
    </w:p>
    <w:p w14:paraId="51942DD3" w14:textId="77777777" w:rsidR="001F53EF" w:rsidRPr="001F53EF" w:rsidRDefault="001F53EF" w:rsidP="001F53EF">
      <w:pPr>
        <w:numPr>
          <w:ilvl w:val="0"/>
          <w:numId w:val="11"/>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Vijeća 91/477/EEZ od 18. lipnja 1991. o nadzoru nabave i posjedovanja oružja (SL L 256, 13. 9. 1991., str. 51.)</w:t>
      </w:r>
    </w:p>
    <w:p w14:paraId="3CAED829" w14:textId="77777777" w:rsidR="001F53EF" w:rsidRPr="001F53EF" w:rsidRDefault="001F53EF" w:rsidP="001F53EF">
      <w:pPr>
        <w:numPr>
          <w:ilvl w:val="0"/>
          <w:numId w:val="11"/>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Uredbom (EU) br. 98/2013 Europskog parlamenta i Vijeća od 15. siječnja 2013. o stavljanju na tržište i uporabi </w:t>
      </w:r>
      <w:proofErr w:type="spellStart"/>
      <w:r w:rsidRPr="001F53EF">
        <w:rPr>
          <w:rFonts w:ascii="Times New Roman" w:eastAsia="Times New Roman" w:hAnsi="Times New Roman" w:cs="Times New Roman"/>
          <w:color w:val="000000" w:themeColor="text1"/>
          <w:kern w:val="0"/>
          <w:lang w:eastAsia="hr-HR"/>
          <w14:ligatures w14:val="none"/>
        </w:rPr>
        <w:t>prekursora</w:t>
      </w:r>
      <w:proofErr w:type="spellEnd"/>
      <w:r w:rsidRPr="001F53EF">
        <w:rPr>
          <w:rFonts w:ascii="Times New Roman" w:eastAsia="Times New Roman" w:hAnsi="Times New Roman" w:cs="Times New Roman"/>
          <w:color w:val="000000" w:themeColor="text1"/>
          <w:kern w:val="0"/>
          <w:lang w:eastAsia="hr-HR"/>
          <w14:ligatures w14:val="none"/>
        </w:rPr>
        <w:t xml:space="preserve"> eksploziva (SL L 39, 9. 2. 2013., str. 1.).</w:t>
      </w:r>
    </w:p>
    <w:p w14:paraId="1AA774F0" w14:textId="77777777" w:rsidR="001F53EF" w:rsidRPr="001F53EF" w:rsidRDefault="001F53EF" w:rsidP="001F53EF">
      <w:pPr>
        <w:shd w:val="clear" w:color="auto" w:fill="FFFFFF"/>
        <w:spacing w:after="48" w:line="240" w:lineRule="auto"/>
        <w:ind w:left="1276"/>
        <w:jc w:val="both"/>
        <w:textAlignment w:val="baseline"/>
        <w:rPr>
          <w:rFonts w:ascii="Times New Roman" w:eastAsia="Times New Roman" w:hAnsi="Times New Roman" w:cs="Times New Roman"/>
          <w:color w:val="000000" w:themeColor="text1"/>
          <w:kern w:val="0"/>
          <w:lang w:eastAsia="hr-HR"/>
          <w14:ligatures w14:val="none"/>
        </w:rPr>
      </w:pPr>
    </w:p>
    <w:p w14:paraId="253DDF13" w14:textId="77777777" w:rsidR="001F53EF" w:rsidRPr="001F53EF" w:rsidRDefault="001F53EF" w:rsidP="001F53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D.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4. ovoga Zakona (sigurnost prometa):</w:t>
      </w:r>
    </w:p>
    <w:p w14:paraId="51A3A51B" w14:textId="77777777" w:rsidR="001F53EF" w:rsidRPr="001F53EF" w:rsidRDefault="001F53EF" w:rsidP="001F53EF">
      <w:pPr>
        <w:numPr>
          <w:ilvl w:val="0"/>
          <w:numId w:val="35"/>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Sigurnosni zahtjevi u sektoru željezničkog prometa, kako su uređeni Direktivom (EU) 2016/798 Europskog parlamenta i Vijeća od 11. svibnja 2016. o sigurnosti željeznica (SL L 138, 26. 5. 2016., str. 102.).</w:t>
      </w:r>
    </w:p>
    <w:p w14:paraId="0E01E869" w14:textId="77777777" w:rsidR="001F53EF" w:rsidRPr="001F53EF" w:rsidRDefault="001F53EF" w:rsidP="001F53EF">
      <w:pPr>
        <w:numPr>
          <w:ilvl w:val="0"/>
          <w:numId w:val="35"/>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Sigurnosni zahtjevi u sektoru civilnog zrakoplovstva, kako su uređeni Uredbom (EU) br. 996/2010 Europskog parlamenta i Vijeća od 20. listopada 2010. o istragama i sprečavanju nesreća i nezgoda u civilnom zrakoplovstvu i stavljanju izvan snage Direktive 94/56/EZ (SL L 295, 12. 11. 2010., str. 35.).</w:t>
      </w:r>
    </w:p>
    <w:p w14:paraId="7A3DB153" w14:textId="77777777" w:rsidR="001F53EF" w:rsidRPr="001F53EF" w:rsidRDefault="001F53EF" w:rsidP="001F53EF">
      <w:pPr>
        <w:numPr>
          <w:ilvl w:val="0"/>
          <w:numId w:val="35"/>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Sigurnosni zahtjevi u sektoru cestovnog prometa, kako su uređeni:</w:t>
      </w:r>
    </w:p>
    <w:p w14:paraId="2BC8AB4C" w14:textId="77777777" w:rsidR="001F53EF" w:rsidRPr="001F53EF" w:rsidRDefault="001F53EF" w:rsidP="001F53EF">
      <w:pPr>
        <w:numPr>
          <w:ilvl w:val="0"/>
          <w:numId w:val="12"/>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2008/96/EZ Europskog parlamenta i Vijeća od 19. studenoga 2008. o upravljanju sigurnošću cestovne infrastrukture (SL L 319, 29. 11. 2008., str. 59.)</w:t>
      </w:r>
    </w:p>
    <w:p w14:paraId="4C605D0C" w14:textId="77777777" w:rsidR="001F53EF" w:rsidRPr="001F53EF" w:rsidRDefault="001F53EF" w:rsidP="001F53EF">
      <w:pPr>
        <w:numPr>
          <w:ilvl w:val="0"/>
          <w:numId w:val="12"/>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2004/54/EZ Europskog parlamenta i Vijeća od 29. travnja 2004. o minimalnim sigurnosnim zahtjevima za tunele u transeuropskoj cestovnoj mreži (SL L 167, 30. 4. 2004., str. 39.)</w:t>
      </w:r>
    </w:p>
    <w:p w14:paraId="27DE786B" w14:textId="77777777" w:rsidR="001F53EF" w:rsidRPr="001F53EF" w:rsidRDefault="001F53EF" w:rsidP="001F53EF">
      <w:pPr>
        <w:numPr>
          <w:ilvl w:val="0"/>
          <w:numId w:val="12"/>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(EZ) br. 1071/2009 Europskog parlamenta i Vijeća od 21. listopada 2009. o uspostavljanju zajedničkih pravila koja se tiču uvjeta za obavljanje djelatnosti cestovnog prijevoznika te stavljanju izvan snage Direktive Vijeća 96/26/EZ, (SL L 300, 14. 11. 2009., str. 51.).</w:t>
      </w:r>
    </w:p>
    <w:p w14:paraId="1CBE594B" w14:textId="77777777" w:rsidR="001F53EF" w:rsidRPr="001F53EF" w:rsidRDefault="001F53EF" w:rsidP="001F53EF">
      <w:pPr>
        <w:numPr>
          <w:ilvl w:val="0"/>
          <w:numId w:val="35"/>
        </w:numPr>
        <w:shd w:val="clear" w:color="auto" w:fill="FFFFFF"/>
        <w:spacing w:after="48" w:line="240" w:lineRule="auto"/>
        <w:ind w:left="567" w:firstLine="142"/>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Sigurnosni zahtjevi u sektoru pomorskog prometa, kako su uređeni:</w:t>
      </w:r>
    </w:p>
    <w:p w14:paraId="4D746378" w14:textId="77777777" w:rsidR="001F53EF" w:rsidRPr="001F53EF" w:rsidRDefault="001F53EF" w:rsidP="001F53EF">
      <w:pPr>
        <w:numPr>
          <w:ilvl w:val="0"/>
          <w:numId w:val="1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(EZ) br. 391/2009 Europskog parlamenta i Vijeća od 23. travnja 2009. o zajedničkim pravilima i normama za organizacije koje obavljaju pregled i nadzor brodova (SL L 131, 28. 5. 2009., str. 11.)</w:t>
      </w:r>
    </w:p>
    <w:p w14:paraId="0518C88A" w14:textId="77777777" w:rsidR="001F53EF" w:rsidRPr="001F53EF" w:rsidRDefault="001F53EF" w:rsidP="001F53EF">
      <w:pPr>
        <w:numPr>
          <w:ilvl w:val="0"/>
          <w:numId w:val="1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(EZ) br. 392/2009 Europskog parlamenta i Vijeća od 23. travnja 2009. o odgovornosti prijevoznika u prijevozu putnika morem u slučaju nesreća (SL L 131, 28. 5. 2009., str. 24.)</w:t>
      </w:r>
    </w:p>
    <w:p w14:paraId="22D216B9" w14:textId="77777777" w:rsidR="001F53EF" w:rsidRPr="001F53EF" w:rsidRDefault="001F53EF" w:rsidP="001F53EF">
      <w:pPr>
        <w:numPr>
          <w:ilvl w:val="0"/>
          <w:numId w:val="1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Direktivom 2014/90/EU Europskog parlamenta i Vijeća od 23. srpnja 2014. o pomorskoj opremi i stavljanju izvan snage Direktive Vijeća 96/98/EZ (SL L 257, 28. 8. 2014., str. 146.)</w:t>
      </w:r>
    </w:p>
    <w:p w14:paraId="70BE80B6" w14:textId="77777777" w:rsidR="001F53EF" w:rsidRPr="001F53EF" w:rsidRDefault="001F53EF" w:rsidP="001F53EF">
      <w:pPr>
        <w:numPr>
          <w:ilvl w:val="0"/>
          <w:numId w:val="1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2009/18/EZ Europskog parlamenta i Vijeća od 23. travnja 2009. o određivanju temeljnih načela o istraživanju nesreća u području pomorskog prometa i o izmjeni Direktive Vijeća 1999/35/EZ i Direktive 2002/59/EZ Europskog parlamenta i Vijeća (SL L 131, 28. 5. 2009., str. 114.)</w:t>
      </w:r>
    </w:p>
    <w:p w14:paraId="575CA739" w14:textId="77777777" w:rsidR="001F53EF" w:rsidRPr="001F53EF" w:rsidRDefault="001F53EF" w:rsidP="001F53EF">
      <w:pPr>
        <w:numPr>
          <w:ilvl w:val="0"/>
          <w:numId w:val="1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2008/106/EZ Europskog parlamenta i Vijeća od 19. studenoga 2008. o minimalnoj razini osposobljavanja pomoraca (SL L 323, 3. 12. 2008., str. 33.)</w:t>
      </w:r>
    </w:p>
    <w:p w14:paraId="18881F22" w14:textId="77777777" w:rsidR="001F53EF" w:rsidRPr="001F53EF" w:rsidRDefault="001F53EF" w:rsidP="001F53EF">
      <w:pPr>
        <w:numPr>
          <w:ilvl w:val="0"/>
          <w:numId w:val="1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Vijeća 98/41/EZ od 18. lipnja 1998. o upisu osoba koje putuju putničkim brodovima koji plove prema lukama ili iz luka država članica Zajednice (SL L 188, 2. 7. 1998., str. 35.)</w:t>
      </w:r>
    </w:p>
    <w:p w14:paraId="391F24A2" w14:textId="77777777" w:rsidR="001F53EF" w:rsidRPr="001F53EF" w:rsidRDefault="001F53EF" w:rsidP="001F53EF">
      <w:pPr>
        <w:numPr>
          <w:ilvl w:val="0"/>
          <w:numId w:val="1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2001/96/EZ Europskog parlamenta i Vijeća od 4. prosinca 2001. o utvrđivanju usklađenih zahtjeva i postupaka za siguran ukrcaj i iskrcaj brodova za rasuti teret (SL L 13, 16. 1. 2002., str. 9.).</w:t>
      </w:r>
    </w:p>
    <w:p w14:paraId="7ACD270D" w14:textId="77777777" w:rsidR="001F53EF" w:rsidRPr="001F53EF" w:rsidRDefault="001F53EF" w:rsidP="001F53EF">
      <w:pPr>
        <w:numPr>
          <w:ilvl w:val="0"/>
          <w:numId w:val="35"/>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Sigurnosni zahtjevi, kako su uređeni Direktivom 2008/68/EZ Europskog parlamenta i Vijeća od 24. rujna 2008. o kopnenom prijevozu opasnih tvari (SL L 260, 30. 9. 2008., str. 13.).</w:t>
      </w:r>
    </w:p>
    <w:p w14:paraId="2B601383"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p>
    <w:p w14:paraId="1FD950C0" w14:textId="77777777" w:rsidR="001F53EF" w:rsidRPr="001F53EF" w:rsidRDefault="001F53EF" w:rsidP="001F53E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E.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5. ovoga Zakona (zaštita okoliša):</w:t>
      </w:r>
    </w:p>
    <w:p w14:paraId="6EFB8627" w14:textId="77777777" w:rsidR="001F53EF" w:rsidRPr="001F53EF" w:rsidRDefault="001F53EF" w:rsidP="001F53EF">
      <w:pPr>
        <w:numPr>
          <w:ilvl w:val="0"/>
          <w:numId w:val="30"/>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Svako kazneno djelo protiv zaštite okoliša kako je uređeno Direktivom 2008/99/EZ Europskog parlamenta i Vijeća od 19. studenoga 2008. o zaštiti okoliša putem kaznenog prava (SL L 328, 6. 12. 2008., str. 28.) ili bilo kakvo nezakonito ponašanje kojim se krši zakonodavstvo iz prilogâ Direktivi 2008/99/EZ.</w:t>
      </w:r>
    </w:p>
    <w:p w14:paraId="42566D0B" w14:textId="77777777" w:rsidR="001F53EF" w:rsidRPr="001F53EF" w:rsidRDefault="001F53EF" w:rsidP="001F53EF">
      <w:pPr>
        <w:numPr>
          <w:ilvl w:val="0"/>
          <w:numId w:val="30"/>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Pravila o okolišu i klimi, kako su utvrđena:</w:t>
      </w:r>
    </w:p>
    <w:p w14:paraId="08A227F9" w14:textId="77777777" w:rsidR="001F53EF" w:rsidRPr="001F53EF" w:rsidRDefault="001F53EF" w:rsidP="001F53EF">
      <w:pPr>
        <w:numPr>
          <w:ilvl w:val="0"/>
          <w:numId w:val="14"/>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2003/87/EZ Europskog parlamenta i Vijeća od 13. listopada 2003. o uspostavi sustava trgovanja emisijskim jedinicama stakleničkih plinova unutar Zajednice i o izmjeni Direktive Vijeća 96/61/EZ (SL L 275, 25. 10. 2003., str. 32.)</w:t>
      </w:r>
    </w:p>
    <w:p w14:paraId="4FE4414A" w14:textId="77777777" w:rsidR="001F53EF" w:rsidRPr="001F53EF" w:rsidRDefault="001F53EF" w:rsidP="001F53EF">
      <w:pPr>
        <w:numPr>
          <w:ilvl w:val="0"/>
          <w:numId w:val="14"/>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2009/28/EZ Europskog parlamenta i Vijeća od 23. travnja 2009. o promicanju uporabe energije iz obnovljivih izvora te o izmjeni i kasnijem stavljanju izvan snage direktiva 2001/77/EZ i 2003/30/EZ (SL L 140, 5. 6. 2009., str. 16.)</w:t>
      </w:r>
    </w:p>
    <w:p w14:paraId="02A998D1" w14:textId="77777777" w:rsidR="001F53EF" w:rsidRPr="001F53EF" w:rsidRDefault="001F53EF" w:rsidP="001F53EF">
      <w:pPr>
        <w:numPr>
          <w:ilvl w:val="0"/>
          <w:numId w:val="14"/>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2012/27/EU Europskog parlamenta i Vijeća od 25. listopada 2012. o energetskoj učinkovitosti, izmjeni direktiva 2009/125/EZ i 2010/30/EU i stavljanju izvan snage direktiva 2004/8/EZ i 2006/32/EZ (SL L 315, 14. 11. 2012., str. 1.)</w:t>
      </w:r>
    </w:p>
    <w:p w14:paraId="3F5830BD" w14:textId="77777777" w:rsidR="001F53EF" w:rsidRPr="001F53EF" w:rsidRDefault="001F53EF" w:rsidP="001F53EF">
      <w:pPr>
        <w:numPr>
          <w:ilvl w:val="0"/>
          <w:numId w:val="14"/>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525/2013 Europskog parlamenta i Vijeća od 21. svibnja 2013. o mehanizmu za praćenje i izvješćivanje o emisijama stakleničkih plinova i za izvješćivanje o drugim informacijama u vezi s klimatskim promjenama na nacionalnoj razini i razini Unije te stavljanju izvan snage Odluke br. 280/2004/EZ (SL L 165, 18. 6. 2013., str. 13.)</w:t>
      </w:r>
    </w:p>
    <w:p w14:paraId="35529FF3" w14:textId="77777777" w:rsidR="001F53EF" w:rsidRPr="001F53EF" w:rsidRDefault="001F53EF" w:rsidP="001F53EF">
      <w:pPr>
        <w:numPr>
          <w:ilvl w:val="0"/>
          <w:numId w:val="14"/>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(EU) 2018/2001 Europskog parlamenta i Vijeća od 11. prosinca 2018. o promicanju uporabe energije iz obnovljivih izvora (SL L 328, 21. 12. 2018., str. 82.).</w:t>
      </w:r>
    </w:p>
    <w:p w14:paraId="3DCEFD3A" w14:textId="77777777" w:rsidR="001F53EF" w:rsidRPr="001F53EF" w:rsidRDefault="001F53EF" w:rsidP="001F53EF">
      <w:pPr>
        <w:numPr>
          <w:ilvl w:val="0"/>
          <w:numId w:val="14"/>
        </w:numPr>
        <w:shd w:val="clear" w:color="auto" w:fill="FFFFFF"/>
        <w:spacing w:before="100" w:beforeAutospacing="1" w:after="48" w:afterAutospacing="1"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Uredba (EU) 2024/573 Europskog parlamenta i Vijeća od 7. veljače 2024. o </w:t>
      </w:r>
      <w:proofErr w:type="spellStart"/>
      <w:r w:rsidRPr="001F53EF">
        <w:rPr>
          <w:rFonts w:ascii="Times New Roman" w:eastAsia="Times New Roman" w:hAnsi="Times New Roman" w:cs="Times New Roman"/>
          <w:color w:val="000000" w:themeColor="text1"/>
          <w:kern w:val="0"/>
          <w:lang w:eastAsia="hr-HR"/>
          <w14:ligatures w14:val="none"/>
        </w:rPr>
        <w:t>fluoriranim</w:t>
      </w:r>
      <w:proofErr w:type="spellEnd"/>
      <w:r w:rsidRPr="001F53EF">
        <w:rPr>
          <w:rFonts w:ascii="Times New Roman" w:eastAsia="Times New Roman" w:hAnsi="Times New Roman" w:cs="Times New Roman"/>
          <w:color w:val="000000" w:themeColor="text1"/>
          <w:kern w:val="0"/>
          <w:lang w:eastAsia="hr-HR"/>
          <w14:ligatures w14:val="none"/>
        </w:rPr>
        <w:t xml:space="preserve"> stakleničkim plinovima, izmjeni Direktive (EU) 2019/1937 i stavljanju izvan snage Uredbe (EU) br. 517/2014 (SL L, 2024/573).</w:t>
      </w:r>
    </w:p>
    <w:p w14:paraId="48D56CA4" w14:textId="77777777" w:rsidR="001F53EF" w:rsidRPr="001F53EF" w:rsidRDefault="001F53EF" w:rsidP="001F53EF">
      <w:pPr>
        <w:numPr>
          <w:ilvl w:val="0"/>
          <w:numId w:val="14"/>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Direktiva (EU) 2024/1760 Europskog parlamenta i Vijeća od 13. lipnja 2024. o dužnoj pažnji za održivo poslovanje i izmjeni Direktive (EU) 2019/1937 te Uredbe (EU) 2023/2859 (SL L, 2024/1760,).</w:t>
      </w:r>
    </w:p>
    <w:p w14:paraId="3EB5AFDD" w14:textId="77777777" w:rsidR="001F53EF" w:rsidRPr="001F53EF" w:rsidRDefault="001F53EF" w:rsidP="001F53EF">
      <w:pPr>
        <w:numPr>
          <w:ilvl w:val="0"/>
          <w:numId w:val="30"/>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Pravila o održivom razvoju i gospodarenju otpadom, kako su utvrđena:</w:t>
      </w:r>
    </w:p>
    <w:p w14:paraId="5B28746B" w14:textId="77777777" w:rsidR="001F53EF" w:rsidRPr="001F53EF" w:rsidRDefault="001F53EF" w:rsidP="001F53EF">
      <w:pPr>
        <w:numPr>
          <w:ilvl w:val="0"/>
          <w:numId w:val="15"/>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2008/98/EZ Europskog parlamenta i Vijeća od 19. studenoga 2008. o otpadu i stavljanju izvan snage određenih direktiva (SL L 312, 22. 11. 2008., str. 3.)</w:t>
      </w:r>
    </w:p>
    <w:p w14:paraId="3A07237C" w14:textId="77777777" w:rsidR="001F53EF" w:rsidRPr="001F53EF" w:rsidRDefault="001F53EF" w:rsidP="001F53EF">
      <w:pPr>
        <w:numPr>
          <w:ilvl w:val="0"/>
          <w:numId w:val="15"/>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1257/2013 Europskog parlamenta i Vijeća od 20. studenoga 2013. o recikliranju brodova i o izmjeni Uredbe (EZ) br. 1013/2006 i Direktive 2009/16/EZ (SL L 330, 10. 12. 2013., str. 1.)</w:t>
      </w:r>
    </w:p>
    <w:p w14:paraId="3EE91421" w14:textId="77777777" w:rsidR="001F53EF" w:rsidRPr="001F53EF" w:rsidRDefault="001F53EF" w:rsidP="001F53EF">
      <w:pPr>
        <w:numPr>
          <w:ilvl w:val="0"/>
          <w:numId w:val="15"/>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649/2012 Europskog parlamenta i Vijeća od 4. srpnja 2012. o izvozu i uvozu opasnih kemikalija (SL L 201, 27. 7. 2012., str. 60.).</w:t>
      </w:r>
    </w:p>
    <w:p w14:paraId="0EB605CA" w14:textId="77777777" w:rsidR="001F53EF" w:rsidRPr="001F53EF" w:rsidRDefault="001F53EF" w:rsidP="001F53EF">
      <w:pPr>
        <w:numPr>
          <w:ilvl w:val="0"/>
          <w:numId w:val="30"/>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Pravila o onečišćenju mora i zraka te onečišćenju bukom, kako su utvrđena:</w:t>
      </w:r>
    </w:p>
    <w:p w14:paraId="7808DB04"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1999/94/EZ Europskog parlamenta i Vijeća od 13. prosinca 1999. o dostupnosti podataka za potrošače o ekonomičnosti potrošnje goriva i emisijama CO2 u vezi s prodajom novih osobnih automobila (SL L 12, 18. 1. 2000., str. 16.)</w:t>
      </w:r>
    </w:p>
    <w:p w14:paraId="06C710FB"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2001/81/EZ Europskog parlamenta i Vijeća od 23. listopada 2001. o nacionalnim gornjim granicama emisije za određene onečišćujuće tvari (SL L 309, 27. 11. 2001., str. 22.)</w:t>
      </w:r>
    </w:p>
    <w:p w14:paraId="1DE32FA6"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2002/49/EZ Europskog parlamenta i Vijeća od 25. lipnja 2002. o procjeni i upravljanju bukom iz okoliša (SL L 189, 18. 7. 2002., str. 12.)</w:t>
      </w:r>
    </w:p>
    <w:p w14:paraId="2FA7AB34"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Uredbom (EZ) br. 782/2003 Europskog parlamenta i Vijeća od 14. travnja 2003. o zabrani </w:t>
      </w:r>
      <w:proofErr w:type="spellStart"/>
      <w:r w:rsidRPr="001F53EF">
        <w:rPr>
          <w:rFonts w:ascii="Times New Roman" w:eastAsia="Times New Roman" w:hAnsi="Times New Roman" w:cs="Times New Roman"/>
          <w:color w:val="000000" w:themeColor="text1"/>
          <w:kern w:val="0"/>
          <w:lang w:eastAsia="hr-HR"/>
          <w14:ligatures w14:val="none"/>
        </w:rPr>
        <w:t>organokositrenih</w:t>
      </w:r>
      <w:proofErr w:type="spellEnd"/>
      <w:r w:rsidRPr="001F53EF">
        <w:rPr>
          <w:rFonts w:ascii="Times New Roman" w:eastAsia="Times New Roman" w:hAnsi="Times New Roman" w:cs="Times New Roman"/>
          <w:color w:val="000000" w:themeColor="text1"/>
          <w:kern w:val="0"/>
          <w:lang w:eastAsia="hr-HR"/>
          <w14:ligatures w14:val="none"/>
        </w:rPr>
        <w:t xml:space="preserve"> spojeva na brodovima (SL L 115, 9. 5. 2003., str. 1.)</w:t>
      </w:r>
    </w:p>
    <w:p w14:paraId="4E5FB0B3"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2004/35/EZ Europskog parlamenta i Vijeća od 21. travnja 2004. o odgovornosti za okoliš u pogledu sprečavanja i otklanjanja štete u okolišu (SL L 143, 30. 4. 2004., str. 56.)</w:t>
      </w:r>
    </w:p>
    <w:p w14:paraId="480A8F74"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2005/35/EZ Europskog parlamenta i Vijeća od 7. rujna 2005. o onečišćenju s brodova i uvođenju sankcija za kršenja (SL L 255, 30. 9. 2005., str. 11.)</w:t>
      </w:r>
    </w:p>
    <w:p w14:paraId="582E3978"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(EZ) br. 166/2006 Europskog parlamenta i Vijeća od 18. siječnja 2006. o uspostavi Europskog registra ispuštanja i prijenosa onečišćujućih tvari i o izmjeni i dopuni direktiva Vijeća 91/689/EEZ i 96/61/EZ (SL L 33, 4. 2. 2006., str. 1.)</w:t>
      </w:r>
    </w:p>
    <w:p w14:paraId="005F92C1"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2009/33/EZ Europskog parlamenta i Vijeća od 23. travnja 2009. o promicanju čistih i energetski učinkovitih vozila u cestovnom prijevozu (SL L 120, 15. 5. 2009., str. 5.)</w:t>
      </w:r>
    </w:p>
    <w:p w14:paraId="6D8DA7A3"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(EZ) br. 443/2009 Europskog parlamenta i Vijeća od 23. travnja 2009. o utvrđivanju standardnih vrijednosti emisija za nove osobne automobile u okviru integriranog pristupa Zajednice smanjenju emisija CO2 iz lakih vozila (SL L 140, 5. 6. 2009., str. 1.)</w:t>
      </w:r>
    </w:p>
    <w:p w14:paraId="6E651AE4"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(EZ) br. 1005/2009 Europskog parlamenta i Vijeća od 16. rujna 2009. o tvarima koje oštećuju ozonski sloj (SL L 286, 31. 10. 2009., str. 1.)</w:t>
      </w:r>
    </w:p>
    <w:p w14:paraId="37C57CAA"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2009/126/EZ Europskog parlamenta i Vijeća od 21. listopada 2009. o fazi II. rekuperacije benzinskih para tijekom punjenja motornih vozila gorivom na benzinskim postajama (SL L 285, 31. 10. 2009., str. 36.)</w:t>
      </w:r>
    </w:p>
    <w:p w14:paraId="2E4C4586"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Uredbom (EU) br. 510/2011 Europskog parlamenta i Vijeća od 11. svibnja 2011. o utvrđivanju standardnih vrijednosti emisija za nova laka gospodarska vozila kao </w:t>
      </w:r>
      <w:r w:rsidRPr="001F53EF">
        <w:rPr>
          <w:rFonts w:ascii="Times New Roman" w:eastAsia="Times New Roman" w:hAnsi="Times New Roman" w:cs="Times New Roman"/>
          <w:color w:val="000000" w:themeColor="text1"/>
          <w:kern w:val="0"/>
          <w:lang w:eastAsia="hr-HR"/>
          <w14:ligatures w14:val="none"/>
        </w:rPr>
        <w:lastRenderedPageBreak/>
        <w:t>dio integriranog pristupa Unije s ciljem smanjivanja emisija CO2 iz osobnih i lakih gospodarskih vozila (SL L 145, 31. 5. 2011., str. 1)</w:t>
      </w:r>
    </w:p>
    <w:p w14:paraId="3F13EF42"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2014/94/EU Europskog parlamenta i Vijeća od 22. listopada 2014. o uspostavi infrastrukture za alternativna goriva (SL L 307, 28. 10. 2014., str. 1.)</w:t>
      </w:r>
    </w:p>
    <w:p w14:paraId="7ACE9F0C"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2015/757 Europskog parlamenta i Vijeća od 29. travnja 2015. o praćenju emisija ugljikova dioksida iz pomorskog prometa, izvješćivanju o njima i njihovoj verifikaciji te o izmjeni Direktive 2009/16/EZ (SL L 123, 19. 5. 2015., str. 55.)</w:t>
      </w:r>
    </w:p>
    <w:p w14:paraId="63B89B06" w14:textId="77777777" w:rsidR="001F53EF" w:rsidRPr="001F53EF" w:rsidRDefault="001F53EF" w:rsidP="001F53EF">
      <w:pPr>
        <w:numPr>
          <w:ilvl w:val="0"/>
          <w:numId w:val="1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(EU) 2015/2193 Europskog parlamenta i Vijeća od 25. studenoga 2015. o ograničenju emisija određenih onečišćujućih tvari u zrak iz srednjih uređaja za loženje (SL L 313, 28. 11. 2015., str. 1.).</w:t>
      </w:r>
    </w:p>
    <w:p w14:paraId="3C202533" w14:textId="77777777" w:rsidR="001F53EF" w:rsidRPr="001F53EF" w:rsidRDefault="001F53EF" w:rsidP="001F53EF">
      <w:pPr>
        <w:numPr>
          <w:ilvl w:val="0"/>
          <w:numId w:val="30"/>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Pravila o zaštiti voda i tla i gospodarenju njima, kako su utvrđena:</w:t>
      </w:r>
    </w:p>
    <w:p w14:paraId="383FDE35" w14:textId="77777777" w:rsidR="001F53EF" w:rsidRPr="001F53EF" w:rsidRDefault="001F53EF" w:rsidP="001F53EF">
      <w:pPr>
        <w:numPr>
          <w:ilvl w:val="0"/>
          <w:numId w:val="17"/>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2007/60/EZ Europskog parlamenta i Vijeća od 23. listopada 2007. o procjeni i upravljanju rizicima od poplava (SL L 288, 6. 11. 2007., str. 27.)</w:t>
      </w:r>
    </w:p>
    <w:p w14:paraId="053C7871" w14:textId="77777777" w:rsidR="001F53EF" w:rsidRPr="001F53EF" w:rsidRDefault="001F53EF" w:rsidP="001F53EF">
      <w:pPr>
        <w:numPr>
          <w:ilvl w:val="0"/>
          <w:numId w:val="17"/>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2008/105/EZ Europskog parlamenta i Vijeća od 16. prosinca 2008. o standardima kvalitete okoliša u području vodne politike i o izmjeni i kasnijem stavljanju izvan snage direktiva Vijeća 82/176/EEZ, 83/513/EEZ, 84/156/EEZ, 84/491/EEZ, 86/280/EEZ i izmjeni Direktive 2000/60/EZ Europskog parlamenta i Vijeća (SL L 348, 24. 12. 2008., str. 84.)</w:t>
      </w:r>
    </w:p>
    <w:p w14:paraId="7BE52AB7" w14:textId="77777777" w:rsidR="001F53EF" w:rsidRPr="001F53EF" w:rsidRDefault="001F53EF" w:rsidP="001F53EF">
      <w:pPr>
        <w:numPr>
          <w:ilvl w:val="0"/>
          <w:numId w:val="17"/>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2011/92/EU Europskog parlamenta i Vijeća od 13. prosinca 2011. o procjeni učinaka određenih javnih i privatnih projekata na okoliš (SL L 26, 28. 1. 2012., str. 1.).</w:t>
      </w:r>
    </w:p>
    <w:p w14:paraId="21A49A01" w14:textId="77777777" w:rsidR="001F53EF" w:rsidRPr="001F53EF" w:rsidRDefault="001F53EF" w:rsidP="001F53EF">
      <w:pPr>
        <w:numPr>
          <w:ilvl w:val="0"/>
          <w:numId w:val="30"/>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Pravila o zaštiti prirode i biološke raznolikosti, kako su utvrđena:</w:t>
      </w:r>
    </w:p>
    <w:p w14:paraId="42B4E504" w14:textId="77777777" w:rsidR="001F53EF" w:rsidRPr="001F53EF" w:rsidRDefault="001F53EF" w:rsidP="001F53EF">
      <w:pPr>
        <w:numPr>
          <w:ilvl w:val="0"/>
          <w:numId w:val="18"/>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Uredbom Vijeća (EZ) br. 1936/2001 od 27. rujna 2001. o utvrđivanju mjera nadzora ribolova određenih stokova vrlo </w:t>
      </w:r>
      <w:proofErr w:type="spellStart"/>
      <w:r w:rsidRPr="001F53EF">
        <w:rPr>
          <w:rFonts w:ascii="Times New Roman" w:eastAsia="Times New Roman" w:hAnsi="Times New Roman" w:cs="Times New Roman"/>
          <w:color w:val="000000" w:themeColor="text1"/>
          <w:kern w:val="0"/>
          <w:lang w:eastAsia="hr-HR"/>
          <w14:ligatures w14:val="none"/>
        </w:rPr>
        <w:t>migratornih</w:t>
      </w:r>
      <w:proofErr w:type="spellEnd"/>
      <w:r w:rsidRPr="001F53EF">
        <w:rPr>
          <w:rFonts w:ascii="Times New Roman" w:eastAsia="Times New Roman" w:hAnsi="Times New Roman" w:cs="Times New Roman"/>
          <w:color w:val="000000" w:themeColor="text1"/>
          <w:kern w:val="0"/>
          <w:lang w:eastAsia="hr-HR"/>
          <w14:ligatures w14:val="none"/>
        </w:rPr>
        <w:t xml:space="preserve"> riba (SL L 263, 3. 10. 2001., str. 1.)</w:t>
      </w:r>
    </w:p>
    <w:p w14:paraId="30C29D53" w14:textId="77777777" w:rsidR="001F53EF" w:rsidRPr="001F53EF" w:rsidRDefault="001F53EF" w:rsidP="001F53EF">
      <w:pPr>
        <w:numPr>
          <w:ilvl w:val="0"/>
          <w:numId w:val="18"/>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Vijeća (EZ) br. 812/2004 od 26. travnja 2004. o utvrđivanju mjera koje se odnose na slučajni ulov kitova i dupina pri ribolovu i o izmjeni Uredbe (EZ) br. 88/98 (SL L 150, 30. 4. 2004., str. 12.)</w:t>
      </w:r>
    </w:p>
    <w:p w14:paraId="351A4EF2" w14:textId="77777777" w:rsidR="001F53EF" w:rsidRPr="001F53EF" w:rsidRDefault="001F53EF" w:rsidP="001F53EF">
      <w:pPr>
        <w:numPr>
          <w:ilvl w:val="0"/>
          <w:numId w:val="18"/>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(EZ) br. 1007/2009 Europskog parlamenta i Vijeća od 16. rujna 2009. o trgovini proizvodima od tuljana (SL L 286, 31. 10. 2009., str. 36.)</w:t>
      </w:r>
    </w:p>
    <w:p w14:paraId="4D5372EE" w14:textId="77777777" w:rsidR="001F53EF" w:rsidRPr="001F53EF" w:rsidRDefault="001F53EF" w:rsidP="001F53EF">
      <w:pPr>
        <w:numPr>
          <w:ilvl w:val="0"/>
          <w:numId w:val="18"/>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Uredbom Vijeća (EZ) br. 734/2008 od 15. srpnja 2008. o zaštiti osjetljivih morskih ekosustava na otvorenome moru od štetnih utjecaja alata za </w:t>
      </w:r>
      <w:proofErr w:type="spellStart"/>
      <w:r w:rsidRPr="001F53EF">
        <w:rPr>
          <w:rFonts w:ascii="Times New Roman" w:eastAsia="Times New Roman" w:hAnsi="Times New Roman" w:cs="Times New Roman"/>
          <w:color w:val="000000" w:themeColor="text1"/>
          <w:kern w:val="0"/>
          <w:lang w:eastAsia="hr-HR"/>
          <w14:ligatures w14:val="none"/>
        </w:rPr>
        <w:t>pridneni</w:t>
      </w:r>
      <w:proofErr w:type="spellEnd"/>
      <w:r w:rsidRPr="001F53EF">
        <w:rPr>
          <w:rFonts w:ascii="Times New Roman" w:eastAsia="Times New Roman" w:hAnsi="Times New Roman" w:cs="Times New Roman"/>
          <w:color w:val="000000" w:themeColor="text1"/>
          <w:kern w:val="0"/>
          <w:lang w:eastAsia="hr-HR"/>
          <w14:ligatures w14:val="none"/>
        </w:rPr>
        <w:t xml:space="preserve"> ribolov (SL L 201, 30. 7. 2008., str. 8.)</w:t>
      </w:r>
    </w:p>
    <w:p w14:paraId="156CE636" w14:textId="77777777" w:rsidR="001F53EF" w:rsidRPr="001F53EF" w:rsidRDefault="001F53EF" w:rsidP="001F53EF">
      <w:pPr>
        <w:numPr>
          <w:ilvl w:val="0"/>
          <w:numId w:val="18"/>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2009/147/EZ Europskog parlamenta i Vijeća od 30. studenog 2009. o očuvanju divljih ptica (SL L 20, 26. 1. 2010., str. 7.)</w:t>
      </w:r>
    </w:p>
    <w:p w14:paraId="0DC85F9D" w14:textId="77777777" w:rsidR="001F53EF" w:rsidRPr="001F53EF" w:rsidRDefault="001F53EF" w:rsidP="001F53EF">
      <w:pPr>
        <w:numPr>
          <w:ilvl w:val="0"/>
          <w:numId w:val="18"/>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995/2010 Europskog parlamenta i Vijeća od 20. listopada 2010. o utvrđivanju obveza gospodarskih subjekata koji stavljaju u promet drvo i proizvode od drva (SL L 295, 12. 11. 2010., str. 23.)</w:t>
      </w:r>
    </w:p>
    <w:p w14:paraId="5B08D423" w14:textId="77777777" w:rsidR="001F53EF" w:rsidRPr="001F53EF" w:rsidRDefault="001F53EF" w:rsidP="001F53EF">
      <w:pPr>
        <w:numPr>
          <w:ilvl w:val="0"/>
          <w:numId w:val="18"/>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1143/2014 Europskog parlamenta i Vijeća od 22. listopada 2014. o sprječavanju i upravljanju unošenja i širenja invazivnih stranih vrsta (SL L 317, 4. 11. 2014., str. 35.).</w:t>
      </w:r>
    </w:p>
    <w:p w14:paraId="7CBF3534" w14:textId="77777777" w:rsidR="001F53EF" w:rsidRPr="001F53EF" w:rsidRDefault="001F53EF" w:rsidP="001F53EF">
      <w:pPr>
        <w:numPr>
          <w:ilvl w:val="0"/>
          <w:numId w:val="30"/>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Pravila o kemijskim tvarima, kako su utvrđena Uredbom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w:t>
      </w:r>
      <w:r w:rsidRPr="001F53EF">
        <w:rPr>
          <w:rFonts w:ascii="Times New Roman" w:eastAsia="Times New Roman" w:hAnsi="Times New Roman" w:cs="Times New Roman"/>
          <w:color w:val="000000" w:themeColor="text1"/>
          <w:kern w:val="0"/>
          <w:lang w:eastAsia="hr-HR"/>
          <w14:ligatures w14:val="none"/>
        </w:rPr>
        <w:lastRenderedPageBreak/>
        <w:t>Komisije 91/155/EEZ, 93/67/EEZ, 93/105/EZ i 2000/21/EZ (SL L 396, 30. 12. 2006., str. 1.).</w:t>
      </w:r>
    </w:p>
    <w:p w14:paraId="4E68FAB6" w14:textId="77777777" w:rsidR="001F53EF" w:rsidRPr="001F53EF" w:rsidRDefault="001F53EF" w:rsidP="001F53EF">
      <w:pPr>
        <w:numPr>
          <w:ilvl w:val="0"/>
          <w:numId w:val="30"/>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Pravila o ekološkim proizvodima, kako su utvrđena Uredbom (EU) 2018/848 Europskog parlamenta i Vijeća od 30. svibnja 2018. o ekološkoj proizvodnji i označivanju ekoloških proizvoda te stavljanju izvan snage Uredbe Vijeća (EZ) br. 834/2007 (SL L 150, 14. 6. 2018., str. 1.).</w:t>
      </w:r>
    </w:p>
    <w:p w14:paraId="2C66E478" w14:textId="77777777" w:rsidR="001F53EF" w:rsidRPr="001F53EF" w:rsidRDefault="001F53EF" w:rsidP="001F53EF">
      <w:pPr>
        <w:shd w:val="clear" w:color="auto" w:fill="FFFFFF"/>
        <w:spacing w:after="48" w:line="240" w:lineRule="auto"/>
        <w:ind w:left="768"/>
        <w:jc w:val="both"/>
        <w:textAlignment w:val="baseline"/>
        <w:rPr>
          <w:rFonts w:ascii="Times New Roman" w:eastAsia="Times New Roman" w:hAnsi="Times New Roman" w:cs="Times New Roman"/>
          <w:color w:val="000000" w:themeColor="text1"/>
          <w:kern w:val="0"/>
          <w:lang w:eastAsia="hr-HR"/>
          <w14:ligatures w14:val="none"/>
        </w:rPr>
      </w:pPr>
    </w:p>
    <w:p w14:paraId="0257ACF5" w14:textId="77777777" w:rsidR="001F53EF" w:rsidRPr="001F53EF" w:rsidRDefault="001F53EF" w:rsidP="001F53E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F.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6. ovoga Zakona (zaštita od zračenja i nuklearna sigurnost):</w:t>
      </w:r>
    </w:p>
    <w:p w14:paraId="7892F2EA" w14:textId="77777777" w:rsidR="001F53EF" w:rsidRPr="001F53EF" w:rsidRDefault="001F53EF" w:rsidP="001F53EF">
      <w:p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Pravila o nuklearnoj sigurnosti, kako su utvrđena:</w:t>
      </w:r>
    </w:p>
    <w:p w14:paraId="387DF8E4" w14:textId="77777777" w:rsidR="001F53EF" w:rsidRPr="001F53EF" w:rsidRDefault="001F53EF" w:rsidP="001F53EF">
      <w:pPr>
        <w:numPr>
          <w:ilvl w:val="0"/>
          <w:numId w:val="1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Vijeća 2009/71/Euratom od 25. lipnja 2009. o uspostavi okvira Zajednice za nuklearnu sigurnost nuklearnih postrojenja (SL L 172, 2. 7. 2009., str. 18.)</w:t>
      </w:r>
    </w:p>
    <w:p w14:paraId="53C21360" w14:textId="77777777" w:rsidR="001F53EF" w:rsidRPr="001F53EF" w:rsidRDefault="001F53EF" w:rsidP="001F53EF">
      <w:pPr>
        <w:numPr>
          <w:ilvl w:val="0"/>
          <w:numId w:val="1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Vijeća 2013/51/Euratom od 22. listopada 2013. o utvrđivanju zahtjeva za zaštitu zdravlja stanovništva od radioaktivnih tvari u vodi namijenjenoj za ljudsku potrošnju (SL L 296, 7. 11. 2013., str. 12.)</w:t>
      </w:r>
    </w:p>
    <w:p w14:paraId="576E2DD4" w14:textId="77777777" w:rsidR="001F53EF" w:rsidRPr="001F53EF" w:rsidRDefault="001F53EF" w:rsidP="001F53EF">
      <w:pPr>
        <w:numPr>
          <w:ilvl w:val="0"/>
          <w:numId w:val="1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Vijeća 2013/59/Euratom od 5. prosinca 2013. o osnovnim sigurnosnim standardima za zaštitu od opasnosti koje potječu od izloženosti ionizirajućem zračenju, i o stavljanju izvan snage direktiva 89/618/Euratom, 90/641/Euratom, 96/29/Euratom, 97/43/Euratom i 2003/122/Euratom (SL L 13, 17. 1. 2014., str. 1.)</w:t>
      </w:r>
    </w:p>
    <w:p w14:paraId="38E103B2" w14:textId="77777777" w:rsidR="001F53EF" w:rsidRPr="001F53EF" w:rsidRDefault="001F53EF" w:rsidP="001F53EF">
      <w:pPr>
        <w:numPr>
          <w:ilvl w:val="0"/>
          <w:numId w:val="1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Vijeća 2011/70/Euratom od 19. srpnja 2011. o uspostavi okvira Zajednice za odgovorno i sigurno zbrinjavanje istrošenoga goriva i radioaktivnog otpada (SL L 199, 2. 8. 2011., str. 48.)</w:t>
      </w:r>
    </w:p>
    <w:p w14:paraId="2B5789CC" w14:textId="77777777" w:rsidR="001F53EF" w:rsidRPr="001F53EF" w:rsidRDefault="001F53EF" w:rsidP="001F53EF">
      <w:pPr>
        <w:numPr>
          <w:ilvl w:val="0"/>
          <w:numId w:val="1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Vijeća 2006/117/Euratom od 20. studenoga 2006. o nadzoru i kontroli pošiljaka radioaktivnog otpada i istrošenoga goriva (SL L 337, 5. 12. 2006., str. 21.)</w:t>
      </w:r>
    </w:p>
    <w:p w14:paraId="584E318C" w14:textId="77777777" w:rsidR="001F53EF" w:rsidRPr="001F53EF" w:rsidRDefault="001F53EF" w:rsidP="001F53EF">
      <w:pPr>
        <w:numPr>
          <w:ilvl w:val="0"/>
          <w:numId w:val="1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Vijeća (Euratom) 2016/52 od 15. siječnja 2016. o utvrđivanju najviših dopuštenih razina radioaktivnog onečišćenja hrane i hrane za životinje nakon nuklearne nesreće ili bilo kojeg drugog slučaja radiološke opasnosti i o stavljanju izvan snage Uredbe (Euratom) br. 3954/87 i uredaba Komisije (Euratom) br. 944/89 i (Euratom) br. 770/90 (SL L 13, 20. 1. 2016., str. 2.)</w:t>
      </w:r>
    </w:p>
    <w:p w14:paraId="4ACFAAEA" w14:textId="77777777" w:rsidR="001F53EF" w:rsidRPr="001F53EF" w:rsidRDefault="001F53EF" w:rsidP="001F53EF">
      <w:pPr>
        <w:numPr>
          <w:ilvl w:val="0"/>
          <w:numId w:val="19"/>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Vijeća (Euratom) br. 1493/93 od 8. lipnja 1993. o pošiljkama radioaktivnih tvari između država članica (SL L 148, 19. 6. 1993., str. 1.).</w:t>
      </w:r>
    </w:p>
    <w:p w14:paraId="1BDCB1CB" w14:textId="77777777" w:rsidR="001F53EF" w:rsidRPr="001F53EF" w:rsidRDefault="001F53EF" w:rsidP="001F53EF">
      <w:pPr>
        <w:shd w:val="clear" w:color="auto" w:fill="FFFFFF"/>
        <w:spacing w:after="48" w:line="240" w:lineRule="auto"/>
        <w:ind w:left="1128"/>
        <w:jc w:val="both"/>
        <w:textAlignment w:val="baseline"/>
        <w:rPr>
          <w:rFonts w:ascii="Times New Roman" w:eastAsia="Times New Roman" w:hAnsi="Times New Roman" w:cs="Times New Roman"/>
          <w:color w:val="000000" w:themeColor="text1"/>
          <w:kern w:val="0"/>
          <w:lang w:eastAsia="hr-HR"/>
          <w14:ligatures w14:val="none"/>
        </w:rPr>
      </w:pPr>
    </w:p>
    <w:p w14:paraId="7C9D89F7" w14:textId="77777777" w:rsidR="001F53EF" w:rsidRPr="001F53EF" w:rsidRDefault="001F53EF" w:rsidP="001F53E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G.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7. ovoga Zakona  (sigurnost hrane i hrane za životinje, zdravlje i dobrobit životinja):</w:t>
      </w:r>
    </w:p>
    <w:p w14:paraId="42C2C509" w14:textId="77777777" w:rsidR="001F53EF" w:rsidRPr="001F53EF" w:rsidRDefault="001F53EF" w:rsidP="001F53EF">
      <w:pPr>
        <w:numPr>
          <w:ilvl w:val="1"/>
          <w:numId w:val="19"/>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Zakonodavstvo Unije o hrani i hrani za životinje uređeno općim načelima i zahtjevima kako su definirani Uredbom (EZ) br. 178/2002 Europskog parlamenta i Vijeća od 28. siječnja 2002. o utvrđivanju općih načela i uvjeta zakona o hrani, osnivanju Europske agencije za sigurnost hrane te utvrđivanju postupaka u područjima sigurnosti hrane (SL L 31, 1. 2. 2002., str. 1.).</w:t>
      </w:r>
    </w:p>
    <w:p w14:paraId="450DD14C" w14:textId="77777777" w:rsidR="001F53EF" w:rsidRPr="001F53EF" w:rsidRDefault="001F53EF" w:rsidP="001F53EF">
      <w:pPr>
        <w:numPr>
          <w:ilvl w:val="1"/>
          <w:numId w:val="19"/>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Zdravlje životinja, kako je uređeno:</w:t>
      </w:r>
    </w:p>
    <w:p w14:paraId="3E232115" w14:textId="77777777" w:rsidR="001F53EF" w:rsidRPr="001F53EF" w:rsidRDefault="001F53EF" w:rsidP="001F53EF">
      <w:pPr>
        <w:numPr>
          <w:ilvl w:val="0"/>
          <w:numId w:val="20"/>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2016/429 Europskog parlamenta i Vijeća od 9. ožujka 2016. o prenosivim bolestima životinja te o izmjeni i stavljanju izvan snage određenih akata u području zdravlja životinja (»Zakon o zdravlju životinja«) (SL L 84, 31. 3. 2016., str. 1.)</w:t>
      </w:r>
    </w:p>
    <w:p w14:paraId="64B8FF9D" w14:textId="77777777" w:rsidR="001F53EF" w:rsidRPr="001F53EF" w:rsidRDefault="001F53EF" w:rsidP="001F53EF">
      <w:pPr>
        <w:numPr>
          <w:ilvl w:val="0"/>
          <w:numId w:val="20"/>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Uredbom (EZ) br. 1069/2009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podrijetla) (SL L 300, 14. 11. 2009., str. 1.).</w:t>
      </w:r>
    </w:p>
    <w:p w14:paraId="283313D6" w14:textId="77777777" w:rsidR="001F53EF" w:rsidRPr="001F53EF" w:rsidRDefault="001F53EF" w:rsidP="001F53EF">
      <w:pPr>
        <w:numPr>
          <w:ilvl w:val="0"/>
          <w:numId w:val="28"/>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Uredba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(SL L 95, 7. 4. 2017., str. 1.).</w:t>
      </w:r>
    </w:p>
    <w:p w14:paraId="4A8CBE80" w14:textId="77777777" w:rsidR="001F53EF" w:rsidRPr="001F53EF" w:rsidRDefault="001F53EF" w:rsidP="001F53EF">
      <w:pPr>
        <w:numPr>
          <w:ilvl w:val="0"/>
          <w:numId w:val="28"/>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Pravila i standardi o zaštiti i dobrobiti životinja, kako su utvrđena:</w:t>
      </w:r>
    </w:p>
    <w:p w14:paraId="14751277" w14:textId="77777777" w:rsidR="001F53EF" w:rsidRPr="001F53EF" w:rsidRDefault="001F53EF" w:rsidP="001F53EF">
      <w:pPr>
        <w:numPr>
          <w:ilvl w:val="0"/>
          <w:numId w:val="2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Vijeća 98/58/EZ od 20. srpnja 1998. o zaštiti životinja koje se drže u svrhu proizvodnje (SL L 221, 8. 8. 1998., str. 23.)</w:t>
      </w:r>
    </w:p>
    <w:p w14:paraId="6A520A2A" w14:textId="77777777" w:rsidR="001F53EF" w:rsidRPr="001F53EF" w:rsidRDefault="001F53EF" w:rsidP="001F53EF">
      <w:pPr>
        <w:numPr>
          <w:ilvl w:val="0"/>
          <w:numId w:val="2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Vijeća (EZ) br. 1/2005 od 22. prosinca 2004. o zaštiti životinja tijekom prijevoza i s prijevozom povezanih postupaka i o izmjeni direktiva 64/432/EEZ i 93/119/EZ i Uredbe (EZ) br. 1255/97 (SL L 3, 5. 1. 2005., str. 1.)</w:t>
      </w:r>
    </w:p>
    <w:p w14:paraId="685CCA2B" w14:textId="77777777" w:rsidR="001F53EF" w:rsidRPr="001F53EF" w:rsidRDefault="001F53EF" w:rsidP="001F53EF">
      <w:pPr>
        <w:numPr>
          <w:ilvl w:val="0"/>
          <w:numId w:val="2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Vijeća (EZ) br. 1099/2009 od 24. rujna 2009. o zaštiti životinja u trenutku usmrćivanja (SL L 303, 18. 11. 2009., str. 1.)</w:t>
      </w:r>
    </w:p>
    <w:p w14:paraId="4AC4B674" w14:textId="77777777" w:rsidR="001F53EF" w:rsidRPr="001F53EF" w:rsidRDefault="001F53EF" w:rsidP="001F53EF">
      <w:pPr>
        <w:numPr>
          <w:ilvl w:val="0"/>
          <w:numId w:val="2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Vijeća 1999/22/EZ od 29. ožujka 1999. o držanju divljih životinja u zoološkim vrtovima (SL L 94, 9. 4. 1999., str. 24.)</w:t>
      </w:r>
    </w:p>
    <w:p w14:paraId="77984A04" w14:textId="77777777" w:rsidR="001F53EF" w:rsidRPr="001F53EF" w:rsidRDefault="001F53EF" w:rsidP="001F53EF">
      <w:pPr>
        <w:numPr>
          <w:ilvl w:val="0"/>
          <w:numId w:val="2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2010/63/EU Europskog parlamenta i Vijeća od 22. rujna 2010. o zaštiti životinja koje se koriste u znanstvene svrhe (SL L 276, 20. 10. 2010., str. 33.).</w:t>
      </w:r>
    </w:p>
    <w:p w14:paraId="285C7F67" w14:textId="77777777" w:rsidR="001F53EF" w:rsidRPr="001F53EF" w:rsidRDefault="001F53EF" w:rsidP="001F53EF">
      <w:pPr>
        <w:shd w:val="clear" w:color="auto" w:fill="FFFFFF"/>
        <w:spacing w:after="48" w:line="240" w:lineRule="auto"/>
        <w:ind w:left="1128"/>
        <w:jc w:val="both"/>
        <w:textAlignment w:val="baseline"/>
        <w:rPr>
          <w:rFonts w:ascii="Times New Roman" w:eastAsia="Times New Roman" w:hAnsi="Times New Roman" w:cs="Times New Roman"/>
          <w:color w:val="000000" w:themeColor="text1"/>
          <w:kern w:val="0"/>
          <w:lang w:eastAsia="hr-HR"/>
          <w14:ligatures w14:val="none"/>
        </w:rPr>
      </w:pPr>
    </w:p>
    <w:p w14:paraId="7F90674F" w14:textId="77777777" w:rsidR="001F53EF" w:rsidRPr="001F53EF" w:rsidRDefault="001F53EF" w:rsidP="001F53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H.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8. ovoga Zakona (javno zdravlje):</w:t>
      </w:r>
    </w:p>
    <w:p w14:paraId="61D83A2F" w14:textId="77777777" w:rsidR="001F53EF" w:rsidRPr="001F53EF" w:rsidRDefault="001F53EF" w:rsidP="001F53EF">
      <w:pPr>
        <w:numPr>
          <w:ilvl w:val="0"/>
          <w:numId w:val="31"/>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Mjere kojima se utvrđuju visoki standardi kvalitete i sigurnosti organa i tvari ljudskog podrijetla, kako je uređeno:</w:t>
      </w:r>
    </w:p>
    <w:p w14:paraId="3F3CF9E9" w14:textId="77777777" w:rsidR="001F53EF" w:rsidRPr="001F53EF" w:rsidRDefault="001F53EF" w:rsidP="001F53EF">
      <w:pPr>
        <w:numPr>
          <w:ilvl w:val="0"/>
          <w:numId w:val="36"/>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2002/98/EZ Europskog parlamenta i Vijeća od 27. siječnja 2003. o utvrđivanju standarda kvalitete i sigurnosti za prikupljanje, ispitivanje, preradu, čuvanje i promet ljudske krvi i krvnih sastojaka i o izmjeni Direktive 2001/83/EZ (SL L 33, 8. 2. 2003., str. 30.)</w:t>
      </w:r>
    </w:p>
    <w:p w14:paraId="214C3B82" w14:textId="77777777" w:rsidR="001F53EF" w:rsidRPr="001F53EF" w:rsidRDefault="001F53EF" w:rsidP="001F53EF">
      <w:pPr>
        <w:numPr>
          <w:ilvl w:val="0"/>
          <w:numId w:val="3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2004/23/EZ Europskog parlamenta i Vijeća od 31. ožujka 2004. o utvrđivanju standarda kvalitete i sigurnosti za postupke darivanja, prikupljanja, testiranja, obrade, čuvanja, skladištenja i distribucije tkiva i stanica (SL L 102, 7. 4. 2004., str. 48.)</w:t>
      </w:r>
    </w:p>
    <w:p w14:paraId="0493B83B" w14:textId="77777777" w:rsidR="001F53EF" w:rsidRPr="001F53EF" w:rsidRDefault="001F53EF" w:rsidP="001F53EF">
      <w:pPr>
        <w:numPr>
          <w:ilvl w:val="0"/>
          <w:numId w:val="36"/>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2010/53/EU Europskog parlamenta i Vijeća od 7. srpnja 2010. o standardima kvalitete i sigurnosti ljudskih organa namijenjenih transplantaciji (SL L 207, 6. 8. 2010., str. 14.).</w:t>
      </w:r>
    </w:p>
    <w:p w14:paraId="320F6648" w14:textId="77777777" w:rsidR="001F53EF" w:rsidRPr="001F53EF" w:rsidRDefault="001F53EF" w:rsidP="001F53EF">
      <w:pPr>
        <w:numPr>
          <w:ilvl w:val="0"/>
          <w:numId w:val="31"/>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Mjere kojima se utvrđuju visoki standardi kvalitete i sigurnosti lijekova i medicinskih proizvoda, kako je uređeno:</w:t>
      </w:r>
    </w:p>
    <w:p w14:paraId="13D3B080" w14:textId="77777777" w:rsidR="001F53EF" w:rsidRPr="001F53EF" w:rsidRDefault="001F53EF" w:rsidP="001F53EF">
      <w:pPr>
        <w:numPr>
          <w:ilvl w:val="0"/>
          <w:numId w:val="37"/>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(EZ) br. 141/2000 Europskog parlamenta i Vijeća od 16. prosinca 1999. o lijekovima za rijetke bolesti (SL L 18, 22. 1. 2000., str. 1.)</w:t>
      </w:r>
    </w:p>
    <w:p w14:paraId="3B26D7E5" w14:textId="77777777" w:rsidR="001F53EF" w:rsidRPr="001F53EF" w:rsidRDefault="001F53EF" w:rsidP="001F53EF">
      <w:pPr>
        <w:numPr>
          <w:ilvl w:val="0"/>
          <w:numId w:val="37"/>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Direktivom 2001/83/EZ Europskog parlamenta i Vijeća od 6. studenoga 2001. o zakoniku Zajednice o lijekovima za humanu primjenu (SL L 311, 28. 11. 2001., str. 67.)</w:t>
      </w:r>
    </w:p>
    <w:p w14:paraId="5C354B46" w14:textId="77777777" w:rsidR="001F53EF" w:rsidRPr="001F53EF" w:rsidRDefault="001F53EF" w:rsidP="001F53EF">
      <w:pPr>
        <w:numPr>
          <w:ilvl w:val="0"/>
          <w:numId w:val="37"/>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2019/6 Europskog parlamenta i Vijeća od 11. prosinca 2018. o veterinarsko-medicinskim proizvodima i stavljanju izvan snage Direktive 2001/82/EZ (SL L 4, 7. 1. 2019., str. 43.)</w:t>
      </w:r>
    </w:p>
    <w:p w14:paraId="0395A987" w14:textId="77777777" w:rsidR="001F53EF" w:rsidRPr="001F53EF" w:rsidRDefault="001F53EF" w:rsidP="001F53EF">
      <w:pPr>
        <w:numPr>
          <w:ilvl w:val="0"/>
          <w:numId w:val="37"/>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(EZ) br. 726/2004 Europskog parlamenta i Vijeća od 31. ožujka 2004. o utvrđivanju postupaka odobravanja primjene i postupaka nadzora nad primjenom lijekova koji se rabe u humanoj i veterinarskoj medicini, te uspostavi Europske agencije za lijekove (SL L 136, 30. 4. 2004., str. 1.)</w:t>
      </w:r>
    </w:p>
    <w:p w14:paraId="1F956581" w14:textId="77777777" w:rsidR="001F53EF" w:rsidRPr="001F53EF" w:rsidRDefault="001F53EF" w:rsidP="001F53EF">
      <w:pPr>
        <w:numPr>
          <w:ilvl w:val="0"/>
          <w:numId w:val="37"/>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(EZ) br. 1901/2006 Europskog parlamenta i Vijeća od 12. prosinca 2006. o lijekovima za pedijatrijsku upotrebu i izmjeni Uredbe (EEZ) br. 1768/92, Direktive 2001/20/EZ, Direktive 2001/83/EZ i Uredbe (EZ) br. 726/2004 (SL L 378, 27. 12. 2006., str. 1.)</w:t>
      </w:r>
    </w:p>
    <w:p w14:paraId="4163C7F3" w14:textId="77777777" w:rsidR="001F53EF" w:rsidRPr="001F53EF" w:rsidRDefault="001F53EF" w:rsidP="001F53EF">
      <w:pPr>
        <w:numPr>
          <w:ilvl w:val="0"/>
          <w:numId w:val="37"/>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(EZ) br. 1394/2007 Europskog parlamenta i Vijeća od 13. studenoga 2007. o lijekovima za naprednu terapiju i o izmjeni Direktive 2001/83/EZ i Uredbe (EZ) br. 726/2004 (SL L 324, 10. 12. 2007., str. 121.)</w:t>
      </w:r>
    </w:p>
    <w:p w14:paraId="2BFA970F" w14:textId="77777777" w:rsidR="001F53EF" w:rsidRPr="001F53EF" w:rsidRDefault="001F53EF" w:rsidP="001F53EF">
      <w:pPr>
        <w:numPr>
          <w:ilvl w:val="0"/>
          <w:numId w:val="37"/>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Uredbom (EU) br. 536/2014 Europskog parlamenta i Vijeća od 16. travnja 2014. o kliničkim ispitivanjima lijekova za primjenu kod ljudi te o stavljanju izvan snage Direktive 2001/20/EZ (SL L 158, 27. 5. 2014., str. 1.).</w:t>
      </w:r>
    </w:p>
    <w:p w14:paraId="4781F5DD" w14:textId="77777777" w:rsidR="001F53EF" w:rsidRPr="001F53EF" w:rsidRDefault="001F53EF" w:rsidP="001F53EF">
      <w:pPr>
        <w:numPr>
          <w:ilvl w:val="0"/>
          <w:numId w:val="31"/>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Prava pacijenata, kako su uređena Direktivom 2011/24/EU Europskog parlamenta i Vijeća od 9. ožujka 2011. o primjeni prava pacijenata u prekograničnoj zdravstvenoj skrbi (SL L 88, 4. 4. 2011., str. 45.).</w:t>
      </w:r>
    </w:p>
    <w:p w14:paraId="5FC1E9D6" w14:textId="77777777" w:rsidR="001F53EF" w:rsidRPr="001F53EF" w:rsidRDefault="001F53EF" w:rsidP="001F53EF">
      <w:pPr>
        <w:numPr>
          <w:ilvl w:val="0"/>
          <w:numId w:val="31"/>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Proizvodnja, predstavljanje i prodaja duhanskih i srodnih proizvoda, kako su uređeni Direktivom 2014/40/EU Europskog parlamenta i Vijeća od 3. travnja 2014. o usklađivanju zakona i drugih propisa država članica o proizvodnji, predstavljanju i prodaji duhanskih i srodnih proizvoda i o stavljanju izvan snage Direktive 2001/37/EZ (SL L 127, 29. 4. 2014., str. 1.).</w:t>
      </w:r>
    </w:p>
    <w:p w14:paraId="2D34ACAE" w14:textId="77777777" w:rsidR="001F53EF" w:rsidRPr="001F53EF" w:rsidRDefault="001F53EF" w:rsidP="001F53EF">
      <w:p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p>
    <w:p w14:paraId="58D1654D" w14:textId="77777777" w:rsidR="001F53EF" w:rsidRPr="001F53EF" w:rsidRDefault="001F53EF" w:rsidP="001F53EF">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I.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9. ovoga Zakona (zaštita potrošača):</w:t>
      </w:r>
    </w:p>
    <w:p w14:paraId="74282FDC" w14:textId="77777777" w:rsidR="001F53EF" w:rsidRPr="001F53EF" w:rsidRDefault="001F53EF" w:rsidP="001F53EF">
      <w:pPr>
        <w:shd w:val="clear" w:color="auto" w:fill="FFFFFF"/>
        <w:spacing w:after="48" w:line="240" w:lineRule="auto"/>
        <w:ind w:firstLine="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Prava potrošača i zaštita potrošača, kako su uređeni:</w:t>
      </w:r>
    </w:p>
    <w:p w14:paraId="44C0F28C" w14:textId="77777777" w:rsidR="001F53EF" w:rsidRPr="001F53EF" w:rsidRDefault="001F53EF" w:rsidP="001F53EF">
      <w:pPr>
        <w:numPr>
          <w:ilvl w:val="0"/>
          <w:numId w:val="2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98/6/EZ Europskog parlamenta i Vijeća od 16. veljače 1998. o zaštiti potrošača prilikom isticanja cijena proizvoda ponuđenih potrošačima (SL L 80, 18. 3. 1998., str. 27.)</w:t>
      </w:r>
    </w:p>
    <w:p w14:paraId="3925C6CB" w14:textId="77777777" w:rsidR="001F53EF" w:rsidRPr="001F53EF" w:rsidRDefault="001F53EF" w:rsidP="001F53EF">
      <w:pPr>
        <w:numPr>
          <w:ilvl w:val="0"/>
          <w:numId w:val="2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(EU) 2019/770 Europskog parlamenta i Vijeća od 20. svibnja 2019. o određenim aspektima ugovora o isporuci digitalnog sadržaja i digitalnih usluga (SL L 136, 22. 5. 2019., str. 1.</w:t>
      </w:r>
    </w:p>
    <w:p w14:paraId="79481CBB" w14:textId="77777777" w:rsidR="001F53EF" w:rsidRPr="001F53EF" w:rsidRDefault="001F53EF" w:rsidP="001F53EF">
      <w:pPr>
        <w:numPr>
          <w:ilvl w:val="0"/>
          <w:numId w:val="2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(EU) 2019/771 Europskog parlamenta i Vijeća od 20. svibnja 2019. o određenim aspektima ugovora o kupoprodaji robe, izmjeni Uredbe (EU) 2017/2394 i Direktive 2009/22/EZ te stavljanju izvan snage Direktive 1999/44/EZ (SL L 136, 22. 5. 2019., str. 28.)</w:t>
      </w:r>
    </w:p>
    <w:p w14:paraId="5E831A9B" w14:textId="77777777" w:rsidR="001F53EF" w:rsidRPr="001F53EF" w:rsidRDefault="001F53EF" w:rsidP="001F53EF">
      <w:pPr>
        <w:numPr>
          <w:ilvl w:val="0"/>
          <w:numId w:val="2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1999/44/EZ Europskog parlamenta i Vijeća od 25. svibnja 1999. o određenim aspektima prodaje robe široke potrošnje i o jamstvima za takvu robu (SL L 171, 7. 7. 1999., str. 12.)</w:t>
      </w:r>
    </w:p>
    <w:p w14:paraId="66A0A311" w14:textId="77777777" w:rsidR="001F53EF" w:rsidRPr="001F53EF" w:rsidRDefault="001F53EF" w:rsidP="001F53EF">
      <w:pPr>
        <w:numPr>
          <w:ilvl w:val="0"/>
          <w:numId w:val="2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2002/65/EZ Europskog parlamenta i Vijeća od 23. rujna 2002. o trgovanju na daljinu financijskim uslugama koje su namijenjene potrošačima i o izmjeni Direktive Vijeća 90/619/EEZ i direktiva 97/7/EZ i 98/27/EZ (SL L 271, 9. 10. 2002., str. 16.)</w:t>
      </w:r>
    </w:p>
    <w:p w14:paraId="3B9CBF8F" w14:textId="77777777" w:rsidR="001F53EF" w:rsidRPr="001F53EF" w:rsidRDefault="001F53EF" w:rsidP="001F53EF">
      <w:pPr>
        <w:numPr>
          <w:ilvl w:val="0"/>
          <w:numId w:val="2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Direktivom 2005/29/EZ Europskog parlamenta i Vijeća od 11. svibnja 2005. o nepoštenoj poslovnoj praksi poslovnog subjekta u odnosu prema potrošaču na unutarnjem tržištu i o izmjeni Direktive Vijeća 84/450/EEZ, direktiva 97/7/EZ, 98/27/EZ i 2002/65/EZ Europskog parlamenta i Vijeća, kao i Uredbe (EZ) br. 2006/2004 Europskog parlamenta i Vijeća (»Direktiva o nepoštenoj poslovnoj praksi«) (SL L 149, 11. 6. 2005., str. 22.)</w:t>
      </w:r>
    </w:p>
    <w:p w14:paraId="076D9882" w14:textId="77777777" w:rsidR="001F53EF" w:rsidRPr="001F53EF" w:rsidRDefault="001F53EF" w:rsidP="001F53EF">
      <w:pPr>
        <w:numPr>
          <w:ilvl w:val="0"/>
          <w:numId w:val="2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2008/48/EZ Europskog parlamenta i Vijeća od 23. travnja 2008. o ugovorima o potrošačkim kreditima i stavljanju izvan snage Direktive Vijeća 87/102/EEZ (SL L 133, 22. 5. 2008., str. 66.)</w:t>
      </w:r>
    </w:p>
    <w:p w14:paraId="1280789D" w14:textId="77777777" w:rsidR="001F53EF" w:rsidRPr="001F53EF" w:rsidRDefault="001F53EF" w:rsidP="001F53EF">
      <w:pPr>
        <w:numPr>
          <w:ilvl w:val="0"/>
          <w:numId w:val="2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2011/83/EU Europskog parlamenta i Vijeća od 25. listopada 2011. o pravima potrošača, izmjeni Direktive Vijeća 93/13/EEZ i Direktive 1999/44/EZ Europskog parlamenta i Vijeća te o stavljanju izvan snage Direktive Vijeća 85/577/EEZ i Direktive 97/7/EZ Europskog parlamenta i Vijeća (SL L 304, 22. 11. 2011., str. 64.)</w:t>
      </w:r>
    </w:p>
    <w:p w14:paraId="659FDA27" w14:textId="77777777" w:rsidR="001F53EF" w:rsidRPr="001F53EF" w:rsidRDefault="001F53EF" w:rsidP="001F53EF">
      <w:pPr>
        <w:numPr>
          <w:ilvl w:val="0"/>
          <w:numId w:val="2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Direktivom 2014/92/EU Europskog parlamenta i Vijeća od 23. srpnja 2014. o usporedivosti naknada povezanih s računima za plaćanje, prebacivanju računa za plaćanje i pristupu računima za plaćanje s osnovnim uslugama (SL L 257, 28. 8. 2014., str. 214.).</w:t>
      </w:r>
    </w:p>
    <w:p w14:paraId="4080F012" w14:textId="77777777" w:rsidR="001F53EF" w:rsidRPr="001F53EF" w:rsidRDefault="001F53EF" w:rsidP="001F53EF">
      <w:pPr>
        <w:shd w:val="clear" w:color="auto" w:fill="FFFFFF"/>
        <w:spacing w:after="48" w:line="240" w:lineRule="auto"/>
        <w:ind w:left="1128"/>
        <w:jc w:val="both"/>
        <w:textAlignment w:val="baseline"/>
        <w:rPr>
          <w:rFonts w:ascii="Times New Roman" w:eastAsia="Times New Roman" w:hAnsi="Times New Roman" w:cs="Times New Roman"/>
          <w:color w:val="000000" w:themeColor="text1"/>
          <w:kern w:val="0"/>
          <w:lang w:eastAsia="hr-HR"/>
          <w14:ligatures w14:val="none"/>
        </w:rPr>
      </w:pPr>
    </w:p>
    <w:p w14:paraId="2D86BD94" w14:textId="77777777" w:rsidR="001F53EF" w:rsidRPr="001F53EF" w:rsidRDefault="001F53EF" w:rsidP="001F53E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J.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10. ovoga Zakona (zaštita privatnosti i osobnih podataka te sigurnost mrežnih i informacijskih sustava):</w:t>
      </w:r>
    </w:p>
    <w:p w14:paraId="2523A4D8" w14:textId="77777777" w:rsidR="001F53EF" w:rsidRPr="001F53EF" w:rsidRDefault="001F53EF" w:rsidP="001F53EF">
      <w:pPr>
        <w:numPr>
          <w:ilvl w:val="0"/>
          <w:numId w:val="25"/>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2002/58/EZ Europskog parlamenta i Vijeća od 12. srpnja 2002. o obradi osobnih podataka i zaštiti privatnosti u području elektroničkih komunikacija (Direktiva o privatnosti i elektroničkim komunikacijama) (SL L 201, 31. 7. 2002., str. 37.)</w:t>
      </w:r>
    </w:p>
    <w:p w14:paraId="6377B048" w14:textId="77777777" w:rsidR="001F53EF" w:rsidRPr="001F53EF" w:rsidRDefault="001F53EF" w:rsidP="001F53EF">
      <w:pPr>
        <w:numPr>
          <w:ilvl w:val="0"/>
          <w:numId w:val="25"/>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Uredba (EU) 2016/679 Europskog parlamenta i Vijeća od 27. travnja 2016. o zaštiti pojedinaca u vezi s obradom osobnih podataka i o slobodnom kretanju takvih podataka te o stavljanju izvan snage Direktive 95/46/EZ (Opća uredba o zaštiti podataka) (SL L 119, 4. 5. 2016., str. 1.)</w:t>
      </w:r>
    </w:p>
    <w:p w14:paraId="01B2B4BE" w14:textId="77777777" w:rsidR="001F53EF" w:rsidRPr="001F53EF" w:rsidRDefault="001F53EF" w:rsidP="001F53EF">
      <w:pPr>
        <w:numPr>
          <w:ilvl w:val="0"/>
          <w:numId w:val="25"/>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(EU) 2016/1148 Europskog parlamenta i Vijeća od 6. srpnja 2016. o mjerama za visoku zajedničku razinu sigurnosti mrežnih i informacijskih sustava širom Unije (SL L 194, 19. 7. 2016., str. 1.).</w:t>
      </w:r>
    </w:p>
    <w:p w14:paraId="3FCC96CB" w14:textId="77777777" w:rsidR="001F53EF" w:rsidRPr="001F53EF" w:rsidRDefault="001F53EF" w:rsidP="001F53EF">
      <w:pPr>
        <w:numPr>
          <w:ilvl w:val="0"/>
          <w:numId w:val="25"/>
        </w:numPr>
        <w:shd w:val="clear" w:color="auto" w:fill="FFFFFF"/>
        <w:spacing w:before="100" w:beforeAutospacing="1" w:after="48" w:afterAutospacing="1"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Uredba (EU) 2022/1925 Europskog parlamenta i Vijeća od 14. rujna 2022. o pravednim tržištima s mogućnošću neograničenog tržišnog natjecanja u digitalnom sektoru i izmjeni direktiva (EU) 2019/1937 i (EU) 2020/1828 (Akt o digitalnim tržištima) (SL L 265, 12.10.2022, str. 1–66).</w:t>
      </w:r>
    </w:p>
    <w:p w14:paraId="26C1C550" w14:textId="77777777" w:rsidR="001F53EF" w:rsidRPr="001F53EF" w:rsidRDefault="001F53EF" w:rsidP="001F53E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lang w:eastAsia="hr-HR"/>
          <w14:ligatures w14:val="none"/>
        </w:rPr>
        <w:t>K</w:t>
      </w:r>
      <w:r w:rsidRPr="001F53EF">
        <w:rPr>
          <w:rFonts w:ascii="Times New Roman" w:eastAsia="Times New Roman" w:hAnsi="Times New Roman" w:cs="Times New Roman"/>
          <w:color w:val="000000" w:themeColor="text1"/>
          <w:kern w:val="0"/>
          <w:lang w:eastAsia="hr-HR"/>
          <w14:ligatures w14:val="none"/>
        </w:rPr>
        <w:t>. ostalo:</w:t>
      </w:r>
    </w:p>
    <w:p w14:paraId="72BB5731" w14:textId="77777777" w:rsidR="001F53EF" w:rsidRPr="001F53EF" w:rsidRDefault="001F53EF" w:rsidP="001F53EF">
      <w:pPr>
        <w:numPr>
          <w:ilvl w:val="0"/>
          <w:numId w:val="38"/>
        </w:numPr>
        <w:shd w:val="clear" w:color="auto" w:fill="FFFFFF"/>
        <w:spacing w:after="0" w:line="240" w:lineRule="auto"/>
        <w:ind w:left="1276" w:hanging="425"/>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Direktiva (EU) 2024/1226 Europskog parlamenta i Vijeća od 24. travnja 2024. o definiciji kaznenih djela i sankcija za kršenje </w:t>
      </w:r>
      <w:proofErr w:type="spellStart"/>
      <w:r w:rsidRPr="001F53EF">
        <w:rPr>
          <w:rFonts w:ascii="Times New Roman" w:eastAsia="Times New Roman" w:hAnsi="Times New Roman" w:cs="Times New Roman"/>
          <w:color w:val="000000" w:themeColor="text1"/>
          <w:kern w:val="0"/>
          <w:lang w:eastAsia="hr-HR"/>
          <w14:ligatures w14:val="none"/>
        </w:rPr>
        <w:t>Unijinih</w:t>
      </w:r>
      <w:proofErr w:type="spellEnd"/>
      <w:r w:rsidRPr="001F53EF">
        <w:rPr>
          <w:rFonts w:ascii="Times New Roman" w:eastAsia="Times New Roman" w:hAnsi="Times New Roman" w:cs="Times New Roman"/>
          <w:color w:val="000000" w:themeColor="text1"/>
          <w:kern w:val="0"/>
          <w:lang w:eastAsia="hr-HR"/>
          <w14:ligatures w14:val="none"/>
        </w:rPr>
        <w:t xml:space="preserve"> mjera ograničavanja i izmjeni Direktive (EU) 2018/1673 (SL L, 2024/1226, 29.4.2024,).</w:t>
      </w:r>
    </w:p>
    <w:p w14:paraId="180CD76F" w14:textId="77777777" w:rsidR="001F53EF" w:rsidRPr="001F53EF" w:rsidRDefault="001F53EF" w:rsidP="001F53EF">
      <w:pPr>
        <w:shd w:val="clear" w:color="auto" w:fill="FFFFFF"/>
        <w:spacing w:after="0" w:line="240" w:lineRule="auto"/>
        <w:jc w:val="both"/>
        <w:textAlignment w:val="baseline"/>
        <w:rPr>
          <w:rFonts w:ascii="Times New Roman" w:eastAsia="Times New Roman" w:hAnsi="Times New Roman" w:cs="Times New Roman"/>
          <w:b/>
          <w:bCs/>
          <w:color w:val="000000" w:themeColor="text1"/>
          <w:kern w:val="0"/>
          <w:bdr w:val="none" w:sz="0" w:space="0" w:color="auto" w:frame="1"/>
          <w:lang w:eastAsia="hr-HR"/>
          <w14:ligatures w14:val="none"/>
        </w:rPr>
      </w:pPr>
    </w:p>
    <w:p w14:paraId="3FB16EB4"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bdr w:val="none" w:sz="0" w:space="0" w:color="auto" w:frame="1"/>
          <w:lang w:eastAsia="hr-HR"/>
        </w:rPr>
      </w:pPr>
      <w:r w:rsidRPr="00B435BE">
        <w:rPr>
          <w:rFonts w:ascii="Times New Roman" w:eastAsia="Times New Roman" w:hAnsi="Times New Roman" w:cs="Times New Roman"/>
          <w:b/>
          <w:bCs/>
          <w:color w:val="000000" w:themeColor="text1"/>
          <w:sz w:val="24"/>
          <w:szCs w:val="24"/>
          <w:bdr w:val="none" w:sz="0" w:space="0" w:color="auto" w:frame="1"/>
          <w:lang w:eastAsia="hr-HR"/>
        </w:rPr>
        <w:t>Dio II.</w:t>
      </w:r>
    </w:p>
    <w:p w14:paraId="14F0BDC5" w14:textId="77777777" w:rsidR="001F53EF" w:rsidRPr="001F53EF" w:rsidRDefault="001F53EF" w:rsidP="001F53EF">
      <w:pPr>
        <w:shd w:val="clear" w:color="auto" w:fill="FFFFFF"/>
        <w:spacing w:after="0" w:line="240" w:lineRule="auto"/>
        <w:jc w:val="both"/>
        <w:textAlignment w:val="baseline"/>
        <w:rPr>
          <w:rFonts w:ascii="Times New Roman" w:eastAsia="Times New Roman" w:hAnsi="Times New Roman" w:cs="Times New Roman"/>
          <w:color w:val="000000" w:themeColor="text1"/>
          <w:kern w:val="0"/>
          <w:lang w:eastAsia="hr-HR"/>
          <w14:ligatures w14:val="none"/>
        </w:rPr>
      </w:pPr>
    </w:p>
    <w:p w14:paraId="72ACE1E4" w14:textId="77777777" w:rsidR="001F53EF" w:rsidRPr="001F53EF" w:rsidRDefault="001F53EF" w:rsidP="001F53EF">
      <w:pPr>
        <w:shd w:val="clear" w:color="auto" w:fill="FFFFFF"/>
        <w:spacing w:after="48" w:line="240" w:lineRule="auto"/>
        <w:ind w:firstLine="7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 članku 5. stavku 1. ovoga Zakona upućuje se na sljedeće zakonodavstvo Europske unije:</w:t>
      </w:r>
    </w:p>
    <w:p w14:paraId="6D62D1ED" w14:textId="77777777" w:rsidR="001F53EF" w:rsidRPr="001F53EF" w:rsidRDefault="001F53EF" w:rsidP="001F53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A.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2. ovoga Zakona (financijske usluge, proizvodi i tržišta te sprječavanje pranja novca i financiranja terorizma):</w:t>
      </w:r>
    </w:p>
    <w:p w14:paraId="031C52BC" w14:textId="77777777" w:rsidR="001F53EF" w:rsidRPr="001F53EF" w:rsidRDefault="001F53EF" w:rsidP="001F53EF">
      <w:pPr>
        <w:numPr>
          <w:ilvl w:val="1"/>
          <w:numId w:val="24"/>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Financijske usluge:</w:t>
      </w:r>
    </w:p>
    <w:p w14:paraId="709E9D7B" w14:textId="77777777" w:rsidR="001F53EF" w:rsidRPr="001F53EF" w:rsidRDefault="001F53EF" w:rsidP="001F53EF">
      <w:pPr>
        <w:numPr>
          <w:ilvl w:val="0"/>
          <w:numId w:val="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2009/65/EZ Europskog parlamenta i Vijeća od 13. srpnja 2009. o usklađivanju zakona i drugih propisa u odnosu na subjekte za zajednička ulaganja u prenosive vrijednosne papire (UCITS) (SL L 302, 17. 11. 2009., str. 32.)</w:t>
      </w:r>
    </w:p>
    <w:p w14:paraId="100C77D1" w14:textId="77777777" w:rsidR="001F53EF" w:rsidRPr="001F53EF" w:rsidRDefault="001F53EF" w:rsidP="001F53EF">
      <w:pPr>
        <w:numPr>
          <w:ilvl w:val="0"/>
          <w:numId w:val="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(EU) 2016/2341 Europskog parlamenta i Vijeća od 14. prosinca 2016. o djelatnostima i nadzoru institucija za strukovno mirovinsko osiguranje (SL L 354, 23. 12. 2016., str. 37.)</w:t>
      </w:r>
    </w:p>
    <w:p w14:paraId="495D4858" w14:textId="77777777" w:rsidR="001F53EF" w:rsidRPr="001F53EF" w:rsidRDefault="001F53EF" w:rsidP="001F53EF">
      <w:pPr>
        <w:numPr>
          <w:ilvl w:val="0"/>
          <w:numId w:val="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2006/43/EZ Europskog parlamenta i Vijeća od 17. svibnja 2006. o zakonskim revizijama godišnjih financijskih izvještaja i konsolidiranih financijskih izvještaja, kojom se mijenjaju direktive Vijeća 78/660/EEZ i 83/349/EEZ i stavlja izvan snage Direktiva Vijeća 84/253/EEZ (SL L 157, 9. 6. 2006., str. 87.)</w:t>
      </w:r>
    </w:p>
    <w:p w14:paraId="1AAD3362" w14:textId="77777777" w:rsidR="001F53EF" w:rsidRPr="001F53EF" w:rsidRDefault="001F53EF" w:rsidP="001F53EF">
      <w:pPr>
        <w:numPr>
          <w:ilvl w:val="0"/>
          <w:numId w:val="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Uredba (EU) br. 596/2014 Europskog parlamenta i Vijeća od 16. travnja 2014. o zlouporabi tržišta (Uredba o zlouporabi tržišta) te stavljanju izvan snage Direktive 2003/6/EZ Europskog parlamenta i Vijeća i direktiva Komisije 2003/124/EZ, 2003/125/EZ i 2004/72/EZ (SL L 173, 12. 6. 2014., str. 1.)</w:t>
      </w:r>
    </w:p>
    <w:p w14:paraId="01990129" w14:textId="77777777" w:rsidR="001F53EF" w:rsidRPr="001F53EF" w:rsidRDefault="001F53EF" w:rsidP="001F53EF">
      <w:pPr>
        <w:numPr>
          <w:ilvl w:val="0"/>
          <w:numId w:val="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str. 338.)</w:t>
      </w:r>
    </w:p>
    <w:p w14:paraId="65CE2B1A" w14:textId="77777777" w:rsidR="001F53EF" w:rsidRPr="001F53EF" w:rsidRDefault="001F53EF" w:rsidP="001F53EF">
      <w:pPr>
        <w:numPr>
          <w:ilvl w:val="0"/>
          <w:numId w:val="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2014/65/EU Europskog parlamenta i Vijeća od 15. svibnja 2014. o tržištu financijskih instrumenata i izmjeni Direktive 2002/92/EZ i Direktive 2011/61/EU (SL L 173, 12. 6. 2014., str. 349.)</w:t>
      </w:r>
    </w:p>
    <w:p w14:paraId="315880E7" w14:textId="77777777" w:rsidR="001F53EF" w:rsidRPr="001F53EF" w:rsidRDefault="001F53EF" w:rsidP="001F53EF">
      <w:pPr>
        <w:numPr>
          <w:ilvl w:val="0"/>
          <w:numId w:val="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Uredba (EU) br. 909/2014 Europskog parlamenta i Vijeća od 23. srpnja 2014. o poboljšanju namire vrijednosnih papira u Europskoj uniji i o središnjim </w:t>
      </w:r>
      <w:proofErr w:type="spellStart"/>
      <w:r w:rsidRPr="001F53EF">
        <w:rPr>
          <w:rFonts w:ascii="Times New Roman" w:eastAsia="Times New Roman" w:hAnsi="Times New Roman" w:cs="Times New Roman"/>
          <w:color w:val="000000" w:themeColor="text1"/>
          <w:kern w:val="0"/>
          <w:lang w:eastAsia="hr-HR"/>
          <w14:ligatures w14:val="none"/>
        </w:rPr>
        <w:t>depozitorijima</w:t>
      </w:r>
      <w:proofErr w:type="spellEnd"/>
      <w:r w:rsidRPr="001F53EF">
        <w:rPr>
          <w:rFonts w:ascii="Times New Roman" w:eastAsia="Times New Roman" w:hAnsi="Times New Roman" w:cs="Times New Roman"/>
          <w:color w:val="000000" w:themeColor="text1"/>
          <w:kern w:val="0"/>
          <w:lang w:eastAsia="hr-HR"/>
          <w14:ligatures w14:val="none"/>
        </w:rPr>
        <w:t xml:space="preserve"> vrijednosnih papira te izmjeni direktiva 98/26/EZ i 2014/65/EU te Uredbe (EU) br. 236/2012 (SL L 257, 28. 8. 2014., str. 1.)</w:t>
      </w:r>
    </w:p>
    <w:p w14:paraId="2B55F7E9" w14:textId="77777777" w:rsidR="001F53EF" w:rsidRPr="001F53EF" w:rsidRDefault="001F53EF" w:rsidP="001F53EF">
      <w:pPr>
        <w:numPr>
          <w:ilvl w:val="0"/>
          <w:numId w:val="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Uredba (EU) br. 1286/2014 Europskog parlamenta i Vijeća od 26. studenoga 2014. o dokumentima s ključnim informacijama za upakirane investicijske proizvode za male ulagatelje i investicijske </w:t>
      </w:r>
      <w:proofErr w:type="spellStart"/>
      <w:r w:rsidRPr="001F53EF">
        <w:rPr>
          <w:rFonts w:ascii="Times New Roman" w:eastAsia="Times New Roman" w:hAnsi="Times New Roman" w:cs="Times New Roman"/>
          <w:color w:val="000000" w:themeColor="text1"/>
          <w:kern w:val="0"/>
          <w:lang w:eastAsia="hr-HR"/>
          <w14:ligatures w14:val="none"/>
        </w:rPr>
        <w:t>osigurateljne</w:t>
      </w:r>
      <w:proofErr w:type="spellEnd"/>
      <w:r w:rsidRPr="001F53EF">
        <w:rPr>
          <w:rFonts w:ascii="Times New Roman" w:eastAsia="Times New Roman" w:hAnsi="Times New Roman" w:cs="Times New Roman"/>
          <w:color w:val="000000" w:themeColor="text1"/>
          <w:kern w:val="0"/>
          <w:lang w:eastAsia="hr-HR"/>
          <w14:ligatures w14:val="none"/>
        </w:rPr>
        <w:t xml:space="preserve"> proizvode (PRIIP-ovi) (SL L 352, 9. 12. 2014., str. 1.)</w:t>
      </w:r>
    </w:p>
    <w:p w14:paraId="1C145EE4" w14:textId="77777777" w:rsidR="001F53EF" w:rsidRPr="001F53EF" w:rsidRDefault="001F53EF" w:rsidP="001F53EF">
      <w:pPr>
        <w:numPr>
          <w:ilvl w:val="0"/>
          <w:numId w:val="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Uredba (EU) 2015/2365 Europskog parlamenta i Vijeća od 25. studenoga 2015. o transparentnosti transakcija financiranja vrijednosnih papira i ponovne uporabe te o izmjeni Uredbe (EU) br. 648/2012 (SL L 337, 23. 12. 2015., str. 1.)</w:t>
      </w:r>
    </w:p>
    <w:p w14:paraId="548921F9" w14:textId="77777777" w:rsidR="001F53EF" w:rsidRPr="001F53EF" w:rsidRDefault="001F53EF" w:rsidP="001F53EF">
      <w:pPr>
        <w:numPr>
          <w:ilvl w:val="0"/>
          <w:numId w:val="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(EU) 2016/97 Europskog parlamenta i Vijeća od 20. siječnja 2016. o distribuciji osiguranja (SL L 26, 2. 2. 2016., str. 19.)</w:t>
      </w:r>
    </w:p>
    <w:p w14:paraId="2BE942CC" w14:textId="77777777" w:rsidR="001F53EF" w:rsidRPr="001F53EF" w:rsidRDefault="001F53EF" w:rsidP="001F53EF">
      <w:pPr>
        <w:numPr>
          <w:ilvl w:val="0"/>
          <w:numId w:val="3"/>
        </w:numPr>
        <w:shd w:val="clear" w:color="auto" w:fill="FFFFFF"/>
        <w:spacing w:after="48" w:line="240" w:lineRule="auto"/>
        <w:ind w:left="1276" w:hanging="567"/>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Uredba (EU) 2017/1129 Europskog parlamenta i Vijeća od 14. lipnja 2017. o prospektu koji je potrebno objaviti prilikom javne ponude vrijednosnih papira ili prilikom uvrštavanja za trgovanje na uređenom tržištu te stavljanju izvan snage Direktive 2003/71/EZ (SL L 168, 30. 6. 2017., str. 12.).</w:t>
      </w:r>
    </w:p>
    <w:p w14:paraId="2EB450D2" w14:textId="77777777" w:rsidR="001F53EF" w:rsidRPr="001F53EF" w:rsidRDefault="001F53EF" w:rsidP="001F53EF">
      <w:pPr>
        <w:numPr>
          <w:ilvl w:val="1"/>
          <w:numId w:val="24"/>
        </w:numPr>
        <w:shd w:val="clear" w:color="auto" w:fill="FFFFFF"/>
        <w:spacing w:after="48" w:line="240" w:lineRule="auto"/>
        <w:ind w:left="709"/>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Sprječavanje pranja novca i financiranja terorizma:</w:t>
      </w:r>
    </w:p>
    <w:p w14:paraId="568D516B" w14:textId="77777777" w:rsidR="001F53EF" w:rsidRPr="001F53EF" w:rsidRDefault="001F53EF" w:rsidP="001F53EF">
      <w:pPr>
        <w:numPr>
          <w:ilvl w:val="0"/>
          <w:numId w:val="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(SL L 141, 5. 6. 2015., str. 73.)</w:t>
      </w:r>
    </w:p>
    <w:p w14:paraId="06795A81" w14:textId="77777777" w:rsidR="001F53EF" w:rsidRPr="001F53EF" w:rsidRDefault="001F53EF" w:rsidP="001F53EF">
      <w:pPr>
        <w:numPr>
          <w:ilvl w:val="0"/>
          <w:numId w:val="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Uredba (EU) 2015/847 Europskog parlamenta i Vijeća od 20. svibnja 2015. o informacijama koje su priložene prijenosu novčanih sredstava i o stavljanju izvan snage Uredbe (EZ) br. 1781/2006 (SL L 141, 5. 6. 2015., str. 1.).</w:t>
      </w:r>
    </w:p>
    <w:p w14:paraId="7891B82A" w14:textId="77777777" w:rsidR="001F53EF" w:rsidRPr="001F53EF" w:rsidRDefault="001F53EF" w:rsidP="001F53EF">
      <w:pPr>
        <w:numPr>
          <w:ilvl w:val="0"/>
          <w:numId w:val="4"/>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(EU) 2024/1640 Europskog parlamenta i Vijeća od 31. svibnja 2024. o mehanizmima koje države članice trebaju uspostaviti radi sprečavanja korištenja financijskog sustava u svrhu pranja novca ili financiranja terorizma, o izmjeni Direktive (EU) 2019/1937 te izmjeni i stavljanju izvan snage Direktive (EU) 2015/849 (SL L, 2024/1640).</w:t>
      </w:r>
    </w:p>
    <w:p w14:paraId="09531108" w14:textId="77777777" w:rsidR="001F53EF" w:rsidRPr="001F53EF" w:rsidRDefault="001F53EF" w:rsidP="001F53EF">
      <w:pPr>
        <w:shd w:val="clear" w:color="auto" w:fill="FFFFFF"/>
        <w:spacing w:after="48" w:line="240" w:lineRule="auto"/>
        <w:ind w:left="1128"/>
        <w:jc w:val="both"/>
        <w:textAlignment w:val="baseline"/>
        <w:rPr>
          <w:rFonts w:ascii="Times New Roman" w:eastAsia="Times New Roman" w:hAnsi="Times New Roman" w:cs="Times New Roman"/>
          <w:color w:val="000000" w:themeColor="text1"/>
          <w:kern w:val="0"/>
          <w:lang w:eastAsia="hr-HR"/>
          <w14:ligatures w14:val="none"/>
        </w:rPr>
      </w:pPr>
    </w:p>
    <w:p w14:paraId="52C1176D" w14:textId="77777777" w:rsidR="001F53EF" w:rsidRPr="001F53EF" w:rsidRDefault="001F53EF" w:rsidP="001F53EF">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B.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4. ovoga Zakona (sigurnost prometa):</w:t>
      </w:r>
    </w:p>
    <w:p w14:paraId="54ACA14A" w14:textId="77777777" w:rsidR="001F53EF" w:rsidRPr="001F53EF" w:rsidRDefault="001F53EF" w:rsidP="001F53EF">
      <w:pPr>
        <w:numPr>
          <w:ilvl w:val="0"/>
          <w:numId w:val="5"/>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Uredba (EU) br. 376/2014 Europskog parlamenta i Vijeća od 3. travnja 2014. o izvješćivanju, analizi i naknadnom postupanju u vezi s događajima u civilnom zrakoplovstvu, o izmjeni Uredbe (EU) br. 996/2010 Europskog parlamenta i Vijeća i stavljaju izvan snage Direktive 2003/42/EZ Europskog parlamenta i Vijeća i uredbi Komisije (EZ) br. 1321/2007 i (EZ) br. 1330/2007 (SL L 122, 24. 4. 2014., str. 18.)</w:t>
      </w:r>
    </w:p>
    <w:p w14:paraId="7DB474E9" w14:textId="77777777" w:rsidR="001F53EF" w:rsidRPr="001F53EF" w:rsidRDefault="001F53EF" w:rsidP="001F53EF">
      <w:pPr>
        <w:numPr>
          <w:ilvl w:val="0"/>
          <w:numId w:val="5"/>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2013/54/EU Europskog parlamenta i Vijeća od 20. studenoga 2013. o nekim nadležnostima države zastave za usklađivanje s Konvencijom o radu pomoraca i njezinu provedbu, 2006. (SL L 329, 10. 12. 2013., str. 1.)</w:t>
      </w:r>
    </w:p>
    <w:p w14:paraId="0EF61778" w14:textId="77777777" w:rsidR="001F53EF" w:rsidRPr="001F53EF" w:rsidRDefault="001F53EF" w:rsidP="001F53EF">
      <w:pPr>
        <w:numPr>
          <w:ilvl w:val="0"/>
          <w:numId w:val="5"/>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Direktiva 2009/16/EZ Europskog parlamenta i Vijeća od 23. travnja 2009. o nadzoru države luke (SL L 131, 28. 5. 2009., str. 57.).</w:t>
      </w:r>
    </w:p>
    <w:p w14:paraId="11EEFDC9" w14:textId="77777777" w:rsidR="001F53EF" w:rsidRPr="001F53EF" w:rsidRDefault="001F53EF" w:rsidP="001F53EF">
      <w:pPr>
        <w:shd w:val="clear" w:color="auto" w:fill="FFFFFF"/>
        <w:spacing w:after="48" w:line="240" w:lineRule="auto"/>
        <w:ind w:left="1128"/>
        <w:jc w:val="both"/>
        <w:textAlignment w:val="baseline"/>
        <w:rPr>
          <w:rFonts w:ascii="Times New Roman" w:eastAsia="Times New Roman" w:hAnsi="Times New Roman" w:cs="Times New Roman"/>
          <w:color w:val="000000" w:themeColor="text1"/>
          <w:kern w:val="0"/>
          <w:lang w:eastAsia="hr-HR"/>
          <w14:ligatures w14:val="none"/>
        </w:rPr>
      </w:pPr>
    </w:p>
    <w:p w14:paraId="188ABB6C" w14:textId="77777777" w:rsidR="001F53EF" w:rsidRPr="001F53EF" w:rsidRDefault="001F53EF" w:rsidP="001F53EF">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b/>
          <w:bCs/>
          <w:color w:val="000000" w:themeColor="text1"/>
          <w:kern w:val="0"/>
          <w:bdr w:val="none" w:sz="0" w:space="0" w:color="auto" w:frame="1"/>
          <w:lang w:eastAsia="hr-HR"/>
          <w14:ligatures w14:val="none"/>
        </w:rPr>
        <w:t>C. </w:t>
      </w:r>
      <w:r w:rsidRPr="001F53EF">
        <w:rPr>
          <w:rFonts w:ascii="Times New Roman" w:eastAsia="Times New Roman" w:hAnsi="Times New Roman" w:cs="Times New Roman"/>
          <w:color w:val="000000" w:themeColor="text1"/>
          <w:kern w:val="0"/>
          <w:lang w:eastAsia="hr-HR"/>
          <w14:ligatures w14:val="none"/>
        </w:rPr>
        <w:t xml:space="preserve">Članak 4.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5. ovoga Zakona (zaštita okoliša):</w:t>
      </w:r>
    </w:p>
    <w:p w14:paraId="1D44E8F1" w14:textId="77777777" w:rsidR="001F53EF" w:rsidRPr="001F53EF" w:rsidRDefault="001F53EF" w:rsidP="001F53EF">
      <w:pPr>
        <w:numPr>
          <w:ilvl w:val="0"/>
          <w:numId w:val="6"/>
        </w:numPr>
        <w:shd w:val="clear" w:color="auto" w:fill="FFFFFF"/>
        <w:spacing w:after="48" w:line="240" w:lineRule="auto"/>
        <w:ind w:left="1276" w:hanging="5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Direktiva 2013/30/EU Europskog parlamenta i Vijeća od 12. lipnja 2013. o sigurnosti </w:t>
      </w:r>
      <w:proofErr w:type="spellStart"/>
      <w:r w:rsidRPr="001F53EF">
        <w:rPr>
          <w:rFonts w:ascii="Times New Roman" w:eastAsia="Times New Roman" w:hAnsi="Times New Roman" w:cs="Times New Roman"/>
          <w:color w:val="000000" w:themeColor="text1"/>
          <w:kern w:val="0"/>
          <w:lang w:eastAsia="hr-HR"/>
          <w14:ligatures w14:val="none"/>
        </w:rPr>
        <w:t>odobalnih</w:t>
      </w:r>
      <w:proofErr w:type="spellEnd"/>
      <w:r w:rsidRPr="001F53EF">
        <w:rPr>
          <w:rFonts w:ascii="Times New Roman" w:eastAsia="Times New Roman" w:hAnsi="Times New Roman" w:cs="Times New Roman"/>
          <w:color w:val="000000" w:themeColor="text1"/>
          <w:kern w:val="0"/>
          <w:lang w:eastAsia="hr-HR"/>
          <w14:ligatures w14:val="none"/>
        </w:rPr>
        <w:t xml:space="preserve"> naftnih i plinskih djelatnosti i o izmjeni Direktive 2004/35/EZ (SL L 178, 28. 6. 2013., str. 66.).</w:t>
      </w:r>
    </w:p>
    <w:p w14:paraId="77A91CB2" w14:textId="77777777" w:rsidR="001F53EF" w:rsidRPr="001F53EF" w:rsidRDefault="001F53EF" w:rsidP="001F53EF">
      <w:pPr>
        <w:spacing w:after="0" w:line="240" w:lineRule="auto"/>
        <w:ind w:firstLine="708"/>
        <w:contextualSpacing/>
        <w:jc w:val="center"/>
        <w:rPr>
          <w:rFonts w:ascii="Times New Roman" w:eastAsia="Calibri" w:hAnsi="Times New Roman" w:cs="Times New Roman"/>
          <w:b/>
          <w:color w:val="000000" w:themeColor="text1"/>
          <w:kern w:val="0"/>
          <w14:ligatures w14:val="none"/>
        </w:rPr>
      </w:pPr>
    </w:p>
    <w:p w14:paraId="2DBECCE1" w14:textId="77777777" w:rsidR="001F53EF" w:rsidRPr="001F53EF" w:rsidRDefault="001F53EF" w:rsidP="001F53EF">
      <w:pPr>
        <w:spacing w:after="0" w:line="240" w:lineRule="auto"/>
        <w:ind w:firstLine="708"/>
        <w:contextualSpacing/>
        <w:jc w:val="center"/>
        <w:rPr>
          <w:rFonts w:ascii="Times New Roman" w:eastAsia="Calibri" w:hAnsi="Times New Roman" w:cs="Times New Roman"/>
          <w:b/>
          <w:color w:val="000000" w:themeColor="text1"/>
          <w:kern w:val="0"/>
          <w14:ligatures w14:val="none"/>
        </w:rPr>
      </w:pPr>
    </w:p>
    <w:p w14:paraId="0BC6A317" w14:textId="77777777" w:rsidR="001F53EF" w:rsidRPr="001F53EF" w:rsidRDefault="001F53EF" w:rsidP="001F53EF">
      <w:pPr>
        <w:spacing w:line="259" w:lineRule="auto"/>
        <w:rPr>
          <w:rFonts w:ascii="Times New Roman" w:eastAsia="Calibri" w:hAnsi="Times New Roman" w:cs="Times New Roman"/>
          <w:b/>
          <w:color w:val="000000" w:themeColor="text1"/>
          <w:kern w:val="0"/>
          <w14:ligatures w14:val="none"/>
        </w:rPr>
      </w:pPr>
      <w:r w:rsidRPr="001F53EF">
        <w:rPr>
          <w:rFonts w:ascii="Times New Roman" w:eastAsia="Calibri" w:hAnsi="Times New Roman" w:cs="Times New Roman"/>
          <w:b/>
          <w:color w:val="000000" w:themeColor="text1"/>
          <w:kern w:val="0"/>
          <w14:ligatures w14:val="none"/>
        </w:rPr>
        <w:br w:type="page"/>
      </w:r>
    </w:p>
    <w:p w14:paraId="5E6B6A8B" w14:textId="77777777" w:rsidR="001F53EF" w:rsidRPr="00B435BE" w:rsidRDefault="001F53EF" w:rsidP="001F53EF">
      <w:pPr>
        <w:pStyle w:val="Naslov2"/>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lastRenderedPageBreak/>
        <w:t>O B R A Z L O Ž E NJ E</w:t>
      </w:r>
    </w:p>
    <w:p w14:paraId="59E33162" w14:textId="77777777" w:rsidR="001F53EF" w:rsidRPr="001F53EF" w:rsidRDefault="001F53EF" w:rsidP="001F53EF">
      <w:pPr>
        <w:spacing w:after="0" w:line="240" w:lineRule="auto"/>
        <w:ind w:firstLine="708"/>
        <w:contextualSpacing/>
        <w:jc w:val="center"/>
        <w:rPr>
          <w:rFonts w:ascii="Times New Roman" w:eastAsia="Calibri" w:hAnsi="Times New Roman" w:cs="Times New Roman"/>
          <w:b/>
          <w:color w:val="000000" w:themeColor="text1"/>
          <w:kern w:val="0"/>
          <w14:ligatures w14:val="none"/>
        </w:rPr>
      </w:pPr>
    </w:p>
    <w:p w14:paraId="7BEA631A" w14:textId="77777777" w:rsidR="001F53EF" w:rsidRPr="001F53EF" w:rsidRDefault="001F53EF" w:rsidP="001F53EF">
      <w:pPr>
        <w:spacing w:after="0" w:line="240" w:lineRule="auto"/>
        <w:contextualSpacing/>
        <w:jc w:val="both"/>
        <w:rPr>
          <w:rFonts w:ascii="Times New Roman" w:eastAsia="Calibri" w:hAnsi="Times New Roman" w:cs="Times New Roman"/>
          <w:b/>
          <w:color w:val="000000" w:themeColor="text1"/>
          <w:kern w:val="0"/>
          <w14:ligatures w14:val="none"/>
        </w:rPr>
      </w:pPr>
    </w:p>
    <w:p w14:paraId="69E8C8DD"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Uz članak 1.</w:t>
      </w:r>
    </w:p>
    <w:p w14:paraId="226EC032" w14:textId="77777777" w:rsidR="001F53EF" w:rsidRPr="001F53EF" w:rsidRDefault="001F53EF" w:rsidP="001F53EF">
      <w:pPr>
        <w:spacing w:after="0" w:line="240" w:lineRule="auto"/>
        <w:contextualSpacing/>
        <w:jc w:val="both"/>
        <w:rPr>
          <w:rFonts w:ascii="Times New Roman" w:eastAsia="Calibri" w:hAnsi="Times New Roman" w:cs="Times New Roman"/>
          <w:b/>
          <w:color w:val="000000" w:themeColor="text1"/>
          <w:kern w:val="0"/>
          <w14:ligatures w14:val="none"/>
        </w:rPr>
      </w:pPr>
    </w:p>
    <w:p w14:paraId="0DD005F3"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14:ligatures w14:val="none"/>
        </w:rPr>
      </w:pPr>
      <w:r w:rsidRPr="001F53EF">
        <w:rPr>
          <w:rFonts w:ascii="Times New Roman" w:eastAsia="Calibri" w:hAnsi="Times New Roman" w:cs="Times New Roman"/>
          <w:bCs/>
          <w:color w:val="000000" w:themeColor="text1"/>
          <w:kern w:val="0"/>
          <w14:ligatures w14:val="none"/>
        </w:rPr>
        <w:t xml:space="preserve">U članku 4. dodaju se dvije nove točke s ciljem pojašnjenja materijalnog područja primjene Zakona i na ostale akte Europske unije navedene u dijelu I. odjeljak K. Priloga ovom Zakonu. </w:t>
      </w:r>
    </w:p>
    <w:p w14:paraId="0080EF35"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14:ligatures w14:val="none"/>
        </w:rPr>
      </w:pPr>
      <w:r w:rsidRPr="001F53EF">
        <w:rPr>
          <w:rFonts w:ascii="Times New Roman" w:eastAsia="Calibri" w:hAnsi="Times New Roman" w:cs="Times New Roman"/>
          <w:bCs/>
          <w:color w:val="000000" w:themeColor="text1"/>
          <w:kern w:val="0"/>
          <w14:ligatures w14:val="none"/>
        </w:rPr>
        <w:t xml:space="preserve">Također, izričito se propisuje i time pojašnjava da su materijalnim područjem primjene Zakona obuhvaćena i </w:t>
      </w:r>
      <w:r w:rsidRPr="001F53EF">
        <w:rPr>
          <w:rFonts w:ascii="Times New Roman" w:eastAsia="Calibri" w:hAnsi="Times New Roman" w:cs="Times New Roman"/>
          <w:color w:val="000000" w:themeColor="text1"/>
          <w:kern w:val="0"/>
          <w14:ligatures w14:val="none"/>
        </w:rPr>
        <w:t>kaznena djela protiv službene dužnosti, kaznena djela protiv gospodarstva i kaznena djela iz članka 233. (pronevjera) te iz članka 339. (podmićivanje zastupnika) Kaznenog zakona</w:t>
      </w:r>
    </w:p>
    <w:p w14:paraId="6D657302"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highlight w:val="yellow"/>
          <w14:ligatures w14:val="none"/>
        </w:rPr>
      </w:pPr>
    </w:p>
    <w:p w14:paraId="67F9FAC1"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Uz članak 2.</w:t>
      </w:r>
    </w:p>
    <w:p w14:paraId="7C159A32" w14:textId="77777777" w:rsidR="001F53EF" w:rsidRPr="001F53EF" w:rsidRDefault="001F53EF" w:rsidP="001F53EF">
      <w:pPr>
        <w:spacing w:after="0" w:line="240" w:lineRule="auto"/>
        <w:contextualSpacing/>
        <w:jc w:val="both"/>
        <w:rPr>
          <w:rFonts w:ascii="Times New Roman" w:eastAsia="Calibri" w:hAnsi="Times New Roman" w:cs="Times New Roman"/>
          <w:b/>
          <w:color w:val="000000" w:themeColor="text1"/>
          <w:kern w:val="0"/>
          <w14:ligatures w14:val="none"/>
        </w:rPr>
      </w:pPr>
    </w:p>
    <w:p w14:paraId="63C9796E"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14:ligatures w14:val="none"/>
        </w:rPr>
      </w:pPr>
      <w:r w:rsidRPr="001F53EF">
        <w:rPr>
          <w:rFonts w:ascii="Times New Roman" w:eastAsia="Calibri" w:hAnsi="Times New Roman" w:cs="Times New Roman"/>
          <w:bCs/>
          <w:color w:val="000000" w:themeColor="text1"/>
          <w:kern w:val="0"/>
          <w14:ligatures w14:val="none"/>
        </w:rPr>
        <w:t>U članku 12. dodaje se novi stavak 4 koji, sukladno uvodno navedenim preporukama OECD-a, propisuje da osobe koje prijavljuju nepravilnosti izravno policiji ili državnom odvjetništvu imaju pravo na zaštitu propisanu ovim Zakonom. Te osobe imaju pravo na zaštitu pod istim uvjetima kao osobe koje podnose prijavu nadležnom tijelu za vanjsko prijavljivanje. Time se otklanjaju nedoumice glede pitanja imaju li prijavitelji nepravilnosti koji se obraćaju neposredno tim tijelima pravo na zaštitu sukladno Zakonu kao i prijavitelji koji su predali prijavu vanjskim kanalima za prijavljivanje.</w:t>
      </w:r>
    </w:p>
    <w:p w14:paraId="4344682C"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highlight w:val="yellow"/>
          <w14:ligatures w14:val="none"/>
        </w:rPr>
      </w:pPr>
    </w:p>
    <w:p w14:paraId="325D3973"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Uz članak 3.</w:t>
      </w:r>
    </w:p>
    <w:p w14:paraId="3D71C5F9"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14:ligatures w14:val="none"/>
        </w:rPr>
      </w:pPr>
    </w:p>
    <w:p w14:paraId="50C4A916"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14:ligatures w14:val="none"/>
        </w:rPr>
      </w:pPr>
      <w:r w:rsidRPr="001F53EF">
        <w:rPr>
          <w:rFonts w:ascii="Times New Roman" w:eastAsia="Calibri" w:hAnsi="Times New Roman" w:cs="Times New Roman"/>
          <w:bCs/>
          <w:color w:val="000000" w:themeColor="text1"/>
          <w:kern w:val="0"/>
          <w14:ligatures w14:val="none"/>
        </w:rPr>
        <w:t xml:space="preserve">U članku 23. dodaje se stavak 4. kojim je  pojašnjena  procedura zaštite prijavitelja i postupanja s prijavom kada je ona zaprimljena putem policije ili državnog odvjetništva. Ta su tijela dužna uputiti prijavu nadležnom tijelu za vanjsko prijavljivanje, odnosno Uredu pučkog pravobranitelja. </w:t>
      </w:r>
    </w:p>
    <w:p w14:paraId="2397A3B6" w14:textId="77777777" w:rsidR="001F53EF" w:rsidRPr="001F53EF" w:rsidRDefault="001F53EF" w:rsidP="001F53EF">
      <w:pPr>
        <w:spacing w:after="0" w:line="240" w:lineRule="auto"/>
        <w:contextualSpacing/>
        <w:jc w:val="both"/>
        <w:rPr>
          <w:rFonts w:ascii="Times New Roman" w:eastAsia="Calibri" w:hAnsi="Times New Roman" w:cs="Times New Roman"/>
          <w:b/>
          <w:color w:val="000000" w:themeColor="text1"/>
          <w:kern w:val="0"/>
          <w14:ligatures w14:val="none"/>
        </w:rPr>
      </w:pPr>
    </w:p>
    <w:p w14:paraId="0B70341E"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Uz članak 4.</w:t>
      </w:r>
    </w:p>
    <w:p w14:paraId="6A8C22CF" w14:textId="77777777" w:rsidR="001F53EF" w:rsidRPr="001F53EF" w:rsidRDefault="001F53EF" w:rsidP="001F53EF">
      <w:pPr>
        <w:spacing w:after="0" w:line="240" w:lineRule="auto"/>
        <w:contextualSpacing/>
        <w:jc w:val="both"/>
        <w:rPr>
          <w:rFonts w:ascii="Times New Roman" w:eastAsia="Calibri" w:hAnsi="Times New Roman" w:cs="Times New Roman"/>
          <w:b/>
          <w:color w:val="000000" w:themeColor="text1"/>
          <w:kern w:val="0"/>
          <w14:ligatures w14:val="none"/>
        </w:rPr>
      </w:pPr>
    </w:p>
    <w:p w14:paraId="1D205D15"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14:ligatures w14:val="none"/>
        </w:rPr>
      </w:pPr>
      <w:r w:rsidRPr="001F53EF">
        <w:rPr>
          <w:rFonts w:ascii="Times New Roman" w:eastAsia="Calibri" w:hAnsi="Times New Roman" w:cs="Times New Roman"/>
          <w:color w:val="000000" w:themeColor="text1"/>
          <w:kern w:val="0"/>
          <w14:ligatures w14:val="none"/>
        </w:rPr>
        <w:t xml:space="preserve">Osim manje </w:t>
      </w:r>
      <w:proofErr w:type="spellStart"/>
      <w:r w:rsidRPr="001F53EF">
        <w:rPr>
          <w:rFonts w:ascii="Times New Roman" w:eastAsia="Calibri" w:hAnsi="Times New Roman" w:cs="Times New Roman"/>
          <w:color w:val="000000" w:themeColor="text1"/>
          <w:kern w:val="0"/>
          <w14:ligatures w14:val="none"/>
        </w:rPr>
        <w:t>nomotheničke</w:t>
      </w:r>
      <w:proofErr w:type="spellEnd"/>
      <w:r w:rsidRPr="001F53EF">
        <w:rPr>
          <w:rFonts w:ascii="Times New Roman" w:eastAsia="Calibri" w:hAnsi="Times New Roman" w:cs="Times New Roman"/>
          <w:color w:val="000000" w:themeColor="text1"/>
          <w:kern w:val="0"/>
          <w14:ligatures w14:val="none"/>
        </w:rPr>
        <w:t xml:space="preserve"> izmjene u članku 24. stavku 2. točki 2. gdje se iza riječi „od dana“ dodaje se riječ „zaprimanja“, također se iza stavka 2. dodaje se stavak 3. koji pojašnjava situaciju a</w:t>
      </w:r>
      <w:r w:rsidRPr="001F53EF">
        <w:rPr>
          <w:rFonts w:ascii="Times New Roman" w:eastAsia="Calibri" w:hAnsi="Times New Roman" w:cs="Times New Roman"/>
          <w:bCs/>
          <w:color w:val="000000" w:themeColor="text1"/>
          <w:kern w:val="0"/>
          <w14:ligatures w14:val="none"/>
        </w:rPr>
        <w:t>ko je prijava podnesena izravno policiji i/ili državnom odvjetništvu, a ta su tijela ujedno jedina nadležna za postupanje po sadržaju prijave, da se u tom slučaju ne primjenjuje odredba stavka 2. točke 4. ovoga članka.</w:t>
      </w:r>
    </w:p>
    <w:p w14:paraId="7D9FA818"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highlight w:val="yellow"/>
          <w14:ligatures w14:val="none"/>
        </w:rPr>
      </w:pPr>
    </w:p>
    <w:p w14:paraId="7100AD22"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Uz članak 5.</w:t>
      </w:r>
    </w:p>
    <w:p w14:paraId="41FEDA7A" w14:textId="77777777" w:rsidR="001F53EF" w:rsidRPr="001F53EF" w:rsidRDefault="001F53EF" w:rsidP="001F53EF">
      <w:pPr>
        <w:spacing w:after="0" w:line="240" w:lineRule="auto"/>
        <w:contextualSpacing/>
        <w:jc w:val="both"/>
        <w:rPr>
          <w:rFonts w:ascii="Times New Roman" w:eastAsia="Calibri" w:hAnsi="Times New Roman" w:cs="Times New Roman"/>
          <w:b/>
          <w:color w:val="000000" w:themeColor="text1"/>
          <w:kern w:val="0"/>
          <w14:ligatures w14:val="none"/>
        </w:rPr>
      </w:pPr>
    </w:p>
    <w:p w14:paraId="69104E2A"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14:ligatures w14:val="none"/>
        </w:rPr>
      </w:pPr>
      <w:r w:rsidRPr="001F53EF">
        <w:rPr>
          <w:rFonts w:ascii="Times New Roman" w:eastAsia="Calibri" w:hAnsi="Times New Roman" w:cs="Times New Roman"/>
          <w:bCs/>
          <w:color w:val="000000" w:themeColor="text1"/>
          <w:kern w:val="0"/>
          <w14:ligatures w14:val="none"/>
        </w:rPr>
        <w:t xml:space="preserve">U članku 28. koji regulira nadležnost i postupak sudske zaštite prijavitelja nepravilnosti uvode se tri nova stavka kojima se propisuju rokovi za odgovor na tužbu te rok za održanje </w:t>
      </w:r>
      <w:r w:rsidRPr="001F53EF">
        <w:rPr>
          <w:rFonts w:ascii="Times New Roman" w:eastAsia="Times New Roman" w:hAnsi="Times New Roman" w:cs="Times New Roman"/>
          <w:color w:val="000000" w:themeColor="text1"/>
          <w:kern w:val="0"/>
          <w:lang w:eastAsia="hr-HR"/>
          <w14:ligatures w14:val="none"/>
        </w:rPr>
        <w:t>ročište za glavnu raspravu, rok za okončanje postupka pred prvostupanjskim sudom te rok za donošenje odluke o žalbi za drugostupanjski sud, a sve s ciljem da se kroz konkretno navođenje rokova za pojedine faze postupka ubrzaju sudski postupci za zaštitu prijavitelja nepravilnosti.</w:t>
      </w:r>
    </w:p>
    <w:p w14:paraId="319384EA" w14:textId="77777777" w:rsidR="001F53EF" w:rsidRPr="001F53EF" w:rsidRDefault="001F53EF" w:rsidP="001F53EF">
      <w:pPr>
        <w:spacing w:after="0" w:line="240" w:lineRule="auto"/>
        <w:contextualSpacing/>
        <w:jc w:val="both"/>
        <w:rPr>
          <w:rFonts w:ascii="Times New Roman" w:eastAsia="Calibri" w:hAnsi="Times New Roman" w:cs="Times New Roman"/>
          <w:b/>
          <w:color w:val="000000" w:themeColor="text1"/>
          <w:kern w:val="0"/>
          <w14:ligatures w14:val="none"/>
        </w:rPr>
      </w:pPr>
    </w:p>
    <w:p w14:paraId="035ECED1"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lastRenderedPageBreak/>
        <w:t>Uz članak 6. do članka 9.</w:t>
      </w:r>
    </w:p>
    <w:p w14:paraId="6730D82D" w14:textId="77777777" w:rsidR="001F53EF" w:rsidRPr="001F53EF" w:rsidRDefault="001F53EF" w:rsidP="001F53EF">
      <w:pPr>
        <w:spacing w:after="0" w:line="240" w:lineRule="auto"/>
        <w:ind w:firstLine="708"/>
        <w:contextualSpacing/>
        <w:jc w:val="both"/>
        <w:rPr>
          <w:rFonts w:ascii="Times New Roman" w:eastAsia="Calibri" w:hAnsi="Times New Roman" w:cs="Times New Roman"/>
          <w:b/>
          <w:color w:val="000000" w:themeColor="text1"/>
          <w:kern w:val="0"/>
          <w14:ligatures w14:val="none"/>
        </w:rPr>
      </w:pPr>
    </w:p>
    <w:p w14:paraId="57E235A6"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14:ligatures w14:val="none"/>
        </w:rPr>
      </w:pPr>
      <w:r w:rsidRPr="001F53EF">
        <w:rPr>
          <w:rFonts w:ascii="Times New Roman" w:eastAsia="Calibri" w:hAnsi="Times New Roman" w:cs="Times New Roman"/>
          <w:bCs/>
          <w:color w:val="000000" w:themeColor="text1"/>
          <w:kern w:val="0"/>
          <w14:ligatures w14:val="none"/>
        </w:rPr>
        <w:t xml:space="preserve">U člancima 6., 7., 8. i 9. povećan je raspon novčanih sankcija za prekršaje i promijenjena je valuta iz kune u euro. </w:t>
      </w:r>
    </w:p>
    <w:p w14:paraId="1C311273" w14:textId="77777777" w:rsidR="001F53EF" w:rsidRPr="001F53EF" w:rsidRDefault="001F53EF" w:rsidP="001F53EF">
      <w:pPr>
        <w:spacing w:after="0" w:line="240" w:lineRule="auto"/>
        <w:contextualSpacing/>
        <w:jc w:val="both"/>
        <w:rPr>
          <w:rFonts w:ascii="Times New Roman" w:eastAsia="Calibri" w:hAnsi="Times New Roman" w:cs="Times New Roman"/>
          <w:b/>
          <w:color w:val="000000" w:themeColor="text1"/>
          <w:kern w:val="0"/>
          <w:highlight w:val="yellow"/>
          <w14:ligatures w14:val="none"/>
        </w:rPr>
      </w:pPr>
    </w:p>
    <w:p w14:paraId="219D83E5"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Uz članak 10.</w:t>
      </w:r>
    </w:p>
    <w:p w14:paraId="32D9B1EC" w14:textId="77777777" w:rsidR="001F53EF" w:rsidRPr="001F53EF" w:rsidRDefault="001F53EF" w:rsidP="001F53EF">
      <w:pPr>
        <w:spacing w:after="0" w:line="240" w:lineRule="auto"/>
        <w:contextualSpacing/>
        <w:jc w:val="both"/>
        <w:rPr>
          <w:rFonts w:ascii="Times New Roman" w:eastAsia="Calibri" w:hAnsi="Times New Roman" w:cs="Times New Roman"/>
          <w:b/>
          <w:color w:val="000000" w:themeColor="text1"/>
          <w:kern w:val="0"/>
          <w:highlight w:val="yellow"/>
          <w14:ligatures w14:val="none"/>
        </w:rPr>
      </w:pPr>
    </w:p>
    <w:p w14:paraId="648B7A62" w14:textId="77777777" w:rsidR="001F53EF" w:rsidRPr="001F53EF" w:rsidRDefault="001F53EF" w:rsidP="001F53EF">
      <w:pPr>
        <w:spacing w:after="0" w:line="240" w:lineRule="auto"/>
        <w:contextualSpacing/>
        <w:jc w:val="both"/>
        <w:rPr>
          <w:rFonts w:ascii="Times New Roman" w:eastAsia="Calibri" w:hAnsi="Times New Roman" w:cs="Times New Roman"/>
          <w:bCs/>
          <w:color w:val="000000" w:themeColor="text1"/>
          <w:kern w:val="0"/>
          <w14:ligatures w14:val="none"/>
        </w:rPr>
      </w:pPr>
      <w:r w:rsidRPr="001F53EF">
        <w:rPr>
          <w:rFonts w:ascii="Times New Roman" w:eastAsia="Calibri" w:hAnsi="Times New Roman" w:cs="Times New Roman"/>
          <w:bCs/>
          <w:color w:val="000000" w:themeColor="text1"/>
          <w:kern w:val="0"/>
          <w14:ligatures w14:val="none"/>
        </w:rPr>
        <w:t>Ovim se člankom propisuje da se prilog Zakonu o zaštiti prijavitelja nepravilnosti („Narodne novine“, broj 46/22.) zamjenjuje novim tekstom, koji se nalazi u prilogu ovoga Zakona i čini njegov sastavni dio.</w:t>
      </w:r>
    </w:p>
    <w:p w14:paraId="55E2DEA9" w14:textId="77777777" w:rsidR="001F53EF" w:rsidRPr="001F53EF" w:rsidRDefault="001F53EF" w:rsidP="001F53EF">
      <w:pPr>
        <w:spacing w:after="0" w:line="240" w:lineRule="auto"/>
        <w:contextualSpacing/>
        <w:jc w:val="both"/>
        <w:rPr>
          <w:rFonts w:ascii="Times New Roman" w:eastAsia="Calibri" w:hAnsi="Times New Roman" w:cs="Times New Roman"/>
          <w:b/>
          <w:color w:val="000000" w:themeColor="text1"/>
          <w:kern w:val="0"/>
          <w:highlight w:val="yellow"/>
          <w14:ligatures w14:val="none"/>
        </w:rPr>
      </w:pPr>
    </w:p>
    <w:p w14:paraId="7B84EA29" w14:textId="77777777" w:rsidR="001F53EF" w:rsidRPr="00B435BE" w:rsidRDefault="001F53EF" w:rsidP="001F53EF">
      <w:pPr>
        <w:pStyle w:val="Naslov3"/>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t>Uz članak 11.</w:t>
      </w:r>
    </w:p>
    <w:p w14:paraId="35180EE5" w14:textId="77777777" w:rsidR="001F53EF" w:rsidRPr="001F53EF" w:rsidRDefault="001F53EF" w:rsidP="001F53EF">
      <w:pPr>
        <w:spacing w:after="0" w:line="240" w:lineRule="auto"/>
        <w:contextualSpacing/>
        <w:jc w:val="both"/>
        <w:rPr>
          <w:rFonts w:ascii="Times New Roman" w:eastAsia="Calibri" w:hAnsi="Times New Roman" w:cs="Times New Roman"/>
          <w:b/>
          <w:color w:val="000000" w:themeColor="text1"/>
          <w:kern w:val="0"/>
          <w14:ligatures w14:val="none"/>
        </w:rPr>
      </w:pPr>
    </w:p>
    <w:p w14:paraId="77004586" w14:textId="77777777" w:rsidR="001F53EF" w:rsidRPr="001F53EF" w:rsidRDefault="001F53EF" w:rsidP="001F53EF">
      <w:pPr>
        <w:autoSpaceDE w:val="0"/>
        <w:autoSpaceDN w:val="0"/>
        <w:adjustRightInd w:val="0"/>
        <w:spacing w:after="0" w:line="240" w:lineRule="auto"/>
        <w:jc w:val="both"/>
        <w:rPr>
          <w:rFonts w:ascii="Times New Roman" w:eastAsia="Calibri" w:hAnsi="Times New Roman" w:cs="Times New Roman"/>
          <w:color w:val="000000" w:themeColor="text1"/>
          <w:kern w:val="0"/>
          <w14:ligatures w14:val="none"/>
        </w:rPr>
      </w:pPr>
      <w:r w:rsidRPr="001F53EF">
        <w:rPr>
          <w:rFonts w:ascii="Times New Roman" w:eastAsia="Calibri" w:hAnsi="Times New Roman" w:cs="Times New Roman"/>
          <w:color w:val="000000" w:themeColor="text1"/>
          <w:kern w:val="0"/>
          <w14:ligatures w14:val="none"/>
        </w:rPr>
        <w:t>Ovim se člankom propisuje se da će ovaj Zakon stupiti na snagu osmog dana od dana objave u ,,Narodnim novinama“.</w:t>
      </w:r>
    </w:p>
    <w:p w14:paraId="607819D1" w14:textId="77777777" w:rsidR="001F53EF" w:rsidRPr="001F53EF" w:rsidRDefault="001F53EF" w:rsidP="001F53EF">
      <w:pPr>
        <w:spacing w:line="259" w:lineRule="auto"/>
        <w:rPr>
          <w:rFonts w:ascii="Times New Roman" w:eastAsia="Calibri" w:hAnsi="Times New Roman" w:cs="Times New Roman"/>
          <w:b/>
          <w:bCs/>
          <w:color w:val="000000" w:themeColor="text1"/>
          <w:kern w:val="0"/>
          <w:sz w:val="22"/>
          <w:szCs w:val="22"/>
          <w14:ligatures w14:val="none"/>
        </w:rPr>
      </w:pPr>
    </w:p>
    <w:p w14:paraId="7A8355BE" w14:textId="77777777" w:rsidR="001F53EF" w:rsidRPr="001F53EF" w:rsidRDefault="001F53EF" w:rsidP="001F53EF">
      <w:pPr>
        <w:spacing w:after="0" w:line="240" w:lineRule="auto"/>
        <w:jc w:val="both"/>
        <w:rPr>
          <w:rFonts w:ascii="Times New Roman" w:eastAsia="Calibri" w:hAnsi="Times New Roman" w:cs="Times New Roman"/>
          <w:color w:val="000000" w:themeColor="text1"/>
          <w:kern w:val="0"/>
          <w14:ligatures w14:val="none"/>
        </w:rPr>
      </w:pPr>
    </w:p>
    <w:p w14:paraId="1B7D4CAB" w14:textId="77777777" w:rsidR="001F53EF" w:rsidRPr="001F53EF" w:rsidRDefault="001F53EF" w:rsidP="001F53EF">
      <w:pPr>
        <w:spacing w:line="259" w:lineRule="auto"/>
        <w:rPr>
          <w:rFonts w:ascii="Calibri" w:eastAsia="Calibri" w:hAnsi="Calibri" w:cs="Times New Roman"/>
          <w:color w:val="000000" w:themeColor="text1"/>
          <w:kern w:val="0"/>
          <w:sz w:val="22"/>
          <w:szCs w:val="22"/>
          <w14:ligatures w14:val="none"/>
        </w:rPr>
      </w:pPr>
    </w:p>
    <w:p w14:paraId="30F2EC4D"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p>
    <w:p w14:paraId="726017F1" w14:textId="77777777" w:rsidR="001F53EF" w:rsidRPr="001F53EF" w:rsidRDefault="001F53EF" w:rsidP="001F53EF">
      <w:pPr>
        <w:spacing w:after="0" w:line="240" w:lineRule="auto"/>
        <w:ind w:firstLine="708"/>
        <w:jc w:val="both"/>
        <w:rPr>
          <w:rFonts w:ascii="Times New Roman" w:eastAsia="Calibri" w:hAnsi="Times New Roman" w:cs="Times New Roman"/>
          <w:color w:val="000000" w:themeColor="text1"/>
          <w:kern w:val="0"/>
          <w14:ligatures w14:val="none"/>
        </w:rPr>
      </w:pPr>
    </w:p>
    <w:p w14:paraId="6B836DD0" w14:textId="77777777" w:rsidR="001F53EF" w:rsidRPr="001F53EF" w:rsidRDefault="001F53EF" w:rsidP="001F53EF">
      <w:pPr>
        <w:spacing w:line="259" w:lineRule="auto"/>
        <w:jc w:val="center"/>
        <w:rPr>
          <w:rFonts w:ascii="Times New Roman" w:eastAsia="Times New Roman" w:hAnsi="Times New Roman" w:cs="Times New Roman"/>
          <w:b/>
          <w:bCs/>
          <w:color w:val="000000" w:themeColor="text1"/>
          <w:kern w:val="0"/>
          <w:lang w:eastAsia="hr-HR"/>
          <w14:ligatures w14:val="none"/>
        </w:rPr>
      </w:pPr>
    </w:p>
    <w:p w14:paraId="2C18A8BE" w14:textId="77777777" w:rsidR="001F53EF" w:rsidRPr="001F53EF" w:rsidRDefault="001F53EF" w:rsidP="001F53EF">
      <w:pPr>
        <w:spacing w:line="259" w:lineRule="auto"/>
        <w:rPr>
          <w:rFonts w:ascii="Times New Roman" w:eastAsia="Calibri" w:hAnsi="Times New Roman" w:cs="Times New Roman"/>
          <w:b/>
          <w:bCs/>
          <w:color w:val="000000" w:themeColor="text1"/>
          <w:kern w:val="0"/>
          <w:sz w:val="22"/>
          <w:szCs w:val="22"/>
          <w14:ligatures w14:val="none"/>
        </w:rPr>
      </w:pPr>
      <w:r w:rsidRPr="001F53EF">
        <w:rPr>
          <w:rFonts w:ascii="Times New Roman" w:eastAsia="Calibri" w:hAnsi="Times New Roman" w:cs="Times New Roman"/>
          <w:b/>
          <w:bCs/>
          <w:color w:val="000000" w:themeColor="text1"/>
          <w:kern w:val="0"/>
          <w:sz w:val="22"/>
          <w:szCs w:val="22"/>
          <w14:ligatures w14:val="none"/>
        </w:rPr>
        <w:br w:type="page"/>
      </w:r>
    </w:p>
    <w:p w14:paraId="490E5551" w14:textId="77777777" w:rsidR="001F53EF" w:rsidRPr="00B435BE" w:rsidRDefault="001F53EF" w:rsidP="001F53EF">
      <w:pPr>
        <w:pStyle w:val="Naslov2"/>
        <w:jc w:val="center"/>
        <w:rPr>
          <w:rFonts w:ascii="Times New Roman" w:eastAsia="Calibri" w:hAnsi="Times New Roman" w:cs="Times New Roman"/>
          <w:b/>
          <w:bCs/>
          <w:color w:val="000000" w:themeColor="text1"/>
          <w:sz w:val="24"/>
          <w:szCs w:val="24"/>
        </w:rPr>
      </w:pPr>
      <w:r w:rsidRPr="00B435BE">
        <w:rPr>
          <w:rFonts w:ascii="Times New Roman" w:eastAsia="Calibri" w:hAnsi="Times New Roman" w:cs="Times New Roman"/>
          <w:b/>
          <w:bCs/>
          <w:color w:val="000000" w:themeColor="text1"/>
          <w:sz w:val="24"/>
          <w:szCs w:val="24"/>
        </w:rPr>
        <w:lastRenderedPageBreak/>
        <w:t>TEKST ODREDBI VAŽEĆEG ZAKONA KOJE SE MIJENJAJU I DOPUNJUJU</w:t>
      </w:r>
    </w:p>
    <w:p w14:paraId="45EBEB87"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bdr w:val="none" w:sz="0" w:space="0" w:color="auto" w:frame="1"/>
          <w:lang w:eastAsia="hr-HR"/>
        </w:rPr>
        <w:t>Područje primjene Zakona</w:t>
      </w:r>
    </w:p>
    <w:p w14:paraId="06B7717D"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Članak 4.</w:t>
      </w:r>
    </w:p>
    <w:p w14:paraId="46897AE9"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Ovim Zakonom propisuje se zaštita osoba koje prijavljuju nepravilnosti:</w:t>
      </w:r>
    </w:p>
    <w:p w14:paraId="233D26D2"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a) koje su obuhvaćene područjem primjene akata Europske unije navedenih u dijelu I. Priloga ovom Zakonu koji se odnose na sljedeća područja:</w:t>
      </w:r>
    </w:p>
    <w:p w14:paraId="7C070886"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javnu nabavu</w:t>
      </w:r>
    </w:p>
    <w:p w14:paraId="34DEEC66"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financijske usluge, proizvode i tržišta te sprječavanje pranja novca i financiranja terorizma</w:t>
      </w:r>
    </w:p>
    <w:p w14:paraId="671FD84C"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sigurnost i sukladnost proizvoda</w:t>
      </w:r>
    </w:p>
    <w:p w14:paraId="4BB9D43E"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sigurnost prometa</w:t>
      </w:r>
    </w:p>
    <w:p w14:paraId="3310394C"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zaštitu okoliša</w:t>
      </w:r>
    </w:p>
    <w:p w14:paraId="1072EC3C"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zaštitu od zračenja i nuklearnu sigurnost</w:t>
      </w:r>
    </w:p>
    <w:p w14:paraId="23DD622F"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sigurnost hrane i hrane za životinje, zdravlje i dobrobit životinja</w:t>
      </w:r>
    </w:p>
    <w:p w14:paraId="7F0C7B3D"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javno zdravlje</w:t>
      </w:r>
    </w:p>
    <w:p w14:paraId="1CE0CF05"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zaštitu potrošača</w:t>
      </w:r>
    </w:p>
    <w:p w14:paraId="7772B008"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zaštitu privatnosti i osobnih podataka te sigurnost mrežnih i informacijskih sustava.</w:t>
      </w:r>
    </w:p>
    <w:p w14:paraId="05D80C1C"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b) koje utječu na financijske interese Europske unije kako je navedeno u članku 325. Ugovora o funkcioniranju Europske unije i dodatno utvrđeno u relevantnim mjerama Europske unije</w:t>
      </w:r>
    </w:p>
    <w:p w14:paraId="4C55428C"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c) koje se odnose na unutarnje tržište, kako je navedeno u članku 26. stavku 2. Ugovora o funkcioniranju Europske unije, uključujući povrede pravila Europske unije o tržišnom natjecanju i državnim potporama, kao i povrede koje se odnose na unutarnje tržište u odnosu na radnje kojima se krše pravila o porezu na dobit ili aranžmane čija je svrha ostvariti poreznu prednost koja je u suprotnosti s ciljem ili svrhom primjenjivog zakonodavstva o porezu na dobit</w:t>
      </w:r>
    </w:p>
    <w:p w14:paraId="7DE6CD6C"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 koje se odnose na druge odredbe nacionalnog prava ako se takvim kršenjem ugrožava i javni interes.</w:t>
      </w:r>
    </w:p>
    <w:p w14:paraId="1A639CE6"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Odredbe ovoga Zakona ne primjenjuju se na području obrane i nacionalne sigurnosti osim ako ista nisu obuhvaćena zakonodavstvom Europske unije navedenim u dijelu I. Priloga ovom Zakonu.</w:t>
      </w:r>
    </w:p>
    <w:p w14:paraId="7A86F659"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U skladu sa stavkom 2. ovoga članka, tijela u čijem su djelokrugu poslovi nacionalne sigurnosti i obrane donijet će posebni akt kojim će se urediti zaštita prijavitelja nepravilnosti te postupak prijavljivanja nepravilnosti u području ključnih sigurnosnih i obrambenih interesa, a vodeći račina o zaštiti ključnih sigurnosnih i obrambenih interesa.</w:t>
      </w:r>
    </w:p>
    <w:p w14:paraId="26A5A986" w14:textId="77777777" w:rsidR="001F53EF" w:rsidRPr="001F53EF" w:rsidRDefault="001F53EF" w:rsidP="001F53EF">
      <w:pPr>
        <w:spacing w:line="259" w:lineRule="auto"/>
        <w:rPr>
          <w:rFonts w:ascii="Times New Roman" w:eastAsia="Calibri" w:hAnsi="Times New Roman" w:cs="Times New Roman"/>
          <w:color w:val="000000" w:themeColor="text1"/>
          <w:kern w:val="0"/>
          <w14:ligatures w14:val="none"/>
        </w:rPr>
      </w:pPr>
    </w:p>
    <w:p w14:paraId="3C653074"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bdr w:val="none" w:sz="0" w:space="0" w:color="auto" w:frame="1"/>
          <w:lang w:eastAsia="hr-HR"/>
        </w:rPr>
        <w:t>Uvjeti za zaštitu prijavitelja</w:t>
      </w:r>
    </w:p>
    <w:p w14:paraId="1100A384"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Članak 12.</w:t>
      </w:r>
    </w:p>
    <w:p w14:paraId="608DBC78"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Prijavitelji nepravilnosti ostvaruju pravo na zaštitu predviđenu ovim Zakonom ako su imali opravdan razlog vjerovati da su prijavljene ili javno razotkrivene informacije o nepravilnostima istinite u trenutku prijave ili razotkrivanja te da su te informacije obuhvaćene područjem primjene ovoga Zakona te ako su podnijeli prijavu u skladu s odredbama ovoga Zakona sustavom unutarnjeg ili vanjskog prijavljivanja nepravilnosti ili su javno razotkrili nepravilnost.</w:t>
      </w:r>
    </w:p>
    <w:p w14:paraId="3884264E"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(2) Osobe koje su anonimno prijavile ili javno razotkrile informacije o nepravilnostima, a koje ispunjavaju uvjete iz stavka 1. ovoga članka i čiji je identitet naknadno utvrđen te trpe osvetu, imaju pravo na zaštitu neovisno o tome što su prijavu podnijele anonimno.</w:t>
      </w:r>
    </w:p>
    <w:p w14:paraId="40BE4897"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Osobe koje nepravilnosti obuhvaćene područjem primjene iz dijela I. i II. Priloga ovom Zakonu prijavljuju nadležnim institucijama, tijelima, uredima ili agencijama Europske unije imaju pravo na zaštitu propisanu ovim Zakonom pod istim uvjetima kao osobe koje podnose prijavu nadležnom tijelu za vanjsko prijavljivanje.</w:t>
      </w:r>
    </w:p>
    <w:p w14:paraId="5EF3A2EB" w14:textId="77777777" w:rsidR="001F53EF" w:rsidRPr="001F53EF" w:rsidRDefault="001F53EF" w:rsidP="001F53EF">
      <w:pPr>
        <w:spacing w:line="259" w:lineRule="auto"/>
        <w:jc w:val="both"/>
        <w:rPr>
          <w:rFonts w:ascii="Times New Roman" w:eastAsia="Calibri" w:hAnsi="Times New Roman" w:cs="Times New Roman"/>
          <w:color w:val="000000" w:themeColor="text1"/>
          <w:kern w:val="0"/>
          <w14:ligatures w14:val="none"/>
        </w:rPr>
      </w:pPr>
    </w:p>
    <w:p w14:paraId="43BDF7F3"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bdr w:val="none" w:sz="0" w:space="0" w:color="auto" w:frame="1"/>
          <w:lang w:eastAsia="hr-HR"/>
        </w:rPr>
        <w:t>Vanjsko prijavljivanje nepravilnosti</w:t>
      </w:r>
    </w:p>
    <w:p w14:paraId="69DDF24D"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Članak 23.</w:t>
      </w:r>
    </w:p>
    <w:p w14:paraId="02A569B0"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Vanjsko prijavljivanje nepravilnosti je prijavljivanje nepravilnosti nadležnom tijelu.</w:t>
      </w:r>
    </w:p>
    <w:p w14:paraId="1ED44621"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Prijavitelj nepravilnosti može prijaviti nepravilnost nadležnom tijelu za vanjsko prijavljivanje nepravilnosti:</w:t>
      </w:r>
    </w:p>
    <w:p w14:paraId="50931484"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nakon što je prvo podnio prijavu kroz sustav unutarnjeg prijavljivanja ili</w:t>
      </w:r>
    </w:p>
    <w:p w14:paraId="3586E318"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izravno nadležnom tijelu za vanjsko prijavljivanje.</w:t>
      </w:r>
    </w:p>
    <w:p w14:paraId="12C2F314"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Ako prijava nepravilnosti nije zaprimljena putem sustava za vanjsko prijavljivanje ili su je u tijelu nadležnom za vanjsko prijavljivanje zaprimile osobe koje nisu nadležne za postupanje s prijavama, iste su ih dužne bez odgode i bez izmjena proslijediti osobama nadležnima za postupanje.</w:t>
      </w:r>
    </w:p>
    <w:p w14:paraId="5BF3F432"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(4) Osobe iz stavka 3. ovoga članka su pri postupanju s prijavom nepravilnosti dužne štititi identitet prijavitelja i prijavljene osobe te podatke iz prijave.</w:t>
      </w:r>
    </w:p>
    <w:p w14:paraId="38EC0944" w14:textId="77777777" w:rsidR="001F53EF" w:rsidRPr="001F53EF" w:rsidRDefault="001F53EF" w:rsidP="001F53EF">
      <w:pPr>
        <w:shd w:val="clear" w:color="auto" w:fill="FFFFFF"/>
        <w:spacing w:after="0" w:line="240" w:lineRule="auto"/>
        <w:jc w:val="center"/>
        <w:textAlignment w:val="baseline"/>
        <w:rPr>
          <w:rFonts w:ascii="Minion Pro" w:eastAsia="Times New Roman" w:hAnsi="Minion Pro" w:cs="Times New Roman"/>
          <w:i/>
          <w:iCs/>
          <w:color w:val="000000" w:themeColor="text1"/>
          <w:kern w:val="0"/>
          <w:sz w:val="26"/>
          <w:szCs w:val="26"/>
          <w:bdr w:val="none" w:sz="0" w:space="0" w:color="auto" w:frame="1"/>
          <w:lang w:eastAsia="hr-HR"/>
          <w14:ligatures w14:val="none"/>
        </w:rPr>
      </w:pPr>
    </w:p>
    <w:p w14:paraId="522C4D25"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bdr w:val="none" w:sz="0" w:space="0" w:color="auto" w:frame="1"/>
          <w:lang w:eastAsia="hr-HR"/>
        </w:rPr>
        <w:t>Nadležno tijelo za vanjsko prijavljivanje nepravilnosti</w:t>
      </w:r>
    </w:p>
    <w:p w14:paraId="08985D4F"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Članak 24.</w:t>
      </w:r>
    </w:p>
    <w:p w14:paraId="58406382"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Nadležno tijelo za vanjsko prijavljivanje nepravilnosti je pučki pravobranitelj.</w:t>
      </w:r>
    </w:p>
    <w:p w14:paraId="39365AD4"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Pučki pravobranitelj sukladno ovom Zakonu:</w:t>
      </w:r>
    </w:p>
    <w:p w14:paraId="7547405E"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zaprima prijavu o nepravilnosti</w:t>
      </w:r>
    </w:p>
    <w:p w14:paraId="497D4FAF"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bez odgode, a najkasnije u roku od sedam dana od dana prijave, potvrđuje taj primitak, osim ako je prijavitelj izričito zatražio suprotno ili ako nadležno tijelo opravdano vjeruje da bi se potvrdom primitka prijave ugrozila zaštita identiteta prijavitelja</w:t>
      </w:r>
    </w:p>
    <w:p w14:paraId="6766B806"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ispituje pojedinačne prijave radi poduzimanja radnji iz svoje nadležnosti potrebnih za zaštitu prava prijavitelja, ako je prijavitelj nepravilnosti učinio vjerojatnim da jest ili bi mogao biti žrtva osvete zbog prijave nepravilnosti</w:t>
      </w:r>
    </w:p>
    <w:p w14:paraId="6AAEBB02"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4. prijavu o nepravilnosti u razumnom roku na siguran način prosljeđuje tijelima ovlaštenim za postupanje prema sadržaju prijave te o tome bez odgađanja obavještava prijavitelja nepravilnosti</w:t>
      </w:r>
    </w:p>
    <w:p w14:paraId="4C492D18"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5. izrađuje izvještaj kojim ocjenjuje jesu li ugrožena ili povrijeđena ustavna ili zakonska prava prijavitelja nepravilnosti</w:t>
      </w:r>
    </w:p>
    <w:p w14:paraId="2E53C4BE"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6. daje opće pravne informacije o postupcima prijavljivanja i javnog razotkrivanja nepravilnosti te o zaštiti prava u skladu s ovim Zakonom</w:t>
      </w:r>
    </w:p>
    <w:p w14:paraId="5EAF6A63"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7. čuva identitet prijavitelja nepravilnosti i podatke zaprimljene u prijavi od neovlaštenog otkrivanja odnosno objave drugim osobama, osim ako to nije suprotno nacionalnom pravu</w:t>
      </w:r>
    </w:p>
    <w:p w14:paraId="0A914F1B"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8. u svom godišnjem izvješću izvješćuje Hrvatski sabor o zaštiti prijavitelja nepravilnosti, a to može činiti i posebnim izvješćima ako se radi o ugroženosti ustavnih i zakonskih prava većeg stupnja ili značaja</w:t>
      </w:r>
    </w:p>
    <w:p w14:paraId="03946AF2"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9. nadležnim institucijama, tijelima, uredima ili agencijama Europske unije pravodobno prosljeđuje informacije iz prijave radi provođenja daljnje istrage, ako je tako predviđeno pravom Europske unije ili nacionalnim pravom</w:t>
      </w:r>
    </w:p>
    <w:p w14:paraId="6FD778DD"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10. na svojim mrežnim stranicama u zasebnom, lako prepoznatljivom i lako dostupnom odjeljku objavljuje opće informacije o primitku prijava i daljnjem postupanju na temelju njih te druge opće informacije relevantne za primjenu ovoga Zakona, a osobito:</w:t>
      </w:r>
    </w:p>
    <w:p w14:paraId="3844A3E8"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a) uvjete pod kojima se ostvaruje pravo na zaštitu</w:t>
      </w:r>
    </w:p>
    <w:p w14:paraId="3C50CB3B"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b) podatke za kontakt za zaprimanje prijava, posebno adresu elektroničke pošte i poštansku adresu te brojeve telefona, uz napomenu snimaju li se telefonski razgovori</w:t>
      </w:r>
    </w:p>
    <w:p w14:paraId="02916902"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c) postupke koji se primjenjuju na prijavu nepravilnosti, uključujući način na koji nadležno tijelo može od prijavitelja zatražiti objašnjenje prijavljene informacije ili pružanje dodatnih informacija, rok za pružanje povratne informacije te vrstu i sadržaj takve povratne informacije</w:t>
      </w:r>
    </w:p>
    <w:p w14:paraId="1F762BA6"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d) opis sustava zaštite povjerljivosti koji se primjenjuje na prijave, u skladu s člankom 16. ovoga Zakona i odredbama nacionalnog prava</w:t>
      </w:r>
    </w:p>
    <w:p w14:paraId="13754272"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e) vrstu potrebnog daljnjeg postupanja prema prijavi</w:t>
      </w:r>
    </w:p>
    <w:p w14:paraId="1482D04E"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f) pravna sredstva i postupke za zaštitu od osvete te mogućnosti dobivanja povjerljivih savjeta za osobe koje razmatraju podnošenje prijave</w:t>
      </w:r>
    </w:p>
    <w:p w14:paraId="797DFF59"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g) izjavu u kojoj se jasno obrazlažu uvjeti pod kojima su osobe koje podnose prijavu nadležnom tijelu zaštićene od odgovornosti za povredu povjerljivosti.</w:t>
      </w:r>
    </w:p>
    <w:p w14:paraId="71B9F051"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Pučki pravobranitelj, u okviru svojih ustavnih ovlasti, provodi postupak zaštite prijavitelja nepravilnosti, povezanih osoba i povjerljivih osoba te njihovih zamjenika sukladno propisima koje primjenjuje te odredbama ovoga Zakona.</w:t>
      </w:r>
    </w:p>
    <w:p w14:paraId="05453E5A" w14:textId="77777777" w:rsidR="001F53EF" w:rsidRPr="001F53EF" w:rsidRDefault="001F53EF" w:rsidP="001F53EF">
      <w:pPr>
        <w:shd w:val="clear" w:color="auto" w:fill="FFFFFF"/>
        <w:spacing w:after="48" w:line="240" w:lineRule="auto"/>
        <w:ind w:firstLine="408"/>
        <w:textAlignment w:val="baseline"/>
        <w:rPr>
          <w:rFonts w:ascii="Times New Roman" w:eastAsia="Times New Roman" w:hAnsi="Times New Roman" w:cs="Times New Roman"/>
          <w:color w:val="000000" w:themeColor="text1"/>
          <w:kern w:val="0"/>
          <w:lang w:eastAsia="hr-HR"/>
          <w14:ligatures w14:val="none"/>
        </w:rPr>
      </w:pPr>
    </w:p>
    <w:p w14:paraId="4C75BDF7"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bdr w:val="none" w:sz="0" w:space="0" w:color="auto" w:frame="1"/>
          <w:lang w:eastAsia="hr-HR"/>
        </w:rPr>
        <w:t>Nadležnost i postupak sudske zaštite prijavitelja</w:t>
      </w:r>
    </w:p>
    <w:p w14:paraId="5C057A34"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Članak 28.</w:t>
      </w:r>
    </w:p>
    <w:p w14:paraId="592E160C"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U postupku sudske zaštite prijavitelja nepravilnosti stvarno su nadležni:</w:t>
      </w:r>
    </w:p>
    <w:p w14:paraId="5810BF8C"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općinski sudovi i Općinski radni sud u Zagrebu</w:t>
      </w:r>
    </w:p>
    <w:p w14:paraId="15913B00"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trgovački sudovi ako tužba za zaštitu prijavitelja nepravilnosti proizlazi iz spora za koji je taj sud stvarno nadležan u skladu s odredbama zakona kojim je uređen parnični postupak</w:t>
      </w:r>
    </w:p>
    <w:p w14:paraId="7F911A01"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upravni sudovi ako tužba za zaštitu prijavitelja nepravilnosti proizlazi iz upravnog spora za koji je taj sud stvarno nadležan u skladu s odredbama zakona kojim je uređen upravni spor.</w:t>
      </w:r>
    </w:p>
    <w:p w14:paraId="7C9FA29A"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U postupku sudske zaštite prijavitelja nepravilnosti mjesno je nadležan sud sjedišta, prebivališta ili boravišta tuženika ili tužitelja, ili sud na čijem je području osveta poduzeta ili je nastupila njezina posljedica.</w:t>
      </w:r>
    </w:p>
    <w:p w14:paraId="132DF319"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U postupku sudske zaštite prijavitelja nepravilnosti, a osobito pri određivanju rokova i ročišta, sud će uvijek obraćati osobitu pozornost na potrebu hitnog rješavanja sporova za zaštitu prijavitelja nepravilnosti.</w:t>
      </w:r>
    </w:p>
    <w:p w14:paraId="64D3B104" w14:textId="77777777" w:rsidR="001F53EF" w:rsidRPr="001F53EF" w:rsidRDefault="001F53EF" w:rsidP="001F53EF">
      <w:pPr>
        <w:shd w:val="clear" w:color="auto" w:fill="FFFFFF"/>
        <w:spacing w:after="48" w:line="240" w:lineRule="auto"/>
        <w:ind w:firstLine="408"/>
        <w:textAlignment w:val="baseline"/>
        <w:rPr>
          <w:rFonts w:ascii="Times New Roman" w:eastAsia="Times New Roman" w:hAnsi="Times New Roman" w:cs="Times New Roman"/>
          <w:color w:val="000000" w:themeColor="text1"/>
          <w:kern w:val="0"/>
          <w:lang w:eastAsia="hr-HR"/>
          <w14:ligatures w14:val="none"/>
        </w:rPr>
      </w:pPr>
    </w:p>
    <w:p w14:paraId="283AC35E"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lastRenderedPageBreak/>
        <w:t>V. PREKRŠAJNE ODREDBE</w:t>
      </w:r>
    </w:p>
    <w:p w14:paraId="7165A99D"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Članak 35.</w:t>
      </w:r>
    </w:p>
    <w:p w14:paraId="6428DC47"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Novčanom kaznom u iznosu od 10.000,00 do 30.000,00 kuna kaznit će se za prekršaj poslodavac pravna osoba ako:</w:t>
      </w:r>
    </w:p>
    <w:p w14:paraId="0E976D88"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ne donese akt iz članka 21. stavka 1. ovoga Zakona u roku od dva mjeseca od dana stupanja na snagu ovoga Zakona (članak 41. stavak 2.)</w:t>
      </w:r>
    </w:p>
    <w:p w14:paraId="6251B6CC"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opći akt iz članka 21. stavka 1. ovoga Zakona na prikladan način ne učini dostupnim svim osobama u radnom okruženju, zajedno sa svim informacijama bitnima za podnošenje prijave nepravilnosti (članak 20. stavak 1. točka 1.)</w:t>
      </w:r>
    </w:p>
    <w:p w14:paraId="73DE9961"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ne uspostavi sustav za unutarnje prijavljivanje nepravilnosti (članak 19. stavci 2. i 3.)</w:t>
      </w:r>
    </w:p>
    <w:p w14:paraId="3DAF264F"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4. ne čuva podatke zaprimljene u prijavi od neovlaštenog otkrivanja (članak 20. stavak 1. točka 4.)</w:t>
      </w:r>
    </w:p>
    <w:p w14:paraId="035D7926"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5. ne imenuje povjerljivu osobu ili njezina zamjenika iz članka 20. stavka 2. u roku od tri mjeseca od dana stupanja na snagu ovoga Zakona (članak 41. stavak 3.)</w:t>
      </w:r>
    </w:p>
    <w:p w14:paraId="33FD4F1E"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6. ne osigura uvjete za vođenje evidencije o svakoj zaprimljenoj prijavi sukladno članku 18. (članak 20. stavak 1. točka 5.)</w:t>
      </w:r>
    </w:p>
    <w:p w14:paraId="17D1011A"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7. ne poduzme mjere radi otklanjanja utvrđenih nepravilnosti (članak 20. stavak 1. točka 6.).</w:t>
      </w:r>
    </w:p>
    <w:p w14:paraId="4823F5B2"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Za prekršaje iz stavka 1. ovoga članka novčanom kaznom u iznosu od 1000,00 do 10.000,00 kuna kaznit će se i odgovorna osoba u pravnoj osobi.</w:t>
      </w:r>
    </w:p>
    <w:p w14:paraId="269590CC"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Za prekršaje iz stavka 1. ovoga članka novčanom kaznom u iznosu od 1000,00 do 10.000,00 kuna kaznit će se i fizička osoba obrtnik.</w:t>
      </w:r>
    </w:p>
    <w:p w14:paraId="52E0A17F" w14:textId="77777777" w:rsidR="001F53EF" w:rsidRPr="001F53EF" w:rsidRDefault="001F53EF" w:rsidP="001F53EF">
      <w:pPr>
        <w:shd w:val="clear" w:color="auto" w:fill="FFFFFF"/>
        <w:spacing w:before="103" w:after="48" w:line="240" w:lineRule="auto"/>
        <w:jc w:val="center"/>
        <w:textAlignment w:val="baseline"/>
        <w:rPr>
          <w:rFonts w:ascii="Times New Roman" w:eastAsia="Times New Roman" w:hAnsi="Times New Roman" w:cs="Times New Roman"/>
          <w:color w:val="000000" w:themeColor="text1"/>
          <w:kern w:val="0"/>
          <w:lang w:eastAsia="hr-HR"/>
          <w14:ligatures w14:val="none"/>
        </w:rPr>
      </w:pPr>
    </w:p>
    <w:p w14:paraId="0EA0789B" w14:textId="77777777" w:rsidR="001F53EF" w:rsidRPr="00B435BE" w:rsidRDefault="001F53EF" w:rsidP="001F53EF">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Članak 36.</w:t>
      </w:r>
    </w:p>
    <w:p w14:paraId="3D3F8243"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Novčanom kaznom u iznosu od 30.000,00 do 50.000,00 kuna kaznit će se za prekršaj poslodavac pravna osoba ako:</w:t>
      </w:r>
    </w:p>
    <w:p w14:paraId="487527C5"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spriječi ili pokuša spriječiti prijavljivanje nepravilnosti (članak 8. stavak 1.)</w:t>
      </w:r>
    </w:p>
    <w:p w14:paraId="51838BD4"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pokreće zlonamjerne postupke protiv prijavitelja nepravilnosti, povezanih osoba te povjerljivih osoba i njezinih zamjenika (članak 8. stavak 3.)</w:t>
      </w:r>
    </w:p>
    <w:p w14:paraId="3E9826FF"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bez pristanka otkrije ili pokuša otkriti identitet prijavitelja nepravilnosti ili prijavljene osobe odnosno podatke na osnovi kojih se može otkriti njihov identitet te druge podatke navedene u prijavi nepravilnosti (članak 14. stavci 1., 2. i 4.)</w:t>
      </w:r>
    </w:p>
    <w:p w14:paraId="6E1CDC73"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4. ako se osvećuje, pokušava osvetiti ili prijeti osvetom prijavitelju nepravilnosti, povezanoj osobi te povjerljivoj osobi i njezinu zamjeniku zbog prijavljivanja nepravilnosti ili javnog razotkrivanja (članak 9. stavak 1.)</w:t>
      </w:r>
    </w:p>
    <w:p w14:paraId="6442237B"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5. ne zaštiti prijavitelja nepravilnosti od osvete i ne poduzme nužne mjere radi zaustavljanja osvete i otklanjanja njezinih posljedica (članak 20. stavak 1. točka 3.)</w:t>
      </w:r>
    </w:p>
    <w:p w14:paraId="585821B0"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6. utječe ili pokuša utjecati na postupanje povjerljive osobe ili njezina zamjenika prilikom poduzimanja radnji iz njihove nadležnosti potrebnih za zaštitu prijavitelja nepravilnosti (članak 22. stavak 3.).</w:t>
      </w:r>
    </w:p>
    <w:p w14:paraId="48114E61"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Za prekršaje iz stavka 1. ovoga članka novčanom kaznom u iznosu od 3000,00 do 30.000,00 kuna kaznit će se i odgovorna osoba u pravnoj osobi.</w:t>
      </w:r>
    </w:p>
    <w:p w14:paraId="5AF8B93A"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Za prekršaje iz stavka 1. ovoga članka novčanom kaznom u iznosu od 3000,00 do 30.000,00 kuna kaznit će se fizička osoba obrtnik.</w:t>
      </w:r>
    </w:p>
    <w:p w14:paraId="12E6C5AF" w14:textId="77777777" w:rsidR="001F53EF" w:rsidRPr="001F53EF" w:rsidRDefault="001F53EF" w:rsidP="001F53EF">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(4) Za prekršaje iz stavka 1. točaka 1., 3., 4., i 6. ovoga članka novčanom kaznom u iznosu od 3000,00 do 30.000,00 kuna kaznit će se i fizička osoba.</w:t>
      </w:r>
    </w:p>
    <w:p w14:paraId="3A3A755C" w14:textId="77777777" w:rsidR="001F53EF" w:rsidRPr="001F53EF" w:rsidRDefault="001F53EF" w:rsidP="001F53EF">
      <w:pPr>
        <w:shd w:val="clear" w:color="auto" w:fill="FFFFFF"/>
        <w:spacing w:before="103" w:after="48" w:line="240" w:lineRule="auto"/>
        <w:jc w:val="center"/>
        <w:textAlignment w:val="baseline"/>
        <w:rPr>
          <w:rFonts w:ascii="Times New Roman" w:eastAsia="Times New Roman" w:hAnsi="Times New Roman" w:cs="Times New Roman"/>
          <w:color w:val="000000" w:themeColor="text1"/>
          <w:kern w:val="0"/>
          <w:lang w:eastAsia="hr-HR"/>
          <w14:ligatures w14:val="none"/>
        </w:rPr>
      </w:pPr>
    </w:p>
    <w:p w14:paraId="6FB51965" w14:textId="77777777" w:rsidR="001F53EF" w:rsidRPr="00B435BE" w:rsidRDefault="001F53EF" w:rsidP="00B435BE">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Članak 37.</w:t>
      </w:r>
    </w:p>
    <w:p w14:paraId="119C22C4"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Novčanom kaznom u iznosu od 3000,00 do 30.000,00 kuna kaznit će se za prekršaj fizička osoba koja prijavljuje ili javno razotkriva informacije za koje zna da su neistinite, osim ako se ne radi o kaznenom djelu (članak 12. stavak 1.).</w:t>
      </w:r>
    </w:p>
    <w:p w14:paraId="2DEE8269" w14:textId="77777777" w:rsidR="001F53EF" w:rsidRPr="001F53EF" w:rsidRDefault="001F53EF" w:rsidP="001F53EF">
      <w:pPr>
        <w:shd w:val="clear" w:color="auto" w:fill="FFFFFF"/>
        <w:spacing w:before="103" w:after="48" w:line="240" w:lineRule="auto"/>
        <w:jc w:val="center"/>
        <w:textAlignment w:val="baseline"/>
        <w:rPr>
          <w:rFonts w:ascii="Times New Roman" w:eastAsia="Times New Roman" w:hAnsi="Times New Roman" w:cs="Times New Roman"/>
          <w:color w:val="000000" w:themeColor="text1"/>
          <w:kern w:val="0"/>
          <w:lang w:eastAsia="hr-HR"/>
          <w14:ligatures w14:val="none"/>
        </w:rPr>
      </w:pPr>
    </w:p>
    <w:p w14:paraId="320DBB61" w14:textId="77777777" w:rsidR="001F53EF" w:rsidRPr="00B435BE" w:rsidRDefault="001F53EF" w:rsidP="00B435BE">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Članak 38.</w:t>
      </w:r>
    </w:p>
    <w:p w14:paraId="53DA4BC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Novčanom kaznom u iznosu od 3000,00 do 30.000,00 kuna kaznit će se za prekršaj:</w:t>
      </w:r>
    </w:p>
    <w:p w14:paraId="789A25CC"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povjerljiva osoba i njezin zamjenik ako ne čuvaju identitet prijavitelja nepravilnosti i podatke zaprimljene u prijavi od neovlaštenog otkrivanja odnosno objave drugim osobama, osim ako to nije suprotno zakonu (članak 22. stavak 2. točka 7.)</w:t>
      </w:r>
    </w:p>
    <w:p w14:paraId="4CA903C3"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svaka osoba koja sudjeluje u postupku po prijavi nepravilnosti ako ne štititi podatke koje sazna iz prijave, ili ih koristi ili otkriva u druge svrhe osim one koje su potrebne za ispravno daljnje postupanje (članak 16.)</w:t>
      </w:r>
    </w:p>
    <w:p w14:paraId="0B02250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povjerljiva osoba i njezin zamjenik ako zlouporabe svoje ovlasti na štetu prijavitelja nepravilnosti (članak 22. stavak 4.).</w:t>
      </w:r>
    </w:p>
    <w:p w14:paraId="6C5391E6" w14:textId="77777777" w:rsidR="001F53EF" w:rsidRPr="001F53EF" w:rsidRDefault="001F53EF" w:rsidP="001F53EF">
      <w:pPr>
        <w:spacing w:line="259" w:lineRule="auto"/>
        <w:rPr>
          <w:rFonts w:ascii="Times New Roman" w:eastAsia="Calibri" w:hAnsi="Times New Roman" w:cs="Times New Roman"/>
          <w:color w:val="000000" w:themeColor="text1"/>
          <w:kern w:val="0"/>
          <w14:ligatures w14:val="none"/>
        </w:rPr>
      </w:pPr>
    </w:p>
    <w:p w14:paraId="5D111745" w14:textId="77777777" w:rsidR="001F53EF" w:rsidRPr="00B435BE" w:rsidRDefault="001F53EF" w:rsidP="00B435BE">
      <w:pPr>
        <w:pStyle w:val="Naslov2"/>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lang w:eastAsia="hr-HR"/>
        </w:rPr>
        <w:t>PRILOG</w:t>
      </w:r>
    </w:p>
    <w:p w14:paraId="73B68F80" w14:textId="77777777" w:rsidR="001F53EF" w:rsidRPr="00B435BE" w:rsidRDefault="001F53EF" w:rsidP="00B435BE">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bdr w:val="none" w:sz="0" w:space="0" w:color="auto" w:frame="1"/>
          <w:lang w:eastAsia="hr-HR"/>
        </w:rPr>
        <w:t>Dio I.</w:t>
      </w:r>
    </w:p>
    <w:p w14:paraId="3DAC0EBF"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A.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i. – javna nabava:</w:t>
      </w:r>
    </w:p>
    <w:p w14:paraId="0CBE88EF"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Pravila postupka za javnu nabavu i dodjelu koncesija, za dodjelu ugovora u području obrane i sigurnosti te za dodjelu ugovora subjekata koji djeluju u sektoru vodnog gospodarstva, energetskom i prometnom sektoru te sektoru poštanskih usluga i svakog drugog ugovora, kako su utvrđena:</w:t>
      </w:r>
    </w:p>
    <w:p w14:paraId="0498009C"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2014/23/EU Europskog parlamenta i Vijeća od 26. veljače 2014. o dodjeli ugovorâ o koncesiji (SL L 94, 28. 3. 2014., str. 1.)</w:t>
      </w:r>
    </w:p>
    <w:p w14:paraId="565C149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Direktivom 2014/24/EU Europskog parlamenta i Vijeća od 26. veljače 2014. o javnoj nabavi i o stavljanju izvan snage Direktive 2004/18/EZ (SL L 94, 28. 3. 2014., str. 65.)</w:t>
      </w:r>
    </w:p>
    <w:p w14:paraId="258F06B4"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Direktivom 2014/25/EU Europskog parlamenta i Vijeća od 26. veljače 2014. o nabavi subjekata koji djeluju u sektoru vodnog gospodarstva, energetskom i prometnom sektoru te sektoru poštanskih usluga i stavljanju izvan snage Direktive 2004/17/EZ (SL L 94, 28. 3. 2014., str. 243.)</w:t>
      </w:r>
    </w:p>
    <w:p w14:paraId="7B00E80D"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iv. Direktivom 2009/81/EZ Europskog parlamenta i Vijeća od 13. srpnja 2009. o usklađivanju postupaka nabave za određene ugovore o radovima, ugovore o nabavi robe i ugovore o uslugama koje sklapaju javni naručitelji ili naručitelji u području obrane i sigurnosti te izmjeni direktiva 2004/17/EZ i 2004/18/EZ (SL L 216, 20. 8. 2009., str. 76.).</w:t>
      </w:r>
    </w:p>
    <w:p w14:paraId="6CD3318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Postupci preispitivanja uređeni su sljedećim:</w:t>
      </w:r>
    </w:p>
    <w:p w14:paraId="7D211815"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Vijeća 92/13/EEZ od 25. veljače 1992. o usklađivanju zakona i drugih propisa o primjeni pravila Zajednice u postupcima nabave subjekata koji djeluju u sektoru vodnoga gospodarstva, energetskom, prometnom i telekomunikacijskom sektoru (SL L 76, 23. 3. 1992., str. 14.)</w:t>
      </w:r>
    </w:p>
    <w:p w14:paraId="79A5D57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ii. Direktivom Vijeća 89/665/EEZ od 21. prosinca 1989. o usklađivanju zakona i drugih propisa u odnosu na primjenu postupaka kontrole na sklapanje ugovora o javnoj nabavi robe i javnim radovima (SL L 395, 30. 12. 1989., str. 33.).</w:t>
      </w:r>
    </w:p>
    <w:p w14:paraId="69FA149C"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B.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ii. – financijske usluge, proizvodi i tržišta te sprječavanje pranja novca i financiranja terorizma:</w:t>
      </w:r>
    </w:p>
    <w:p w14:paraId="39F5864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Pravila kojima se utvrđuju regulatorni i nadzorni okvir te zaštita potrošača i ulagača u području financijskih usluga i tržišta kapitala, bankarstva i kreditiranja, ulaganja, osiguranja i reosiguranja, strukovnih i osobnih mirovinskih proizvoda, vrijednosnih papira, investicijskih fondova i platnih usluga u Uniji te djelatnosti iz Priloga I. Direktivi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str. 338), kako su utvrđena:</w:t>
      </w:r>
    </w:p>
    <w:p w14:paraId="1B2E2BD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2009/110/EZ Europskog parlamenta i Vijeća od 16. rujna 2009. o osnivanju, obavljanju djelatnosti i bonitetnom nadzoru poslovanja institucija za elektronički novac te o izmjeni direktiva 2005/60/EZ i 2006/48/EZ i stavljanju izvan snage Direktive 2000/46/EZ (SL L 267, 10. 10. 2009., str. 7.)</w:t>
      </w:r>
    </w:p>
    <w:p w14:paraId="55539D5B"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Direktivom 2011/61/EU Europskog parlamenta i Vijeća od 8. lipnja 2011. o upraviteljima alternativnih investicijskih fondova i o izmjeni direktiva 2003/41/EZ i 2009/65/EZ te uredbi (EZ) br. 1060/2009 i (EU) br. 1095/2010 (SL L 174, 1. 7. 2011., str. 1.)</w:t>
      </w:r>
    </w:p>
    <w:p w14:paraId="03C8A14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Uredbom (EU) br. 236/2012 Europskog parlamenta i Vijeća od 14. ožujka 2012. o kratkoj prodaji i određenim aspektima kreditnih izvedenica na osnovi nastanka statusa neispunjavanja obveza (SL L 86, 24. 3. 2012., str. 1.)</w:t>
      </w:r>
    </w:p>
    <w:p w14:paraId="42DECB06"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iv. Uredbom (EU) br. 345/2013 Europskog parlamenta i Vijeća od 17. travnja 2013. o europskim fondovima poduzetničkog kapitala (SL L 115, 25. 4. 2013., str. 1.)</w:t>
      </w:r>
    </w:p>
    <w:p w14:paraId="781F768C"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 Uredbom (EU) br. 346/2013 Europskog parlamenta i Vijeća od 17. travnja 2013. o europskim fondovima za socijalno poduzetništvo (SL L 115, 25. 4. 2013., str. 18.)</w:t>
      </w:r>
    </w:p>
    <w:p w14:paraId="6A13E31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 Direktivom 2014/17/EU Europskog parlamenta i Vijeća od 4. veljače 2014. o ugovorima o potrošačkim kreditima koji se odnose na stambene nekretnine i o izmjeni direktiva 2008/48/EZ i 2013/36/EU i Uredbe (EU) br. 1093/2010 (SL L 60, 28. 2. 2014., str. 34.)</w:t>
      </w:r>
    </w:p>
    <w:p w14:paraId="17FC3B3B"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vii. Uredbom (EU) br. 537/2014 Europskog parlamenta i Vijeća od 16. travnja 2014. o posebnim zahtjevima u vezi zakonske revizije subjekata od javnog interesa i stavljanju izvan snage Odluke Komisije 2005/909/EZ (SL L 158, 27. 5. 2014., str. 77.)</w:t>
      </w:r>
    </w:p>
    <w:p w14:paraId="427917A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viii. Uredbom (EU) br. 600/2014 Europskog parlamenta i Vijeća od 15. svibnja 2014. o tržištima financijskih instrumenata i izmjeni Uredbe (EU) br. 648/2012 (SL L 173, 12. 6. 2014., str. 84.)</w:t>
      </w:r>
    </w:p>
    <w:p w14:paraId="3A8D5DF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ix. Direktivom (EU) 2015/2366 Europskog parlamenta i Vijeća od 25. studenoga 2015. o platnim uslugama na unutarnjem tržištu, o izmjeni direktiva 2002/65/EZ, 2009/110/EZ i 2013/36/EU te Uredbe (EU) br. 1093/2010 i o stavljanju izvan snage Direktive 2007/64/EZ (SL L 337, 23. 12. 2015., str. 35.)</w:t>
      </w:r>
    </w:p>
    <w:p w14:paraId="5C5B006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 Direktivom 2004/25/EZ Europskog parlamenta i Vijeća od 21. travnja 2004. o ponudama za preuzimanje (SL L 142, 30. 4. 2004., str. 12.)</w:t>
      </w:r>
    </w:p>
    <w:p w14:paraId="2A2B85A7"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xi. Direktivom 2007/36/EZ Europskog parlamenta i Vijeća od 11. srpnja 2007. o izvršavanju pojedinih prava dioničara trgovačkih društava uvrštenih na burzu (SL L 184, 14. 7. 2007., str. 17.)</w:t>
      </w:r>
    </w:p>
    <w:p w14:paraId="62B3126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xii. Direktivom 2004/109/EZ Europskog parlamenta i Vijeća od 15. prosinca 2004. o usklađivanju zahtjeva za transparentnošću u vezi s informacijama o izdavateljima čiji su </w:t>
      </w:r>
      <w:r w:rsidRPr="001F53EF">
        <w:rPr>
          <w:rFonts w:ascii="Times New Roman" w:eastAsia="Times New Roman" w:hAnsi="Times New Roman" w:cs="Times New Roman"/>
          <w:color w:val="000000" w:themeColor="text1"/>
          <w:kern w:val="0"/>
          <w:lang w:eastAsia="hr-HR"/>
          <w14:ligatures w14:val="none"/>
        </w:rPr>
        <w:lastRenderedPageBreak/>
        <w:t>vrijednosni papiri uvršteni za trgovanje na uređenom tržištu i o izmjeni Direktive 2001/34/EZ (SL L 390, 31. 12. 2004., str. 38.)</w:t>
      </w:r>
    </w:p>
    <w:p w14:paraId="0AD62F92"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xiii. Uredbom (EU) br. 648/2012 Europskog parlamenta i Vijeća od 4. srpnja 2012. o OTC izvedenicama, središnjoj drugoj ugovornoj strani i trgovinskom repozitoriju (SL L 201, 27. 7. 2012., str. 1.)</w:t>
      </w:r>
    </w:p>
    <w:p w14:paraId="55EBBD51"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xiv. Uredbom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(SL L 171, 29. 6. 2016., str. 1.)</w:t>
      </w:r>
    </w:p>
    <w:p w14:paraId="4FCABEF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xv. Direktivom 2009/138/EZ Europskog parlamenta i Vijeća od 25. studenog 2009. o osnivanju i obavljanju djelatnosti osiguranja i reosiguranja (Solventnost II) (SL L 335, 17. 12. 2009., str. 1.)</w:t>
      </w:r>
    </w:p>
    <w:p w14:paraId="300DE5B3"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xvi. Direktivom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 6. 2014., str. 190.)</w:t>
      </w:r>
    </w:p>
    <w:p w14:paraId="2031CC3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xvii. Direktivom 2002/87/EZ Europskog parlamenta i Vijeća od 16. prosinca 2002. o dodatnom nadzoru kreditnih institucija, društava za osiguranje i investicijskih društava u financijskom konglomeratu i o izmjeni direktiva Vijeća 73/239/EEZ, 79/267/EEZ, 92/49/EEZ, 92/96/EEZ, 93/6/EEZ i 93/22/EEZ i direktiva 98/78/EZ i 2000/12/EZ Europskog parlamenta i Vijeća (SL L 35, 11. 2. 2003., str. 1.)</w:t>
      </w:r>
    </w:p>
    <w:p w14:paraId="3172FDD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xviii. Direktivom 2014/49/EU Europskog parlamenta i Vijeća od 16. travnja 2014. o sustavima osiguranja depozita (SL L 173, 12. 6. 2014., str. 149.)</w:t>
      </w:r>
    </w:p>
    <w:p w14:paraId="238107FC"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xix. Direktivom 97/9/EZ Europskog parlamenta i Vijeća od 3. ožujka 1997. o sustavima naknada štete za investitore (SL L 84, 26. 3. 1997., str. 22.)</w:t>
      </w:r>
    </w:p>
    <w:p w14:paraId="281C1116"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xx. Uredbom (EU) br. 575/2013 Europskog parlamenta i Vijeća od 26. lipnja 2013. o bonitetnim zahtjevima za kreditne institucije i investicijska društva i o izmjeni Uredbe (EU) br. 648/2012 (SL L 176, 27. 6. 2013., str. 1.).</w:t>
      </w:r>
    </w:p>
    <w:p w14:paraId="57C837DB"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C.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iii. – sigurnost i sukladnost proizvoda:</w:t>
      </w:r>
    </w:p>
    <w:p w14:paraId="3713B59C"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Zahtjevi za sigurnost i sukladnost proizvoda koji se stavljaju na tržište Unije, kako su definirani i uređeni:</w:t>
      </w:r>
    </w:p>
    <w:p w14:paraId="0A2AEE7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2001/95/EZ Europskog parlamenta i Vijeća od 3. prosinca 2001. o općoj sigurnosti proizvoda (SL L 11, 15. 1. 2002., str. 4.)</w:t>
      </w:r>
    </w:p>
    <w:p w14:paraId="2C0B78C4"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zakonodavstvom Unije o usklađivanju izrađenih proizvoda, uključujući zahtjeve za označivanje, osim hrane i hrane za životinje, lijekova za humanu i veterinarsku primjenu, živih biljaka i životinja, proizvoda ljudskog porijekla i proizvoda biljaka i životinja koji su u izravnoj vezi s njihovom daljnjom reprodukcijom, kako je navedeno u prilozima I. i II. Uredbi (EU) 2019/1020 Europskog parlamenta i Vijeća od 20. lipnja 2019. o nadzoru tržišta i sukladnosti proizvoda i o izmjeni Direktive 2004/42/EZ i uredbi (EZ) br. 765/2008 i (EU) br. 305/2011 (SL L 169, 25. 6. 2019., str. 1.)</w:t>
      </w:r>
    </w:p>
    <w:p w14:paraId="4F24C4C1"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Direktivom 2007/46/EZ Europskog parlamenta i Vijeća od 5. rujna 2007. o uspostavi okvira za homologaciju motornih vozila i njihovih prikolica te sustava, sastavnih dijelova i zasebnih tehničkih jedinica namijenjenih za takva vozila (Okvirna direktiva) (SL L 263, 9. 10. 2007., str. 1.).</w:t>
      </w:r>
    </w:p>
    <w:p w14:paraId="509CF9E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Pravila o stavljanju na tržište i uporabi osjetljivih i opasnih proizvoda, kako su utvrđena:</w:t>
      </w:r>
    </w:p>
    <w:p w14:paraId="312AF771"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i. Direktivom 2009/43/EZ Europskog parlamenta i Vijeća od 6. svibnja 2009. o pojednostavnjivanju uvjeta za transfer obrambenih proizvoda unutar Zajednice (SL L 146, 10. 6. 2009., str. 1.)</w:t>
      </w:r>
    </w:p>
    <w:p w14:paraId="5863878F"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Direktivom Vijeća 91/477/EEZ od 18. lipnja 1991. o nadzoru nabave i posjedovanja oružja (SL L 256, 13. 9. 1991., str. 51.)</w:t>
      </w:r>
    </w:p>
    <w:p w14:paraId="7D546D2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iii. Uredbom (EU) br. 98/2013 Europskog parlamenta i Vijeća od 15. siječnja 2013. o stavljanju na tržište i uporabi </w:t>
      </w:r>
      <w:proofErr w:type="spellStart"/>
      <w:r w:rsidRPr="001F53EF">
        <w:rPr>
          <w:rFonts w:ascii="Times New Roman" w:eastAsia="Times New Roman" w:hAnsi="Times New Roman" w:cs="Times New Roman"/>
          <w:color w:val="000000" w:themeColor="text1"/>
          <w:kern w:val="0"/>
          <w:lang w:eastAsia="hr-HR"/>
          <w14:ligatures w14:val="none"/>
        </w:rPr>
        <w:t>prekursora</w:t>
      </w:r>
      <w:proofErr w:type="spellEnd"/>
      <w:r w:rsidRPr="001F53EF">
        <w:rPr>
          <w:rFonts w:ascii="Times New Roman" w:eastAsia="Times New Roman" w:hAnsi="Times New Roman" w:cs="Times New Roman"/>
          <w:color w:val="000000" w:themeColor="text1"/>
          <w:kern w:val="0"/>
          <w:lang w:eastAsia="hr-HR"/>
          <w14:ligatures w14:val="none"/>
        </w:rPr>
        <w:t xml:space="preserve"> eksploziva (SL L 39, 9. 2. 2013., str. 1.).</w:t>
      </w:r>
    </w:p>
    <w:p w14:paraId="2AECB389"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D.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iv. – sigurnost prometa:</w:t>
      </w:r>
    </w:p>
    <w:p w14:paraId="55B04923"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Sigurnosni zahtjevi u sektoru željezničkog prometa, kako su uređeni Direktivom (EU) 2016/798 Europskog parlamenta i Vijeća od 11. svibnja 2016. o sigurnosti željeznica (SL L 138, 26. 5. 2016., str. 102.).</w:t>
      </w:r>
    </w:p>
    <w:p w14:paraId="66F2B0A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Sigurnosni zahtjevi u sektoru civilnog zrakoplovstva, kako su uređeni Uredbom (EU) br. 996/2010 Europskog parlamenta i Vijeća od 20. listopada 2010. o istragama i sprečavanju nesreća i nezgoda u civilnom zrakoplovstvu i stavljanju izvan snage Direktive 94/56/EZ (SL L 295, 12. 11. 2010., str. 35.).</w:t>
      </w:r>
    </w:p>
    <w:p w14:paraId="0770214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Sigurnosni zahtjevi u sektoru cestovnog prometa, kako su uređeni:</w:t>
      </w:r>
    </w:p>
    <w:p w14:paraId="73B9917B"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2008/96/EZ Europskog parlamenta i Vijeća od 19. studenoga 2008. o upravljanju sigurnošću cestovne infrastrukture (SL L 319, 29. 11. 2008., str. 59.)</w:t>
      </w:r>
    </w:p>
    <w:p w14:paraId="310F2315"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Direktivom 2004/54/EZ Europskog parlamenta i Vijeća od 29. travnja 2004. o minimalnim sigurnosnim zahtjevima za tunele u transeuropskoj cestovnoj mreži (SL L 167, 30. 4. 2004., str. 39.)</w:t>
      </w:r>
    </w:p>
    <w:p w14:paraId="2CC198CC"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Uredbom (EZ) br. 1071/2009 Europskog parlamenta i Vijeća od 21. listopada 2009. o uspostavljanju zajedničkih pravila koja se tiču uvjeta za obavljanje djelatnosti cestovnog prijevoznika te stavljanju izvan snage Direktive Vijeća 96/26/EZ, (SL L 300, 14. 11. 2009., str. 51.).</w:t>
      </w:r>
    </w:p>
    <w:p w14:paraId="1A0F9E7B"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4. Sigurnosni zahtjevi u sektoru pomorskog prometa, kako su uređeni:</w:t>
      </w:r>
    </w:p>
    <w:p w14:paraId="643F9C63"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Uredbom (EZ) br. 391/2009 Europskog parlamenta i Vijeća od 23. travnja 2009. o zajedničkim pravilima i normama za organizacije koje obavljaju pregled i nadzor brodova (SL L 131, 28. 5. 2009., str. 11.)</w:t>
      </w:r>
    </w:p>
    <w:p w14:paraId="775F7BA5"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Uredbom (EZ) br. 392/2009 Europskog parlamenta i Vijeća od 23. travnja 2009. o odgovornosti prijevoznika u prijevozu putnika morem u slučaju nesreća (SL L 131, 28. 5. 2009., str. 24.)</w:t>
      </w:r>
    </w:p>
    <w:p w14:paraId="2517688C"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Direktivom 2014/90/EU Europskog parlamenta i Vijeća od 23. srpnja 2014. o pomorskoj opremi i stavljanju izvan snage Direktive Vijeća 96/98/EZ (SL L 257, 28. 8. 2014., str. 146.)</w:t>
      </w:r>
    </w:p>
    <w:p w14:paraId="0E12833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iv. Direktivom 2009/18/EZ Europskog parlamenta i Vijeća od 23. travnja 2009. o određivanju temeljnih načela o istraživanju nesreća u području pomorskog prometa i o izmjeni Direktive Vijeća 1999/35/EZ i Direktive 2002/59/EZ Europskog parlamenta i Vijeća (SL L 131, 28. 5. 2009., str. 114.)</w:t>
      </w:r>
    </w:p>
    <w:p w14:paraId="7740FCAB"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 Direktivom 2008/106/EZ Europskog parlamenta i Vijeća od 19. studenoga 2008. o minimalnoj razini osposobljavanja pomoraca (SL L 323, 3. 12. 2008., str. 33.)</w:t>
      </w:r>
    </w:p>
    <w:p w14:paraId="132A199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 Direktivom Vijeća 98/41/EZ od 18. lipnja 1998. o upisu osoba koje putuju putničkim brodovima koji plove prema lukama ili iz luka država članica Zajednice (SL L 188, 2. 7. 1998., str. 35.)</w:t>
      </w:r>
    </w:p>
    <w:p w14:paraId="51249E3B"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vii. Direktivom 2001/96/EZ Europskog parlamenta i Vijeća od 4. prosinca 2001. o utvrđivanju usklađenih zahtjeva i postupaka za siguran ukrcaj i iskrcaj brodova za rasuti teret (SL L 13, 16. 1. 2002., str. 9.).</w:t>
      </w:r>
    </w:p>
    <w:p w14:paraId="04D7184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5. Sigurnosni zahtjevi, kako su uređeni Direktivom 2008/68/EZ Europskog parlamenta i Vijeća od 24. rujna 2008. o kopnenom prijevozu opasnih tvari (SL L 260, 30. 9. 2008., str. 13.).</w:t>
      </w:r>
    </w:p>
    <w:p w14:paraId="4ACA086C"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E.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v. – zaštita okoliša:</w:t>
      </w:r>
    </w:p>
    <w:p w14:paraId="43B1E16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Svako kazneno djelo protiv zaštite okoliša kako je uređeno Direktivom 2008/99/EZ Europskog parlamenta i Vijeća od 19. studenoga 2008. o zaštiti okoliša putem kaznenog prava (SL L 328, 6. 12. 2008., str. 28.) ili bilo kakvo nezakonito ponašanje kojim se krši zakonodavstvo iz prilogâ Direktivi 2008/99/EZ.</w:t>
      </w:r>
    </w:p>
    <w:p w14:paraId="1A21729B"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Pravila o okolišu i klimi, kako su utvrđena:</w:t>
      </w:r>
    </w:p>
    <w:p w14:paraId="103668A5"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2003/87/EZ Europskog parlamenta i Vijeća od 13. listopada 2003. o uspostavi sustava trgovanja emisijskim jedinicama stakleničkih plinova unutar Zajednice i o izmjeni Direktive Vijeća 96/61/EZ (SL L 275, 25. 10. 2003., str. 32.)</w:t>
      </w:r>
    </w:p>
    <w:p w14:paraId="12594E9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Direktivom 2009/28/EZ Europskog parlamenta i Vijeća od 23. travnja 2009. o promicanju uporabe energije iz obnovljivih izvora te o izmjeni i kasnijem stavljanju izvan snage direktiva 2001/77/EZ i 2003/30/EZ (SL L 140, 5. 6. 2009., str. 16.)</w:t>
      </w:r>
    </w:p>
    <w:p w14:paraId="0728F01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Direktivom 2012/27/EU Europskog parlamenta i Vijeća od 25. listopada 2012. o energetskoj učinkovitosti, izmjeni direktiva 2009/125/EZ i 2010/30/EU i stavljanju izvan snage direktiva 2004/8/EZ i 2006/32/EZ (SL L 315, 14. 11. 2012., str. 1.)</w:t>
      </w:r>
    </w:p>
    <w:p w14:paraId="488F7826"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iv. Uredbom (EU) br. 525/2013 Europskog parlamenta i Vijeća od 21. svibnja 2013. o mehanizmu za praćenje i izvješćivanje o emisijama stakleničkih plinova i za izvješćivanje o drugim informacijama u vezi s klimatskim promjenama na nacionalnoj razini i razini Unije te stavljanju izvan snage Odluke br. 280/2004/EZ (SL L 165, 18. 6. 2013., str. 13.)</w:t>
      </w:r>
    </w:p>
    <w:p w14:paraId="430122D2"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 Direktivom (EU) 2018/2001 Europskog parlamenta i Vijeća od 11. prosinca 2018. o promicanju uporabe energije iz obnovljivih izvora (SL L 328, 21. 12. 2018., str. 82.).</w:t>
      </w:r>
    </w:p>
    <w:p w14:paraId="1DA1A40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Pravila o održivom razvoju i gospodarenju otpadom, kako su utvrđena:</w:t>
      </w:r>
    </w:p>
    <w:p w14:paraId="5D1ECDA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2008/98/EZ Europskog parlamenta i Vijeća od 19. studenoga 2008. o otpadu i stavljanju izvan snage određenih direktiva (SL L 312, 22. 11. 2008., str. 3.)</w:t>
      </w:r>
    </w:p>
    <w:p w14:paraId="01C3639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Uredbom (EU) br. 1257/2013 Europskog parlamenta i Vijeća od 20. studenoga 2013. o recikliranju brodova i o izmjeni Uredbe (EZ) br. 1013/2006 i Direktive 2009/16/EZ (SL L 330, 10. 12. 2013., str. 1.)</w:t>
      </w:r>
    </w:p>
    <w:p w14:paraId="3FD08A5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Uredbom (EU) br. 649/2012 Europskog parlamenta i Vijeća od 4. srpnja 2012. o izvozu i uvozu opasnih kemikalija (SL L 201, 27. 7. 2012., str. 60.).</w:t>
      </w:r>
    </w:p>
    <w:p w14:paraId="3E5840C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4. Pravila o onečišćenju mora i zraka te onečišćenju bukom, kako su utvrđena:</w:t>
      </w:r>
    </w:p>
    <w:p w14:paraId="5ABA68A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1999/94/EZ Europskog parlamenta i Vijeća od 13. prosinca 1999. o dostupnosti podataka za potrošače o ekonomičnosti potrošnje goriva i emisijama CO2 u vezi s prodajom novih osobnih automobila (SL L 12, 18. 1. 2000., str. 16.)</w:t>
      </w:r>
    </w:p>
    <w:p w14:paraId="3C4E0F16"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Direktivom 2001/81/EZ Europskog parlamenta i Vijeća od 23. listopada 2001. o nacionalnim gornjim granicama emisije za određene onečišćujuće tvari (SL L 309, 27. 11. 2001., str. 22.)</w:t>
      </w:r>
    </w:p>
    <w:p w14:paraId="19A583DB"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Direktivom 2002/49/EZ Europskog parlamenta i Vijeća od 25. lipnja 2002. o procjeni i upravljanju bukom iz okoliša (SL L 189, 18. 7. 2002., str. 12.)</w:t>
      </w:r>
    </w:p>
    <w:p w14:paraId="7DC01942"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iv. Uredbom (EZ) br. 782/2003 Europskog parlamenta i Vijeća od 14. travnja 2003. o zabrani </w:t>
      </w:r>
      <w:proofErr w:type="spellStart"/>
      <w:r w:rsidRPr="001F53EF">
        <w:rPr>
          <w:rFonts w:ascii="Times New Roman" w:eastAsia="Times New Roman" w:hAnsi="Times New Roman" w:cs="Times New Roman"/>
          <w:color w:val="000000" w:themeColor="text1"/>
          <w:kern w:val="0"/>
          <w:lang w:eastAsia="hr-HR"/>
          <w14:ligatures w14:val="none"/>
        </w:rPr>
        <w:t>organokositrenih</w:t>
      </w:r>
      <w:proofErr w:type="spellEnd"/>
      <w:r w:rsidRPr="001F53EF">
        <w:rPr>
          <w:rFonts w:ascii="Times New Roman" w:eastAsia="Times New Roman" w:hAnsi="Times New Roman" w:cs="Times New Roman"/>
          <w:color w:val="000000" w:themeColor="text1"/>
          <w:kern w:val="0"/>
          <w:lang w:eastAsia="hr-HR"/>
          <w14:ligatures w14:val="none"/>
        </w:rPr>
        <w:t xml:space="preserve"> spojeva na brodovima (SL L 115, 9. 5. 2003., str. 1.)</w:t>
      </w:r>
    </w:p>
    <w:p w14:paraId="4D95FBB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 Direktivom 2004/35/EZ Europskog parlamenta i Vijeća od 21. travnja 2004. o odgovornosti za okoliš u pogledu sprečavanja i otklanjanja štete u okolišu (SL L 143, 30. 4. 2004., str. 56.)</w:t>
      </w:r>
    </w:p>
    <w:p w14:paraId="0DE6E71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 Direktivom 2005/35/EZ Europskog parlamenta i Vijeća od 7. rujna 2005. o onečišćenju s brodova i uvođenju sankcija za kršenja (SL L 255, 30. 9. 2005., str. 11.)</w:t>
      </w:r>
    </w:p>
    <w:p w14:paraId="6E3B1824"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vii. Uredbom (EZ) br. 166/2006 Europskog parlamenta i Vijeća od 18. siječnja 2006. o uspostavi Europskog registra ispuštanja i prijenosa onečišćujućih tvari i o izmjeni i dopuni direktiva Vijeća 91/689/EEZ i 96/61/EZ (SL L 33, 4. 2. 2006., str. 1.)</w:t>
      </w:r>
    </w:p>
    <w:p w14:paraId="6C1A1A4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viii. Direktivom 2009/33/EZ Europskog parlamenta i Vijeća od 23. travnja 2009. o promicanju čistih i energetski učinkovitih vozila u cestovnom prijevozu (SL L 120, 15. 5. 2009., str. 5.)</w:t>
      </w:r>
    </w:p>
    <w:p w14:paraId="406F2A14"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ix. Uredbom (EZ) br. 443/2009 Europskog parlamenta i Vijeća od 23. travnja 2009. o utvrđivanju standardnih vrijednosti emisija za nove osobne automobile u okviru integriranog pristupa Zajednice smanjenju emisija CO2 iz lakih vozila (SL L 140, 5. 6. 2009., str. 1.)</w:t>
      </w:r>
    </w:p>
    <w:p w14:paraId="03AE06B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 Uredbom (EZ) br. 1005/2009 Europskog parlamenta i Vijeća od 16. rujna 2009. o tvarima koje oštećuju ozonski sloj (SL L 286, 31. 10. 2009., str. 1.)</w:t>
      </w:r>
    </w:p>
    <w:p w14:paraId="4644CFA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xi. Direktivom 2009/126/EZ Europskog parlamenta i Vijeća od 21. listopada 2009. o fazi II. rekuperacije benzinskih para tijekom punjenja motornih vozila gorivom na benzinskim postajama (SL L 285, 31. 10. 2009., str. 36.)</w:t>
      </w:r>
    </w:p>
    <w:p w14:paraId="58DF41D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xii. Uredbom (EU) br. 510/2011 Europskog parlamenta i Vijeća od 11. svibnja 2011. o utvrđivanju standardnih vrijednosti emisija za nova laka gospodarska vozila kao dio integriranog pristupa Unije s ciljem smanjivanja emisija CO2 iz osobnih i lakih gospodarskih vozila (SL L 145, 31. 5. 2011., str. 1)</w:t>
      </w:r>
    </w:p>
    <w:p w14:paraId="07ECA3FB"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xiii. Direktivom 2014/94/EU Europskog parlamenta i Vijeća od 22. listopada 2014. o uspostavi infrastrukture za alternativna goriva (SL L 307, 28. 10. 2014., str. 1.)</w:t>
      </w:r>
    </w:p>
    <w:p w14:paraId="1C5B786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xiv. Uredbom (EU) 2015/757 Europskog parlamenta i Vijeća od 29. travnja 2015. o praćenju emisija ugljikova dioksida iz pomorskog prometa, izvješćivanju o njima i njihovoj verifikaciji te o izmjeni Direktive 2009/16/EZ (SL L 123, 19. 5. 2015., str. 55.)</w:t>
      </w:r>
    </w:p>
    <w:p w14:paraId="7C25CA72"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xv. Direktivom (EU) 2015/2193 Europskog parlamenta i Vijeća od 25. studenoga 2015. o ograničenju emisija određenih onečišćujućih tvari u zrak iz srednjih uređaja za loženje (SL L 313, 28. 11. 2015., str. 1.).</w:t>
      </w:r>
    </w:p>
    <w:p w14:paraId="50D473DF"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5. Pravila o zaštiti voda i tla i gospodarenju njima, kako su utvrđena:</w:t>
      </w:r>
    </w:p>
    <w:p w14:paraId="016E009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2007/60/EZ Europskog parlamenta i Vijeća od 23. listopada 2007. o procjeni i upravljanju rizicima od poplava (SL L 288, 6. 11. 2007., str. 27.)</w:t>
      </w:r>
    </w:p>
    <w:p w14:paraId="741A4F43"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Direktivom 2008/105/EZ Europskog parlamenta i Vijeća od 16. prosinca 2008. o standardima kvalitete okoliša u području vodne politike i o izmjeni i kasnijem stavljanju izvan snage direktiva Vijeća 82/176/EEZ, 83/513/EEZ, 84/156/EEZ, 84/491/EEZ, 86/280/EEZ i izmjeni Direktive 2000/60/EZ Europskog parlamenta i Vijeća (SL L 348, 24. 12. 2008., str. 84.)</w:t>
      </w:r>
    </w:p>
    <w:p w14:paraId="305FC171"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Direktivom 2011/92/EU Europskog parlamenta i Vijeća od 13. prosinca 2011. o procjeni učinaka određenih javnih i privatnih projekata na okoliš (SL L 26, 28. 1. 2012., str. 1.).</w:t>
      </w:r>
    </w:p>
    <w:p w14:paraId="648CD40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6. Pravila o zaštiti prirode i biološke raznolikosti, kako su utvrđena:</w:t>
      </w:r>
    </w:p>
    <w:p w14:paraId="09B00C4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i. Uredbom Vijeća (EZ) br. 1936/2001 od 27. rujna 2001. o utvrđivanju mjera nadzora ribolova određenih stokova vrlo </w:t>
      </w:r>
      <w:proofErr w:type="spellStart"/>
      <w:r w:rsidRPr="001F53EF">
        <w:rPr>
          <w:rFonts w:ascii="Times New Roman" w:eastAsia="Times New Roman" w:hAnsi="Times New Roman" w:cs="Times New Roman"/>
          <w:color w:val="000000" w:themeColor="text1"/>
          <w:kern w:val="0"/>
          <w:lang w:eastAsia="hr-HR"/>
          <w14:ligatures w14:val="none"/>
        </w:rPr>
        <w:t>migratornih</w:t>
      </w:r>
      <w:proofErr w:type="spellEnd"/>
      <w:r w:rsidRPr="001F53EF">
        <w:rPr>
          <w:rFonts w:ascii="Times New Roman" w:eastAsia="Times New Roman" w:hAnsi="Times New Roman" w:cs="Times New Roman"/>
          <w:color w:val="000000" w:themeColor="text1"/>
          <w:kern w:val="0"/>
          <w:lang w:eastAsia="hr-HR"/>
          <w14:ligatures w14:val="none"/>
        </w:rPr>
        <w:t xml:space="preserve"> riba (SL L 263, 3. 10. 2001., str. 1.)</w:t>
      </w:r>
    </w:p>
    <w:p w14:paraId="41D3EEE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Uredbom Vijeća (EZ) br. 812/2004 od 26. travnja 2004. o utvrđivanju mjera koje se odnose na slučajni ulov kitova i dupina pri ribolovu i o izmjeni Uredbe (EZ) br. 88/98 (SL L 150, 30. 4. 2004., str. 12.)</w:t>
      </w:r>
    </w:p>
    <w:p w14:paraId="7A8148CB"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Uredbom (EZ) br. 1007/2009 Europskog parlamenta i Vijeća od 16. rujna 2009. o trgovini proizvodima od tuljana (SL L 286, 31. 10. 2009., str. 36.)</w:t>
      </w:r>
    </w:p>
    <w:p w14:paraId="4CD28004"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iv. Uredbom Vijeća (EZ) br. 734/2008 od 15. srpnja 2008. o zaštiti osjetljivih morskih ekosustava na otvorenome moru od štetnih utjecaja alata za </w:t>
      </w:r>
      <w:proofErr w:type="spellStart"/>
      <w:r w:rsidRPr="001F53EF">
        <w:rPr>
          <w:rFonts w:ascii="Times New Roman" w:eastAsia="Times New Roman" w:hAnsi="Times New Roman" w:cs="Times New Roman"/>
          <w:color w:val="000000" w:themeColor="text1"/>
          <w:kern w:val="0"/>
          <w:lang w:eastAsia="hr-HR"/>
          <w14:ligatures w14:val="none"/>
        </w:rPr>
        <w:t>pridneni</w:t>
      </w:r>
      <w:proofErr w:type="spellEnd"/>
      <w:r w:rsidRPr="001F53EF">
        <w:rPr>
          <w:rFonts w:ascii="Times New Roman" w:eastAsia="Times New Roman" w:hAnsi="Times New Roman" w:cs="Times New Roman"/>
          <w:color w:val="000000" w:themeColor="text1"/>
          <w:kern w:val="0"/>
          <w:lang w:eastAsia="hr-HR"/>
          <w14:ligatures w14:val="none"/>
        </w:rPr>
        <w:t xml:space="preserve"> ribolov (SL L 201, 30. 7. 2008., str. 8.)</w:t>
      </w:r>
    </w:p>
    <w:p w14:paraId="4286056D"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v. Direktivom 2009/147/EZ Europskog parlamenta i Vijeća od 30. studenog 2009. o očuvanju divljih ptica (SL L 20, 26. 1. 2010., str. 7.)</w:t>
      </w:r>
    </w:p>
    <w:p w14:paraId="2A8AF69F"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 Uredbom (EU) br. 995/2010 Europskog parlamenta i Vijeća od 20. listopada 2010. o utvrđivanju obveza gospodarskih subjekata koji stavljaju u promet drvo i proizvode od drva (SL L 295, 12. 11. 2010., str. 23.)</w:t>
      </w:r>
    </w:p>
    <w:p w14:paraId="30240B4D"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vii. Uredbom (EU) br. 1143/2014 Europskog parlamenta i Vijeća od 22. listopada 2014. o sprječavanju i upravljanju unošenja i širenja invazivnih stranih vrsta (SL L 317, 4. 11. 2014., str. 35.).</w:t>
      </w:r>
    </w:p>
    <w:p w14:paraId="71D26522"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7. Pravila o kemijskim tvarima, kako su utvrđena Uredbom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(SL L 396, 30. 12. 2006., str. 1.).</w:t>
      </w:r>
    </w:p>
    <w:p w14:paraId="2F7EB33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8. Pravila o ekološkim proizvodima, kako su utvrđena Uredbom (EU) 2018/848 Europskog parlamenta i Vijeća od 30. svibnja 2018. o ekološkoj proizvodnji i označivanju ekoloških proizvoda te stavljanju izvan snage Uredbe Vijeća (EZ) br. 834/2007 (SL L 150, 14. 6. 2018., str. 1.).</w:t>
      </w:r>
    </w:p>
    <w:p w14:paraId="2AAE84E0"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F.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vi. – zaštita od zračenja i nuklearna sigurnost:</w:t>
      </w:r>
    </w:p>
    <w:p w14:paraId="042C3FD3"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Pravila o nuklearnoj sigurnosti, kako su utvrđena:</w:t>
      </w:r>
    </w:p>
    <w:p w14:paraId="309928D7"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Vijeća 2009/71/Euratom od 25. lipnja 2009. o uspostavi okvira Zajednice za nuklearnu sigurnost nuklearnih postrojenja (SL L 172, 2. 7. 2009., str. 18.)</w:t>
      </w:r>
    </w:p>
    <w:p w14:paraId="7EC099D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Direktivom Vijeća 2013/51/Euratom od 22. listopada 2013. o utvrđivanju zahtjeva za zaštitu zdravlja stanovništva od radioaktivnih tvari u vodi namijenjenoj za ljudsku potrošnju (SL L 296, 7. 11. 2013., str. 12.)</w:t>
      </w:r>
    </w:p>
    <w:p w14:paraId="3DDBCAB7"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Direktivom Vijeća 2013/59/Euratom od 5. prosinca 2013. o osnovnim sigurnosnim standardima za zaštitu od opasnosti koje potječu od izloženosti ionizirajućem zračenju, i o stavljanju izvan snage direktiva 89/618/Euratom, 90/641/Euratom, 96/29/Euratom, 97/43/Euratom i 2003/122/Euratom (SL L 13, 17. 1. 2014., str. 1.)</w:t>
      </w:r>
    </w:p>
    <w:p w14:paraId="33FCAC11"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iv. Direktivom Vijeća 2011/70/Euratom od 19. srpnja 2011. o uspostavi okvira Zajednice za odgovorno i sigurno zbrinjavanje istrošenoga goriva i radioaktivnog otpada (SL L 199, 2. 8. 2011., str. 48.)</w:t>
      </w:r>
    </w:p>
    <w:p w14:paraId="7F61DCF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 Direktivom Vijeća 2006/117/Euratom od 20. studenoga 2006. o nadzoru i kontroli pošiljaka radioaktivnog otpada i istrošenoga goriva (SL L 337, 5. 12. 2006., str. 21.)</w:t>
      </w:r>
    </w:p>
    <w:p w14:paraId="6867EDC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 Uredbom Vijeća (Euratom) 2016/52 od 15. siječnja 2016. o utvrđivanju najviših dopuštenih razina radioaktivnog onečišćenja hrane i hrane za životinje nakon nuklearne nesreće ili bilo kojeg drugog slučaja radiološke opasnosti i o stavljanju izvan snage Uredbe (Euratom) br. 3954/87 i uredaba Komisije (Euratom) br. 944/89 i (Euratom) br. 770/90 (SL L 13, 20. 1. 2016., str. 2.)</w:t>
      </w:r>
    </w:p>
    <w:p w14:paraId="761A3F6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vii. Uredbom Vijeća (Euratom) br. 1493/93 od 8. lipnja 1993. o pošiljkama radioaktivnih tvari između država članica (SL L 148, 19. 6. 1993., str. 1.).</w:t>
      </w:r>
    </w:p>
    <w:p w14:paraId="67FFA7F6"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G.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vii. – sigurnost hrane i hrane za životinje, zdravlje i dobrobit životinja:</w:t>
      </w:r>
    </w:p>
    <w:p w14:paraId="55DB7C4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Zakonodavstvo Unije o hrani i hrani za životinje uređeno općim načelima i zahtjevima kako su definirani Uredbom (EZ) br. 178/2002 Europskog parlamenta i Vijeća od 28. siječnja 2002. o utvrđivanju općih načela i uvjeta zakona o hrani, osnivanju Europske agencije za sigurnost hrane te utvrđivanju postupaka u područjima sigurnosti hrane (SL L 31, 1. 2. 2002., str. 1.).</w:t>
      </w:r>
    </w:p>
    <w:p w14:paraId="603BAFEB"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2. Zdravlje životinja, kako je uređeno:</w:t>
      </w:r>
    </w:p>
    <w:p w14:paraId="6CD8BB6F"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Uredbom (EU) 2016/429 Europskog parlamenta i Vijeća od 9. ožujka 2016. o prenosivim bolestima životinja te o izmjeni i stavljanju izvan snage određenih akata u području zdravlja životinja (»Zakon o zdravlju životinja«) (SL L 84, 31. 3. 2016., str. 1.)</w:t>
      </w:r>
    </w:p>
    <w:p w14:paraId="519B9532"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Uredbom (EZ) br. 1069/2009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podrijetla) (SL L 300, 14. 11. 2009., str. 1.).</w:t>
      </w:r>
    </w:p>
    <w:p w14:paraId="58B7936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Uredba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(SL L 95, 7. 4. 2017., str. 1.).</w:t>
      </w:r>
    </w:p>
    <w:p w14:paraId="159DBF84"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4. Pravila i standardi o zaštiti i dobrobiti životinja, kako su utvrđena:</w:t>
      </w:r>
    </w:p>
    <w:p w14:paraId="5FC8E52C"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Vijeća 98/58/EZ od 20. srpnja 1998. o zaštiti životinja koje se drže u svrhu proizvodnje (SL L 221, 8. 8. 1998., str. 23.)</w:t>
      </w:r>
    </w:p>
    <w:p w14:paraId="390CA7FF"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Uredbom Vijeća (EZ) br. 1/2005 od 22. prosinca 2004. o zaštiti životinja tijekom prijevoza i s prijevozom povezanih postupaka i o izmjeni direktiva 64/432/EEZ i 93/119/EZ i Uredbe (EZ) br. 1255/97 (SL L 3, 5. 1. 2005., str. 1.)</w:t>
      </w:r>
    </w:p>
    <w:p w14:paraId="3595A167"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Uredbom Vijeća (EZ) br. 1099/2009 od 24. rujna 2009. o zaštiti životinja u trenutku usmrćivanja (SL L 303, 18. 11. 2009., str. 1.)</w:t>
      </w:r>
    </w:p>
    <w:p w14:paraId="485DB5FF"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iv. Direktivom Vijeća 1999/22/EZ od 29. ožujka 1999. o držanju divljih životinja u zoološkim vrtovima (SL L 94, 9. 4. 1999., str. 24.)</w:t>
      </w:r>
    </w:p>
    <w:p w14:paraId="4E1BDFB6"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 Direktivom 2010/63/EU Europskog parlamenta i Vijeća od 22. rujna 2010. o zaštiti životinja koje se koriste u znanstvene svrhe (SL L 276, 20. 10. 2010., str. 33.).</w:t>
      </w:r>
    </w:p>
    <w:p w14:paraId="1E622E6C"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H.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viii. – javno zdravlje:</w:t>
      </w:r>
    </w:p>
    <w:p w14:paraId="379BAEE4"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Mjere kojima se utvrđuju visoki standardi kvalitete i sigurnosti organa i tvari ljudskog podrijetla, kako je uređeno:</w:t>
      </w:r>
    </w:p>
    <w:p w14:paraId="6A912982"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2002/98/EZ Europskog parlamenta i Vijeća od 27. siječnja 2003. o utvrđivanju standarda kvalitete i sigurnosti za prikupljanje, ispitivanje, preradu, čuvanje i promet ljudske krvi i krvnih sastojaka i o izmjeni Direktive 2001/83/EZ (SL L 33, 8. 2. 2003., str. 30.)</w:t>
      </w:r>
    </w:p>
    <w:p w14:paraId="5DF2416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Direktivom 2004/23/EZ Europskog parlamenta i Vijeća od 31. ožujka 2004. o utvrđivanju standarda kvalitete i sigurnosti za postupke darivanja, prikupljanja, testiranja, obrade, čuvanja, skladištenja i distribucije tkiva i stanica (SL L 102, 7. 4. 2004., str. 48.)</w:t>
      </w:r>
    </w:p>
    <w:p w14:paraId="31C4232D"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Direktivom 2010/53/EU Europskog parlamenta i Vijeća od 7. srpnja 2010. o standardima kvalitete i sigurnosti ljudskih organa namijenjenih transplantaciji (SL L 207, 6. 8. 2010., str. 14.).</w:t>
      </w:r>
    </w:p>
    <w:p w14:paraId="4C863A82"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Mjere kojima se utvrđuju visoki standardi kvalitete i sigurnosti lijekova i medicinskih proizvoda, kako je uređeno:</w:t>
      </w:r>
    </w:p>
    <w:p w14:paraId="547F59CD"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Uredbom (EZ) br. 141/2000 Europskog parlamenta i Vijeća od 16. prosinca 1999. o lijekovima za rijetke bolesti (SL L 18, 22. 1. 2000., str. 1.)</w:t>
      </w:r>
    </w:p>
    <w:p w14:paraId="34A4FFBD"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ii. Direktivom 2001/83/EZ Europskog parlamenta i Vijeća od 6. studenoga 2001. o zakoniku Zajednice o lijekovima za humanu primjenu (SL L 311, 28. 11. 2001., str. 67.)</w:t>
      </w:r>
    </w:p>
    <w:p w14:paraId="38F3CF93"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Uredbom (EU) 2019/6 Europskog parlamenta i Vijeća od 11. prosinca 2018. o veterinarsko-medicinskim proizvodima i stavljanju izvan snage Direktive 2001/82/EZ (SL L 4, 7. 1. 2019., str. 43.)</w:t>
      </w:r>
    </w:p>
    <w:p w14:paraId="7C6F130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iv. Uredbom (EZ) br. 726/2004 Europskog parlamenta i Vijeća od 31. ožujka 2004. o utvrđivanju postupaka odobravanja primjene i postupaka nadzora nad primjenom lijekova koji se rabe u humanoj i veterinarskoj medicini, te uspostavi Europske agencije za lijekove (SL L 136, 30. 4. 2004., str. 1.)</w:t>
      </w:r>
    </w:p>
    <w:p w14:paraId="4C3A6244"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 Uredbom (EZ) br. 1901/2006 Europskog parlamenta i Vijeća od 12. prosinca 2006. o lijekovima za pedijatrijsku upotrebu i izmjeni Uredbe (EEZ) br. 1768/92, Direktive 2001/20/EZ, Direktive 2001/83/EZ i Uredbe (EZ) br. 726/2004 (SL L 378, 27. 12. 2006., str. 1.)</w:t>
      </w:r>
    </w:p>
    <w:p w14:paraId="76D89973"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 Uredbom (EZ) br. 1394/2007 Europskog parlamenta i Vijeća od 13. studenoga 2007. o lijekovima za naprednu terapiju i o izmjeni Direktive 2001/83/EZ i Uredbe (EZ) br. 726/2004 (SL L 324, 10. 12. 2007., str. 121.)</w:t>
      </w:r>
    </w:p>
    <w:p w14:paraId="6E83CD4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vii. Uredbom (EU) br. 536/2014 Europskog parlamenta i Vijeća od 16. travnja 2014. o kliničkim ispitivanjima lijekova za primjenu kod ljudi te o stavljanju izvan snage Direktive 2001/20/EZ (SL L 158, 27. 5. 2014., str. 1.).</w:t>
      </w:r>
    </w:p>
    <w:p w14:paraId="51682557"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3. Prava pacijenata, kako su uređena Direktivom 2011/24/EU Europskog parlamenta i Vijeća od 9. ožujka 2011. o primjeni prava pacijenata u prekograničnoj zdravstvenoj skrbi (SL L 88, 4. 4. 2011., str. 45.).</w:t>
      </w:r>
    </w:p>
    <w:p w14:paraId="236D6C2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4. Proizvodnja, predstavljanje i prodaja duhanskih i srodnih proizvoda, kako su uređeni Direktivom 2014/40/EU Europskog parlamenta i Vijeća od 3. travnja 2014. o usklađivanju zakona i drugih propisa država članica o proizvodnji, predstavljanju i prodaji duhanskih i srodnih proizvoda i o stavljanju izvan snage Direktive 2001/37/EZ (SL L 127, 29. 4. 2014., str. 1.).</w:t>
      </w:r>
    </w:p>
    <w:p w14:paraId="37D9C238"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I.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ix. – zaštita potrošača:</w:t>
      </w:r>
    </w:p>
    <w:p w14:paraId="37FCB9D5"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Prava potrošača i zaštita potrošača, kako su uređeni:</w:t>
      </w:r>
    </w:p>
    <w:p w14:paraId="7571F1E6"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Direktivom 98/6/EZ Europskog parlamenta i Vijeća od 16. veljače 1998. o zaštiti potrošača prilikom isticanja cijena proizvoda ponuđenih potrošačima (SL L 80, 18. 3. 1998., str. 27.)</w:t>
      </w:r>
    </w:p>
    <w:p w14:paraId="2F59F65F"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Direktivom (EU) 2019/770 Europskog parlamenta i Vijeća od 20. svibnja 2019. o određenim aspektima ugovora o isporuci digitalnog sadržaja i digitalnih usluga (SL L 136, 22. 5. 2019., str. 1.</w:t>
      </w:r>
    </w:p>
    <w:p w14:paraId="294D710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Direktivom (EU) 2019/771 Europskog parlamenta i Vijeća od 20. svibnja 2019. o određenim aspektima ugovora o kupoprodaji robe, izmjeni Uredbe (EU) 2017/2394 i Direktive 2009/22/EZ te stavljanju izvan snage Direktive 1999/44/EZ (SL L 136, 22. 5. 2019., str. 28.)</w:t>
      </w:r>
    </w:p>
    <w:p w14:paraId="1AF6F80F"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iv. Direktivom 1999/44/EZ Europskog parlamenta i Vijeća od 25. svibnja 1999. o određenim aspektima prodaje robe široke potrošnje i o jamstvima za takvu robu (SL L 171, 7. 7. 1999., str. 12.)</w:t>
      </w:r>
    </w:p>
    <w:p w14:paraId="0F97265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 Direktivom 2002/65/EZ Europskog parlamenta i Vijeća od 23. rujna 2002. o trgovanju na daljinu financijskim uslugama koje su namijenjene potrošačima i o izmjeni Direktive Vijeća 90/619/EEZ i direktiva 97/7/EZ i 98/27/EZ (SL L 271, 9. 10. 2002., str. 16.)</w:t>
      </w:r>
    </w:p>
    <w:p w14:paraId="34A7087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vi. Direktivom 2005/29/EZ Europskog parlamenta i Vijeća od 11. svibnja 2005. o nepoštenoj poslovnoj praksi poslovnog subjekta u odnosu prema potrošaču na unutarnjem tržištu i o izmjeni Direktive Vijeća 84/450/EEZ, direktiva 97/7/EZ, 98/27/EZ i 2002/65/EZ </w:t>
      </w:r>
      <w:r w:rsidRPr="001F53EF">
        <w:rPr>
          <w:rFonts w:ascii="Times New Roman" w:eastAsia="Times New Roman" w:hAnsi="Times New Roman" w:cs="Times New Roman"/>
          <w:color w:val="000000" w:themeColor="text1"/>
          <w:kern w:val="0"/>
          <w:lang w:eastAsia="hr-HR"/>
          <w14:ligatures w14:val="none"/>
        </w:rPr>
        <w:lastRenderedPageBreak/>
        <w:t>Europskog parlamenta i Vijeća, kao i Uredbe (EZ) br. 2006/2004 Europskog parlamenta i Vijeća (»Direktiva o nepoštenoj poslovnoj praksi«) (SL L 149, 11. 6. 2005., str. 22.)</w:t>
      </w:r>
    </w:p>
    <w:p w14:paraId="06FB7DF1"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vii. Direktivom 2008/48/EZ Europskog parlamenta i Vijeća od 23. travnja 2008. o ugovorima o potrošačkim kreditima i stavljanju izvan snage Direktive Vijeća 87/102/EEZ (SL L 133, 22. 5. 2008., str. 66.)</w:t>
      </w:r>
    </w:p>
    <w:p w14:paraId="791B4470"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viii. Direktivom 2011/83/EU Europskog parlamenta i Vijeća od 25. listopada 2011. o pravima potrošača, izmjeni Direktive Vijeća 93/13/EEZ i Direktive 1999/44/EZ Europskog parlamenta i Vijeća te o stavljanju izvan snage Direktive Vijeća 85/577/EEZ i Direktive 97/7/EZ Europskog parlamenta i Vijeća (SL L 304, 22. 11. 2011., str. 64.)</w:t>
      </w:r>
    </w:p>
    <w:p w14:paraId="261D7E3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ix. Direktivom 2014/92/EU Europskog parlamenta i Vijeća od 23. srpnja 2014. o usporedivosti naknada povezanih s računima za plaćanje, prebacivanju računa za plaćanje i pristupu računima za plaćanje s osnovnim uslugama (SL L 257, 28. 8. 2014., str. 214.).</w:t>
      </w:r>
    </w:p>
    <w:p w14:paraId="5480C63F"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J.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x. – zaštita privatnosti i osobnih podataka te sigurnost mrežnih i informacijskih sustava:</w:t>
      </w:r>
    </w:p>
    <w:p w14:paraId="6B4241CA"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Direktiva 2002/58/EZ Europskog parlamenta i Vijeća od 12. srpnja 2002. o obradi osobnih podataka i zaštiti privatnosti u području elektroničkih komunikacija (Direktiva o privatnosti i elektroničkim komunikacijama) (SL L 201, 31. 7. 2002., str. 37.)</w:t>
      </w:r>
    </w:p>
    <w:p w14:paraId="67E2D997"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Uredba (EU) 2016/679 Europskog parlamenta i Vijeća od 27. travnja 2016. o zaštiti pojedinaca u vezi s obradom osobnih podataka i o slobodnom kretanju takvih podataka te o stavljanju izvan snage Direktive 95/46/EZ (Opća uredba o zaštiti podataka) (SL L 119, 4. 5. 2016., str. 1.)</w:t>
      </w:r>
    </w:p>
    <w:p w14:paraId="04C275C3"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Direktiva (EU) 2016/1148 Europskog parlamenta i Vijeća od 6. srpnja 2016. o mjerama za visoku zajedničku razinu sigurnosti mrežnih i informacijskih sustava širom Unije (SL L 194, 19. 7. 2016., str. 1.).</w:t>
      </w:r>
    </w:p>
    <w:p w14:paraId="332C6FA4" w14:textId="77777777" w:rsidR="001F53EF" w:rsidRPr="00B435BE" w:rsidRDefault="001F53EF" w:rsidP="00B435BE">
      <w:pPr>
        <w:pStyle w:val="Naslov3"/>
        <w:jc w:val="center"/>
        <w:rPr>
          <w:rFonts w:ascii="Times New Roman" w:eastAsia="Times New Roman" w:hAnsi="Times New Roman" w:cs="Times New Roman"/>
          <w:b/>
          <w:bCs/>
          <w:color w:val="000000" w:themeColor="text1"/>
          <w:sz w:val="24"/>
          <w:szCs w:val="24"/>
          <w:lang w:eastAsia="hr-HR"/>
        </w:rPr>
      </w:pPr>
      <w:r w:rsidRPr="00B435BE">
        <w:rPr>
          <w:rFonts w:ascii="Times New Roman" w:eastAsia="Times New Roman" w:hAnsi="Times New Roman" w:cs="Times New Roman"/>
          <w:b/>
          <w:bCs/>
          <w:color w:val="000000" w:themeColor="text1"/>
          <w:sz w:val="24"/>
          <w:szCs w:val="24"/>
          <w:bdr w:val="none" w:sz="0" w:space="0" w:color="auto" w:frame="1"/>
          <w:lang w:eastAsia="hr-HR"/>
        </w:rPr>
        <w:t>Dio II.</w:t>
      </w:r>
    </w:p>
    <w:p w14:paraId="4AC3AA17"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U članku 3. stavku 1. upućuje se na sljedeće zakonodavstvo Unije:</w:t>
      </w:r>
    </w:p>
    <w:p w14:paraId="4F610115"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A.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ii. – financijske usluge, proizvodi i tržišta te sprječavanje pranja novca i financiranja terorizma:</w:t>
      </w:r>
    </w:p>
    <w:p w14:paraId="57735C7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1. Financijske usluge:</w:t>
      </w:r>
    </w:p>
    <w:p w14:paraId="7FAF3943"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Direktiva 2009/65/EZ Europskog parlamenta i Vijeća od 13. srpnja 2009. o usklađivanju zakona i drugih propisa u odnosu na subjekte za zajednička ulaganja u prenosive vrijednosne papire (UCITS) (SL L 302, 17. 11. 2009., str. 32.)</w:t>
      </w:r>
    </w:p>
    <w:p w14:paraId="0034BF1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Direktiva (EU) 2016/2341 Europskog parlamenta i Vijeća od 14. prosinca 2016. o djelatnostima i nadzoru institucija za strukovno mirovinsko osiguranje (SL L 354, 23. 12. 2016., str. 37.)</w:t>
      </w:r>
    </w:p>
    <w:p w14:paraId="0293CA06"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Direktiva 2006/43/EZ Europskog parlamenta i Vijeća od 17. svibnja 2006. o zakonskim revizijama godišnjih financijskih izvještaja i konsolidiranih financijskih izvještaja, kojom se mijenjaju direktive Vijeća 78/660/EEZ i 83/349/EEZ i stavlja izvan snage Direktiva Vijeća 84/253/EEZ (SL L 157, 9. 6. 2006., str. 87.)</w:t>
      </w:r>
    </w:p>
    <w:p w14:paraId="7AB9F48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iv. Uredba (EU) br. 596/2014 Europskog parlamenta i Vijeća od 16. travnja 2014. o zlouporabi tržišta (Uredba o zlouporabi tržišta) te stavljanju izvan snage Direktive 2003/6/EZ Europskog parlamenta i Vijeća i direktiva Komisije 2003/124/EZ, 2003/125/EZ i 2004/72/EZ (SL L 173, 12. 6. 2014., str. 1.)</w:t>
      </w:r>
    </w:p>
    <w:p w14:paraId="4AE7285D"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v. 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str. 338.)</w:t>
      </w:r>
    </w:p>
    <w:p w14:paraId="21045479"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lastRenderedPageBreak/>
        <w:t>vi. Direktiva 2014/65/EU Europskog parlamenta i Vijeća od 15. svibnja 2014. o tržištu financijskih instrumenata i izmjeni Direktive 2002/92/EZ i Direktive 2011/61/EU (SL L 173, 12. 6. 2014., str. 349.)</w:t>
      </w:r>
    </w:p>
    <w:p w14:paraId="3E2973E2"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vii. Uredba (EU) br. 909/2014 Europskog parlamenta i Vijeća od 23. srpnja 2014. o poboljšanju namire vrijednosnih papira u Europskoj uniji i o središnjim </w:t>
      </w:r>
      <w:proofErr w:type="spellStart"/>
      <w:r w:rsidRPr="001F53EF">
        <w:rPr>
          <w:rFonts w:ascii="Times New Roman" w:eastAsia="Times New Roman" w:hAnsi="Times New Roman" w:cs="Times New Roman"/>
          <w:color w:val="000000" w:themeColor="text1"/>
          <w:kern w:val="0"/>
          <w:lang w:eastAsia="hr-HR"/>
          <w14:ligatures w14:val="none"/>
        </w:rPr>
        <w:t>depozitorijima</w:t>
      </w:r>
      <w:proofErr w:type="spellEnd"/>
      <w:r w:rsidRPr="001F53EF">
        <w:rPr>
          <w:rFonts w:ascii="Times New Roman" w:eastAsia="Times New Roman" w:hAnsi="Times New Roman" w:cs="Times New Roman"/>
          <w:color w:val="000000" w:themeColor="text1"/>
          <w:kern w:val="0"/>
          <w:lang w:eastAsia="hr-HR"/>
          <w14:ligatures w14:val="none"/>
        </w:rPr>
        <w:t xml:space="preserve"> vrijednosnih papira te izmjeni direktiva 98/26/EZ i 2014/65/EU te Uredbe (EU) br. 236/2012 (SL L 257, 28. 8. 2014., str. 1.)</w:t>
      </w:r>
    </w:p>
    <w:p w14:paraId="574F7B5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viii. Uredba (EU) br. 1286/2014 Europskog parlamenta i Vijeća od 26. studenoga 2014. o dokumentima s ključnim informacijama za upakirane investicijske proizvode za male ulagatelje i investicijske </w:t>
      </w:r>
      <w:proofErr w:type="spellStart"/>
      <w:r w:rsidRPr="001F53EF">
        <w:rPr>
          <w:rFonts w:ascii="Times New Roman" w:eastAsia="Times New Roman" w:hAnsi="Times New Roman" w:cs="Times New Roman"/>
          <w:color w:val="000000" w:themeColor="text1"/>
          <w:kern w:val="0"/>
          <w:lang w:eastAsia="hr-HR"/>
          <w14:ligatures w14:val="none"/>
        </w:rPr>
        <w:t>osigurateljne</w:t>
      </w:r>
      <w:proofErr w:type="spellEnd"/>
      <w:r w:rsidRPr="001F53EF">
        <w:rPr>
          <w:rFonts w:ascii="Times New Roman" w:eastAsia="Times New Roman" w:hAnsi="Times New Roman" w:cs="Times New Roman"/>
          <w:color w:val="000000" w:themeColor="text1"/>
          <w:kern w:val="0"/>
          <w:lang w:eastAsia="hr-HR"/>
          <w14:ligatures w14:val="none"/>
        </w:rPr>
        <w:t xml:space="preserve"> proizvode (PRIIP-ovi) (SL L 352, 9. 12. 2014., str. 1.)</w:t>
      </w:r>
    </w:p>
    <w:p w14:paraId="1F3BBB6F"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ix. Uredba (EU) 2015/2365 Europskog parlamenta i Vijeća od 25. studenoga 2015. o transparentnosti transakcija financiranja vrijednosnih papira i ponovne uporabe te o izmjeni Uredbe (EU) br. 648/2012 (SL L 337, 23. 12. 2015., str. 1.)</w:t>
      </w:r>
    </w:p>
    <w:p w14:paraId="51924A58"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 Direktiva (EU) 2016/97 Europskog parlamenta i Vijeća od 20. siječnja 2016. o distribuciji osiguranja (SL L 26, 2. 2. 2016., str. 19.)</w:t>
      </w:r>
    </w:p>
    <w:p w14:paraId="743AF492"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xi. Uredba (EU) 2017/1129 Europskog parlamenta i Vijeća od 14. lipnja 2017. o prospektu koji je potrebno objaviti prilikom javne ponude vrijednosnih papira ili prilikom uvrštavanja za trgovanje na uređenom tržištu te stavljanju izvan snage Direktive 2003/71/EZ (SL L 168, 30. 6. 2017., str. 12.).</w:t>
      </w:r>
    </w:p>
    <w:p w14:paraId="14C586B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2. Sprječavanje pranja novca i financiranja terorizma:</w:t>
      </w:r>
    </w:p>
    <w:p w14:paraId="78CEEAAE"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(SL L 141, 5. 6. 2015., str. 73.)</w:t>
      </w:r>
    </w:p>
    <w:p w14:paraId="350E163D"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Uredba (EU) 2015/847 Europskog parlamenta i Vijeća od 20. svibnja 2015. o informacijama koje su priložene prijenosu novčanih sredstava i o stavljanju izvan snage Uredbe (EZ) br. 1781/2006 (SL L 141, 5. 6. 2015., str. 1.).</w:t>
      </w:r>
    </w:p>
    <w:p w14:paraId="7877F3E7"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B.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iv. – sigurnost prometa:</w:t>
      </w:r>
    </w:p>
    <w:p w14:paraId="2CD4EBA4"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 Uredba (EU) br. 376/2014 Europskog parlamenta i Vijeća od 3. travnja 2014. o izvješćivanju, analizi i naknadnom postupanju u vezi s događajima u civilnom zrakoplovstvu, o izmjeni Uredbe (EU) br. 996/2010 Europskog parlamenta i Vijeća i stavljaju izvan snage Direktive 2003/42/EZ Europskog parlamenta i Vijeća i uredbi Komisije (EZ) br. 1321/2007 i (EZ) br. 1330/2007 (SL L 122, 24. 4. 2014., str. 18.)</w:t>
      </w:r>
    </w:p>
    <w:p w14:paraId="7F60BCD4"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 Direktiva 2013/54/EU Europskog parlamenta i Vijeća od 20. studenoga 2013. o nekim nadležnostima države zastave za usklađivanje s Konvencijom o radu pomoraca i njezinu provedbu, 2006. (SL L 329, 10. 12. 2013., str. 1.)</w:t>
      </w:r>
    </w:p>
    <w:p w14:paraId="3D391171"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iii. Direktiva 2009/16/EZ Europskog parlamenta i Vijeća od 23. travnja 2009. o nadzoru države luke (SL L 131, 28. 5. 2009., str. 57.).</w:t>
      </w:r>
    </w:p>
    <w:p w14:paraId="515F02C7" w14:textId="77777777" w:rsidR="001F53EF" w:rsidRPr="001F53EF" w:rsidRDefault="001F53EF" w:rsidP="00B435B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Minion Pro" w:eastAsia="Times New Roman" w:hAnsi="Minion Pro" w:cs="Times New Roman"/>
          <w:b/>
          <w:bCs/>
          <w:color w:val="000000" w:themeColor="text1"/>
          <w:kern w:val="0"/>
          <w:bdr w:val="none" w:sz="0" w:space="0" w:color="auto" w:frame="1"/>
          <w:lang w:eastAsia="hr-HR"/>
          <w14:ligatures w14:val="none"/>
        </w:rPr>
        <w:t>C. </w:t>
      </w:r>
      <w:r w:rsidRPr="001F53EF">
        <w:rPr>
          <w:rFonts w:ascii="Times New Roman" w:eastAsia="Times New Roman" w:hAnsi="Times New Roman" w:cs="Times New Roman"/>
          <w:color w:val="000000" w:themeColor="text1"/>
          <w:kern w:val="0"/>
          <w:lang w:eastAsia="hr-HR"/>
          <w14:ligatures w14:val="none"/>
        </w:rPr>
        <w:t xml:space="preserve">Članak 2. stavak 1. točka (a) </w:t>
      </w:r>
      <w:proofErr w:type="spellStart"/>
      <w:r w:rsidRPr="001F53EF">
        <w:rPr>
          <w:rFonts w:ascii="Times New Roman" w:eastAsia="Times New Roman" w:hAnsi="Times New Roman" w:cs="Times New Roman"/>
          <w:color w:val="000000" w:themeColor="text1"/>
          <w:kern w:val="0"/>
          <w:lang w:eastAsia="hr-HR"/>
          <w14:ligatures w14:val="none"/>
        </w:rPr>
        <w:t>podtočka</w:t>
      </w:r>
      <w:proofErr w:type="spellEnd"/>
      <w:r w:rsidRPr="001F53EF">
        <w:rPr>
          <w:rFonts w:ascii="Times New Roman" w:eastAsia="Times New Roman" w:hAnsi="Times New Roman" w:cs="Times New Roman"/>
          <w:color w:val="000000" w:themeColor="text1"/>
          <w:kern w:val="0"/>
          <w:lang w:eastAsia="hr-HR"/>
          <w14:ligatures w14:val="none"/>
        </w:rPr>
        <w:t xml:space="preserve"> v. – zaštita okoliša:</w:t>
      </w:r>
    </w:p>
    <w:p w14:paraId="44FA6742" w14:textId="77777777" w:rsidR="001F53EF" w:rsidRPr="001F53EF" w:rsidRDefault="001F53EF" w:rsidP="00B435BE">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hr-HR"/>
          <w14:ligatures w14:val="none"/>
        </w:rPr>
      </w:pPr>
      <w:r w:rsidRPr="001F53EF">
        <w:rPr>
          <w:rFonts w:ascii="Times New Roman" w:eastAsia="Times New Roman" w:hAnsi="Times New Roman" w:cs="Times New Roman"/>
          <w:color w:val="000000" w:themeColor="text1"/>
          <w:kern w:val="0"/>
          <w:lang w:eastAsia="hr-HR"/>
          <w14:ligatures w14:val="none"/>
        </w:rPr>
        <w:t xml:space="preserve">i. Direktiva 2013/30/EU Europskog parlamenta i Vijeća od 12. lipnja 2013. o sigurnosti </w:t>
      </w:r>
      <w:proofErr w:type="spellStart"/>
      <w:r w:rsidRPr="001F53EF">
        <w:rPr>
          <w:rFonts w:ascii="Times New Roman" w:eastAsia="Times New Roman" w:hAnsi="Times New Roman" w:cs="Times New Roman"/>
          <w:color w:val="000000" w:themeColor="text1"/>
          <w:kern w:val="0"/>
          <w:lang w:eastAsia="hr-HR"/>
          <w14:ligatures w14:val="none"/>
        </w:rPr>
        <w:t>odobalnih</w:t>
      </w:r>
      <w:proofErr w:type="spellEnd"/>
      <w:r w:rsidRPr="001F53EF">
        <w:rPr>
          <w:rFonts w:ascii="Times New Roman" w:eastAsia="Times New Roman" w:hAnsi="Times New Roman" w:cs="Times New Roman"/>
          <w:color w:val="000000" w:themeColor="text1"/>
          <w:kern w:val="0"/>
          <w:lang w:eastAsia="hr-HR"/>
          <w14:ligatures w14:val="none"/>
        </w:rPr>
        <w:t xml:space="preserve"> naftnih i plinskih djelatnosti i o izmjeni Direktive 2004/35/EZ (SL L 178, 28. 6. 2013., str. 66.).</w:t>
      </w:r>
    </w:p>
    <w:p w14:paraId="55581615" w14:textId="77777777" w:rsidR="001F53EF" w:rsidRPr="001F53EF" w:rsidRDefault="001F53EF" w:rsidP="00B435BE">
      <w:pPr>
        <w:shd w:val="clear" w:color="auto" w:fill="FFFFFF"/>
        <w:spacing w:before="204" w:after="72" w:line="240" w:lineRule="auto"/>
        <w:jc w:val="both"/>
        <w:textAlignment w:val="baseline"/>
        <w:rPr>
          <w:rFonts w:ascii="Times New Roman" w:eastAsia="Times New Roman" w:hAnsi="Times New Roman" w:cs="Times New Roman"/>
          <w:color w:val="000000" w:themeColor="text1"/>
          <w:kern w:val="0"/>
          <w:lang w:eastAsia="hr-HR"/>
          <w14:ligatures w14:val="none"/>
        </w:rPr>
      </w:pPr>
    </w:p>
    <w:p w14:paraId="527CF2BD" w14:textId="77777777" w:rsidR="00DB4BEB" w:rsidRPr="00B435BE" w:rsidRDefault="00DB4BEB" w:rsidP="00B435BE">
      <w:pPr>
        <w:jc w:val="both"/>
        <w:rPr>
          <w:color w:val="000000" w:themeColor="text1"/>
        </w:rPr>
      </w:pPr>
    </w:p>
    <w:sectPr w:rsidR="00DB4BEB" w:rsidRPr="00B43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429"/>
    <w:multiLevelType w:val="hybridMultilevel"/>
    <w:tmpl w:val="824AF2B8"/>
    <w:lvl w:ilvl="0" w:tplc="7854AAF2">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 w15:restartNumberingAfterBreak="0">
    <w:nsid w:val="00EA2FE3"/>
    <w:multiLevelType w:val="hybridMultilevel"/>
    <w:tmpl w:val="A94E9FFC"/>
    <w:lvl w:ilvl="0" w:tplc="78B64A62">
      <w:start w:val="1"/>
      <w:numFmt w:val="decimal"/>
      <w:lvlText w:val="%1."/>
      <w:lvlJc w:val="left"/>
      <w:pPr>
        <w:ind w:left="1637"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 w15:restartNumberingAfterBreak="0">
    <w:nsid w:val="027A3F63"/>
    <w:multiLevelType w:val="hybridMultilevel"/>
    <w:tmpl w:val="47A62E8C"/>
    <w:lvl w:ilvl="0" w:tplc="47C49CCC">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 w15:restartNumberingAfterBreak="0">
    <w:nsid w:val="02935D78"/>
    <w:multiLevelType w:val="hybridMultilevel"/>
    <w:tmpl w:val="0C7AE494"/>
    <w:lvl w:ilvl="0" w:tplc="E0C0E07C">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4" w15:restartNumberingAfterBreak="0">
    <w:nsid w:val="03BD0B33"/>
    <w:multiLevelType w:val="hybridMultilevel"/>
    <w:tmpl w:val="710C5B9C"/>
    <w:lvl w:ilvl="0" w:tplc="ACCA391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5" w15:restartNumberingAfterBreak="0">
    <w:nsid w:val="0B9C0611"/>
    <w:multiLevelType w:val="hybridMultilevel"/>
    <w:tmpl w:val="634279A6"/>
    <w:lvl w:ilvl="0" w:tplc="5772149A">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6" w15:restartNumberingAfterBreak="0">
    <w:nsid w:val="12CC531A"/>
    <w:multiLevelType w:val="hybridMultilevel"/>
    <w:tmpl w:val="9014CD74"/>
    <w:lvl w:ilvl="0" w:tplc="2EE45D0E">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 w15:restartNumberingAfterBreak="0">
    <w:nsid w:val="13B00384"/>
    <w:multiLevelType w:val="hybridMultilevel"/>
    <w:tmpl w:val="FC4EC968"/>
    <w:lvl w:ilvl="0" w:tplc="214841D6">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8" w15:restartNumberingAfterBreak="0">
    <w:nsid w:val="15FC1E1F"/>
    <w:multiLevelType w:val="hybridMultilevel"/>
    <w:tmpl w:val="C6C6578A"/>
    <w:lvl w:ilvl="0" w:tplc="C5805EF2">
      <w:start w:val="1"/>
      <w:numFmt w:val="low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D87132"/>
    <w:multiLevelType w:val="hybridMultilevel"/>
    <w:tmpl w:val="DFB4BC12"/>
    <w:lvl w:ilvl="0" w:tplc="D7FC6C86">
      <w:start w:val="1"/>
      <w:numFmt w:val="lowerRoman"/>
      <w:lvlText w:val="%1."/>
      <w:lvlJc w:val="left"/>
      <w:pPr>
        <w:ind w:left="1128" w:hanging="360"/>
      </w:pPr>
      <w:rPr>
        <w:rFonts w:hint="default"/>
      </w:rPr>
    </w:lvl>
    <w:lvl w:ilvl="1" w:tplc="9EDA7708">
      <w:start w:val="1"/>
      <w:numFmt w:val="decimal"/>
      <w:lvlText w:val="%2."/>
      <w:lvlJc w:val="left"/>
      <w:pPr>
        <w:ind w:left="1848" w:hanging="360"/>
      </w:pPr>
      <w:rPr>
        <w:rFonts w:hint="default"/>
      </w:r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0" w15:restartNumberingAfterBreak="0">
    <w:nsid w:val="1C6809DD"/>
    <w:multiLevelType w:val="hybridMultilevel"/>
    <w:tmpl w:val="8EE45C38"/>
    <w:lvl w:ilvl="0" w:tplc="2800CC2A">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1" w15:restartNumberingAfterBreak="0">
    <w:nsid w:val="1D3B0D94"/>
    <w:multiLevelType w:val="hybridMultilevel"/>
    <w:tmpl w:val="7D2EB2A2"/>
    <w:lvl w:ilvl="0" w:tplc="493C0EC0">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2" w15:restartNumberingAfterBreak="0">
    <w:nsid w:val="1EAE296F"/>
    <w:multiLevelType w:val="hybridMultilevel"/>
    <w:tmpl w:val="ECA049BE"/>
    <w:lvl w:ilvl="0" w:tplc="E892C38C">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3" w15:restartNumberingAfterBreak="0">
    <w:nsid w:val="24697867"/>
    <w:multiLevelType w:val="hybridMultilevel"/>
    <w:tmpl w:val="581A745C"/>
    <w:lvl w:ilvl="0" w:tplc="C89EE87E">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4" w15:restartNumberingAfterBreak="0">
    <w:nsid w:val="2ECC091F"/>
    <w:multiLevelType w:val="hybridMultilevel"/>
    <w:tmpl w:val="16A04AA4"/>
    <w:lvl w:ilvl="0" w:tplc="041A001B">
      <w:start w:val="1"/>
      <w:numFmt w:val="lowerRoman"/>
      <w:lvlText w:val="%1."/>
      <w:lvlJc w:val="right"/>
      <w:pPr>
        <w:ind w:left="1837"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5" w15:restartNumberingAfterBreak="0">
    <w:nsid w:val="32DF4414"/>
    <w:multiLevelType w:val="hybridMultilevel"/>
    <w:tmpl w:val="008A174E"/>
    <w:lvl w:ilvl="0" w:tplc="23641BF6">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6" w15:restartNumberingAfterBreak="0">
    <w:nsid w:val="371302AB"/>
    <w:multiLevelType w:val="hybridMultilevel"/>
    <w:tmpl w:val="52D299A6"/>
    <w:lvl w:ilvl="0" w:tplc="B9E415E8">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7" w15:restartNumberingAfterBreak="0">
    <w:nsid w:val="377E0E9C"/>
    <w:multiLevelType w:val="hybridMultilevel"/>
    <w:tmpl w:val="06FAF88A"/>
    <w:lvl w:ilvl="0" w:tplc="3CB683F0">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8" w15:restartNumberingAfterBreak="0">
    <w:nsid w:val="3D076C79"/>
    <w:multiLevelType w:val="hybridMultilevel"/>
    <w:tmpl w:val="8B245C90"/>
    <w:lvl w:ilvl="0" w:tplc="78B64A6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9" w15:restartNumberingAfterBreak="0">
    <w:nsid w:val="3E186A83"/>
    <w:multiLevelType w:val="hybridMultilevel"/>
    <w:tmpl w:val="2DA8CFBC"/>
    <w:lvl w:ilvl="0" w:tplc="475AB7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40F120E2"/>
    <w:multiLevelType w:val="hybridMultilevel"/>
    <w:tmpl w:val="D3028F6C"/>
    <w:lvl w:ilvl="0" w:tplc="7DA0F3CE">
      <w:numFmt w:val="bullet"/>
      <w:lvlText w:val="-"/>
      <w:lvlJc w:val="left"/>
      <w:pPr>
        <w:ind w:left="720" w:hanging="360"/>
      </w:pPr>
      <w:rPr>
        <w:rFonts w:ascii="Segoe UI" w:eastAsiaTheme="minorHAnsi" w:hAnsi="Segoe UI" w:cs="Segoe UI"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3E6C73"/>
    <w:multiLevelType w:val="hybridMultilevel"/>
    <w:tmpl w:val="6E2AD2E4"/>
    <w:lvl w:ilvl="0" w:tplc="DBD28C76">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2" w15:restartNumberingAfterBreak="0">
    <w:nsid w:val="48647A88"/>
    <w:multiLevelType w:val="hybridMultilevel"/>
    <w:tmpl w:val="0454830C"/>
    <w:lvl w:ilvl="0" w:tplc="8266172C">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3" w15:restartNumberingAfterBreak="0">
    <w:nsid w:val="48A774CF"/>
    <w:multiLevelType w:val="hybridMultilevel"/>
    <w:tmpl w:val="76ECD06C"/>
    <w:lvl w:ilvl="0" w:tplc="78B64A62">
      <w:start w:val="1"/>
      <w:numFmt w:val="decimal"/>
      <w:lvlText w:val="%1."/>
      <w:lvlJc w:val="left"/>
      <w:pPr>
        <w:ind w:left="1069" w:hanging="360"/>
      </w:pPr>
      <w:rPr>
        <w:rFonts w:hint="default"/>
      </w:rPr>
    </w:lvl>
    <w:lvl w:ilvl="1" w:tplc="FFFFFFFF">
      <w:start w:val="1"/>
      <w:numFmt w:val="lowerLetter"/>
      <w:lvlText w:val="%2."/>
      <w:lvlJc w:val="left"/>
      <w:pPr>
        <w:ind w:left="1381" w:hanging="360"/>
      </w:pPr>
    </w:lvl>
    <w:lvl w:ilvl="2" w:tplc="FFFFFFFF" w:tentative="1">
      <w:start w:val="1"/>
      <w:numFmt w:val="lowerRoman"/>
      <w:lvlText w:val="%3."/>
      <w:lvlJc w:val="right"/>
      <w:pPr>
        <w:ind w:left="2101" w:hanging="180"/>
      </w:pPr>
    </w:lvl>
    <w:lvl w:ilvl="3" w:tplc="FFFFFFFF" w:tentative="1">
      <w:start w:val="1"/>
      <w:numFmt w:val="decimal"/>
      <w:lvlText w:val="%4."/>
      <w:lvlJc w:val="left"/>
      <w:pPr>
        <w:ind w:left="2821" w:hanging="360"/>
      </w:pPr>
    </w:lvl>
    <w:lvl w:ilvl="4" w:tplc="FFFFFFFF" w:tentative="1">
      <w:start w:val="1"/>
      <w:numFmt w:val="lowerLetter"/>
      <w:lvlText w:val="%5."/>
      <w:lvlJc w:val="left"/>
      <w:pPr>
        <w:ind w:left="3541" w:hanging="360"/>
      </w:pPr>
    </w:lvl>
    <w:lvl w:ilvl="5" w:tplc="FFFFFFFF" w:tentative="1">
      <w:start w:val="1"/>
      <w:numFmt w:val="lowerRoman"/>
      <w:lvlText w:val="%6."/>
      <w:lvlJc w:val="right"/>
      <w:pPr>
        <w:ind w:left="4261" w:hanging="180"/>
      </w:pPr>
    </w:lvl>
    <w:lvl w:ilvl="6" w:tplc="FFFFFFFF" w:tentative="1">
      <w:start w:val="1"/>
      <w:numFmt w:val="decimal"/>
      <w:lvlText w:val="%7."/>
      <w:lvlJc w:val="left"/>
      <w:pPr>
        <w:ind w:left="4981" w:hanging="360"/>
      </w:pPr>
    </w:lvl>
    <w:lvl w:ilvl="7" w:tplc="FFFFFFFF" w:tentative="1">
      <w:start w:val="1"/>
      <w:numFmt w:val="lowerLetter"/>
      <w:lvlText w:val="%8."/>
      <w:lvlJc w:val="left"/>
      <w:pPr>
        <w:ind w:left="5701" w:hanging="360"/>
      </w:pPr>
    </w:lvl>
    <w:lvl w:ilvl="8" w:tplc="FFFFFFFF" w:tentative="1">
      <w:start w:val="1"/>
      <w:numFmt w:val="lowerRoman"/>
      <w:lvlText w:val="%9."/>
      <w:lvlJc w:val="right"/>
      <w:pPr>
        <w:ind w:left="6421" w:hanging="180"/>
      </w:pPr>
    </w:lvl>
  </w:abstractNum>
  <w:abstractNum w:abstractNumId="24" w15:restartNumberingAfterBreak="0">
    <w:nsid w:val="49FD3627"/>
    <w:multiLevelType w:val="hybridMultilevel"/>
    <w:tmpl w:val="634279A6"/>
    <w:lvl w:ilvl="0" w:tplc="FFFFFFFF">
      <w:start w:val="1"/>
      <w:numFmt w:val="lowerRoman"/>
      <w:lvlText w:val="%1."/>
      <w:lvlJc w:val="left"/>
      <w:pPr>
        <w:ind w:left="1128" w:hanging="360"/>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5" w15:restartNumberingAfterBreak="0">
    <w:nsid w:val="4F651A05"/>
    <w:multiLevelType w:val="hybridMultilevel"/>
    <w:tmpl w:val="7BC23EB8"/>
    <w:lvl w:ilvl="0" w:tplc="A9969156">
      <w:start w:val="1"/>
      <w:numFmt w:val="lowerRoman"/>
      <w:lvlText w:val="%1."/>
      <w:lvlJc w:val="left"/>
      <w:pPr>
        <w:ind w:left="1128" w:hanging="360"/>
      </w:pPr>
      <w:rPr>
        <w:rFonts w:hint="default"/>
      </w:rPr>
    </w:lvl>
    <w:lvl w:ilvl="1" w:tplc="68700724">
      <w:start w:val="1"/>
      <w:numFmt w:val="decimal"/>
      <w:lvlText w:val="%2."/>
      <w:lvlJc w:val="left"/>
      <w:pPr>
        <w:ind w:left="1848" w:hanging="360"/>
      </w:pPr>
      <w:rPr>
        <w:rFonts w:hint="default"/>
      </w:r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6" w15:restartNumberingAfterBreak="0">
    <w:nsid w:val="53E658DB"/>
    <w:multiLevelType w:val="hybridMultilevel"/>
    <w:tmpl w:val="6F348868"/>
    <w:lvl w:ilvl="0" w:tplc="7DA0F3CE">
      <w:numFmt w:val="bullet"/>
      <w:lvlText w:val="-"/>
      <w:lvlJc w:val="left"/>
      <w:pPr>
        <w:ind w:left="720" w:hanging="360"/>
      </w:pPr>
      <w:rPr>
        <w:rFonts w:ascii="Segoe UI" w:eastAsiaTheme="minorHAnsi" w:hAnsi="Segoe UI" w:cs="Segoe UI"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EB1672"/>
    <w:multiLevelType w:val="hybridMultilevel"/>
    <w:tmpl w:val="9FD41CDE"/>
    <w:lvl w:ilvl="0" w:tplc="C1FED6D2">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8" w15:restartNumberingAfterBreak="0">
    <w:nsid w:val="544F2E54"/>
    <w:multiLevelType w:val="hybridMultilevel"/>
    <w:tmpl w:val="B8341054"/>
    <w:lvl w:ilvl="0" w:tplc="E67A8EAA">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9" w15:restartNumberingAfterBreak="0">
    <w:nsid w:val="594500AD"/>
    <w:multiLevelType w:val="hybridMultilevel"/>
    <w:tmpl w:val="472E3D08"/>
    <w:lvl w:ilvl="0" w:tplc="8DF8EDA4">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0" w15:restartNumberingAfterBreak="0">
    <w:nsid w:val="5EC31A6D"/>
    <w:multiLevelType w:val="hybridMultilevel"/>
    <w:tmpl w:val="EE467584"/>
    <w:lvl w:ilvl="0" w:tplc="E3F00618">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1" w15:restartNumberingAfterBreak="0">
    <w:nsid w:val="66BF0528"/>
    <w:multiLevelType w:val="hybridMultilevel"/>
    <w:tmpl w:val="2F682370"/>
    <w:lvl w:ilvl="0" w:tplc="78B64A6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2" w15:restartNumberingAfterBreak="0">
    <w:nsid w:val="67AB5017"/>
    <w:multiLevelType w:val="hybridMultilevel"/>
    <w:tmpl w:val="1D3C05E6"/>
    <w:lvl w:ilvl="0" w:tplc="BFC466FA">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D384B95"/>
    <w:multiLevelType w:val="hybridMultilevel"/>
    <w:tmpl w:val="688AE3BE"/>
    <w:lvl w:ilvl="0" w:tplc="977AA3CA">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4" w15:restartNumberingAfterBreak="0">
    <w:nsid w:val="6DE11FBC"/>
    <w:multiLevelType w:val="hybridMultilevel"/>
    <w:tmpl w:val="8EFCD6D8"/>
    <w:lvl w:ilvl="0" w:tplc="9ABA625E">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5" w15:restartNumberingAfterBreak="0">
    <w:nsid w:val="732367BB"/>
    <w:multiLevelType w:val="hybridMultilevel"/>
    <w:tmpl w:val="334E93EE"/>
    <w:lvl w:ilvl="0" w:tplc="78B64A6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6" w15:restartNumberingAfterBreak="0">
    <w:nsid w:val="7837201F"/>
    <w:multiLevelType w:val="hybridMultilevel"/>
    <w:tmpl w:val="634279A6"/>
    <w:lvl w:ilvl="0" w:tplc="FFFFFFFF">
      <w:start w:val="1"/>
      <w:numFmt w:val="lowerRoman"/>
      <w:lvlText w:val="%1."/>
      <w:lvlJc w:val="left"/>
      <w:pPr>
        <w:ind w:left="1128" w:hanging="360"/>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37" w15:restartNumberingAfterBreak="0">
    <w:nsid w:val="7EB4116F"/>
    <w:multiLevelType w:val="hybridMultilevel"/>
    <w:tmpl w:val="F41693B2"/>
    <w:lvl w:ilvl="0" w:tplc="041A001B">
      <w:start w:val="1"/>
      <w:numFmt w:val="lowerRoman"/>
      <w:lvlText w:val="%1."/>
      <w:lvlJc w:val="righ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num w:numId="1" w16cid:durableId="1099715969">
    <w:abstractNumId w:val="6"/>
  </w:num>
  <w:num w:numId="2" w16cid:durableId="1406025966">
    <w:abstractNumId w:val="32"/>
  </w:num>
  <w:num w:numId="3" w16cid:durableId="461923627">
    <w:abstractNumId w:val="10"/>
  </w:num>
  <w:num w:numId="4" w16cid:durableId="1037588812">
    <w:abstractNumId w:val="28"/>
  </w:num>
  <w:num w:numId="5" w16cid:durableId="735980855">
    <w:abstractNumId w:val="34"/>
  </w:num>
  <w:num w:numId="6" w16cid:durableId="1982299881">
    <w:abstractNumId w:val="11"/>
  </w:num>
  <w:num w:numId="7" w16cid:durableId="1590386073">
    <w:abstractNumId w:val="21"/>
  </w:num>
  <w:num w:numId="8" w16cid:durableId="1114137311">
    <w:abstractNumId w:val="29"/>
  </w:num>
  <w:num w:numId="9" w16cid:durableId="1877548324">
    <w:abstractNumId w:val="15"/>
  </w:num>
  <w:num w:numId="10" w16cid:durableId="653722863">
    <w:abstractNumId w:val="33"/>
  </w:num>
  <w:num w:numId="11" w16cid:durableId="92673562">
    <w:abstractNumId w:val="0"/>
  </w:num>
  <w:num w:numId="12" w16cid:durableId="904529544">
    <w:abstractNumId w:val="30"/>
  </w:num>
  <w:num w:numId="13" w16cid:durableId="1236013547">
    <w:abstractNumId w:val="12"/>
  </w:num>
  <w:num w:numId="14" w16cid:durableId="93404483">
    <w:abstractNumId w:val="2"/>
  </w:num>
  <w:num w:numId="15" w16cid:durableId="845749772">
    <w:abstractNumId w:val="3"/>
  </w:num>
  <w:num w:numId="16" w16cid:durableId="1099838248">
    <w:abstractNumId w:val="16"/>
  </w:num>
  <w:num w:numId="17" w16cid:durableId="340208946">
    <w:abstractNumId w:val="27"/>
  </w:num>
  <w:num w:numId="18" w16cid:durableId="1246105973">
    <w:abstractNumId w:val="17"/>
  </w:num>
  <w:num w:numId="19" w16cid:durableId="323555145">
    <w:abstractNumId w:val="9"/>
  </w:num>
  <w:num w:numId="20" w16cid:durableId="1021394248">
    <w:abstractNumId w:val="22"/>
  </w:num>
  <w:num w:numId="21" w16cid:durableId="1022121741">
    <w:abstractNumId w:val="13"/>
  </w:num>
  <w:num w:numId="22" w16cid:durableId="1270165533">
    <w:abstractNumId w:val="37"/>
  </w:num>
  <w:num w:numId="23" w16cid:durableId="524366803">
    <w:abstractNumId w:val="5"/>
  </w:num>
  <w:num w:numId="24" w16cid:durableId="1847748892">
    <w:abstractNumId w:val="25"/>
  </w:num>
  <w:num w:numId="25" w16cid:durableId="1423137383">
    <w:abstractNumId w:val="7"/>
  </w:num>
  <w:num w:numId="26" w16cid:durableId="901910740">
    <w:abstractNumId w:val="19"/>
  </w:num>
  <w:num w:numId="27" w16cid:durableId="616837473">
    <w:abstractNumId w:val="4"/>
  </w:num>
  <w:num w:numId="28" w16cid:durableId="1143740688">
    <w:abstractNumId w:val="31"/>
  </w:num>
  <w:num w:numId="29" w16cid:durableId="690029850">
    <w:abstractNumId w:val="35"/>
  </w:num>
  <w:num w:numId="30" w16cid:durableId="878278154">
    <w:abstractNumId w:val="18"/>
  </w:num>
  <w:num w:numId="31" w16cid:durableId="1392079870">
    <w:abstractNumId w:val="1"/>
  </w:num>
  <w:num w:numId="32" w16cid:durableId="1616598572">
    <w:abstractNumId w:val="26"/>
  </w:num>
  <w:num w:numId="33" w16cid:durableId="1947813293">
    <w:abstractNumId w:val="20"/>
  </w:num>
  <w:num w:numId="34" w16cid:durableId="849832409">
    <w:abstractNumId w:val="14"/>
  </w:num>
  <w:num w:numId="35" w16cid:durableId="1658847508">
    <w:abstractNumId w:val="23"/>
  </w:num>
  <w:num w:numId="36" w16cid:durableId="786046250">
    <w:abstractNumId w:val="36"/>
  </w:num>
  <w:num w:numId="37" w16cid:durableId="172646664">
    <w:abstractNumId w:val="24"/>
  </w:num>
  <w:num w:numId="38" w16cid:durableId="2050567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EF"/>
    <w:rsid w:val="001F53EF"/>
    <w:rsid w:val="003211CA"/>
    <w:rsid w:val="00624B98"/>
    <w:rsid w:val="0069050E"/>
    <w:rsid w:val="0089714E"/>
    <w:rsid w:val="00B435BE"/>
    <w:rsid w:val="00DB4B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557C"/>
  <w15:chartTrackingRefBased/>
  <w15:docId w15:val="{25592B8E-3485-463A-8F31-2808781A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1F5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1F5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1F53E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F53E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F53E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F53E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F53E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F53E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F53E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F53E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1F53E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1F53E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F53E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F53E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F53E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F53E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F53E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F53EF"/>
    <w:rPr>
      <w:rFonts w:eastAsiaTheme="majorEastAsia" w:cstheme="majorBidi"/>
      <w:color w:val="272727" w:themeColor="text1" w:themeTint="D8"/>
    </w:rPr>
  </w:style>
  <w:style w:type="paragraph" w:styleId="Naslov">
    <w:name w:val="Title"/>
    <w:basedOn w:val="Normal"/>
    <w:next w:val="Normal"/>
    <w:link w:val="NaslovChar"/>
    <w:uiPriority w:val="10"/>
    <w:qFormat/>
    <w:rsid w:val="001F5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F53E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F53E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F53E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F53EF"/>
    <w:pPr>
      <w:spacing w:before="160"/>
      <w:jc w:val="center"/>
    </w:pPr>
    <w:rPr>
      <w:i/>
      <w:iCs/>
      <w:color w:val="404040" w:themeColor="text1" w:themeTint="BF"/>
    </w:rPr>
  </w:style>
  <w:style w:type="character" w:customStyle="1" w:styleId="CitatChar">
    <w:name w:val="Citat Char"/>
    <w:basedOn w:val="Zadanifontodlomka"/>
    <w:link w:val="Citat"/>
    <w:uiPriority w:val="29"/>
    <w:rsid w:val="001F53EF"/>
    <w:rPr>
      <w:i/>
      <w:iCs/>
      <w:color w:val="404040" w:themeColor="text1" w:themeTint="BF"/>
    </w:rPr>
  </w:style>
  <w:style w:type="paragraph" w:styleId="Odlomakpopisa">
    <w:name w:val="List Paragraph"/>
    <w:basedOn w:val="Normal"/>
    <w:uiPriority w:val="34"/>
    <w:qFormat/>
    <w:rsid w:val="001F53EF"/>
    <w:pPr>
      <w:ind w:left="720"/>
      <w:contextualSpacing/>
    </w:pPr>
  </w:style>
  <w:style w:type="character" w:styleId="Jakoisticanje">
    <w:name w:val="Intense Emphasis"/>
    <w:basedOn w:val="Zadanifontodlomka"/>
    <w:uiPriority w:val="21"/>
    <w:qFormat/>
    <w:rsid w:val="001F53EF"/>
    <w:rPr>
      <w:i/>
      <w:iCs/>
      <w:color w:val="0F4761" w:themeColor="accent1" w:themeShade="BF"/>
    </w:rPr>
  </w:style>
  <w:style w:type="paragraph" w:styleId="Naglaencitat">
    <w:name w:val="Intense Quote"/>
    <w:basedOn w:val="Normal"/>
    <w:next w:val="Normal"/>
    <w:link w:val="NaglaencitatChar"/>
    <w:uiPriority w:val="30"/>
    <w:qFormat/>
    <w:rsid w:val="001F5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F53EF"/>
    <w:rPr>
      <w:i/>
      <w:iCs/>
      <w:color w:val="0F4761" w:themeColor="accent1" w:themeShade="BF"/>
    </w:rPr>
  </w:style>
  <w:style w:type="character" w:styleId="Istaknutareferenca">
    <w:name w:val="Intense Reference"/>
    <w:basedOn w:val="Zadanifontodlomka"/>
    <w:uiPriority w:val="32"/>
    <w:qFormat/>
    <w:rsid w:val="001F53EF"/>
    <w:rPr>
      <w:b/>
      <w:bCs/>
      <w:smallCaps/>
      <w:color w:val="0F4761" w:themeColor="accent1" w:themeShade="BF"/>
      <w:spacing w:val="5"/>
    </w:rPr>
  </w:style>
  <w:style w:type="numbering" w:customStyle="1" w:styleId="Bezpopisa1">
    <w:name w:val="Bez popisa1"/>
    <w:next w:val="Bezpopisa"/>
    <w:uiPriority w:val="99"/>
    <w:semiHidden/>
    <w:unhideWhenUsed/>
    <w:rsid w:val="001F53EF"/>
  </w:style>
  <w:style w:type="paragraph" w:styleId="Bezproreda">
    <w:name w:val="No Spacing"/>
    <w:uiPriority w:val="1"/>
    <w:qFormat/>
    <w:rsid w:val="001F53EF"/>
    <w:pPr>
      <w:spacing w:after="0" w:line="240" w:lineRule="auto"/>
    </w:pPr>
    <w:rPr>
      <w:kern w:val="0"/>
      <w:sz w:val="22"/>
      <w:szCs w:val="22"/>
      <w14:ligatures w14:val="none"/>
    </w:rPr>
  </w:style>
  <w:style w:type="paragraph" w:customStyle="1" w:styleId="box470994">
    <w:name w:val="box_470994"/>
    <w:basedOn w:val="Normal"/>
    <w:rsid w:val="001F53EF"/>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customStyle="1" w:styleId="kurziv">
    <w:name w:val="kurziv"/>
    <w:basedOn w:val="Zadanifontodlomka"/>
    <w:rsid w:val="001F53EF"/>
  </w:style>
  <w:style w:type="paragraph" w:customStyle="1" w:styleId="Default">
    <w:name w:val="Default"/>
    <w:rsid w:val="001F53EF"/>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StandardWeb">
    <w:name w:val="Normal (Web)"/>
    <w:basedOn w:val="Normal"/>
    <w:uiPriority w:val="99"/>
    <w:rsid w:val="001F53EF"/>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Revizija">
    <w:name w:val="Revision"/>
    <w:hidden/>
    <w:uiPriority w:val="99"/>
    <w:semiHidden/>
    <w:rsid w:val="001F53EF"/>
    <w:pPr>
      <w:spacing w:after="0" w:line="240" w:lineRule="auto"/>
    </w:pPr>
    <w:rPr>
      <w:kern w:val="0"/>
      <w:sz w:val="22"/>
      <w:szCs w:val="22"/>
      <w14:ligatures w14:val="none"/>
    </w:rPr>
  </w:style>
  <w:style w:type="character" w:styleId="Referencakomentara">
    <w:name w:val="annotation reference"/>
    <w:basedOn w:val="Zadanifontodlomka"/>
    <w:uiPriority w:val="99"/>
    <w:semiHidden/>
    <w:unhideWhenUsed/>
    <w:rsid w:val="001F53EF"/>
    <w:rPr>
      <w:sz w:val="16"/>
      <w:szCs w:val="16"/>
    </w:rPr>
  </w:style>
  <w:style w:type="paragraph" w:styleId="Tekstkomentara">
    <w:name w:val="annotation text"/>
    <w:basedOn w:val="Normal"/>
    <w:link w:val="TekstkomentaraChar"/>
    <w:uiPriority w:val="99"/>
    <w:unhideWhenUsed/>
    <w:rsid w:val="001F53EF"/>
    <w:pPr>
      <w:spacing w:line="240" w:lineRule="auto"/>
    </w:pPr>
    <w:rPr>
      <w:kern w:val="0"/>
      <w:sz w:val="20"/>
      <w:szCs w:val="20"/>
      <w14:ligatures w14:val="none"/>
    </w:rPr>
  </w:style>
  <w:style w:type="character" w:customStyle="1" w:styleId="TekstkomentaraChar">
    <w:name w:val="Tekst komentara Char"/>
    <w:basedOn w:val="Zadanifontodlomka"/>
    <w:link w:val="Tekstkomentara"/>
    <w:uiPriority w:val="99"/>
    <w:rsid w:val="001F53EF"/>
    <w:rPr>
      <w:kern w:val="0"/>
      <w:sz w:val="20"/>
      <w:szCs w:val="20"/>
      <w14:ligatures w14:val="none"/>
    </w:rPr>
  </w:style>
  <w:style w:type="paragraph" w:styleId="Tekstfusnote">
    <w:name w:val="footnote text"/>
    <w:basedOn w:val="Normal"/>
    <w:link w:val="TekstfusnoteChar"/>
    <w:uiPriority w:val="99"/>
    <w:semiHidden/>
    <w:unhideWhenUsed/>
    <w:rsid w:val="001F53EF"/>
    <w:pPr>
      <w:spacing w:after="0" w:line="240" w:lineRule="auto"/>
    </w:pPr>
    <w:rPr>
      <w:kern w:val="0"/>
      <w:sz w:val="20"/>
      <w:szCs w:val="20"/>
      <w14:ligatures w14:val="none"/>
    </w:rPr>
  </w:style>
  <w:style w:type="character" w:customStyle="1" w:styleId="TekstfusnoteChar">
    <w:name w:val="Tekst fusnote Char"/>
    <w:basedOn w:val="Zadanifontodlomka"/>
    <w:link w:val="Tekstfusnote"/>
    <w:uiPriority w:val="99"/>
    <w:semiHidden/>
    <w:rsid w:val="001F53EF"/>
    <w:rPr>
      <w:kern w:val="0"/>
      <w:sz w:val="20"/>
      <w:szCs w:val="20"/>
      <w14:ligatures w14:val="none"/>
    </w:rPr>
  </w:style>
  <w:style w:type="character" w:styleId="Referencafusnote">
    <w:name w:val="footnote reference"/>
    <w:basedOn w:val="Zadanifontodlomka"/>
    <w:uiPriority w:val="99"/>
    <w:semiHidden/>
    <w:unhideWhenUsed/>
    <w:rsid w:val="001F53EF"/>
    <w:rPr>
      <w:vertAlign w:val="superscript"/>
    </w:rPr>
  </w:style>
  <w:style w:type="character" w:customStyle="1" w:styleId="bold">
    <w:name w:val="bold"/>
    <w:basedOn w:val="Zadanifontodlomka"/>
    <w:rsid w:val="001F53EF"/>
  </w:style>
  <w:style w:type="paragraph" w:styleId="Zaglavlje">
    <w:name w:val="header"/>
    <w:basedOn w:val="Normal"/>
    <w:link w:val="ZaglavljeChar"/>
    <w:uiPriority w:val="99"/>
    <w:unhideWhenUsed/>
    <w:rsid w:val="001F53EF"/>
    <w:pPr>
      <w:tabs>
        <w:tab w:val="center" w:pos="4536"/>
        <w:tab w:val="right" w:pos="9072"/>
      </w:tabs>
      <w:spacing w:after="0" w:line="240" w:lineRule="auto"/>
    </w:pPr>
    <w:rPr>
      <w:kern w:val="0"/>
      <w:sz w:val="22"/>
      <w:szCs w:val="22"/>
      <w14:ligatures w14:val="none"/>
    </w:rPr>
  </w:style>
  <w:style w:type="character" w:customStyle="1" w:styleId="ZaglavljeChar">
    <w:name w:val="Zaglavlje Char"/>
    <w:basedOn w:val="Zadanifontodlomka"/>
    <w:link w:val="Zaglavlje"/>
    <w:uiPriority w:val="99"/>
    <w:rsid w:val="001F53EF"/>
    <w:rPr>
      <w:kern w:val="0"/>
      <w:sz w:val="22"/>
      <w:szCs w:val="22"/>
      <w14:ligatures w14:val="none"/>
    </w:rPr>
  </w:style>
  <w:style w:type="paragraph" w:styleId="Podnoje">
    <w:name w:val="footer"/>
    <w:basedOn w:val="Normal"/>
    <w:link w:val="PodnojeChar"/>
    <w:uiPriority w:val="99"/>
    <w:unhideWhenUsed/>
    <w:rsid w:val="001F53EF"/>
    <w:pPr>
      <w:tabs>
        <w:tab w:val="center" w:pos="4536"/>
        <w:tab w:val="right" w:pos="9072"/>
      </w:tabs>
      <w:spacing w:after="0" w:line="240" w:lineRule="auto"/>
    </w:pPr>
    <w:rPr>
      <w:kern w:val="0"/>
      <w:sz w:val="22"/>
      <w:szCs w:val="22"/>
      <w14:ligatures w14:val="none"/>
    </w:rPr>
  </w:style>
  <w:style w:type="character" w:customStyle="1" w:styleId="PodnojeChar">
    <w:name w:val="Podnožje Char"/>
    <w:basedOn w:val="Zadanifontodlomka"/>
    <w:link w:val="Podnoje"/>
    <w:uiPriority w:val="99"/>
    <w:rsid w:val="001F53EF"/>
    <w:rPr>
      <w:kern w:val="0"/>
      <w:sz w:val="22"/>
      <w:szCs w:val="22"/>
      <w14:ligatures w14:val="none"/>
    </w:rPr>
  </w:style>
  <w:style w:type="character" w:customStyle="1" w:styleId="Hiperveza1">
    <w:name w:val="Hiperveza1"/>
    <w:basedOn w:val="Zadanifontodlomka"/>
    <w:uiPriority w:val="99"/>
    <w:unhideWhenUsed/>
    <w:rsid w:val="001F53EF"/>
    <w:rPr>
      <w:color w:val="0563C1"/>
      <w:u w:val="single"/>
    </w:rPr>
  </w:style>
  <w:style w:type="character" w:customStyle="1" w:styleId="Nerijeenospominjanje1">
    <w:name w:val="Neriješeno spominjanje1"/>
    <w:basedOn w:val="Zadanifontodlomka"/>
    <w:uiPriority w:val="99"/>
    <w:semiHidden/>
    <w:unhideWhenUsed/>
    <w:rsid w:val="001F53EF"/>
    <w:rPr>
      <w:color w:val="605E5C"/>
      <w:shd w:val="clear" w:color="auto" w:fill="E1DFDD"/>
    </w:rPr>
  </w:style>
  <w:style w:type="character" w:styleId="Hiperveza">
    <w:name w:val="Hyperlink"/>
    <w:basedOn w:val="Zadanifontodlomka"/>
    <w:uiPriority w:val="99"/>
    <w:semiHidden/>
    <w:unhideWhenUsed/>
    <w:rsid w:val="001F53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37</Pages>
  <Words>16172</Words>
  <Characters>92184</Characters>
  <Application>Microsoft Office Word</Application>
  <DocSecurity>0</DocSecurity>
  <Lines>768</Lines>
  <Paragraphs>216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Havidić</dc:creator>
  <cp:keywords/>
  <dc:description/>
  <cp:lastModifiedBy>Vlatka Havidić</cp:lastModifiedBy>
  <cp:revision>1</cp:revision>
  <dcterms:created xsi:type="dcterms:W3CDTF">2025-07-17T12:06:00Z</dcterms:created>
  <dcterms:modified xsi:type="dcterms:W3CDTF">2025-07-17T12:19:00Z</dcterms:modified>
</cp:coreProperties>
</file>