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9923" w:type="dxa"/>
        <w:tblInd w:w="-289" w:type="dxa"/>
        <w:tblLayout w:type="fixed"/>
        <w:tblLook w:val="04A0" w:firstRow="1" w:lastRow="0" w:firstColumn="1" w:lastColumn="0" w:noHBand="0" w:noVBand="1"/>
      </w:tblPr>
      <w:tblGrid>
        <w:gridCol w:w="850"/>
        <w:gridCol w:w="2694"/>
        <w:gridCol w:w="1418"/>
        <w:gridCol w:w="142"/>
        <w:gridCol w:w="4819"/>
      </w:tblGrid>
      <w:tr w:rsidR="009352D9" w:rsidRPr="00DA65D6" w14:paraId="256ED83F" w14:textId="77777777" w:rsidTr="005178C1">
        <w:tc>
          <w:tcPr>
            <w:tcW w:w="9923" w:type="dxa"/>
            <w:gridSpan w:val="5"/>
            <w:shd w:val="clear" w:color="auto" w:fill="auto"/>
          </w:tcPr>
          <w:p w14:paraId="434E1455" w14:textId="77777777" w:rsidR="009352D9" w:rsidRPr="00DA65D6" w:rsidRDefault="009352D9" w:rsidP="005178C1">
            <w:pPr>
              <w:rPr>
                <w:rFonts w:ascii="Times New Roman" w:eastAsia="Calibri" w:hAnsi="Times New Roman" w:cs="Times New Roman"/>
                <w:b/>
                <w:sz w:val="24"/>
                <w:lang w:eastAsia="hr-HR"/>
              </w:rPr>
            </w:pPr>
            <w:bookmarkStart w:id="0" w:name="_Hlk157685030"/>
            <w:r w:rsidRPr="00DA65D6">
              <w:rPr>
                <w:rFonts w:ascii="Times New Roman" w:eastAsia="Calibri" w:hAnsi="Times New Roman" w:cs="Times New Roman"/>
                <w:b/>
                <w:sz w:val="24"/>
                <w:lang w:eastAsia="hr-HR"/>
              </w:rPr>
              <w:t>PRILOG 4.:</w:t>
            </w:r>
          </w:p>
        </w:tc>
      </w:tr>
      <w:tr w:rsidR="009352D9" w:rsidRPr="00DA65D6" w14:paraId="621923BD" w14:textId="77777777" w:rsidTr="005178C1">
        <w:tc>
          <w:tcPr>
            <w:tcW w:w="9923" w:type="dxa"/>
            <w:gridSpan w:val="5"/>
            <w:shd w:val="clear" w:color="auto" w:fill="auto"/>
          </w:tcPr>
          <w:p w14:paraId="286ABAC9" w14:textId="77777777" w:rsidR="009352D9" w:rsidRPr="00DA65D6" w:rsidRDefault="009352D9" w:rsidP="005178C1">
            <w:pPr>
              <w:jc w:val="center"/>
              <w:rPr>
                <w:rFonts w:ascii="Times New Roman" w:eastAsia="Calibri" w:hAnsi="Times New Roman" w:cs="Times New Roman"/>
                <w:b/>
                <w:sz w:val="24"/>
                <w:lang w:eastAsia="hr-HR"/>
              </w:rPr>
            </w:pPr>
          </w:p>
          <w:p w14:paraId="218C78F4" w14:textId="77777777" w:rsidR="009352D9" w:rsidRPr="00DA65D6" w:rsidRDefault="009352D9" w:rsidP="005178C1">
            <w:pPr>
              <w:jc w:val="cente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OBRAZAC ISKAZA O PROCJENI UČINAKA PROPISA</w:t>
            </w:r>
          </w:p>
          <w:p w14:paraId="2508EA81" w14:textId="77777777" w:rsidR="009352D9" w:rsidRPr="00DA65D6" w:rsidRDefault="009352D9" w:rsidP="005178C1">
            <w:pPr>
              <w:jc w:val="center"/>
              <w:rPr>
                <w:rFonts w:ascii="Times New Roman" w:eastAsia="Calibri" w:hAnsi="Times New Roman" w:cs="Times New Roman"/>
                <w:b/>
                <w:sz w:val="24"/>
                <w:lang w:eastAsia="hr-HR"/>
              </w:rPr>
            </w:pPr>
          </w:p>
        </w:tc>
      </w:tr>
      <w:tr w:rsidR="009352D9" w:rsidRPr="00DA65D6" w14:paraId="48819C09" w14:textId="77777777" w:rsidTr="005178C1">
        <w:tc>
          <w:tcPr>
            <w:tcW w:w="850" w:type="dxa"/>
          </w:tcPr>
          <w:p w14:paraId="797CF16F"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1.</w:t>
            </w:r>
          </w:p>
        </w:tc>
        <w:tc>
          <w:tcPr>
            <w:tcW w:w="9073" w:type="dxa"/>
            <w:gridSpan w:val="4"/>
          </w:tcPr>
          <w:p w14:paraId="49471F1E"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OPĆE INFORMACIJE</w:t>
            </w:r>
          </w:p>
        </w:tc>
      </w:tr>
      <w:tr w:rsidR="009352D9" w:rsidRPr="00DA65D6" w14:paraId="2070DC7A" w14:textId="77777777" w:rsidTr="005178C1">
        <w:tc>
          <w:tcPr>
            <w:tcW w:w="850" w:type="dxa"/>
          </w:tcPr>
          <w:p w14:paraId="2F4BF2D1"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1.1.</w:t>
            </w:r>
          </w:p>
        </w:tc>
        <w:tc>
          <w:tcPr>
            <w:tcW w:w="2694" w:type="dxa"/>
          </w:tcPr>
          <w:p w14:paraId="0FAF04D6"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Stručni nositelj:</w:t>
            </w:r>
          </w:p>
        </w:tc>
        <w:tc>
          <w:tcPr>
            <w:tcW w:w="6379" w:type="dxa"/>
            <w:gridSpan w:val="3"/>
            <w:shd w:val="clear" w:color="auto" w:fill="auto"/>
          </w:tcPr>
          <w:p w14:paraId="48592F1A" w14:textId="7A619252" w:rsidR="009352D9" w:rsidRPr="00DA65D6" w:rsidRDefault="00A4091D"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 Ministarstvo pravosuđa</w:t>
            </w:r>
            <w:r w:rsidR="004C5547">
              <w:rPr>
                <w:rFonts w:ascii="Times New Roman" w:eastAsia="Calibri" w:hAnsi="Times New Roman" w:cs="Times New Roman"/>
                <w:sz w:val="24"/>
                <w:lang w:eastAsia="hr-HR"/>
              </w:rPr>
              <w:t>,</w:t>
            </w:r>
            <w:r>
              <w:rPr>
                <w:rFonts w:ascii="Times New Roman" w:eastAsia="Calibri" w:hAnsi="Times New Roman" w:cs="Times New Roman"/>
                <w:sz w:val="24"/>
                <w:lang w:eastAsia="hr-HR"/>
              </w:rPr>
              <w:t xml:space="preserve"> uprave</w:t>
            </w:r>
            <w:r w:rsidR="004C5547">
              <w:rPr>
                <w:rFonts w:ascii="Times New Roman" w:eastAsia="Calibri" w:hAnsi="Times New Roman" w:cs="Times New Roman"/>
                <w:sz w:val="24"/>
                <w:lang w:eastAsia="hr-HR"/>
              </w:rPr>
              <w:t xml:space="preserve"> i digitalne transformacije</w:t>
            </w:r>
          </w:p>
        </w:tc>
      </w:tr>
      <w:tr w:rsidR="009352D9" w:rsidRPr="00DA65D6" w14:paraId="4C1DC57B" w14:textId="77777777" w:rsidTr="005178C1">
        <w:tc>
          <w:tcPr>
            <w:tcW w:w="850" w:type="dxa"/>
          </w:tcPr>
          <w:p w14:paraId="24C6FA9B"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1.2.</w:t>
            </w:r>
          </w:p>
        </w:tc>
        <w:tc>
          <w:tcPr>
            <w:tcW w:w="2694" w:type="dxa"/>
          </w:tcPr>
          <w:p w14:paraId="0088CE53"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propisa:</w:t>
            </w:r>
          </w:p>
        </w:tc>
        <w:tc>
          <w:tcPr>
            <w:tcW w:w="6379" w:type="dxa"/>
            <w:gridSpan w:val="3"/>
            <w:shd w:val="clear" w:color="auto" w:fill="auto"/>
          </w:tcPr>
          <w:p w14:paraId="1B5FFA9B" w14:textId="5D58A53D" w:rsidR="009352D9" w:rsidRPr="00DA65D6" w:rsidRDefault="00A4091D"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Zakon o </w:t>
            </w:r>
            <w:r w:rsidR="00780BED">
              <w:rPr>
                <w:rFonts w:ascii="Times New Roman" w:eastAsia="Calibri" w:hAnsi="Times New Roman" w:cs="Times New Roman"/>
                <w:sz w:val="24"/>
                <w:lang w:eastAsia="hr-HR"/>
              </w:rPr>
              <w:t>prekograničnom pribavljanju elektroničkih dokaza</w:t>
            </w:r>
            <w:r w:rsidR="00E2455A">
              <w:rPr>
                <w:rFonts w:ascii="Times New Roman" w:eastAsia="Calibri" w:hAnsi="Times New Roman" w:cs="Times New Roman"/>
                <w:sz w:val="24"/>
                <w:lang w:eastAsia="hr-HR"/>
              </w:rPr>
              <w:t xml:space="preserve"> u kaznenim postupcima</w:t>
            </w:r>
          </w:p>
        </w:tc>
      </w:tr>
      <w:tr w:rsidR="009352D9" w:rsidRPr="00DA65D6" w14:paraId="18A96BFB" w14:textId="77777777" w:rsidTr="005178C1">
        <w:tc>
          <w:tcPr>
            <w:tcW w:w="850" w:type="dxa"/>
          </w:tcPr>
          <w:p w14:paraId="2D2DD55E"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1.3.</w:t>
            </w:r>
          </w:p>
        </w:tc>
        <w:tc>
          <w:tcPr>
            <w:tcW w:w="2694" w:type="dxa"/>
          </w:tcPr>
          <w:p w14:paraId="525F327E"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Program rada Vlade Republike Hrvatske, akt strateškog planiranja ili reformska mjera:</w:t>
            </w:r>
          </w:p>
        </w:tc>
        <w:tc>
          <w:tcPr>
            <w:tcW w:w="1560" w:type="dxa"/>
            <w:gridSpan w:val="2"/>
            <w:shd w:val="clear" w:color="auto" w:fill="auto"/>
          </w:tcPr>
          <w:p w14:paraId="2920E038" w14:textId="2FF6B818"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Ne</w:t>
            </w:r>
          </w:p>
          <w:p w14:paraId="6D469304" w14:textId="77777777" w:rsidR="009352D9" w:rsidRPr="00DA65D6" w:rsidRDefault="009352D9" w:rsidP="005178C1">
            <w:pPr>
              <w:rPr>
                <w:rFonts w:ascii="Times New Roman" w:eastAsia="Calibri" w:hAnsi="Times New Roman" w:cs="Times New Roman"/>
                <w:sz w:val="24"/>
                <w:lang w:eastAsia="hr-HR"/>
              </w:rPr>
            </w:pPr>
          </w:p>
        </w:tc>
        <w:tc>
          <w:tcPr>
            <w:tcW w:w="4819" w:type="dxa"/>
            <w:shd w:val="clear" w:color="auto" w:fill="auto"/>
          </w:tcPr>
          <w:p w14:paraId="4782F604"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Naziv akta:</w:t>
            </w:r>
          </w:p>
          <w:p w14:paraId="0624D125" w14:textId="77777777" w:rsidR="009352D9" w:rsidRPr="00DA65D6" w:rsidRDefault="009352D9" w:rsidP="005178C1">
            <w:pPr>
              <w:rPr>
                <w:rFonts w:ascii="Times New Roman" w:eastAsia="Calibri" w:hAnsi="Times New Roman" w:cs="Times New Roman"/>
                <w:sz w:val="24"/>
                <w:lang w:eastAsia="hr-HR"/>
              </w:rPr>
            </w:pPr>
          </w:p>
          <w:p w14:paraId="4D783C2D"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mjere:</w:t>
            </w:r>
          </w:p>
        </w:tc>
      </w:tr>
      <w:tr w:rsidR="009352D9" w:rsidRPr="00DA65D6" w14:paraId="0322E100" w14:textId="77777777" w:rsidTr="005178C1">
        <w:tc>
          <w:tcPr>
            <w:tcW w:w="850" w:type="dxa"/>
          </w:tcPr>
          <w:p w14:paraId="36A049A9"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1.4.</w:t>
            </w:r>
          </w:p>
        </w:tc>
        <w:tc>
          <w:tcPr>
            <w:tcW w:w="2694" w:type="dxa"/>
          </w:tcPr>
          <w:p w14:paraId="3E36AB31" w14:textId="77777777" w:rsidR="009352D9" w:rsidRPr="00DA65D6" w:rsidRDefault="009352D9" w:rsidP="005178C1">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Plan usklađivanja zakonodavstva Republike Hrvatske s pravnom stečevinom Europske unije</w:t>
            </w:r>
          </w:p>
        </w:tc>
        <w:tc>
          <w:tcPr>
            <w:tcW w:w="1560" w:type="dxa"/>
            <w:gridSpan w:val="2"/>
            <w:shd w:val="clear" w:color="auto" w:fill="auto"/>
          </w:tcPr>
          <w:p w14:paraId="525245A0" w14:textId="72B3D915" w:rsidR="009352D9" w:rsidRPr="00DA65D6" w:rsidRDefault="00780BED" w:rsidP="005178C1">
            <w:pPr>
              <w:rPr>
                <w:rFonts w:ascii="Times New Roman" w:eastAsia="Calibri" w:hAnsi="Times New Roman" w:cs="Times New Roman"/>
                <w:sz w:val="24"/>
                <w:lang w:eastAsia="hr-HR"/>
              </w:rPr>
            </w:pPr>
            <w:r>
              <w:rPr>
                <w:rFonts w:ascii="Times New Roman" w:eastAsia="Calibri" w:hAnsi="Times New Roman" w:cs="Times New Roman"/>
                <w:sz w:val="24"/>
                <w:lang w:eastAsia="hr-HR"/>
              </w:rPr>
              <w:t>Da</w:t>
            </w:r>
          </w:p>
          <w:p w14:paraId="3945E843" w14:textId="77777777" w:rsidR="009352D9" w:rsidRPr="00DA65D6" w:rsidRDefault="009352D9" w:rsidP="005178C1">
            <w:pPr>
              <w:rPr>
                <w:rFonts w:ascii="Times New Roman" w:eastAsia="Calibri" w:hAnsi="Times New Roman" w:cs="Times New Roman"/>
                <w:sz w:val="24"/>
                <w:lang w:eastAsia="hr-HR"/>
              </w:rPr>
            </w:pPr>
          </w:p>
        </w:tc>
        <w:tc>
          <w:tcPr>
            <w:tcW w:w="4819" w:type="dxa"/>
            <w:shd w:val="clear" w:color="auto" w:fill="auto"/>
          </w:tcPr>
          <w:p w14:paraId="49EC23B6" w14:textId="4E0FE33E" w:rsidR="009352D9" w:rsidRPr="00780BED" w:rsidRDefault="00000000" w:rsidP="00780BED">
            <w:pPr>
              <w:jc w:val="both"/>
              <w:rPr>
                <w:rFonts w:ascii="Times New Roman" w:eastAsia="Calibri" w:hAnsi="Times New Roman" w:cs="Times New Roman"/>
                <w:sz w:val="24"/>
                <w:lang w:eastAsia="hr-HR"/>
              </w:rPr>
            </w:pPr>
            <w:hyperlink r:id="rId5" w:history="1">
              <w:r w:rsidR="00780BED" w:rsidRPr="00780BED">
                <w:rPr>
                  <w:rStyle w:val="Hiperveza"/>
                  <w:rFonts w:ascii="Times New Roman" w:hAnsi="Times New Roman" w:cs="Times New Roman"/>
                  <w:color w:val="000000" w:themeColor="text1"/>
                  <w:u w:val="none"/>
                </w:rPr>
                <w:t>Direktiva (EU) 2023/1544 o utvrđivanju usklađenih pravila za imenovanje imenovanih subjekata koji imaju poslovni nastan i za imenovanje pravnih zastupnika za potrebe prikupljanja elektroničkih dokaza u kaznenim postupcima</w:t>
              </w:r>
            </w:hyperlink>
            <w:r w:rsidR="00780BED" w:rsidRPr="00780BED">
              <w:rPr>
                <w:rFonts w:ascii="Times New Roman" w:hAnsi="Times New Roman" w:cs="Times New Roman"/>
                <w:color w:val="000000" w:themeColor="text1"/>
              </w:rPr>
              <w:t xml:space="preserve"> </w:t>
            </w:r>
          </w:p>
        </w:tc>
      </w:tr>
      <w:tr w:rsidR="009352D9" w:rsidRPr="00DA65D6" w14:paraId="7FABE88E" w14:textId="77777777" w:rsidTr="005178C1">
        <w:trPr>
          <w:trHeight w:val="319"/>
        </w:trPr>
        <w:tc>
          <w:tcPr>
            <w:tcW w:w="850" w:type="dxa"/>
          </w:tcPr>
          <w:p w14:paraId="6C1E7558" w14:textId="77777777" w:rsidR="009352D9" w:rsidRPr="00DA65D6" w:rsidRDefault="009352D9" w:rsidP="005178C1">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2.</w:t>
            </w:r>
          </w:p>
        </w:tc>
        <w:tc>
          <w:tcPr>
            <w:tcW w:w="9073" w:type="dxa"/>
            <w:gridSpan w:val="4"/>
            <w:shd w:val="clear" w:color="auto" w:fill="auto"/>
          </w:tcPr>
          <w:p w14:paraId="6788A196"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UTVRĐIVANJE PROBLEMA</w:t>
            </w:r>
          </w:p>
        </w:tc>
      </w:tr>
      <w:tr w:rsidR="009352D9" w:rsidRPr="00DA65D6" w14:paraId="138AD91F" w14:textId="77777777" w:rsidTr="005178C1">
        <w:trPr>
          <w:trHeight w:val="410"/>
        </w:trPr>
        <w:tc>
          <w:tcPr>
            <w:tcW w:w="850" w:type="dxa"/>
          </w:tcPr>
          <w:p w14:paraId="01059377"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2.1.</w:t>
            </w:r>
          </w:p>
        </w:tc>
        <w:tc>
          <w:tcPr>
            <w:tcW w:w="9073" w:type="dxa"/>
            <w:gridSpan w:val="4"/>
          </w:tcPr>
          <w:p w14:paraId="27E87CD3" w14:textId="77777777" w:rsidR="00886AD1" w:rsidRPr="00886AD1" w:rsidRDefault="00886AD1" w:rsidP="00886AD1">
            <w:pPr>
              <w:jc w:val="both"/>
              <w:rPr>
                <w:rFonts w:ascii="Times New Roman" w:eastAsia="Calibri" w:hAnsi="Times New Roman" w:cs="Times New Roman"/>
                <w:sz w:val="24"/>
                <w:lang w:eastAsia="hr-HR"/>
              </w:rPr>
            </w:pPr>
            <w:r w:rsidRPr="00886AD1">
              <w:rPr>
                <w:rFonts w:ascii="Times New Roman" w:eastAsia="Calibri" w:hAnsi="Times New Roman" w:cs="Times New Roman"/>
                <w:sz w:val="24"/>
                <w:lang w:eastAsia="hr-HR"/>
              </w:rPr>
              <w:t xml:space="preserve">Vijeće Europske unije je u lipnju 2023. godine donijelo zakonodavni paket o prekograničnom pristupu elektroničkim dokazima - </w:t>
            </w:r>
            <w:hyperlink r:id="rId6" w:history="1">
              <w:r w:rsidRPr="00886AD1">
                <w:rPr>
                  <w:rStyle w:val="Hiperveza"/>
                  <w:rFonts w:ascii="Times New Roman" w:eastAsia="Calibri" w:hAnsi="Times New Roman" w:cs="Times New Roman"/>
                  <w:color w:val="auto"/>
                  <w:sz w:val="24"/>
                  <w:u w:val="none"/>
                  <w:lang w:eastAsia="hr-HR"/>
                </w:rPr>
                <w:t>Uredbu (EU) 2023/1543 o europskim nalozima za dostavljanje i nalozima za čuvanje elektroničkih dokaza u kaznenim postupcima i za izvršenje kazni zatvora nakon kaznenog postupka</w:t>
              </w:r>
            </w:hyperlink>
            <w:r w:rsidRPr="00886AD1">
              <w:rPr>
                <w:rFonts w:ascii="Times New Roman" w:eastAsia="Calibri" w:hAnsi="Times New Roman" w:cs="Times New Roman"/>
                <w:sz w:val="24"/>
                <w:lang w:eastAsia="hr-HR"/>
              </w:rPr>
              <w:t xml:space="preserve"> (dalje u tekstu: „Uredba“) i </w:t>
            </w:r>
            <w:hyperlink r:id="rId7" w:history="1">
              <w:r w:rsidRPr="00886AD1">
                <w:rPr>
                  <w:rStyle w:val="Hiperveza"/>
                  <w:rFonts w:ascii="Times New Roman" w:eastAsia="Calibri" w:hAnsi="Times New Roman" w:cs="Times New Roman"/>
                  <w:color w:val="auto"/>
                  <w:sz w:val="24"/>
                  <w:u w:val="none"/>
                  <w:lang w:eastAsia="hr-HR"/>
                </w:rPr>
                <w:t>Direktivu (EU) 2023/1544 o utvrđivanju usklađenih pravila za imenovanje imenovanih subjekata koji imaju poslovni nastan i za imenovanje pravnih zastupnika za potrebe prikupljanja elektroničkih dokaza u kaznenim postupcima</w:t>
              </w:r>
            </w:hyperlink>
            <w:r w:rsidRPr="00886AD1">
              <w:rPr>
                <w:rFonts w:ascii="Times New Roman" w:eastAsia="Calibri" w:hAnsi="Times New Roman" w:cs="Times New Roman"/>
                <w:sz w:val="24"/>
                <w:lang w:eastAsia="hr-HR"/>
              </w:rPr>
              <w:t xml:space="preserve"> (dalje u tekstu „Direktiva“). </w:t>
            </w:r>
          </w:p>
          <w:p w14:paraId="1D096014" w14:textId="77777777" w:rsidR="00886AD1" w:rsidRPr="00886AD1" w:rsidRDefault="00886AD1" w:rsidP="00886AD1">
            <w:pPr>
              <w:jc w:val="both"/>
              <w:rPr>
                <w:rFonts w:ascii="Times New Roman" w:eastAsia="Calibri" w:hAnsi="Times New Roman" w:cs="Times New Roman"/>
                <w:sz w:val="24"/>
                <w:lang w:eastAsia="hr-HR"/>
              </w:rPr>
            </w:pPr>
          </w:p>
          <w:p w14:paraId="0BB7A64D" w14:textId="77777777" w:rsidR="00886AD1" w:rsidRPr="00886AD1" w:rsidRDefault="00886AD1" w:rsidP="00886AD1">
            <w:pPr>
              <w:jc w:val="both"/>
              <w:rPr>
                <w:rFonts w:ascii="Times New Roman" w:eastAsia="Calibri" w:hAnsi="Times New Roman" w:cs="Times New Roman"/>
                <w:sz w:val="24"/>
                <w:lang w:eastAsia="hr-HR"/>
              </w:rPr>
            </w:pPr>
            <w:r w:rsidRPr="00886AD1">
              <w:rPr>
                <w:rFonts w:ascii="Times New Roman" w:eastAsia="Calibri" w:hAnsi="Times New Roman" w:cs="Times New Roman"/>
                <w:sz w:val="24"/>
                <w:lang w:eastAsia="hr-HR"/>
              </w:rPr>
              <w:t>Spomenuta legislativa propisuje da će se, u skladu sa odredbama Uredbe i Direktive,  elektronički dokazi koji su jednoj državi članici potrebni u kaznenom postupku moći pribavljati izravno od pružatelja usluga koji te usluge pruža u nekoj drugoj državi članici, za razliku od sadašnjeg sustava gdje se dokazi u prekograničnim slučajevima između država članica Europske unije uvijek pribavljaju putem nadležnih pravosudnih tijela. Nakon što Uredba i Direktiva stupe na snagu, tijelo koje je sukladno nacionalnom zakonodavstvu ovlašteno voditi istragu, pribavljati dokaze te voditi postupak, moći će se izravno, putem sigurnog i pouzdanog decentraliziranog IT sustava, obraćati pružateljima usluga koji će biti u obvezi pružati podate koji su traženi.</w:t>
            </w:r>
          </w:p>
          <w:p w14:paraId="1F7392F2" w14:textId="77777777" w:rsidR="00886AD1" w:rsidRPr="00886AD1" w:rsidRDefault="00886AD1" w:rsidP="00886AD1">
            <w:pPr>
              <w:jc w:val="both"/>
              <w:rPr>
                <w:rFonts w:ascii="Times New Roman" w:eastAsia="Calibri" w:hAnsi="Times New Roman" w:cs="Times New Roman"/>
                <w:sz w:val="24"/>
                <w:lang w:eastAsia="hr-HR"/>
              </w:rPr>
            </w:pPr>
          </w:p>
          <w:p w14:paraId="2FD8FF85" w14:textId="18786263" w:rsidR="00886AD1" w:rsidRPr="00886AD1" w:rsidRDefault="00886AD1" w:rsidP="00886AD1">
            <w:pPr>
              <w:jc w:val="both"/>
              <w:rPr>
                <w:rFonts w:ascii="Times New Roman" w:eastAsia="Calibri" w:hAnsi="Times New Roman" w:cs="Times New Roman"/>
                <w:sz w:val="24"/>
                <w:lang w:eastAsia="hr-HR"/>
              </w:rPr>
            </w:pPr>
            <w:r w:rsidRPr="00886AD1">
              <w:rPr>
                <w:rFonts w:ascii="Times New Roman" w:eastAsia="Calibri" w:hAnsi="Times New Roman" w:cs="Times New Roman"/>
                <w:sz w:val="24"/>
                <w:lang w:eastAsia="hr-HR"/>
              </w:rPr>
              <w:t xml:space="preserve">Primjena ovih instrumenata stupa na snagu 18. veljače 2026. godine, odnosno 18. kolovoza 2026. godine a do tada nacionalni sustavi moraju biti pravno i tehnički spremni za primjenu istih te je potrebno </w:t>
            </w:r>
            <w:r>
              <w:rPr>
                <w:rFonts w:ascii="Times New Roman" w:eastAsia="Calibri" w:hAnsi="Times New Roman" w:cs="Times New Roman"/>
                <w:sz w:val="24"/>
                <w:lang w:eastAsia="hr-HR"/>
              </w:rPr>
              <w:t>izraditi zakon kojim će se</w:t>
            </w:r>
            <w:r w:rsidRPr="00886AD1">
              <w:rPr>
                <w:rFonts w:ascii="Times New Roman" w:eastAsia="Calibri" w:hAnsi="Times New Roman" w:cs="Times New Roman"/>
                <w:sz w:val="24"/>
                <w:lang w:eastAsia="hr-HR"/>
              </w:rPr>
              <w:t xml:space="preserve"> implement</w:t>
            </w:r>
            <w:r>
              <w:rPr>
                <w:rFonts w:ascii="Times New Roman" w:eastAsia="Calibri" w:hAnsi="Times New Roman" w:cs="Times New Roman"/>
                <w:sz w:val="24"/>
                <w:lang w:eastAsia="hr-HR"/>
              </w:rPr>
              <w:t>irati</w:t>
            </w:r>
            <w:r w:rsidRPr="00886AD1">
              <w:rPr>
                <w:rFonts w:ascii="Times New Roman" w:eastAsia="Calibri" w:hAnsi="Times New Roman" w:cs="Times New Roman"/>
                <w:sz w:val="24"/>
                <w:lang w:eastAsia="hr-HR"/>
              </w:rPr>
              <w:t xml:space="preserve"> zakonodavn</w:t>
            </w:r>
            <w:r>
              <w:rPr>
                <w:rFonts w:ascii="Times New Roman" w:eastAsia="Calibri" w:hAnsi="Times New Roman" w:cs="Times New Roman"/>
                <w:sz w:val="24"/>
                <w:lang w:eastAsia="hr-HR"/>
              </w:rPr>
              <w:t>i</w:t>
            </w:r>
            <w:r w:rsidRPr="00886AD1">
              <w:rPr>
                <w:rFonts w:ascii="Times New Roman" w:eastAsia="Calibri" w:hAnsi="Times New Roman" w:cs="Times New Roman"/>
                <w:sz w:val="24"/>
                <w:lang w:eastAsia="hr-HR"/>
              </w:rPr>
              <w:t xml:space="preserve"> paket o prekograničnom pristupu elektroničkim dokazima.</w:t>
            </w:r>
          </w:p>
          <w:p w14:paraId="32CF4E3C" w14:textId="77777777" w:rsidR="00886AD1" w:rsidRPr="00886AD1" w:rsidRDefault="00886AD1" w:rsidP="00886AD1">
            <w:pPr>
              <w:jc w:val="both"/>
              <w:rPr>
                <w:rFonts w:ascii="Times New Roman" w:eastAsia="Calibri" w:hAnsi="Times New Roman" w:cs="Times New Roman"/>
                <w:sz w:val="24"/>
                <w:lang w:eastAsia="hr-HR"/>
              </w:rPr>
            </w:pPr>
          </w:p>
          <w:p w14:paraId="4DF6E3B8" w14:textId="149EB73E" w:rsidR="009352D9" w:rsidRPr="00A4091D" w:rsidRDefault="009352D9" w:rsidP="00D51499">
            <w:pPr>
              <w:jc w:val="both"/>
              <w:rPr>
                <w:rFonts w:ascii="Times New Roman" w:eastAsia="Calibri" w:hAnsi="Times New Roman" w:cs="Times New Roman"/>
                <w:sz w:val="24"/>
                <w:lang w:eastAsia="hr-HR"/>
              </w:rPr>
            </w:pPr>
          </w:p>
        </w:tc>
      </w:tr>
      <w:tr w:rsidR="009352D9" w:rsidRPr="00DA65D6" w14:paraId="2E0E82B3" w14:textId="77777777" w:rsidTr="005178C1">
        <w:trPr>
          <w:trHeight w:val="384"/>
        </w:trPr>
        <w:tc>
          <w:tcPr>
            <w:tcW w:w="850" w:type="dxa"/>
          </w:tcPr>
          <w:p w14:paraId="50B83FF2"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2.2.</w:t>
            </w:r>
          </w:p>
        </w:tc>
        <w:tc>
          <w:tcPr>
            <w:tcW w:w="9073" w:type="dxa"/>
            <w:gridSpan w:val="4"/>
          </w:tcPr>
          <w:p w14:paraId="4779FDE8"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tc>
      </w:tr>
      <w:tr w:rsidR="009352D9" w:rsidRPr="00DA65D6" w14:paraId="25FC9B65" w14:textId="77777777" w:rsidTr="005178C1">
        <w:trPr>
          <w:trHeight w:val="384"/>
        </w:trPr>
        <w:tc>
          <w:tcPr>
            <w:tcW w:w="850" w:type="dxa"/>
          </w:tcPr>
          <w:p w14:paraId="7DB8E98F" w14:textId="77777777" w:rsidR="009352D9" w:rsidRPr="00DA65D6" w:rsidRDefault="009352D9" w:rsidP="005178C1">
            <w:pPr>
              <w:jc w:val="both"/>
              <w:rPr>
                <w:rFonts w:ascii="Times New Roman" w:eastAsia="Calibri" w:hAnsi="Times New Roman" w:cs="Times New Roman"/>
                <w:b/>
                <w:sz w:val="24"/>
                <w:lang w:eastAsia="hr-HR"/>
              </w:rPr>
            </w:pPr>
          </w:p>
        </w:tc>
        <w:tc>
          <w:tcPr>
            <w:tcW w:w="9073" w:type="dxa"/>
            <w:gridSpan w:val="4"/>
          </w:tcPr>
          <w:p w14:paraId="39E51FAA" w14:textId="4CDA36D2" w:rsidR="009352D9" w:rsidRPr="00DA65D6" w:rsidRDefault="005175EA" w:rsidP="005178C1">
            <w:pPr>
              <w:jc w:val="both"/>
              <w:rPr>
                <w:rFonts w:ascii="Times New Roman" w:eastAsia="Calibri" w:hAnsi="Times New Roman" w:cs="Times New Roman"/>
                <w:i/>
                <w:iCs/>
                <w:sz w:val="24"/>
                <w:szCs w:val="24"/>
                <w:lang w:eastAsia="hr-HR"/>
              </w:rPr>
            </w:pPr>
            <w:hyperlink r:id="rId8" w:history="1">
              <w:r w:rsidRPr="00886AD1">
                <w:rPr>
                  <w:rStyle w:val="Hiperveza"/>
                  <w:rFonts w:ascii="Times New Roman" w:eastAsia="Calibri" w:hAnsi="Times New Roman" w:cs="Times New Roman"/>
                  <w:color w:val="auto"/>
                  <w:sz w:val="24"/>
                  <w:u w:val="none"/>
                  <w:lang w:eastAsia="hr-HR"/>
                </w:rPr>
                <w:t>Uredb</w:t>
              </w:r>
              <w:r>
                <w:rPr>
                  <w:rStyle w:val="Hiperveza"/>
                  <w:rFonts w:ascii="Times New Roman" w:eastAsia="Calibri" w:hAnsi="Times New Roman" w:cs="Times New Roman"/>
                  <w:color w:val="auto"/>
                  <w:sz w:val="24"/>
                  <w:u w:val="none"/>
                  <w:lang w:eastAsia="hr-HR"/>
                </w:rPr>
                <w:t>a</w:t>
              </w:r>
              <w:r w:rsidRPr="00886AD1">
                <w:rPr>
                  <w:rStyle w:val="Hiperveza"/>
                  <w:rFonts w:ascii="Times New Roman" w:eastAsia="Calibri" w:hAnsi="Times New Roman" w:cs="Times New Roman"/>
                  <w:color w:val="auto"/>
                  <w:sz w:val="24"/>
                  <w:u w:val="none"/>
                  <w:lang w:eastAsia="hr-HR"/>
                </w:rPr>
                <w:t xml:space="preserve"> (EU) 2023/1543 o europskim nalozima za dostavljanje i nalozima za čuvanje elektroničkih dokaza u kaznenim postupcima i za izvršenje kazni zatvora nakon kaznenog postupka</w:t>
              </w:r>
            </w:hyperlink>
            <w:r w:rsidRPr="00886AD1">
              <w:rPr>
                <w:rFonts w:ascii="Times New Roman" w:eastAsia="Calibri" w:hAnsi="Times New Roman" w:cs="Times New Roman"/>
                <w:sz w:val="24"/>
                <w:lang w:eastAsia="hr-HR"/>
              </w:rPr>
              <w:t xml:space="preserve"> i </w:t>
            </w:r>
            <w:hyperlink r:id="rId9" w:history="1">
              <w:r w:rsidRPr="00886AD1">
                <w:rPr>
                  <w:rStyle w:val="Hiperveza"/>
                  <w:rFonts w:ascii="Times New Roman" w:eastAsia="Calibri" w:hAnsi="Times New Roman" w:cs="Times New Roman"/>
                  <w:color w:val="auto"/>
                  <w:sz w:val="24"/>
                  <w:u w:val="none"/>
                  <w:lang w:eastAsia="hr-HR"/>
                </w:rPr>
                <w:t>Direktiv</w:t>
              </w:r>
              <w:r>
                <w:rPr>
                  <w:rStyle w:val="Hiperveza"/>
                  <w:rFonts w:ascii="Times New Roman" w:eastAsia="Calibri" w:hAnsi="Times New Roman" w:cs="Times New Roman"/>
                  <w:color w:val="auto"/>
                  <w:sz w:val="24"/>
                  <w:u w:val="none"/>
                  <w:lang w:eastAsia="hr-HR"/>
                </w:rPr>
                <w:t>a</w:t>
              </w:r>
              <w:r w:rsidRPr="00886AD1">
                <w:rPr>
                  <w:rStyle w:val="Hiperveza"/>
                  <w:rFonts w:ascii="Times New Roman" w:eastAsia="Calibri" w:hAnsi="Times New Roman" w:cs="Times New Roman"/>
                  <w:color w:val="auto"/>
                  <w:sz w:val="24"/>
                  <w:u w:val="none"/>
                  <w:lang w:eastAsia="hr-HR"/>
                </w:rPr>
                <w:t xml:space="preserve"> (EU) 2023/1544 o utvrđivanju usklađenih pravila za imenovanje imenovanih subjekata koji imaju poslovni nastan i za imenovanje pravnih zastupnika za potrebe prikupljanja elektroničkih dokaza u kaznenim postupcima</w:t>
              </w:r>
            </w:hyperlink>
            <w:r w:rsidRPr="00886AD1">
              <w:rPr>
                <w:rFonts w:ascii="Times New Roman" w:eastAsia="Calibri" w:hAnsi="Times New Roman" w:cs="Times New Roman"/>
                <w:sz w:val="24"/>
                <w:lang w:eastAsia="hr-HR"/>
              </w:rPr>
              <w:t>.</w:t>
            </w:r>
          </w:p>
        </w:tc>
      </w:tr>
      <w:tr w:rsidR="009352D9" w:rsidRPr="00DA65D6" w14:paraId="08F2C192" w14:textId="77777777" w:rsidTr="005178C1">
        <w:trPr>
          <w:trHeight w:val="384"/>
        </w:trPr>
        <w:tc>
          <w:tcPr>
            <w:tcW w:w="850" w:type="dxa"/>
          </w:tcPr>
          <w:p w14:paraId="66E234FA"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3.</w:t>
            </w:r>
          </w:p>
        </w:tc>
        <w:tc>
          <w:tcPr>
            <w:tcW w:w="9073" w:type="dxa"/>
            <w:gridSpan w:val="4"/>
          </w:tcPr>
          <w:p w14:paraId="0F173902" w14:textId="77777777" w:rsidR="009352D9" w:rsidRPr="00DA65D6" w:rsidRDefault="009352D9" w:rsidP="005178C1">
            <w:pPr>
              <w:jc w:val="both"/>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UTVRĐIVANJE POSEBNOG CILJA</w:t>
            </w:r>
          </w:p>
        </w:tc>
      </w:tr>
      <w:tr w:rsidR="009352D9" w:rsidRPr="00DA65D6" w14:paraId="0A871713" w14:textId="77777777" w:rsidTr="005178C1">
        <w:trPr>
          <w:trHeight w:val="384"/>
        </w:trPr>
        <w:tc>
          <w:tcPr>
            <w:tcW w:w="850" w:type="dxa"/>
          </w:tcPr>
          <w:p w14:paraId="63F8A839"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lastRenderedPageBreak/>
              <w:t>3.1.</w:t>
            </w:r>
          </w:p>
        </w:tc>
        <w:tc>
          <w:tcPr>
            <w:tcW w:w="9073" w:type="dxa"/>
            <w:gridSpan w:val="4"/>
          </w:tcPr>
          <w:p w14:paraId="555A76A9"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posebnog cilja</w:t>
            </w:r>
          </w:p>
        </w:tc>
      </w:tr>
      <w:tr w:rsidR="009352D9" w:rsidRPr="00DA65D6" w14:paraId="2724D3E3" w14:textId="77777777" w:rsidTr="005178C1">
        <w:trPr>
          <w:trHeight w:val="384"/>
        </w:trPr>
        <w:tc>
          <w:tcPr>
            <w:tcW w:w="850" w:type="dxa"/>
          </w:tcPr>
          <w:p w14:paraId="7B8CFA08"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6A6105B5" w14:textId="2D9D41E5" w:rsidR="009352D9" w:rsidRPr="00360818" w:rsidRDefault="00886AD1" w:rsidP="004C5547">
            <w:pPr>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 xml:space="preserve">Cilj je uspostaviti zakonodavni okvir koji će biti usklađen sa europskom legislativom, kako u pravnom, tako i u tehničkom smislu. </w:t>
            </w:r>
          </w:p>
        </w:tc>
      </w:tr>
      <w:tr w:rsidR="009352D9" w:rsidRPr="00DA65D6" w14:paraId="0C6AC9B7" w14:textId="77777777" w:rsidTr="005178C1">
        <w:trPr>
          <w:trHeight w:val="384"/>
        </w:trPr>
        <w:tc>
          <w:tcPr>
            <w:tcW w:w="850" w:type="dxa"/>
          </w:tcPr>
          <w:p w14:paraId="4AE16ADB"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3.2.</w:t>
            </w:r>
          </w:p>
        </w:tc>
        <w:tc>
          <w:tcPr>
            <w:tcW w:w="9073" w:type="dxa"/>
            <w:gridSpan w:val="4"/>
          </w:tcPr>
          <w:p w14:paraId="44CD20A9"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Opis svrhe propisa</w:t>
            </w:r>
          </w:p>
        </w:tc>
      </w:tr>
      <w:tr w:rsidR="009352D9" w:rsidRPr="00DA65D6" w14:paraId="620B6464" w14:textId="77777777" w:rsidTr="005178C1">
        <w:trPr>
          <w:trHeight w:val="384"/>
        </w:trPr>
        <w:tc>
          <w:tcPr>
            <w:tcW w:w="850" w:type="dxa"/>
          </w:tcPr>
          <w:p w14:paraId="77C92E8B"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7C0B8C1E" w14:textId="1631D33E" w:rsidR="009352D9" w:rsidRPr="004C5547" w:rsidRDefault="00886AD1" w:rsidP="00D51499">
            <w:pPr>
              <w:contextualSpacing/>
              <w:jc w:val="both"/>
              <w:rPr>
                <w:rFonts w:ascii="Times New Roman" w:eastAsia="Calibri" w:hAnsi="Times New Roman" w:cs="Times New Roman"/>
                <w:bCs/>
                <w:iCs/>
                <w:sz w:val="24"/>
                <w:lang w:eastAsia="hr-HR"/>
              </w:rPr>
            </w:pPr>
            <w:r>
              <w:rPr>
                <w:rFonts w:ascii="Times New Roman" w:eastAsia="Calibri" w:hAnsi="Times New Roman" w:cs="Times New Roman"/>
                <w:bCs/>
                <w:iCs/>
                <w:sz w:val="24"/>
                <w:lang w:eastAsia="hr-HR"/>
              </w:rPr>
              <w:t xml:space="preserve">Do sada je pribavljanje elektroničkih dokaza unutar Europske unije za potrebe kaznenih postupaka pribavljano putem pravosudnih tijela država članica, njihovom izravnom komunikacijom, dok je sada propisano da je takve dokaze moguće tražiti od strane pružatelja usluga koji imaju potrebne elektroničke dokaze, a nalaze se u drugoj </w:t>
            </w:r>
            <w:r w:rsidR="00E2455A">
              <w:rPr>
                <w:rFonts w:ascii="Times New Roman" w:eastAsia="Calibri" w:hAnsi="Times New Roman" w:cs="Times New Roman"/>
                <w:bCs/>
                <w:iCs/>
                <w:sz w:val="24"/>
                <w:lang w:eastAsia="hr-HR"/>
              </w:rPr>
              <w:t>državi</w:t>
            </w:r>
            <w:r>
              <w:rPr>
                <w:rFonts w:ascii="Times New Roman" w:eastAsia="Calibri" w:hAnsi="Times New Roman" w:cs="Times New Roman"/>
                <w:bCs/>
                <w:iCs/>
                <w:sz w:val="24"/>
                <w:lang w:eastAsia="hr-HR"/>
              </w:rPr>
              <w:t xml:space="preserve"> članici. Za potrebe toga, biti će potrebno uspostaviti i siguran decentralizirani IT sustav kojem će imati pristup pravosudna tijela i pružatelji usluga.</w:t>
            </w:r>
          </w:p>
        </w:tc>
      </w:tr>
      <w:tr w:rsidR="009352D9" w:rsidRPr="00DA65D6" w14:paraId="753D9624" w14:textId="77777777" w:rsidTr="005178C1">
        <w:trPr>
          <w:trHeight w:val="384"/>
        </w:trPr>
        <w:tc>
          <w:tcPr>
            <w:tcW w:w="850" w:type="dxa"/>
          </w:tcPr>
          <w:p w14:paraId="6A173627"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3.3.</w:t>
            </w:r>
          </w:p>
        </w:tc>
        <w:tc>
          <w:tcPr>
            <w:tcW w:w="9073" w:type="dxa"/>
            <w:gridSpan w:val="4"/>
          </w:tcPr>
          <w:p w14:paraId="1785709B" w14:textId="77777777" w:rsidR="009352D9" w:rsidRPr="00DA65D6" w:rsidRDefault="009352D9" w:rsidP="005178C1">
            <w:pPr>
              <w:contextualSpacing/>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Razmotrena druga moguća normativna i nenormativna rješenja</w:t>
            </w:r>
          </w:p>
        </w:tc>
      </w:tr>
      <w:tr w:rsidR="009352D9" w:rsidRPr="00DA65D6" w14:paraId="6BE963D7" w14:textId="77777777" w:rsidTr="005178C1">
        <w:trPr>
          <w:trHeight w:val="384"/>
        </w:trPr>
        <w:tc>
          <w:tcPr>
            <w:tcW w:w="850" w:type="dxa"/>
          </w:tcPr>
          <w:p w14:paraId="56B5C6E2"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169BA3D8" w14:textId="5AA00D0E" w:rsidR="009352D9" w:rsidRPr="00163496" w:rsidRDefault="00886AD1" w:rsidP="005178C1">
            <w:pPr>
              <w:contextualSpacing/>
              <w:jc w:val="both"/>
              <w:rPr>
                <w:rFonts w:ascii="Times New Roman" w:hAnsi="Times New Roman" w:cs="Times New Roman"/>
                <w:sz w:val="24"/>
                <w:szCs w:val="24"/>
              </w:rPr>
            </w:pPr>
            <w:r>
              <w:rPr>
                <w:rFonts w:ascii="Times New Roman" w:hAnsi="Times New Roman" w:cs="Times New Roman"/>
                <w:sz w:val="24"/>
                <w:szCs w:val="24"/>
              </w:rPr>
              <w:t>Nije moguće riješiti ovo pitanje nenormativnih rješenjem.</w:t>
            </w:r>
          </w:p>
        </w:tc>
      </w:tr>
      <w:tr w:rsidR="009352D9" w:rsidRPr="00DA65D6" w14:paraId="4A361111" w14:textId="77777777" w:rsidTr="005178C1">
        <w:trPr>
          <w:trHeight w:val="384"/>
        </w:trPr>
        <w:tc>
          <w:tcPr>
            <w:tcW w:w="850" w:type="dxa"/>
          </w:tcPr>
          <w:p w14:paraId="73A82F28" w14:textId="77777777" w:rsidR="009352D9" w:rsidRPr="00DA65D6" w:rsidRDefault="009352D9" w:rsidP="005178C1">
            <w:pPr>
              <w:jc w:val="both"/>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3.4.</w:t>
            </w:r>
          </w:p>
        </w:tc>
        <w:tc>
          <w:tcPr>
            <w:tcW w:w="9073" w:type="dxa"/>
            <w:gridSpan w:val="4"/>
          </w:tcPr>
          <w:p w14:paraId="1625FBB5" w14:textId="77777777" w:rsidR="009352D9" w:rsidRPr="00DA65D6" w:rsidRDefault="009352D9" w:rsidP="005178C1">
            <w:pPr>
              <w:contextualSpacing/>
              <w:jc w:val="both"/>
              <w:rPr>
                <w:rFonts w:ascii="Times New Roman" w:eastAsia="Calibri" w:hAnsi="Times New Roman" w:cs="Times New Roman"/>
                <w:iCs/>
                <w:sz w:val="24"/>
                <w:szCs w:val="24"/>
                <w:lang w:eastAsia="hr-HR"/>
              </w:rPr>
            </w:pPr>
            <w:r w:rsidRPr="00DA65D6">
              <w:rPr>
                <w:rFonts w:ascii="Times New Roman" w:eastAsia="Calibri" w:hAnsi="Times New Roman" w:cs="Times New Roman"/>
                <w:bCs/>
                <w:sz w:val="24"/>
                <w:szCs w:val="24"/>
                <w:lang w:eastAsia="hr-HR"/>
              </w:rPr>
              <w:t>Izvor podataka:</w:t>
            </w:r>
          </w:p>
        </w:tc>
      </w:tr>
      <w:tr w:rsidR="009352D9" w:rsidRPr="00DA65D6" w14:paraId="22A066E7" w14:textId="77777777" w:rsidTr="005178C1">
        <w:trPr>
          <w:trHeight w:val="384"/>
        </w:trPr>
        <w:tc>
          <w:tcPr>
            <w:tcW w:w="850" w:type="dxa"/>
          </w:tcPr>
          <w:p w14:paraId="17398980" w14:textId="77777777" w:rsidR="009352D9" w:rsidRPr="00DA65D6" w:rsidRDefault="009352D9" w:rsidP="005178C1">
            <w:pPr>
              <w:jc w:val="both"/>
              <w:rPr>
                <w:rFonts w:ascii="Times New Roman" w:eastAsia="Calibri" w:hAnsi="Times New Roman" w:cs="Times New Roman"/>
                <w:bCs/>
                <w:sz w:val="24"/>
                <w:lang w:eastAsia="hr-HR"/>
              </w:rPr>
            </w:pPr>
          </w:p>
        </w:tc>
        <w:tc>
          <w:tcPr>
            <w:tcW w:w="9073" w:type="dxa"/>
            <w:gridSpan w:val="4"/>
          </w:tcPr>
          <w:p w14:paraId="155CC28D" w14:textId="66F31E76" w:rsidR="009352D9" w:rsidRPr="00DA65D6" w:rsidRDefault="009B22F9" w:rsidP="005178C1">
            <w:pPr>
              <w:contextualSpacing/>
              <w:jc w:val="both"/>
              <w:rPr>
                <w:rFonts w:ascii="Times New Roman" w:eastAsia="Calibri" w:hAnsi="Times New Roman" w:cs="Times New Roman"/>
                <w:iCs/>
                <w:sz w:val="24"/>
                <w:szCs w:val="24"/>
                <w:lang w:eastAsia="hr-HR"/>
              </w:rPr>
            </w:pPr>
            <w:hyperlink r:id="rId10" w:history="1">
              <w:r w:rsidRPr="00886AD1">
                <w:rPr>
                  <w:rStyle w:val="Hiperveza"/>
                  <w:rFonts w:ascii="Times New Roman" w:eastAsia="Calibri" w:hAnsi="Times New Roman" w:cs="Times New Roman"/>
                  <w:color w:val="auto"/>
                  <w:sz w:val="24"/>
                  <w:u w:val="none"/>
                  <w:lang w:eastAsia="hr-HR"/>
                </w:rPr>
                <w:t>Uredb</w:t>
              </w:r>
              <w:r>
                <w:rPr>
                  <w:rStyle w:val="Hiperveza"/>
                  <w:rFonts w:ascii="Times New Roman" w:eastAsia="Calibri" w:hAnsi="Times New Roman" w:cs="Times New Roman"/>
                  <w:color w:val="auto"/>
                  <w:sz w:val="24"/>
                  <w:u w:val="none"/>
                  <w:lang w:eastAsia="hr-HR"/>
                </w:rPr>
                <w:t>a</w:t>
              </w:r>
              <w:r w:rsidRPr="00886AD1">
                <w:rPr>
                  <w:rStyle w:val="Hiperveza"/>
                  <w:rFonts w:ascii="Times New Roman" w:eastAsia="Calibri" w:hAnsi="Times New Roman" w:cs="Times New Roman"/>
                  <w:color w:val="auto"/>
                  <w:sz w:val="24"/>
                  <w:u w:val="none"/>
                  <w:lang w:eastAsia="hr-HR"/>
                </w:rPr>
                <w:t xml:space="preserve"> (EU) 2023/1543 o europskim nalozima za dostavljanje i nalozima za čuvanje elektroničkih dokaza u kaznenim postupcima i za izvršenje kazni zatvora nakon kaznenog postupka</w:t>
              </w:r>
            </w:hyperlink>
            <w:r w:rsidRPr="00886AD1">
              <w:rPr>
                <w:rFonts w:ascii="Times New Roman" w:eastAsia="Calibri" w:hAnsi="Times New Roman" w:cs="Times New Roman"/>
                <w:sz w:val="24"/>
                <w:lang w:eastAsia="hr-HR"/>
              </w:rPr>
              <w:t xml:space="preserve"> i </w:t>
            </w:r>
            <w:hyperlink r:id="rId11" w:history="1">
              <w:r w:rsidRPr="00886AD1">
                <w:rPr>
                  <w:rStyle w:val="Hiperveza"/>
                  <w:rFonts w:ascii="Times New Roman" w:eastAsia="Calibri" w:hAnsi="Times New Roman" w:cs="Times New Roman"/>
                  <w:color w:val="auto"/>
                  <w:sz w:val="24"/>
                  <w:u w:val="none"/>
                  <w:lang w:eastAsia="hr-HR"/>
                </w:rPr>
                <w:t>Direktiv</w:t>
              </w:r>
              <w:r>
                <w:rPr>
                  <w:rStyle w:val="Hiperveza"/>
                  <w:rFonts w:ascii="Times New Roman" w:eastAsia="Calibri" w:hAnsi="Times New Roman" w:cs="Times New Roman"/>
                  <w:color w:val="auto"/>
                  <w:sz w:val="24"/>
                  <w:u w:val="none"/>
                  <w:lang w:eastAsia="hr-HR"/>
                </w:rPr>
                <w:t>a</w:t>
              </w:r>
              <w:r w:rsidRPr="00886AD1">
                <w:rPr>
                  <w:rStyle w:val="Hiperveza"/>
                  <w:rFonts w:ascii="Times New Roman" w:eastAsia="Calibri" w:hAnsi="Times New Roman" w:cs="Times New Roman"/>
                  <w:color w:val="auto"/>
                  <w:sz w:val="24"/>
                  <w:u w:val="none"/>
                  <w:lang w:eastAsia="hr-HR"/>
                </w:rPr>
                <w:t xml:space="preserve"> (EU) 2023/1544 o utvrđivanju usklađenih pravila za imenovanje imenovanih subjekata koji imaju poslovni nastan i za imenovanje pravnih zastupnika za potrebe prikupljanja elektroničkih dokaza u kaznenim postupcima</w:t>
              </w:r>
            </w:hyperlink>
            <w:r w:rsidRPr="00886AD1">
              <w:rPr>
                <w:rFonts w:ascii="Times New Roman" w:eastAsia="Calibri" w:hAnsi="Times New Roman" w:cs="Times New Roman"/>
                <w:sz w:val="24"/>
                <w:lang w:eastAsia="hr-HR"/>
              </w:rPr>
              <w:t>.</w:t>
            </w:r>
          </w:p>
        </w:tc>
      </w:tr>
      <w:tr w:rsidR="009352D9" w:rsidRPr="00DA65D6" w14:paraId="2B9CCE97" w14:textId="77777777" w:rsidTr="005178C1">
        <w:trPr>
          <w:trHeight w:val="384"/>
        </w:trPr>
        <w:tc>
          <w:tcPr>
            <w:tcW w:w="850" w:type="dxa"/>
          </w:tcPr>
          <w:p w14:paraId="7E9870EC"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b/>
                <w:sz w:val="24"/>
                <w:lang w:eastAsia="hr-HR"/>
              </w:rPr>
              <w:t>4.</w:t>
            </w:r>
          </w:p>
        </w:tc>
        <w:tc>
          <w:tcPr>
            <w:tcW w:w="9073" w:type="dxa"/>
            <w:gridSpan w:val="4"/>
          </w:tcPr>
          <w:p w14:paraId="3931191A"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b/>
                <w:sz w:val="24"/>
                <w:lang w:eastAsia="hr-HR"/>
              </w:rPr>
              <w:t xml:space="preserve">UTVRĐIVANJE UČINAKA I ADRESATA </w:t>
            </w:r>
          </w:p>
        </w:tc>
      </w:tr>
      <w:tr w:rsidR="009352D9" w:rsidRPr="00DA65D6" w14:paraId="62A70D40" w14:textId="77777777" w:rsidTr="005178C1">
        <w:trPr>
          <w:trHeight w:val="608"/>
        </w:trPr>
        <w:tc>
          <w:tcPr>
            <w:tcW w:w="850" w:type="dxa"/>
          </w:tcPr>
          <w:p w14:paraId="39AE5005"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w:t>
            </w:r>
          </w:p>
        </w:tc>
        <w:tc>
          <w:tcPr>
            <w:tcW w:w="9073" w:type="dxa"/>
            <w:gridSpan w:val="4"/>
          </w:tcPr>
          <w:p w14:paraId="6F40AF7F"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Posebni cilj:</w:t>
            </w:r>
          </w:p>
          <w:p w14:paraId="1F99999E" w14:textId="3AE2A18D" w:rsidR="009352D9" w:rsidRPr="00DA65D6" w:rsidRDefault="009352D9" w:rsidP="005178C1">
            <w:pPr>
              <w:jc w:val="both"/>
              <w:rPr>
                <w:rFonts w:ascii="Times New Roman" w:eastAsia="Calibri" w:hAnsi="Times New Roman" w:cs="Times New Roman"/>
                <w:sz w:val="24"/>
                <w:lang w:eastAsia="hr-HR"/>
              </w:rPr>
            </w:pPr>
          </w:p>
        </w:tc>
      </w:tr>
      <w:tr w:rsidR="009352D9" w:rsidRPr="00DA65D6" w14:paraId="1796A5B4" w14:textId="77777777" w:rsidTr="005178C1">
        <w:trPr>
          <w:trHeight w:val="335"/>
        </w:trPr>
        <w:tc>
          <w:tcPr>
            <w:tcW w:w="850" w:type="dxa"/>
          </w:tcPr>
          <w:p w14:paraId="3DB43BB3"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4.1.1.</w:t>
            </w:r>
          </w:p>
        </w:tc>
        <w:tc>
          <w:tcPr>
            <w:tcW w:w="4254" w:type="dxa"/>
            <w:gridSpan w:val="3"/>
          </w:tcPr>
          <w:p w14:paraId="466307A3"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gospodarstvo:</w:t>
            </w:r>
          </w:p>
        </w:tc>
        <w:tc>
          <w:tcPr>
            <w:tcW w:w="4819" w:type="dxa"/>
          </w:tcPr>
          <w:p w14:paraId="6028C83D"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9352D9" w:rsidRPr="00DA65D6" w14:paraId="24987739" w14:textId="77777777" w:rsidTr="005178C1">
        <w:trPr>
          <w:trHeight w:val="335"/>
        </w:trPr>
        <w:tc>
          <w:tcPr>
            <w:tcW w:w="850" w:type="dxa"/>
          </w:tcPr>
          <w:p w14:paraId="095FA031" w14:textId="77777777" w:rsidR="009352D9" w:rsidRPr="00DA65D6" w:rsidRDefault="009352D9" w:rsidP="005178C1">
            <w:pPr>
              <w:jc w:val="both"/>
              <w:rPr>
                <w:rFonts w:ascii="Times New Roman" w:eastAsia="Calibri" w:hAnsi="Times New Roman" w:cs="Times New Roman"/>
                <w:sz w:val="24"/>
                <w:lang w:eastAsia="hr-HR"/>
              </w:rPr>
            </w:pPr>
          </w:p>
        </w:tc>
        <w:tc>
          <w:tcPr>
            <w:tcW w:w="4254" w:type="dxa"/>
            <w:gridSpan w:val="3"/>
          </w:tcPr>
          <w:p w14:paraId="481F8864" w14:textId="671F9D1E" w:rsidR="002D4F1B" w:rsidRPr="00A45A5C" w:rsidRDefault="002D4F1B" w:rsidP="002D4F1B">
            <w:pPr>
              <w:pStyle w:val="StandardWeb"/>
              <w:spacing w:after="0"/>
              <w:jc w:val="both"/>
              <w:rPr>
                <w:rStyle w:val="kurziv"/>
                <w:bdr w:val="none" w:sz="0" w:space="0" w:color="auto" w:frame="1"/>
              </w:rPr>
            </w:pPr>
            <w:r w:rsidRPr="00A45A5C">
              <w:rPr>
                <w:rStyle w:val="kurziv"/>
                <w:bdr w:val="none" w:sz="0" w:space="0" w:color="auto" w:frame="1"/>
              </w:rPr>
              <w:t xml:space="preserve">Pružatelji usluga koji nude usluge u </w:t>
            </w:r>
            <w:r>
              <w:rPr>
                <w:rStyle w:val="kurziv"/>
                <w:bdr w:val="none" w:sz="0" w:space="0" w:color="auto" w:frame="1"/>
              </w:rPr>
              <w:t>Europskoj u</w:t>
            </w:r>
            <w:r w:rsidRPr="00A45A5C">
              <w:rPr>
                <w:rStyle w:val="kurziv"/>
                <w:bdr w:val="none" w:sz="0" w:space="0" w:color="auto" w:frame="1"/>
              </w:rPr>
              <w:t xml:space="preserve">niji </w:t>
            </w:r>
            <w:r>
              <w:rPr>
                <w:rStyle w:val="kurziv"/>
                <w:bdr w:val="none" w:sz="0" w:space="0" w:color="auto" w:frame="1"/>
              </w:rPr>
              <w:t xml:space="preserve">imaju obvezu imenovati </w:t>
            </w:r>
            <w:r w:rsidRPr="00A45A5C">
              <w:rPr>
                <w:rStyle w:val="kurziv"/>
                <w:bdr w:val="none" w:sz="0" w:space="0" w:color="auto" w:frame="1"/>
              </w:rPr>
              <w:t>najmanje jednog adresata za primanje odluka i naloga obuhvaćenih područjem primjene utvrđenim ov</w:t>
            </w:r>
            <w:r>
              <w:rPr>
                <w:rStyle w:val="kurziv"/>
                <w:bdr w:val="none" w:sz="0" w:space="0" w:color="auto" w:frame="1"/>
              </w:rPr>
              <w:t>im</w:t>
            </w:r>
            <w:r w:rsidRPr="00A45A5C">
              <w:rPr>
                <w:rStyle w:val="kurziv"/>
                <w:bdr w:val="none" w:sz="0" w:space="0" w:color="auto" w:frame="1"/>
              </w:rPr>
              <w:t xml:space="preserve"> Zakon</w:t>
            </w:r>
            <w:r>
              <w:rPr>
                <w:rStyle w:val="kurziv"/>
                <w:bdr w:val="none" w:sz="0" w:space="0" w:color="auto" w:frame="1"/>
              </w:rPr>
              <w:t xml:space="preserve">om, a </w:t>
            </w:r>
            <w:r w:rsidRPr="00A45A5C">
              <w:rPr>
                <w:rStyle w:val="kurziv"/>
                <w:bdr w:val="none" w:sz="0" w:space="0" w:color="auto" w:frame="1"/>
              </w:rPr>
              <w:t xml:space="preserve"> koje</w:t>
            </w:r>
            <w:r>
              <w:rPr>
                <w:rStyle w:val="kurziv"/>
                <w:bdr w:val="none" w:sz="0" w:space="0" w:color="auto" w:frame="1"/>
              </w:rPr>
              <w:t xml:space="preserve"> naloge</w:t>
            </w:r>
            <w:r w:rsidRPr="00A45A5C">
              <w:rPr>
                <w:rStyle w:val="kurziv"/>
                <w:bdr w:val="none" w:sz="0" w:space="0" w:color="auto" w:frame="1"/>
              </w:rPr>
              <w:t xml:space="preserve"> izdaju nadležna tijela država članica u svrhu prikupljanja dokaza u kaznenim postupcima, za postupanje u skladu s tim odlukama i nalozima te za prisilnu provedbu tih odluka i naloga</w:t>
            </w:r>
            <w:r>
              <w:rPr>
                <w:rStyle w:val="kurziv"/>
                <w:bdr w:val="none" w:sz="0" w:space="0" w:color="auto" w:frame="1"/>
              </w:rPr>
              <w:t xml:space="preserve">. </w:t>
            </w:r>
            <w:r w:rsidRPr="00A45A5C">
              <w:rPr>
                <w:rStyle w:val="kurziv"/>
                <w:bdr w:val="none" w:sz="0" w:space="0" w:color="auto" w:frame="1"/>
              </w:rPr>
              <w:t>Adresati moraju imati imaju poslovni nastan ili boravište u Republici Hrvatskoj</w:t>
            </w:r>
            <w:r w:rsidR="00B4085F">
              <w:rPr>
                <w:rStyle w:val="kurziv"/>
                <w:bdr w:val="none" w:sz="0" w:space="0" w:color="auto" w:frame="1"/>
              </w:rPr>
              <w:t xml:space="preserve">. Pružatelji usluga imaju obvezu o tim, kao i drugim podacima izvijestiti Hrvatsku regulatornu agenciju za mrežne djelatnosti. U slučaju nepostupanja po odredbama ovog Prijedloga zakona, pružatelji usluga biti će kažnjeni u prekršajnom postupku.  </w:t>
            </w:r>
            <w:r w:rsidRPr="00A45A5C">
              <w:rPr>
                <w:rStyle w:val="kurziv"/>
                <w:bdr w:val="none" w:sz="0" w:space="0" w:color="auto" w:frame="1"/>
              </w:rPr>
              <w:t xml:space="preserve"> </w:t>
            </w:r>
          </w:p>
          <w:p w14:paraId="34913B50" w14:textId="3A46C5D0" w:rsidR="009352D9" w:rsidRPr="00385AD0" w:rsidRDefault="009352D9" w:rsidP="005178C1">
            <w:pPr>
              <w:jc w:val="both"/>
              <w:rPr>
                <w:rFonts w:ascii="Times New Roman" w:hAnsi="Times New Roman" w:cs="Times New Roman"/>
                <w:sz w:val="24"/>
                <w:szCs w:val="24"/>
              </w:rPr>
            </w:pPr>
          </w:p>
        </w:tc>
        <w:tc>
          <w:tcPr>
            <w:tcW w:w="4819" w:type="dxa"/>
          </w:tcPr>
          <w:p w14:paraId="429D38CA" w14:textId="4DEE0E85" w:rsidR="009352D9" w:rsidRPr="00DA65D6" w:rsidRDefault="002D4F1B" w:rsidP="005178C1">
            <w:pPr>
              <w:jc w:val="both"/>
              <w:rPr>
                <w:rFonts w:ascii="Times New Roman" w:eastAsia="Calibri" w:hAnsi="Times New Roman" w:cs="Times New Roman"/>
                <w:i/>
                <w:sz w:val="24"/>
                <w:lang w:eastAsia="hr-HR"/>
              </w:rPr>
            </w:pPr>
            <w:r>
              <w:rPr>
                <w:rFonts w:ascii="Times New Roman" w:eastAsia="Calibri" w:hAnsi="Times New Roman" w:cs="Times New Roman"/>
                <w:i/>
                <w:sz w:val="24"/>
                <w:lang w:eastAsia="hr-HR"/>
              </w:rPr>
              <w:t xml:space="preserve">Pružatelji </w:t>
            </w:r>
            <w:r w:rsidR="00DF03EE">
              <w:rPr>
                <w:rFonts w:ascii="Times New Roman" w:eastAsia="Calibri" w:hAnsi="Times New Roman" w:cs="Times New Roman"/>
                <w:i/>
                <w:sz w:val="24"/>
                <w:lang w:eastAsia="hr-HR"/>
              </w:rPr>
              <w:t xml:space="preserve">određenih </w:t>
            </w:r>
            <w:r>
              <w:rPr>
                <w:rFonts w:ascii="Times New Roman" w:eastAsia="Calibri" w:hAnsi="Times New Roman" w:cs="Times New Roman"/>
                <w:i/>
                <w:sz w:val="24"/>
                <w:lang w:eastAsia="hr-HR"/>
              </w:rPr>
              <w:t xml:space="preserve">usluga kako su oni za potrebe ovog </w:t>
            </w:r>
            <w:r w:rsidR="00DF03EE">
              <w:rPr>
                <w:rFonts w:ascii="Times New Roman" w:eastAsia="Calibri" w:hAnsi="Times New Roman" w:cs="Times New Roman"/>
                <w:i/>
                <w:sz w:val="24"/>
                <w:lang w:eastAsia="hr-HR"/>
              </w:rPr>
              <w:t>Prijedloga z</w:t>
            </w:r>
            <w:r>
              <w:rPr>
                <w:rFonts w:ascii="Times New Roman" w:eastAsia="Calibri" w:hAnsi="Times New Roman" w:cs="Times New Roman"/>
                <w:i/>
                <w:sz w:val="24"/>
                <w:lang w:eastAsia="hr-HR"/>
              </w:rPr>
              <w:t xml:space="preserve">akona navedeni u </w:t>
            </w:r>
            <w:hyperlink r:id="rId12" w:history="1">
              <w:r w:rsidRPr="002D4F1B">
                <w:rPr>
                  <w:rStyle w:val="Hiperveza"/>
                  <w:rFonts w:ascii="Times New Roman" w:eastAsia="Calibri" w:hAnsi="Times New Roman" w:cs="Times New Roman"/>
                  <w:i/>
                  <w:iCs/>
                  <w:color w:val="auto"/>
                  <w:sz w:val="24"/>
                  <w:u w:val="none"/>
                  <w:lang w:eastAsia="hr-HR"/>
                </w:rPr>
                <w:t>Direktiv</w:t>
              </w:r>
              <w:r>
                <w:rPr>
                  <w:rStyle w:val="Hiperveza"/>
                  <w:rFonts w:ascii="Times New Roman" w:eastAsia="Calibri" w:hAnsi="Times New Roman" w:cs="Times New Roman"/>
                  <w:i/>
                  <w:iCs/>
                  <w:color w:val="auto"/>
                  <w:sz w:val="24"/>
                  <w:u w:val="none"/>
                  <w:lang w:eastAsia="hr-HR"/>
                </w:rPr>
                <w:t>i</w:t>
              </w:r>
              <w:r w:rsidRPr="002D4F1B">
                <w:rPr>
                  <w:rStyle w:val="Hiperveza"/>
                  <w:rFonts w:ascii="Times New Roman" w:eastAsia="Calibri" w:hAnsi="Times New Roman" w:cs="Times New Roman"/>
                  <w:i/>
                  <w:iCs/>
                  <w:color w:val="auto"/>
                  <w:sz w:val="24"/>
                  <w:u w:val="none"/>
                  <w:lang w:eastAsia="hr-HR"/>
                </w:rPr>
                <w:t xml:space="preserve"> (EU) 2023/1544 o utvrđivanju usklađenih pravila za imenovanje imenovanih subjekata koji imaju poslovni nastan i za imenovanje pravnih zastupnika za potrebe prikupljanja elektroničkih dokaza u kaznenim postupcima</w:t>
              </w:r>
            </w:hyperlink>
            <w:r w:rsidR="00DF03EE">
              <w:rPr>
                <w:rStyle w:val="Hiperveza"/>
                <w:rFonts w:ascii="Times New Roman" w:eastAsia="Calibri" w:hAnsi="Times New Roman" w:cs="Times New Roman"/>
                <w:i/>
                <w:iCs/>
                <w:color w:val="auto"/>
                <w:sz w:val="24"/>
                <w:u w:val="none"/>
                <w:lang w:eastAsia="hr-HR"/>
              </w:rPr>
              <w:t xml:space="preserve"> te preneseni u ovaj Prijedlog zakona. </w:t>
            </w:r>
          </w:p>
        </w:tc>
      </w:tr>
      <w:tr w:rsidR="009352D9" w:rsidRPr="00DA65D6" w14:paraId="3465933C" w14:textId="77777777" w:rsidTr="005178C1">
        <w:trPr>
          <w:trHeight w:val="360"/>
        </w:trPr>
        <w:tc>
          <w:tcPr>
            <w:tcW w:w="850" w:type="dxa"/>
          </w:tcPr>
          <w:p w14:paraId="08229762"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4.1.2.</w:t>
            </w:r>
          </w:p>
        </w:tc>
        <w:tc>
          <w:tcPr>
            <w:tcW w:w="4254" w:type="dxa"/>
            <w:gridSpan w:val="3"/>
          </w:tcPr>
          <w:p w14:paraId="32163DA1"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održivi razvoj:</w:t>
            </w:r>
          </w:p>
        </w:tc>
        <w:tc>
          <w:tcPr>
            <w:tcW w:w="4819" w:type="dxa"/>
          </w:tcPr>
          <w:p w14:paraId="1A4717B7" w14:textId="77777777" w:rsidR="009352D9" w:rsidRPr="00DA65D6" w:rsidRDefault="009352D9" w:rsidP="005178C1">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B8582B" w:rsidRPr="00DA65D6" w14:paraId="7056D745" w14:textId="77777777" w:rsidTr="005178C1">
        <w:trPr>
          <w:trHeight w:val="360"/>
        </w:trPr>
        <w:tc>
          <w:tcPr>
            <w:tcW w:w="850" w:type="dxa"/>
          </w:tcPr>
          <w:p w14:paraId="37CE30C6" w14:textId="77777777" w:rsidR="00B8582B" w:rsidRPr="00DA65D6" w:rsidRDefault="00B8582B" w:rsidP="00B8582B">
            <w:pPr>
              <w:jc w:val="both"/>
              <w:rPr>
                <w:rFonts w:ascii="Times New Roman" w:eastAsia="Calibri" w:hAnsi="Times New Roman" w:cs="Times New Roman"/>
                <w:sz w:val="24"/>
                <w:lang w:eastAsia="hr-HR"/>
              </w:rPr>
            </w:pPr>
          </w:p>
        </w:tc>
        <w:tc>
          <w:tcPr>
            <w:tcW w:w="4254" w:type="dxa"/>
            <w:gridSpan w:val="3"/>
          </w:tcPr>
          <w:p w14:paraId="7C31FCCF" w14:textId="41F79C72" w:rsidR="00B8582B" w:rsidRPr="00DA65D6" w:rsidRDefault="00B8582B" w:rsidP="00B8582B">
            <w:pPr>
              <w:jc w:val="both"/>
              <w:rPr>
                <w:rFonts w:ascii="Times New Roman" w:eastAsia="Calibri" w:hAnsi="Times New Roman" w:cs="Times New Roman"/>
                <w:i/>
                <w:sz w:val="24"/>
                <w:lang w:eastAsia="hr-HR"/>
              </w:rPr>
            </w:pPr>
          </w:p>
        </w:tc>
        <w:tc>
          <w:tcPr>
            <w:tcW w:w="4819" w:type="dxa"/>
          </w:tcPr>
          <w:p w14:paraId="24BC8C15" w14:textId="135BC094" w:rsidR="00B8582B" w:rsidRPr="00DA65D6" w:rsidRDefault="00B8582B" w:rsidP="00B8582B">
            <w:pPr>
              <w:jc w:val="both"/>
              <w:rPr>
                <w:rFonts w:ascii="Times New Roman" w:eastAsia="Calibri" w:hAnsi="Times New Roman" w:cs="Times New Roman"/>
                <w:i/>
                <w:sz w:val="24"/>
                <w:lang w:eastAsia="hr-HR"/>
              </w:rPr>
            </w:pPr>
          </w:p>
        </w:tc>
      </w:tr>
      <w:tr w:rsidR="00B8582B" w:rsidRPr="00DA65D6" w14:paraId="1DE87AC9" w14:textId="77777777" w:rsidTr="005178C1">
        <w:trPr>
          <w:trHeight w:val="328"/>
        </w:trPr>
        <w:tc>
          <w:tcPr>
            <w:tcW w:w="850" w:type="dxa"/>
          </w:tcPr>
          <w:p w14:paraId="4E8D6382"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4.1.3.</w:t>
            </w:r>
          </w:p>
        </w:tc>
        <w:tc>
          <w:tcPr>
            <w:tcW w:w="4254" w:type="dxa"/>
            <w:gridSpan w:val="3"/>
          </w:tcPr>
          <w:p w14:paraId="212F4C5E"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socijalnu skrb:</w:t>
            </w:r>
          </w:p>
        </w:tc>
        <w:tc>
          <w:tcPr>
            <w:tcW w:w="4819" w:type="dxa"/>
          </w:tcPr>
          <w:p w14:paraId="2E917955"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B8582B" w:rsidRPr="00DA65D6" w14:paraId="546A2678" w14:textId="77777777" w:rsidTr="005178C1">
        <w:trPr>
          <w:trHeight w:val="328"/>
        </w:trPr>
        <w:tc>
          <w:tcPr>
            <w:tcW w:w="850" w:type="dxa"/>
          </w:tcPr>
          <w:p w14:paraId="7ABB40BD" w14:textId="77777777" w:rsidR="00B8582B" w:rsidRPr="00DA65D6" w:rsidRDefault="00B8582B" w:rsidP="00B8582B">
            <w:pPr>
              <w:jc w:val="both"/>
              <w:rPr>
                <w:rFonts w:ascii="Times New Roman" w:eastAsia="Calibri" w:hAnsi="Times New Roman" w:cs="Times New Roman"/>
                <w:sz w:val="24"/>
                <w:lang w:eastAsia="hr-HR"/>
              </w:rPr>
            </w:pPr>
          </w:p>
        </w:tc>
        <w:tc>
          <w:tcPr>
            <w:tcW w:w="4254" w:type="dxa"/>
            <w:gridSpan w:val="3"/>
          </w:tcPr>
          <w:p w14:paraId="7CAF9D0D" w14:textId="64F4738D" w:rsidR="00B8582B" w:rsidRPr="00DA65D6" w:rsidRDefault="00B8582B" w:rsidP="00B8582B">
            <w:pPr>
              <w:jc w:val="both"/>
              <w:rPr>
                <w:rFonts w:ascii="Times New Roman" w:eastAsia="Calibri" w:hAnsi="Times New Roman" w:cs="Times New Roman"/>
                <w:i/>
                <w:sz w:val="24"/>
                <w:lang w:eastAsia="hr-HR"/>
              </w:rPr>
            </w:pPr>
          </w:p>
        </w:tc>
        <w:tc>
          <w:tcPr>
            <w:tcW w:w="4819" w:type="dxa"/>
          </w:tcPr>
          <w:p w14:paraId="7828E871" w14:textId="5339A179" w:rsidR="00B8582B" w:rsidRPr="00DA65D6" w:rsidRDefault="00B8582B" w:rsidP="00B8582B">
            <w:pPr>
              <w:jc w:val="both"/>
              <w:rPr>
                <w:rFonts w:ascii="Times New Roman" w:eastAsia="Calibri" w:hAnsi="Times New Roman" w:cs="Times New Roman"/>
                <w:i/>
                <w:sz w:val="24"/>
                <w:lang w:eastAsia="hr-HR"/>
              </w:rPr>
            </w:pPr>
          </w:p>
        </w:tc>
      </w:tr>
      <w:tr w:rsidR="00B8582B" w:rsidRPr="00DA65D6" w14:paraId="1E766F50" w14:textId="77777777" w:rsidTr="005178C1">
        <w:trPr>
          <w:trHeight w:val="366"/>
        </w:trPr>
        <w:tc>
          <w:tcPr>
            <w:tcW w:w="850" w:type="dxa"/>
          </w:tcPr>
          <w:p w14:paraId="0752A755"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4.1.4.</w:t>
            </w:r>
          </w:p>
        </w:tc>
        <w:tc>
          <w:tcPr>
            <w:tcW w:w="4254" w:type="dxa"/>
            <w:gridSpan w:val="3"/>
          </w:tcPr>
          <w:p w14:paraId="08EA2446"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zaštitu ljudskih prava:</w:t>
            </w:r>
          </w:p>
        </w:tc>
        <w:tc>
          <w:tcPr>
            <w:tcW w:w="4819" w:type="dxa"/>
          </w:tcPr>
          <w:p w14:paraId="197E5458"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B8582B" w:rsidRPr="00DA65D6" w14:paraId="31D5F684" w14:textId="77777777" w:rsidTr="005178C1">
        <w:trPr>
          <w:trHeight w:val="366"/>
        </w:trPr>
        <w:tc>
          <w:tcPr>
            <w:tcW w:w="850" w:type="dxa"/>
          </w:tcPr>
          <w:p w14:paraId="40992482" w14:textId="77777777" w:rsidR="00B8582B" w:rsidRPr="00DA65D6" w:rsidRDefault="00B8582B" w:rsidP="00B8582B">
            <w:pPr>
              <w:jc w:val="both"/>
              <w:rPr>
                <w:rFonts w:ascii="Times New Roman" w:eastAsia="Calibri" w:hAnsi="Times New Roman" w:cs="Times New Roman"/>
                <w:sz w:val="24"/>
                <w:lang w:eastAsia="hr-HR"/>
              </w:rPr>
            </w:pPr>
          </w:p>
        </w:tc>
        <w:tc>
          <w:tcPr>
            <w:tcW w:w="4254" w:type="dxa"/>
            <w:gridSpan w:val="3"/>
          </w:tcPr>
          <w:p w14:paraId="4E1A5DE7" w14:textId="1101C4D6" w:rsidR="00B8582B" w:rsidRPr="00DA65D6" w:rsidRDefault="00B8582B" w:rsidP="00B8582B">
            <w:pPr>
              <w:jc w:val="both"/>
              <w:rPr>
                <w:rFonts w:ascii="Times New Roman" w:eastAsia="Calibri" w:hAnsi="Times New Roman" w:cs="Times New Roman"/>
                <w:i/>
                <w:sz w:val="24"/>
                <w:lang w:eastAsia="hr-HR"/>
              </w:rPr>
            </w:pPr>
          </w:p>
        </w:tc>
        <w:tc>
          <w:tcPr>
            <w:tcW w:w="4819" w:type="dxa"/>
          </w:tcPr>
          <w:p w14:paraId="6491361E" w14:textId="0BE90CB4" w:rsidR="00B8582B" w:rsidRPr="00DA65D6" w:rsidRDefault="00B8582B" w:rsidP="00B8582B">
            <w:pPr>
              <w:jc w:val="both"/>
              <w:rPr>
                <w:rFonts w:ascii="Times New Roman" w:eastAsia="Calibri" w:hAnsi="Times New Roman" w:cs="Times New Roman"/>
                <w:i/>
                <w:sz w:val="24"/>
                <w:lang w:eastAsia="hr-HR"/>
              </w:rPr>
            </w:pPr>
          </w:p>
        </w:tc>
      </w:tr>
      <w:tr w:rsidR="00B8582B" w:rsidRPr="00DA65D6" w14:paraId="408C03B5" w14:textId="77777777" w:rsidTr="005178C1">
        <w:trPr>
          <w:trHeight w:val="319"/>
        </w:trPr>
        <w:tc>
          <w:tcPr>
            <w:tcW w:w="850" w:type="dxa"/>
          </w:tcPr>
          <w:p w14:paraId="785EE2B8"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4.1.5.</w:t>
            </w:r>
          </w:p>
        </w:tc>
        <w:tc>
          <w:tcPr>
            <w:tcW w:w="4254" w:type="dxa"/>
            <w:gridSpan w:val="3"/>
          </w:tcPr>
          <w:p w14:paraId="6B2C9298"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Učinci na druga područja:</w:t>
            </w:r>
          </w:p>
        </w:tc>
        <w:tc>
          <w:tcPr>
            <w:tcW w:w="4819" w:type="dxa"/>
          </w:tcPr>
          <w:p w14:paraId="2800C4D6"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Adresati:</w:t>
            </w:r>
          </w:p>
        </w:tc>
      </w:tr>
      <w:tr w:rsidR="00B8582B" w:rsidRPr="00DA65D6" w14:paraId="46D61513" w14:textId="77777777" w:rsidTr="005178C1">
        <w:trPr>
          <w:trHeight w:val="319"/>
        </w:trPr>
        <w:tc>
          <w:tcPr>
            <w:tcW w:w="850" w:type="dxa"/>
          </w:tcPr>
          <w:p w14:paraId="567718E9" w14:textId="77777777" w:rsidR="00B8582B" w:rsidRPr="00DA65D6" w:rsidRDefault="00B8582B" w:rsidP="00B8582B">
            <w:pPr>
              <w:jc w:val="both"/>
              <w:rPr>
                <w:rFonts w:ascii="Times New Roman" w:eastAsia="Calibri" w:hAnsi="Times New Roman" w:cs="Times New Roman"/>
                <w:sz w:val="24"/>
                <w:lang w:eastAsia="hr-HR"/>
              </w:rPr>
            </w:pPr>
          </w:p>
        </w:tc>
        <w:tc>
          <w:tcPr>
            <w:tcW w:w="4254" w:type="dxa"/>
            <w:gridSpan w:val="3"/>
          </w:tcPr>
          <w:p w14:paraId="32037A89" w14:textId="3FECDDCA" w:rsidR="00B8582B" w:rsidRPr="0097524D" w:rsidRDefault="0097524D" w:rsidP="00B8582B">
            <w:pPr>
              <w:jc w:val="both"/>
              <w:rPr>
                <w:rFonts w:ascii="Times New Roman" w:eastAsia="Calibri" w:hAnsi="Times New Roman" w:cs="Times New Roman"/>
                <w:iCs/>
                <w:sz w:val="24"/>
                <w:lang w:eastAsia="hr-HR"/>
              </w:rPr>
            </w:pPr>
            <w:r w:rsidRPr="0097524D">
              <w:rPr>
                <w:rFonts w:ascii="Times New Roman" w:eastAsia="Calibri" w:hAnsi="Times New Roman" w:cs="Times New Roman"/>
                <w:iCs/>
                <w:sz w:val="24"/>
                <w:lang w:eastAsia="hr-HR"/>
              </w:rPr>
              <w:t>Nisu utvrđeni učinci na druga područja</w:t>
            </w:r>
          </w:p>
        </w:tc>
        <w:tc>
          <w:tcPr>
            <w:tcW w:w="4819" w:type="dxa"/>
          </w:tcPr>
          <w:p w14:paraId="4A80B615" w14:textId="4CE7AF42" w:rsidR="00B8582B" w:rsidRPr="0097524D" w:rsidRDefault="0097524D" w:rsidP="00B8582B">
            <w:pPr>
              <w:jc w:val="both"/>
              <w:rPr>
                <w:rFonts w:ascii="Times New Roman" w:eastAsia="Calibri" w:hAnsi="Times New Roman" w:cs="Times New Roman"/>
                <w:iCs/>
                <w:sz w:val="24"/>
                <w:lang w:eastAsia="hr-HR"/>
              </w:rPr>
            </w:pPr>
            <w:r>
              <w:rPr>
                <w:rFonts w:ascii="Times New Roman" w:eastAsia="Calibri" w:hAnsi="Times New Roman" w:cs="Times New Roman"/>
                <w:iCs/>
                <w:sz w:val="24"/>
                <w:lang w:eastAsia="hr-HR"/>
              </w:rPr>
              <w:t xml:space="preserve">Nisu utvrđeni adresati </w:t>
            </w:r>
          </w:p>
        </w:tc>
      </w:tr>
      <w:tr w:rsidR="00B8582B" w:rsidRPr="00DA65D6" w14:paraId="77E6783B" w14:textId="77777777" w:rsidTr="005178C1">
        <w:tc>
          <w:tcPr>
            <w:tcW w:w="850" w:type="dxa"/>
          </w:tcPr>
          <w:p w14:paraId="1DF364C1" w14:textId="77777777" w:rsidR="00B8582B" w:rsidRPr="00DA65D6" w:rsidRDefault="00B8582B" w:rsidP="00B8582B">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5.</w:t>
            </w:r>
          </w:p>
        </w:tc>
        <w:tc>
          <w:tcPr>
            <w:tcW w:w="9073" w:type="dxa"/>
            <w:gridSpan w:val="4"/>
            <w:shd w:val="clear" w:color="auto" w:fill="auto"/>
          </w:tcPr>
          <w:p w14:paraId="1D6CF457" w14:textId="77777777" w:rsidR="00B8582B" w:rsidRPr="00DA65D6" w:rsidRDefault="00B8582B" w:rsidP="00B8582B">
            <w:pPr>
              <w:rPr>
                <w:rFonts w:ascii="Times New Roman" w:eastAsia="Calibri" w:hAnsi="Times New Roman" w:cs="Times New Roman"/>
                <w:b/>
                <w:bCs/>
                <w:sz w:val="24"/>
                <w:szCs w:val="24"/>
                <w:lang w:eastAsia="hr-HR"/>
              </w:rPr>
            </w:pPr>
            <w:r w:rsidRPr="00DA65D6">
              <w:rPr>
                <w:rFonts w:ascii="Times New Roman" w:eastAsia="Calibri" w:hAnsi="Times New Roman" w:cs="Times New Roman"/>
                <w:b/>
                <w:bCs/>
                <w:sz w:val="24"/>
                <w:szCs w:val="24"/>
                <w:lang w:eastAsia="hr-HR"/>
              </w:rPr>
              <w:t xml:space="preserve">ANALIZA UTVRĐENIH UČINAKA I ADRESATA </w:t>
            </w:r>
          </w:p>
        </w:tc>
      </w:tr>
      <w:tr w:rsidR="00B8582B" w:rsidRPr="00DA65D6" w14:paraId="24F4378A" w14:textId="77777777" w:rsidTr="005178C1">
        <w:tc>
          <w:tcPr>
            <w:tcW w:w="850" w:type="dxa"/>
          </w:tcPr>
          <w:p w14:paraId="5F9F6C56"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5.1.</w:t>
            </w:r>
          </w:p>
        </w:tc>
        <w:tc>
          <w:tcPr>
            <w:tcW w:w="9073" w:type="dxa"/>
            <w:gridSpan w:val="4"/>
          </w:tcPr>
          <w:p w14:paraId="020C17A8" w14:textId="77777777" w:rsidR="00B8582B" w:rsidRPr="00DA65D6" w:rsidRDefault="00B8582B" w:rsidP="00B8582B">
            <w:pPr>
              <w:tabs>
                <w:tab w:val="left" w:pos="5625"/>
              </w:tabs>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gospodarstva:</w:t>
            </w:r>
          </w:p>
        </w:tc>
      </w:tr>
      <w:tr w:rsidR="00B8582B" w:rsidRPr="00DA65D6" w14:paraId="563BD2B0" w14:textId="77777777" w:rsidTr="005178C1">
        <w:tc>
          <w:tcPr>
            <w:tcW w:w="850" w:type="dxa"/>
          </w:tcPr>
          <w:p w14:paraId="480362C1" w14:textId="77777777" w:rsidR="00B8582B" w:rsidRPr="00DA65D6" w:rsidRDefault="00B8582B" w:rsidP="00B8582B">
            <w:pPr>
              <w:jc w:val="both"/>
              <w:rPr>
                <w:rFonts w:ascii="Times New Roman" w:eastAsia="Calibri" w:hAnsi="Times New Roman" w:cs="Times New Roman"/>
                <w:sz w:val="24"/>
                <w:lang w:eastAsia="hr-HR"/>
              </w:rPr>
            </w:pPr>
          </w:p>
        </w:tc>
        <w:tc>
          <w:tcPr>
            <w:tcW w:w="9073" w:type="dxa"/>
            <w:gridSpan w:val="4"/>
          </w:tcPr>
          <w:p w14:paraId="2AEB3426" w14:textId="77777777" w:rsidR="000767FB" w:rsidRPr="000767FB" w:rsidRDefault="000767FB" w:rsidP="000767FB">
            <w:pPr>
              <w:pStyle w:val="StandardWeb"/>
              <w:spacing w:after="0"/>
              <w:jc w:val="both"/>
              <w:rPr>
                <w:rStyle w:val="kurziv"/>
                <w:iCs/>
                <w:bdr w:val="none" w:sz="0" w:space="0" w:color="auto" w:frame="1"/>
              </w:rPr>
            </w:pPr>
            <w:r w:rsidRPr="000767FB">
              <w:rPr>
                <w:rFonts w:eastAsia="Calibri"/>
                <w:bCs/>
                <w:iCs/>
              </w:rPr>
              <w:t>Adresati su temeljem odredaba ovog Prijedloga zakona p</w:t>
            </w:r>
            <w:r w:rsidRPr="000767FB">
              <w:rPr>
                <w:rFonts w:eastAsia="Calibri"/>
                <w:bCs/>
                <w:iCs/>
              </w:rPr>
              <w:t>ružatelji određenih usluga kako su navedeni u Direktivi (EU) 2023/1544 o utvrđivanju usklađenih pravila za imenovanje imenovanih subjekata koji imaju poslovni nastan i za imenovanje pravnih zastupnika za potrebe prikupljanja elektroničkih dokaza u kaznenim postupcima te preneseni u ovaj Prijedlog zakona.</w:t>
            </w:r>
            <w:r w:rsidRPr="000767FB">
              <w:rPr>
                <w:rFonts w:eastAsia="Calibri"/>
                <w:bCs/>
                <w:iCs/>
              </w:rPr>
              <w:t xml:space="preserve"> Oni će biti u obvezi </w:t>
            </w:r>
            <w:r w:rsidRPr="000767FB">
              <w:rPr>
                <w:rStyle w:val="kurziv"/>
                <w:iCs/>
                <w:bdr w:val="none" w:sz="0" w:space="0" w:color="auto" w:frame="1"/>
              </w:rPr>
              <w:t xml:space="preserve">imenovati najmanje jednog adresata za primanje odluka i naloga obuhvaćenih područjem primjene utvrđenim ovim Zakonom, a  koje naloge izdaju nadležna tijela država članica u svrhu prikupljanja dokaza u kaznenim postupcima, za postupanje u skladu s tim odlukama i nalozima te za prisilnu provedbu tih odluka i naloga. Adresati moraju imati imaju poslovni nastan ili boravište u Republici Hrvatskoj. Pružatelji usluga imaju obvezu o tim, kao i drugim podacima izvijestiti Hrvatsku regulatornu agenciju za mrežne djelatnosti. U slučaju nepostupanja po odredbama ovog Prijedloga zakona, pružatelji usluga biti će kažnjeni u prekršajnom postupku.   </w:t>
            </w:r>
          </w:p>
          <w:p w14:paraId="44F06ABE" w14:textId="1C3C50C7" w:rsidR="00B8582B" w:rsidRPr="000767FB" w:rsidRDefault="00B8582B" w:rsidP="00B8582B">
            <w:pPr>
              <w:jc w:val="both"/>
              <w:rPr>
                <w:rFonts w:ascii="Times New Roman" w:eastAsia="Calibri" w:hAnsi="Times New Roman" w:cs="Times New Roman"/>
                <w:bCs/>
                <w:iCs/>
                <w:sz w:val="24"/>
                <w:lang w:eastAsia="hr-HR"/>
              </w:rPr>
            </w:pPr>
          </w:p>
        </w:tc>
      </w:tr>
      <w:tr w:rsidR="00B8582B" w:rsidRPr="00DA65D6" w14:paraId="3226F60A" w14:textId="77777777" w:rsidTr="005178C1">
        <w:tc>
          <w:tcPr>
            <w:tcW w:w="850" w:type="dxa"/>
          </w:tcPr>
          <w:p w14:paraId="500E97B5"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5.2.</w:t>
            </w:r>
          </w:p>
        </w:tc>
        <w:tc>
          <w:tcPr>
            <w:tcW w:w="9073" w:type="dxa"/>
            <w:gridSpan w:val="4"/>
          </w:tcPr>
          <w:p w14:paraId="5ADED890" w14:textId="77777777" w:rsidR="00B8582B" w:rsidRPr="00DA65D6" w:rsidRDefault="00B8582B" w:rsidP="00B8582B">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održivog razvoja:</w:t>
            </w:r>
          </w:p>
        </w:tc>
      </w:tr>
      <w:tr w:rsidR="00B8582B" w:rsidRPr="00DA65D6" w14:paraId="76159D58" w14:textId="77777777" w:rsidTr="005178C1">
        <w:tc>
          <w:tcPr>
            <w:tcW w:w="850" w:type="dxa"/>
          </w:tcPr>
          <w:p w14:paraId="1BB99C6D" w14:textId="77777777" w:rsidR="00B8582B" w:rsidRPr="00DA65D6" w:rsidRDefault="00B8582B" w:rsidP="00B8582B">
            <w:pPr>
              <w:rPr>
                <w:rFonts w:ascii="Times New Roman" w:eastAsia="Calibri" w:hAnsi="Times New Roman" w:cs="Times New Roman"/>
                <w:sz w:val="24"/>
                <w:lang w:eastAsia="hr-HR"/>
              </w:rPr>
            </w:pPr>
          </w:p>
        </w:tc>
        <w:tc>
          <w:tcPr>
            <w:tcW w:w="9073" w:type="dxa"/>
            <w:gridSpan w:val="4"/>
            <w:shd w:val="clear" w:color="auto" w:fill="auto"/>
          </w:tcPr>
          <w:p w14:paraId="3AB2BD51" w14:textId="6D008EA3" w:rsidR="00B8582B" w:rsidRPr="00DA65D6" w:rsidRDefault="004C46E3" w:rsidP="00B8582B">
            <w:pPr>
              <w:jc w:val="both"/>
              <w:rPr>
                <w:rFonts w:ascii="Times New Roman" w:eastAsia="Calibri" w:hAnsi="Times New Roman" w:cs="Times New Roman"/>
                <w:bCs/>
                <w:sz w:val="24"/>
                <w:lang w:eastAsia="hr-HR"/>
              </w:rPr>
            </w:pPr>
            <w:r>
              <w:rPr>
                <w:rFonts w:ascii="Times New Roman" w:eastAsia="Calibri" w:hAnsi="Times New Roman" w:cs="Times New Roman"/>
                <w:bCs/>
                <w:i/>
                <w:sz w:val="24"/>
                <w:lang w:eastAsia="hr-HR"/>
              </w:rPr>
              <w:t>-</w:t>
            </w:r>
          </w:p>
        </w:tc>
      </w:tr>
      <w:tr w:rsidR="00B8582B" w:rsidRPr="00DA65D6" w14:paraId="401432AC" w14:textId="77777777" w:rsidTr="005178C1">
        <w:tc>
          <w:tcPr>
            <w:tcW w:w="850" w:type="dxa"/>
          </w:tcPr>
          <w:p w14:paraId="36423FC4"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5.3.</w:t>
            </w:r>
          </w:p>
        </w:tc>
        <w:tc>
          <w:tcPr>
            <w:tcW w:w="9073" w:type="dxa"/>
            <w:gridSpan w:val="4"/>
          </w:tcPr>
          <w:p w14:paraId="2695135A" w14:textId="77777777" w:rsidR="00B8582B" w:rsidRPr="00DA65D6" w:rsidRDefault="00B8582B" w:rsidP="00B8582B">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socijalne skrbi:</w:t>
            </w:r>
          </w:p>
        </w:tc>
      </w:tr>
      <w:tr w:rsidR="00B8582B" w:rsidRPr="00DA65D6" w14:paraId="2C5709E0" w14:textId="77777777" w:rsidTr="005178C1">
        <w:trPr>
          <w:trHeight w:val="269"/>
        </w:trPr>
        <w:tc>
          <w:tcPr>
            <w:tcW w:w="850" w:type="dxa"/>
          </w:tcPr>
          <w:p w14:paraId="61E8B531" w14:textId="77777777" w:rsidR="00B8582B" w:rsidRPr="00DA65D6" w:rsidRDefault="00B8582B" w:rsidP="00B8582B">
            <w:pPr>
              <w:rPr>
                <w:rFonts w:ascii="Times New Roman" w:eastAsia="Calibri" w:hAnsi="Times New Roman" w:cs="Times New Roman"/>
                <w:sz w:val="24"/>
                <w:lang w:eastAsia="hr-HR"/>
              </w:rPr>
            </w:pPr>
          </w:p>
        </w:tc>
        <w:tc>
          <w:tcPr>
            <w:tcW w:w="9073" w:type="dxa"/>
            <w:gridSpan w:val="4"/>
            <w:shd w:val="clear" w:color="auto" w:fill="auto"/>
          </w:tcPr>
          <w:p w14:paraId="377C084C" w14:textId="7628F19D" w:rsidR="00B8582B" w:rsidRPr="00DA65D6" w:rsidRDefault="004C46E3" w:rsidP="00B8582B">
            <w:pPr>
              <w:jc w:val="both"/>
              <w:rPr>
                <w:rFonts w:ascii="Times New Roman" w:eastAsia="Calibri" w:hAnsi="Times New Roman" w:cs="Times New Roman"/>
                <w:sz w:val="24"/>
                <w:lang w:eastAsia="hr-HR"/>
              </w:rPr>
            </w:pPr>
            <w:r>
              <w:rPr>
                <w:rFonts w:ascii="Times New Roman" w:eastAsia="Calibri" w:hAnsi="Times New Roman" w:cs="Times New Roman"/>
                <w:bCs/>
                <w:i/>
                <w:sz w:val="24"/>
                <w:lang w:eastAsia="hr-HR"/>
              </w:rPr>
              <w:t>-</w:t>
            </w:r>
          </w:p>
        </w:tc>
      </w:tr>
      <w:tr w:rsidR="00B8582B" w:rsidRPr="00DA65D6" w14:paraId="4D38843A" w14:textId="77777777" w:rsidTr="005178C1">
        <w:tc>
          <w:tcPr>
            <w:tcW w:w="850" w:type="dxa"/>
          </w:tcPr>
          <w:p w14:paraId="2222AE0B"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5.4.</w:t>
            </w:r>
          </w:p>
        </w:tc>
        <w:tc>
          <w:tcPr>
            <w:tcW w:w="9073" w:type="dxa"/>
            <w:gridSpan w:val="4"/>
          </w:tcPr>
          <w:p w14:paraId="277BA368" w14:textId="77777777" w:rsidR="00B8582B" w:rsidRPr="00DA65D6" w:rsidRDefault="00B8582B" w:rsidP="00B8582B">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Analiza učinaka i adresata u području zaštite ljudskih prava:</w:t>
            </w:r>
          </w:p>
        </w:tc>
      </w:tr>
      <w:tr w:rsidR="00B8582B" w:rsidRPr="00DA65D6" w14:paraId="79ADE7A2" w14:textId="77777777" w:rsidTr="005178C1">
        <w:trPr>
          <w:trHeight w:val="354"/>
        </w:trPr>
        <w:tc>
          <w:tcPr>
            <w:tcW w:w="850" w:type="dxa"/>
          </w:tcPr>
          <w:p w14:paraId="0C358ECC" w14:textId="77777777" w:rsidR="00B8582B" w:rsidRPr="00DA65D6" w:rsidRDefault="00B8582B" w:rsidP="00B8582B">
            <w:pPr>
              <w:rPr>
                <w:rFonts w:ascii="Times New Roman" w:eastAsia="Calibri" w:hAnsi="Times New Roman" w:cs="Times New Roman"/>
                <w:sz w:val="24"/>
                <w:lang w:eastAsia="hr-HR"/>
              </w:rPr>
            </w:pPr>
          </w:p>
        </w:tc>
        <w:tc>
          <w:tcPr>
            <w:tcW w:w="9073" w:type="dxa"/>
            <w:gridSpan w:val="4"/>
            <w:shd w:val="clear" w:color="auto" w:fill="auto"/>
          </w:tcPr>
          <w:p w14:paraId="7DB3E6E5" w14:textId="06990965" w:rsidR="00B8582B" w:rsidRPr="00DA65D6" w:rsidRDefault="00B8582B" w:rsidP="00B8582B">
            <w:pPr>
              <w:jc w:val="both"/>
              <w:rPr>
                <w:rFonts w:ascii="Times New Roman" w:eastAsia="Calibri" w:hAnsi="Times New Roman" w:cs="Times New Roman"/>
                <w:sz w:val="24"/>
                <w:lang w:eastAsia="hr-HR"/>
              </w:rPr>
            </w:pPr>
          </w:p>
        </w:tc>
      </w:tr>
      <w:tr w:rsidR="00B8582B" w:rsidRPr="00DA65D6" w14:paraId="426C40A3" w14:textId="77777777" w:rsidTr="005178C1">
        <w:trPr>
          <w:trHeight w:val="354"/>
        </w:trPr>
        <w:tc>
          <w:tcPr>
            <w:tcW w:w="850" w:type="dxa"/>
          </w:tcPr>
          <w:p w14:paraId="1F9C2937"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5.5.</w:t>
            </w:r>
          </w:p>
        </w:tc>
        <w:tc>
          <w:tcPr>
            <w:tcW w:w="9073" w:type="dxa"/>
            <w:gridSpan w:val="4"/>
            <w:shd w:val="clear" w:color="auto" w:fill="auto"/>
          </w:tcPr>
          <w:p w14:paraId="44E5E418"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bCs/>
                <w:sz w:val="24"/>
                <w:lang w:eastAsia="hr-HR"/>
              </w:rPr>
              <w:t>Analiza učinaka i adresata u drugim područjima:</w:t>
            </w:r>
          </w:p>
        </w:tc>
      </w:tr>
      <w:tr w:rsidR="00B8582B" w:rsidRPr="00DA65D6" w14:paraId="10BA9461" w14:textId="77777777" w:rsidTr="005178C1">
        <w:trPr>
          <w:trHeight w:val="354"/>
        </w:trPr>
        <w:tc>
          <w:tcPr>
            <w:tcW w:w="850" w:type="dxa"/>
          </w:tcPr>
          <w:p w14:paraId="4DF897D6" w14:textId="77777777" w:rsidR="00B8582B" w:rsidRPr="00DA65D6" w:rsidRDefault="00B8582B" w:rsidP="00B8582B">
            <w:pPr>
              <w:rPr>
                <w:rFonts w:ascii="Times New Roman" w:eastAsia="Calibri" w:hAnsi="Times New Roman" w:cs="Times New Roman"/>
                <w:sz w:val="24"/>
                <w:lang w:eastAsia="hr-HR"/>
              </w:rPr>
            </w:pPr>
          </w:p>
        </w:tc>
        <w:tc>
          <w:tcPr>
            <w:tcW w:w="9073" w:type="dxa"/>
            <w:gridSpan w:val="4"/>
            <w:shd w:val="clear" w:color="auto" w:fill="auto"/>
          </w:tcPr>
          <w:p w14:paraId="54E5D8CA" w14:textId="1BA76555" w:rsidR="00B8582B" w:rsidRPr="00DA65D6" w:rsidRDefault="00282A95" w:rsidP="00B8582B">
            <w:pPr>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w:t>
            </w:r>
          </w:p>
        </w:tc>
      </w:tr>
      <w:tr w:rsidR="00B8582B" w:rsidRPr="00DA65D6" w14:paraId="429DD002" w14:textId="77777777" w:rsidTr="005178C1">
        <w:trPr>
          <w:trHeight w:val="354"/>
        </w:trPr>
        <w:tc>
          <w:tcPr>
            <w:tcW w:w="850" w:type="dxa"/>
          </w:tcPr>
          <w:p w14:paraId="60DAFC4B"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5.6.</w:t>
            </w:r>
          </w:p>
        </w:tc>
        <w:tc>
          <w:tcPr>
            <w:tcW w:w="9073" w:type="dxa"/>
            <w:gridSpan w:val="4"/>
            <w:shd w:val="clear" w:color="auto" w:fill="auto"/>
          </w:tcPr>
          <w:p w14:paraId="4C0DA5C8" w14:textId="77777777" w:rsidR="00B8582B" w:rsidRPr="00DA65D6"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Izvor podataka:</w:t>
            </w:r>
          </w:p>
        </w:tc>
      </w:tr>
      <w:tr w:rsidR="00B8582B" w:rsidRPr="00DA65D6" w14:paraId="207296F2" w14:textId="77777777" w:rsidTr="005178C1">
        <w:trPr>
          <w:trHeight w:val="354"/>
        </w:trPr>
        <w:tc>
          <w:tcPr>
            <w:tcW w:w="850" w:type="dxa"/>
          </w:tcPr>
          <w:p w14:paraId="3B41BB36" w14:textId="77777777" w:rsidR="00B8582B" w:rsidRPr="00DA65D6" w:rsidRDefault="00B8582B" w:rsidP="00B8582B">
            <w:pPr>
              <w:rPr>
                <w:rFonts w:ascii="Times New Roman" w:eastAsia="Calibri" w:hAnsi="Times New Roman" w:cs="Times New Roman"/>
                <w:sz w:val="24"/>
                <w:lang w:eastAsia="hr-HR"/>
              </w:rPr>
            </w:pPr>
          </w:p>
        </w:tc>
        <w:tc>
          <w:tcPr>
            <w:tcW w:w="9073" w:type="dxa"/>
            <w:gridSpan w:val="4"/>
            <w:shd w:val="clear" w:color="auto" w:fill="auto"/>
          </w:tcPr>
          <w:p w14:paraId="63B7E254" w14:textId="4242E66B" w:rsidR="00B8582B" w:rsidRPr="00DA65D6" w:rsidRDefault="00721ABA" w:rsidP="00B8582B">
            <w:pPr>
              <w:jc w:val="both"/>
              <w:rPr>
                <w:rFonts w:ascii="Times New Roman" w:eastAsia="Calibri" w:hAnsi="Times New Roman" w:cs="Times New Roman"/>
                <w:sz w:val="24"/>
                <w:lang w:eastAsia="hr-HR"/>
              </w:rPr>
            </w:pPr>
            <w:hyperlink r:id="rId13" w:history="1">
              <w:r w:rsidRPr="00886AD1">
                <w:rPr>
                  <w:rStyle w:val="Hiperveza"/>
                  <w:rFonts w:ascii="Times New Roman" w:eastAsia="Calibri" w:hAnsi="Times New Roman" w:cs="Times New Roman"/>
                  <w:color w:val="auto"/>
                  <w:sz w:val="24"/>
                  <w:u w:val="none"/>
                  <w:lang w:eastAsia="hr-HR"/>
                </w:rPr>
                <w:t>Uredb</w:t>
              </w:r>
              <w:r>
                <w:rPr>
                  <w:rStyle w:val="Hiperveza"/>
                  <w:rFonts w:ascii="Times New Roman" w:eastAsia="Calibri" w:hAnsi="Times New Roman" w:cs="Times New Roman"/>
                  <w:color w:val="auto"/>
                  <w:sz w:val="24"/>
                  <w:u w:val="none"/>
                  <w:lang w:eastAsia="hr-HR"/>
                </w:rPr>
                <w:t>a</w:t>
              </w:r>
              <w:r w:rsidRPr="00886AD1">
                <w:rPr>
                  <w:rStyle w:val="Hiperveza"/>
                  <w:rFonts w:ascii="Times New Roman" w:eastAsia="Calibri" w:hAnsi="Times New Roman" w:cs="Times New Roman"/>
                  <w:color w:val="auto"/>
                  <w:sz w:val="24"/>
                  <w:u w:val="none"/>
                  <w:lang w:eastAsia="hr-HR"/>
                </w:rPr>
                <w:t xml:space="preserve"> (EU) 2023/1543 o europskim nalozima za dostavljanje i nalozima za čuvanje elektroničkih dokaza u kaznenim postupcima i za izvršenje kazni zatvora nakon kaznenog postupka</w:t>
              </w:r>
            </w:hyperlink>
            <w:r w:rsidRPr="00886AD1">
              <w:rPr>
                <w:rFonts w:ascii="Times New Roman" w:eastAsia="Calibri" w:hAnsi="Times New Roman" w:cs="Times New Roman"/>
                <w:sz w:val="24"/>
                <w:lang w:eastAsia="hr-HR"/>
              </w:rPr>
              <w:t xml:space="preserve"> i </w:t>
            </w:r>
            <w:hyperlink r:id="rId14" w:history="1">
              <w:r w:rsidRPr="00886AD1">
                <w:rPr>
                  <w:rStyle w:val="Hiperveza"/>
                  <w:rFonts w:ascii="Times New Roman" w:eastAsia="Calibri" w:hAnsi="Times New Roman" w:cs="Times New Roman"/>
                  <w:color w:val="auto"/>
                  <w:sz w:val="24"/>
                  <w:u w:val="none"/>
                  <w:lang w:eastAsia="hr-HR"/>
                </w:rPr>
                <w:t>Direktiv</w:t>
              </w:r>
              <w:r>
                <w:rPr>
                  <w:rStyle w:val="Hiperveza"/>
                  <w:rFonts w:ascii="Times New Roman" w:eastAsia="Calibri" w:hAnsi="Times New Roman" w:cs="Times New Roman"/>
                  <w:color w:val="auto"/>
                  <w:sz w:val="24"/>
                  <w:u w:val="none"/>
                  <w:lang w:eastAsia="hr-HR"/>
                </w:rPr>
                <w:t>a</w:t>
              </w:r>
              <w:r w:rsidRPr="00886AD1">
                <w:rPr>
                  <w:rStyle w:val="Hiperveza"/>
                  <w:rFonts w:ascii="Times New Roman" w:eastAsia="Calibri" w:hAnsi="Times New Roman" w:cs="Times New Roman"/>
                  <w:color w:val="auto"/>
                  <w:sz w:val="24"/>
                  <w:u w:val="none"/>
                  <w:lang w:eastAsia="hr-HR"/>
                </w:rPr>
                <w:t xml:space="preserve"> (EU) 2023/1544 o utvrđivanju usklađenih pravila za imenovanje imenovanih subjekata koji imaju poslovni nastan i za imenovanje pravnih zastupnika za potrebe prikupljanja elektroničkih dokaza u kaznenim postupcima</w:t>
              </w:r>
            </w:hyperlink>
            <w:r w:rsidRPr="00886AD1">
              <w:rPr>
                <w:rFonts w:ascii="Times New Roman" w:eastAsia="Calibri" w:hAnsi="Times New Roman" w:cs="Times New Roman"/>
                <w:sz w:val="24"/>
                <w:lang w:eastAsia="hr-HR"/>
              </w:rPr>
              <w:t>.</w:t>
            </w:r>
          </w:p>
        </w:tc>
      </w:tr>
      <w:tr w:rsidR="00B8582B" w:rsidRPr="00DA65D6" w14:paraId="6B96A971" w14:textId="77777777" w:rsidTr="005178C1">
        <w:tc>
          <w:tcPr>
            <w:tcW w:w="850" w:type="dxa"/>
          </w:tcPr>
          <w:p w14:paraId="67158100"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w:t>
            </w:r>
          </w:p>
        </w:tc>
        <w:tc>
          <w:tcPr>
            <w:tcW w:w="9073" w:type="dxa"/>
            <w:gridSpan w:val="4"/>
          </w:tcPr>
          <w:p w14:paraId="3F02DAF4" w14:textId="77777777" w:rsidR="00B8582B" w:rsidRPr="00DA65D6" w:rsidRDefault="00B8582B" w:rsidP="00B8582B">
            <w:pPr>
              <w:rPr>
                <w:rFonts w:ascii="Times New Roman" w:eastAsia="Calibri" w:hAnsi="Times New Roman" w:cs="Times New Roman"/>
                <w:b/>
                <w:sz w:val="24"/>
                <w:lang w:eastAsia="hr-HR"/>
              </w:rPr>
            </w:pPr>
            <w:r w:rsidRPr="00DA65D6">
              <w:rPr>
                <w:rFonts w:ascii="Times New Roman" w:eastAsia="Calibri" w:hAnsi="Times New Roman" w:cs="Times New Roman"/>
                <w:b/>
                <w:sz w:val="24"/>
                <w:lang w:eastAsia="hr-HR"/>
              </w:rPr>
              <w:t>SAVJETOVANJE I KONZULTACIJE</w:t>
            </w:r>
          </w:p>
        </w:tc>
      </w:tr>
      <w:tr w:rsidR="00B8582B" w:rsidRPr="00DA65D6" w14:paraId="4D1780D8" w14:textId="77777777" w:rsidTr="005178C1">
        <w:tc>
          <w:tcPr>
            <w:tcW w:w="850" w:type="dxa"/>
          </w:tcPr>
          <w:p w14:paraId="0DEF35FC"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6.1.</w:t>
            </w:r>
          </w:p>
        </w:tc>
        <w:tc>
          <w:tcPr>
            <w:tcW w:w="9073" w:type="dxa"/>
            <w:gridSpan w:val="4"/>
          </w:tcPr>
          <w:p w14:paraId="2CF6C79C" w14:textId="77777777" w:rsidR="00B8582B" w:rsidRPr="00DA65D6" w:rsidRDefault="00B8582B" w:rsidP="00B8582B">
            <w:pPr>
              <w:rPr>
                <w:rFonts w:ascii="Times New Roman" w:eastAsia="Calibri" w:hAnsi="Times New Roman" w:cs="Times New Roman"/>
                <w:bCs/>
                <w:sz w:val="24"/>
                <w:lang w:eastAsia="hr-HR"/>
              </w:rPr>
            </w:pPr>
            <w:r w:rsidRPr="00DA65D6">
              <w:rPr>
                <w:rFonts w:ascii="Times New Roman" w:eastAsia="Calibri" w:hAnsi="Times New Roman" w:cs="Times New Roman"/>
                <w:bCs/>
                <w:sz w:val="24"/>
                <w:lang w:eastAsia="hr-HR"/>
              </w:rPr>
              <w:t>Savjetovanje:</w:t>
            </w:r>
          </w:p>
          <w:p w14:paraId="125474F4" w14:textId="7570CF26" w:rsidR="00B8582B" w:rsidRPr="003546CC" w:rsidRDefault="00B8582B" w:rsidP="00B8582B">
            <w:pPr>
              <w:jc w:val="both"/>
              <w:rPr>
                <w:rFonts w:ascii="Times New Roman" w:eastAsia="Calibri" w:hAnsi="Times New Roman" w:cs="Times New Roman"/>
                <w:iCs/>
                <w:sz w:val="24"/>
                <w:lang w:eastAsia="hr-HR"/>
              </w:rPr>
            </w:pPr>
          </w:p>
        </w:tc>
      </w:tr>
      <w:tr w:rsidR="00B8582B" w:rsidRPr="00DA65D6" w14:paraId="696A00F5" w14:textId="77777777" w:rsidTr="005178C1">
        <w:trPr>
          <w:trHeight w:val="425"/>
        </w:trPr>
        <w:tc>
          <w:tcPr>
            <w:tcW w:w="850" w:type="dxa"/>
          </w:tcPr>
          <w:p w14:paraId="19B6ADE5"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6.2.</w:t>
            </w:r>
          </w:p>
        </w:tc>
        <w:tc>
          <w:tcPr>
            <w:tcW w:w="9073" w:type="dxa"/>
            <w:gridSpan w:val="4"/>
            <w:shd w:val="clear" w:color="auto" w:fill="auto"/>
          </w:tcPr>
          <w:p w14:paraId="1039F25A" w14:textId="77777777" w:rsidR="00B8582B" w:rsidRPr="00DA65D6" w:rsidRDefault="00B8582B" w:rsidP="00B8582B">
            <w:pPr>
              <w:contextualSpacing/>
              <w:jc w:val="both"/>
              <w:rPr>
                <w:rFonts w:ascii="Times New Roman" w:eastAsia="Calibri" w:hAnsi="Times New Roman" w:cs="Times New Roman"/>
                <w:sz w:val="24"/>
                <w:szCs w:val="24"/>
                <w:lang w:eastAsia="hr-HR"/>
              </w:rPr>
            </w:pPr>
            <w:r w:rsidRPr="00DA65D6">
              <w:rPr>
                <w:rFonts w:ascii="Times New Roman" w:eastAsia="Calibri" w:hAnsi="Times New Roman" w:cs="Times New Roman"/>
                <w:sz w:val="24"/>
                <w:szCs w:val="24"/>
                <w:lang w:eastAsia="hr-HR"/>
              </w:rPr>
              <w:t>Konzultacije:</w:t>
            </w:r>
          </w:p>
          <w:p w14:paraId="1A13171A" w14:textId="2502C269" w:rsidR="00B8582B" w:rsidRPr="00DA65D6" w:rsidRDefault="00B8582B" w:rsidP="00B8582B">
            <w:pPr>
              <w:contextualSpacing/>
              <w:jc w:val="both"/>
              <w:rPr>
                <w:rFonts w:ascii="Times New Roman" w:eastAsia="Calibri" w:hAnsi="Times New Roman" w:cs="Times New Roman"/>
                <w:sz w:val="24"/>
                <w:szCs w:val="24"/>
                <w:lang w:eastAsia="hr-HR"/>
              </w:rPr>
            </w:pPr>
          </w:p>
        </w:tc>
      </w:tr>
      <w:tr w:rsidR="00B8582B" w:rsidRPr="00DA65D6" w14:paraId="0531E27F" w14:textId="77777777" w:rsidTr="005178C1">
        <w:tc>
          <w:tcPr>
            <w:tcW w:w="850" w:type="dxa"/>
          </w:tcPr>
          <w:p w14:paraId="22B39FE8"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w:t>
            </w:r>
          </w:p>
        </w:tc>
        <w:tc>
          <w:tcPr>
            <w:tcW w:w="9073" w:type="dxa"/>
            <w:gridSpan w:val="4"/>
          </w:tcPr>
          <w:p w14:paraId="600A4625" w14:textId="77777777" w:rsidR="00B8582B" w:rsidRPr="00DA65D6" w:rsidRDefault="00B8582B" w:rsidP="00B8582B">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ZAKLJUČAK</w:t>
            </w:r>
          </w:p>
        </w:tc>
      </w:tr>
      <w:tr w:rsidR="00B8582B" w:rsidRPr="00DA65D6" w14:paraId="673D4972" w14:textId="77777777" w:rsidTr="005178C1">
        <w:tc>
          <w:tcPr>
            <w:tcW w:w="850" w:type="dxa"/>
          </w:tcPr>
          <w:p w14:paraId="65CAC893"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7.1.</w:t>
            </w:r>
          </w:p>
        </w:tc>
        <w:tc>
          <w:tcPr>
            <w:tcW w:w="4112" w:type="dxa"/>
            <w:gridSpan w:val="2"/>
          </w:tcPr>
          <w:p w14:paraId="2F7D9036"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Pozitivni učinci:</w:t>
            </w:r>
          </w:p>
          <w:p w14:paraId="7F12352A" w14:textId="248FE815" w:rsidR="00B8582B" w:rsidRPr="003546CC" w:rsidRDefault="00886AD1" w:rsidP="00B8582B">
            <w:pPr>
              <w:rPr>
                <w:rFonts w:ascii="Times New Roman" w:eastAsia="Calibri" w:hAnsi="Times New Roman" w:cs="Times New Roman"/>
                <w:iCs/>
                <w:sz w:val="24"/>
                <w:lang w:eastAsia="hr-HR"/>
              </w:rPr>
            </w:pPr>
            <w:r>
              <w:rPr>
                <w:rFonts w:ascii="Times New Roman" w:eastAsia="Calibri" w:hAnsi="Times New Roman" w:cs="Times New Roman"/>
                <w:iCs/>
                <w:sz w:val="24"/>
                <w:lang w:eastAsia="hr-HR"/>
              </w:rPr>
              <w:t>Usklađivanje sa EU legislativom.</w:t>
            </w:r>
          </w:p>
        </w:tc>
        <w:tc>
          <w:tcPr>
            <w:tcW w:w="4961" w:type="dxa"/>
            <w:gridSpan w:val="2"/>
          </w:tcPr>
          <w:p w14:paraId="788E8C62"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Negativni učinci:</w:t>
            </w:r>
          </w:p>
          <w:p w14:paraId="0FAC7CD2" w14:textId="5C1DC7FE" w:rsidR="00B8582B" w:rsidRPr="00DA65D6" w:rsidRDefault="003546CC" w:rsidP="00263BEE">
            <w:pPr>
              <w:rPr>
                <w:rFonts w:ascii="Times New Roman" w:eastAsia="Calibri" w:hAnsi="Times New Roman" w:cs="Times New Roman"/>
                <w:sz w:val="24"/>
                <w:lang w:eastAsia="hr-HR"/>
              </w:rPr>
            </w:pPr>
            <w:r w:rsidRPr="003546CC">
              <w:rPr>
                <w:rFonts w:ascii="Times New Roman" w:eastAsia="Calibri" w:hAnsi="Times New Roman" w:cs="Times New Roman"/>
                <w:sz w:val="24"/>
                <w:lang w:eastAsia="hr-HR"/>
              </w:rPr>
              <w:t>Ne očekuju se negativni učinci</w:t>
            </w:r>
            <w:r w:rsidR="006C14BE">
              <w:rPr>
                <w:rFonts w:ascii="Times New Roman" w:eastAsia="Calibri" w:hAnsi="Times New Roman" w:cs="Times New Roman"/>
                <w:sz w:val="24"/>
                <w:lang w:eastAsia="hr-HR"/>
              </w:rPr>
              <w:t xml:space="preserve"> predloženih </w:t>
            </w:r>
            <w:r w:rsidR="00886AD1">
              <w:rPr>
                <w:rFonts w:ascii="Times New Roman" w:eastAsia="Calibri" w:hAnsi="Times New Roman" w:cs="Times New Roman"/>
                <w:sz w:val="24"/>
                <w:lang w:eastAsia="hr-HR"/>
              </w:rPr>
              <w:t>odredbi</w:t>
            </w:r>
            <w:r w:rsidR="006C14BE">
              <w:rPr>
                <w:rFonts w:ascii="Times New Roman" w:eastAsia="Calibri" w:hAnsi="Times New Roman" w:cs="Times New Roman"/>
                <w:sz w:val="24"/>
                <w:lang w:eastAsia="hr-HR"/>
              </w:rPr>
              <w:t>.</w:t>
            </w:r>
          </w:p>
        </w:tc>
      </w:tr>
      <w:tr w:rsidR="00B8582B" w:rsidRPr="00DA65D6" w14:paraId="61853CCB" w14:textId="77777777" w:rsidTr="005178C1">
        <w:tc>
          <w:tcPr>
            <w:tcW w:w="850" w:type="dxa"/>
          </w:tcPr>
          <w:p w14:paraId="35378D5B"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7.2.</w:t>
            </w:r>
          </w:p>
        </w:tc>
        <w:tc>
          <w:tcPr>
            <w:tcW w:w="9073" w:type="dxa"/>
            <w:gridSpan w:val="4"/>
            <w:shd w:val="clear" w:color="auto" w:fill="auto"/>
          </w:tcPr>
          <w:p w14:paraId="2F36A7F6" w14:textId="4D01EACC" w:rsidR="00B8582B" w:rsidRDefault="00B8582B" w:rsidP="00B8582B">
            <w:pPr>
              <w:jc w:val="both"/>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t>Zaključak o učincima koji će proisteći iz provedbe:</w:t>
            </w:r>
          </w:p>
          <w:p w14:paraId="5ED66248" w14:textId="744E89ED" w:rsidR="00B8582B" w:rsidRPr="00DA65D6" w:rsidRDefault="00886AD1" w:rsidP="00B8582B">
            <w:pPr>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Usklađenje sa EU legislativom</w:t>
            </w:r>
          </w:p>
        </w:tc>
      </w:tr>
      <w:tr w:rsidR="00B8582B" w:rsidRPr="00DA65D6" w14:paraId="2E9EA656" w14:textId="77777777" w:rsidTr="005178C1">
        <w:tc>
          <w:tcPr>
            <w:tcW w:w="850" w:type="dxa"/>
          </w:tcPr>
          <w:p w14:paraId="4F7A3361" w14:textId="77777777" w:rsidR="00B8582B" w:rsidRPr="00DA65D6" w:rsidRDefault="00B8582B" w:rsidP="00B8582B">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8.</w:t>
            </w:r>
          </w:p>
        </w:tc>
        <w:tc>
          <w:tcPr>
            <w:tcW w:w="9073" w:type="dxa"/>
            <w:gridSpan w:val="4"/>
          </w:tcPr>
          <w:p w14:paraId="1E11DED7" w14:textId="77777777" w:rsidR="00B8582B" w:rsidRPr="00DA65D6" w:rsidRDefault="00B8582B" w:rsidP="00B8582B">
            <w:pPr>
              <w:rPr>
                <w:rFonts w:ascii="Times New Roman" w:eastAsia="Calibri" w:hAnsi="Times New Roman" w:cs="Times New Roman"/>
                <w:b/>
                <w:sz w:val="24"/>
                <w:szCs w:val="24"/>
                <w:lang w:eastAsia="hr-HR"/>
              </w:rPr>
            </w:pPr>
            <w:r w:rsidRPr="00DA65D6">
              <w:rPr>
                <w:rFonts w:ascii="Times New Roman" w:eastAsia="Calibri" w:hAnsi="Times New Roman" w:cs="Times New Roman"/>
                <w:b/>
                <w:sz w:val="24"/>
                <w:szCs w:val="24"/>
                <w:lang w:eastAsia="hr-HR"/>
              </w:rPr>
              <w:t>PRILOZI</w:t>
            </w:r>
          </w:p>
        </w:tc>
      </w:tr>
      <w:tr w:rsidR="00B8582B" w:rsidRPr="00DA65D6" w14:paraId="2C6443AE" w14:textId="77777777" w:rsidTr="005178C1">
        <w:tc>
          <w:tcPr>
            <w:tcW w:w="850" w:type="dxa"/>
          </w:tcPr>
          <w:p w14:paraId="17600EFB" w14:textId="77777777" w:rsidR="00B8582B" w:rsidRPr="00DA65D6" w:rsidRDefault="00B8582B" w:rsidP="00B8582B">
            <w:pPr>
              <w:rPr>
                <w:rFonts w:ascii="Times New Roman" w:eastAsia="Calibri" w:hAnsi="Times New Roman" w:cs="Times New Roman"/>
                <w:sz w:val="24"/>
                <w:lang w:eastAsia="hr-HR"/>
              </w:rPr>
            </w:pPr>
            <w:r w:rsidRPr="00DA65D6">
              <w:rPr>
                <w:rFonts w:ascii="Times New Roman" w:eastAsia="Calibri" w:hAnsi="Times New Roman" w:cs="Times New Roman"/>
                <w:sz w:val="24"/>
                <w:lang w:eastAsia="hr-HR"/>
              </w:rPr>
              <w:lastRenderedPageBreak/>
              <w:t>8.1</w:t>
            </w:r>
          </w:p>
        </w:tc>
        <w:tc>
          <w:tcPr>
            <w:tcW w:w="9073" w:type="dxa"/>
            <w:gridSpan w:val="4"/>
          </w:tcPr>
          <w:p w14:paraId="5B2B6F93" w14:textId="407097EA" w:rsidR="00B8582B" w:rsidRPr="00DA65D6" w:rsidRDefault="00CE3B2B" w:rsidP="00B8582B">
            <w:pPr>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Nema priloga</w:t>
            </w:r>
          </w:p>
        </w:tc>
      </w:tr>
      <w:tr w:rsidR="00B8582B" w:rsidRPr="00DA65D6" w14:paraId="1B753A95" w14:textId="77777777" w:rsidTr="005178C1">
        <w:tc>
          <w:tcPr>
            <w:tcW w:w="850" w:type="dxa"/>
          </w:tcPr>
          <w:p w14:paraId="1D85258E" w14:textId="77777777" w:rsidR="00B8582B" w:rsidRPr="00DA65D6" w:rsidRDefault="00B8582B" w:rsidP="00B8582B">
            <w:pPr>
              <w:rPr>
                <w:rFonts w:ascii="Times New Roman" w:eastAsia="Calibri" w:hAnsi="Times New Roman" w:cs="Times New Roman"/>
                <w:sz w:val="24"/>
                <w:lang w:eastAsia="hr-HR"/>
              </w:rPr>
            </w:pPr>
          </w:p>
        </w:tc>
        <w:tc>
          <w:tcPr>
            <w:tcW w:w="9073" w:type="dxa"/>
            <w:gridSpan w:val="4"/>
          </w:tcPr>
          <w:p w14:paraId="17FE8D08" w14:textId="77777777" w:rsidR="00B8582B" w:rsidRPr="00DA65D6" w:rsidRDefault="00B8582B" w:rsidP="00B8582B">
            <w:pPr>
              <w:rPr>
                <w:rFonts w:ascii="Times New Roman" w:eastAsia="Calibri" w:hAnsi="Times New Roman" w:cs="Times New Roman"/>
                <w:b/>
                <w:sz w:val="24"/>
                <w:szCs w:val="24"/>
                <w:lang w:eastAsia="hr-HR"/>
              </w:rPr>
            </w:pPr>
          </w:p>
        </w:tc>
      </w:tr>
      <w:tr w:rsidR="00B8582B" w:rsidRPr="00DA65D6" w14:paraId="02F7221F" w14:textId="77777777" w:rsidTr="005178C1">
        <w:tc>
          <w:tcPr>
            <w:tcW w:w="850" w:type="dxa"/>
          </w:tcPr>
          <w:p w14:paraId="7B553553" w14:textId="77777777" w:rsidR="00B8582B" w:rsidRPr="00DA65D6" w:rsidRDefault="00B8582B" w:rsidP="00B8582B">
            <w:pPr>
              <w:rPr>
                <w:rFonts w:ascii="Times New Roman" w:eastAsia="Calibri" w:hAnsi="Times New Roman" w:cs="Times New Roman"/>
                <w:b/>
                <w:bCs/>
                <w:sz w:val="24"/>
                <w:lang w:eastAsia="hr-HR"/>
              </w:rPr>
            </w:pPr>
            <w:r w:rsidRPr="00DA65D6">
              <w:rPr>
                <w:rFonts w:ascii="Times New Roman" w:eastAsia="Calibri" w:hAnsi="Times New Roman" w:cs="Times New Roman"/>
                <w:b/>
                <w:bCs/>
                <w:sz w:val="24"/>
                <w:lang w:eastAsia="hr-HR"/>
              </w:rPr>
              <w:t xml:space="preserve">9. </w:t>
            </w:r>
          </w:p>
        </w:tc>
        <w:tc>
          <w:tcPr>
            <w:tcW w:w="9073" w:type="dxa"/>
            <w:gridSpan w:val="4"/>
          </w:tcPr>
          <w:p w14:paraId="0EEBB122" w14:textId="77777777" w:rsidR="00B8582B" w:rsidRPr="00DA65D6" w:rsidRDefault="00B8582B" w:rsidP="00B8582B">
            <w:pPr>
              <w:rPr>
                <w:rFonts w:ascii="Times New Roman" w:eastAsia="Calibri" w:hAnsi="Times New Roman" w:cs="Times New Roman"/>
                <w:b/>
                <w:sz w:val="24"/>
                <w:szCs w:val="24"/>
                <w:lang w:eastAsia="hr-HR"/>
              </w:rPr>
            </w:pPr>
            <w:r w:rsidRPr="00DA65D6">
              <w:rPr>
                <w:rFonts w:ascii="Times New Roman" w:eastAsia="Calibri" w:hAnsi="Times New Roman" w:cs="Times New Roman"/>
                <w:b/>
                <w:sz w:val="24"/>
                <w:szCs w:val="24"/>
                <w:lang w:eastAsia="hr-HR"/>
              </w:rPr>
              <w:t>OVJERA ČELNIKA STRUČNOG NOSITELJA</w:t>
            </w:r>
          </w:p>
        </w:tc>
      </w:tr>
      <w:tr w:rsidR="00B8582B" w:rsidRPr="00DA65D6" w14:paraId="14E7A9D5" w14:textId="77777777" w:rsidTr="005178C1">
        <w:tc>
          <w:tcPr>
            <w:tcW w:w="850" w:type="dxa"/>
          </w:tcPr>
          <w:p w14:paraId="5DE4BEA6" w14:textId="77777777" w:rsidR="00B8582B" w:rsidRPr="00DA65D6" w:rsidRDefault="00B8582B" w:rsidP="00B8582B">
            <w:pPr>
              <w:rPr>
                <w:rFonts w:ascii="Times New Roman" w:eastAsia="Calibri" w:hAnsi="Times New Roman" w:cs="Times New Roman"/>
                <w:b/>
                <w:bCs/>
                <w:sz w:val="24"/>
                <w:lang w:eastAsia="hr-HR"/>
              </w:rPr>
            </w:pPr>
          </w:p>
        </w:tc>
        <w:tc>
          <w:tcPr>
            <w:tcW w:w="9073" w:type="dxa"/>
            <w:gridSpan w:val="4"/>
          </w:tcPr>
          <w:p w14:paraId="2B72D9C6" w14:textId="36DBC521" w:rsidR="00B8582B" w:rsidRDefault="00B8582B" w:rsidP="00B8582B">
            <w:pPr>
              <w:rPr>
                <w:rFonts w:ascii="Times New Roman" w:hAnsi="Times New Roman" w:cs="Times New Roman"/>
                <w:bCs/>
                <w:sz w:val="24"/>
                <w:szCs w:val="24"/>
              </w:rPr>
            </w:pPr>
            <w:r w:rsidRPr="00DA65D6">
              <w:rPr>
                <w:rFonts w:ascii="Times New Roman" w:hAnsi="Times New Roman" w:cs="Times New Roman"/>
                <w:bCs/>
                <w:sz w:val="24"/>
                <w:szCs w:val="24"/>
              </w:rPr>
              <w:t>Potpis:</w:t>
            </w:r>
            <w:r w:rsidR="005335E6">
              <w:rPr>
                <w:rFonts w:ascii="Times New Roman" w:hAnsi="Times New Roman" w:cs="Times New Roman"/>
                <w:bCs/>
                <w:sz w:val="24"/>
                <w:szCs w:val="24"/>
              </w:rPr>
              <w:t xml:space="preserve"> </w:t>
            </w:r>
            <w:r w:rsidR="004C5547">
              <w:rPr>
                <w:rFonts w:ascii="Times New Roman" w:hAnsi="Times New Roman" w:cs="Times New Roman"/>
                <w:bCs/>
                <w:sz w:val="24"/>
                <w:szCs w:val="24"/>
              </w:rPr>
              <w:t>Damir Habijan</w:t>
            </w:r>
          </w:p>
          <w:p w14:paraId="389D7BB7" w14:textId="0C9FFBC4" w:rsidR="005335E6" w:rsidRDefault="005335E6" w:rsidP="00B8582B">
            <w:pPr>
              <w:rPr>
                <w:rFonts w:ascii="Times New Roman" w:hAnsi="Times New Roman" w:cs="Times New Roman"/>
                <w:bCs/>
                <w:sz w:val="24"/>
                <w:szCs w:val="24"/>
              </w:rPr>
            </w:pPr>
          </w:p>
          <w:p w14:paraId="708A5156" w14:textId="77777777" w:rsidR="005335E6" w:rsidRPr="00DA65D6" w:rsidRDefault="005335E6" w:rsidP="00B8582B">
            <w:pPr>
              <w:rPr>
                <w:rFonts w:ascii="Times New Roman" w:hAnsi="Times New Roman" w:cs="Times New Roman"/>
                <w:bCs/>
                <w:sz w:val="24"/>
                <w:szCs w:val="24"/>
              </w:rPr>
            </w:pPr>
          </w:p>
          <w:p w14:paraId="701947E2" w14:textId="06B97E1E" w:rsidR="00B8582B" w:rsidRPr="00DA65D6" w:rsidRDefault="00B8582B" w:rsidP="00B8582B">
            <w:pPr>
              <w:rPr>
                <w:rFonts w:ascii="Times New Roman" w:eastAsia="Calibri" w:hAnsi="Times New Roman" w:cs="Times New Roman"/>
                <w:b/>
                <w:sz w:val="24"/>
                <w:szCs w:val="24"/>
                <w:lang w:eastAsia="hr-HR"/>
              </w:rPr>
            </w:pPr>
            <w:r w:rsidRPr="00DA65D6">
              <w:rPr>
                <w:rFonts w:ascii="Times New Roman" w:hAnsi="Times New Roman" w:cs="Times New Roman"/>
                <w:bCs/>
                <w:sz w:val="24"/>
                <w:szCs w:val="24"/>
              </w:rPr>
              <w:t>Datum:</w:t>
            </w:r>
            <w:r w:rsidR="005335E6">
              <w:rPr>
                <w:rFonts w:ascii="Times New Roman" w:hAnsi="Times New Roman" w:cs="Times New Roman"/>
                <w:bCs/>
                <w:sz w:val="24"/>
                <w:szCs w:val="24"/>
              </w:rPr>
              <w:t xml:space="preserve"> </w:t>
            </w:r>
            <w:r w:rsidR="00BA4A50">
              <w:rPr>
                <w:rFonts w:ascii="Times New Roman" w:hAnsi="Times New Roman" w:cs="Times New Roman"/>
                <w:bCs/>
                <w:sz w:val="24"/>
                <w:szCs w:val="24"/>
              </w:rPr>
              <w:t>23</w:t>
            </w:r>
            <w:r w:rsidR="005335E6">
              <w:rPr>
                <w:rFonts w:ascii="Times New Roman" w:hAnsi="Times New Roman" w:cs="Times New Roman"/>
                <w:bCs/>
                <w:sz w:val="24"/>
                <w:szCs w:val="24"/>
              </w:rPr>
              <w:t xml:space="preserve">. </w:t>
            </w:r>
            <w:r w:rsidR="00BA4A50">
              <w:rPr>
                <w:rFonts w:ascii="Times New Roman" w:hAnsi="Times New Roman" w:cs="Times New Roman"/>
                <w:bCs/>
                <w:sz w:val="24"/>
                <w:szCs w:val="24"/>
              </w:rPr>
              <w:t>srpnja</w:t>
            </w:r>
            <w:r w:rsidR="00E43C00">
              <w:rPr>
                <w:rFonts w:ascii="Times New Roman" w:hAnsi="Times New Roman" w:cs="Times New Roman"/>
                <w:bCs/>
                <w:sz w:val="24"/>
                <w:szCs w:val="24"/>
              </w:rPr>
              <w:t xml:space="preserve"> </w:t>
            </w:r>
            <w:r w:rsidR="005335E6">
              <w:rPr>
                <w:rFonts w:ascii="Times New Roman" w:hAnsi="Times New Roman" w:cs="Times New Roman"/>
                <w:bCs/>
                <w:sz w:val="24"/>
                <w:szCs w:val="24"/>
              </w:rPr>
              <w:t>202</w:t>
            </w:r>
            <w:r w:rsidR="003546CC">
              <w:rPr>
                <w:rFonts w:ascii="Times New Roman" w:hAnsi="Times New Roman" w:cs="Times New Roman"/>
                <w:bCs/>
                <w:sz w:val="24"/>
                <w:szCs w:val="24"/>
              </w:rPr>
              <w:t>5</w:t>
            </w:r>
            <w:r w:rsidR="005335E6">
              <w:rPr>
                <w:rFonts w:ascii="Times New Roman" w:hAnsi="Times New Roman" w:cs="Times New Roman"/>
                <w:bCs/>
                <w:sz w:val="24"/>
                <w:szCs w:val="24"/>
              </w:rPr>
              <w:t>.</w:t>
            </w:r>
          </w:p>
        </w:tc>
      </w:tr>
      <w:bookmarkEnd w:id="0"/>
    </w:tbl>
    <w:p w14:paraId="166B0641" w14:textId="77777777" w:rsidR="00050C2A" w:rsidRDefault="00050C2A"/>
    <w:sectPr w:rsidR="00050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337B6"/>
    <w:multiLevelType w:val="hybridMultilevel"/>
    <w:tmpl w:val="76F86A84"/>
    <w:lvl w:ilvl="0" w:tplc="8CBA375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2714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D9"/>
    <w:rsid w:val="00050C2A"/>
    <w:rsid w:val="000767FB"/>
    <w:rsid w:val="00163496"/>
    <w:rsid w:val="00191D5E"/>
    <w:rsid w:val="00263BEE"/>
    <w:rsid w:val="00282A95"/>
    <w:rsid w:val="002D4F1B"/>
    <w:rsid w:val="003546CC"/>
    <w:rsid w:val="00360818"/>
    <w:rsid w:val="00385AD0"/>
    <w:rsid w:val="004C46E3"/>
    <w:rsid w:val="004C5547"/>
    <w:rsid w:val="005175EA"/>
    <w:rsid w:val="005335E6"/>
    <w:rsid w:val="005F4866"/>
    <w:rsid w:val="006149B3"/>
    <w:rsid w:val="006675D1"/>
    <w:rsid w:val="006C14BE"/>
    <w:rsid w:val="00716468"/>
    <w:rsid w:val="00721ABA"/>
    <w:rsid w:val="00733E48"/>
    <w:rsid w:val="00747717"/>
    <w:rsid w:val="00780BED"/>
    <w:rsid w:val="00886AD1"/>
    <w:rsid w:val="009352D9"/>
    <w:rsid w:val="0097524D"/>
    <w:rsid w:val="009B22F9"/>
    <w:rsid w:val="009C6320"/>
    <w:rsid w:val="00A4091D"/>
    <w:rsid w:val="00A84992"/>
    <w:rsid w:val="00B4085F"/>
    <w:rsid w:val="00B8582B"/>
    <w:rsid w:val="00BA4A50"/>
    <w:rsid w:val="00CE3B2B"/>
    <w:rsid w:val="00D51499"/>
    <w:rsid w:val="00DF03EE"/>
    <w:rsid w:val="00E2455A"/>
    <w:rsid w:val="00E43C00"/>
    <w:rsid w:val="00E45BC8"/>
    <w:rsid w:val="00E80CA4"/>
    <w:rsid w:val="00FC2051"/>
    <w:rsid w:val="00FE0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7F53"/>
  <w15:chartTrackingRefBased/>
  <w15:docId w15:val="{505C6EF5-2372-48D4-9A2C-9F7138C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60818"/>
    <w:pPr>
      <w:ind w:left="720"/>
      <w:contextualSpacing/>
    </w:pPr>
  </w:style>
  <w:style w:type="paragraph" w:styleId="Revizija">
    <w:name w:val="Revision"/>
    <w:hidden/>
    <w:uiPriority w:val="99"/>
    <w:semiHidden/>
    <w:rsid w:val="00E43C00"/>
    <w:pPr>
      <w:spacing w:after="0" w:line="240" w:lineRule="auto"/>
    </w:pPr>
  </w:style>
  <w:style w:type="character" w:styleId="Hiperveza">
    <w:name w:val="Hyperlink"/>
    <w:basedOn w:val="Zadanifontodlomka"/>
    <w:uiPriority w:val="99"/>
    <w:unhideWhenUsed/>
    <w:rsid w:val="00780BED"/>
    <w:rPr>
      <w:color w:val="0563C1" w:themeColor="hyperlink"/>
      <w:u w:val="single"/>
    </w:rPr>
  </w:style>
  <w:style w:type="character" w:styleId="Nerijeenospominjanje">
    <w:name w:val="Unresolved Mention"/>
    <w:basedOn w:val="Zadanifontodlomka"/>
    <w:uiPriority w:val="99"/>
    <w:semiHidden/>
    <w:unhideWhenUsed/>
    <w:rsid w:val="00886AD1"/>
    <w:rPr>
      <w:color w:val="605E5C"/>
      <w:shd w:val="clear" w:color="auto" w:fill="E1DFDD"/>
    </w:rPr>
  </w:style>
  <w:style w:type="character" w:customStyle="1" w:styleId="kurziv">
    <w:name w:val="kurziv"/>
    <w:basedOn w:val="Zadanifontodlomka"/>
    <w:rsid w:val="002D4F1B"/>
  </w:style>
  <w:style w:type="paragraph" w:styleId="StandardWeb">
    <w:name w:val="Normal (Web)"/>
    <w:basedOn w:val="Normal"/>
    <w:uiPriority w:val="99"/>
    <w:unhideWhenUsed/>
    <w:rsid w:val="002D4F1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HR/AUTO/?uri=celex:32023R1543" TargetMode="External"/><Relationship Id="rId13" Type="http://schemas.openxmlformats.org/officeDocument/2006/relationships/hyperlink" Target="https://eur-lex.europa.eu/legal-content/HR/AUTO/?uri=celex:32023R1543" TargetMode="External"/><Relationship Id="rId3" Type="http://schemas.openxmlformats.org/officeDocument/2006/relationships/settings" Target="settings.xml"/><Relationship Id="rId7" Type="http://schemas.openxmlformats.org/officeDocument/2006/relationships/hyperlink" Target="https://eur-lex.europa.eu/legal-content/HR/AUTO/?uri=celex:32023L1544" TargetMode="External"/><Relationship Id="rId12" Type="http://schemas.openxmlformats.org/officeDocument/2006/relationships/hyperlink" Target="https://eur-lex.europa.eu/legal-content/HR/AUTO/?uri=celex:32023L154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ur-lex.europa.eu/legal-content/HR/AUTO/?uri=celex:32023R1543" TargetMode="External"/><Relationship Id="rId11" Type="http://schemas.openxmlformats.org/officeDocument/2006/relationships/hyperlink" Target="https://eur-lex.europa.eu/legal-content/HR/AUTO/?uri=celex:32023L1544" TargetMode="External"/><Relationship Id="rId5" Type="http://schemas.openxmlformats.org/officeDocument/2006/relationships/hyperlink" Target="https://eur-lex.europa.eu/legal-content/HR/AUTO/?uri=celex:32023L1544" TargetMode="External"/><Relationship Id="rId15" Type="http://schemas.openxmlformats.org/officeDocument/2006/relationships/fontTable" Target="fontTable.xml"/><Relationship Id="rId10" Type="http://schemas.openxmlformats.org/officeDocument/2006/relationships/hyperlink" Target="https://eur-lex.europa.eu/legal-content/HR/AUTO/?uri=celex:32023R1543" TargetMode="External"/><Relationship Id="rId4" Type="http://schemas.openxmlformats.org/officeDocument/2006/relationships/webSettings" Target="webSettings.xml"/><Relationship Id="rId9" Type="http://schemas.openxmlformats.org/officeDocument/2006/relationships/hyperlink" Target="https://eur-lex.europa.eu/legal-content/HR/AUTO/?uri=celex:32023L1544" TargetMode="External"/><Relationship Id="rId14" Type="http://schemas.openxmlformats.org/officeDocument/2006/relationships/hyperlink" Target="https://eur-lex.europa.eu/legal-content/HR/AUTO/?uri=celex:32023L1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1280</Words>
  <Characters>7296</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Anamarija Barać</cp:lastModifiedBy>
  <cp:revision>9</cp:revision>
  <dcterms:created xsi:type="dcterms:W3CDTF">2025-07-23T15:19:00Z</dcterms:created>
  <dcterms:modified xsi:type="dcterms:W3CDTF">2025-07-23T15:41:00Z</dcterms:modified>
</cp:coreProperties>
</file>