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5CB8" w14:textId="5B599D42" w:rsidR="00B97C6B" w:rsidRPr="00DB7947" w:rsidRDefault="00B97C6B" w:rsidP="00437E14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Na temelju članka 15. stavka </w:t>
      </w:r>
      <w:r w:rsidR="002948AF" w:rsidRPr="002B17FB">
        <w:rPr>
          <w:rFonts w:ascii="Minion Pro" w:hAnsi="Minion Pro"/>
          <w:sz w:val="24"/>
          <w:szCs w:val="24"/>
        </w:rPr>
        <w:t>12</w:t>
      </w:r>
      <w:r w:rsidRPr="002B17FB">
        <w:rPr>
          <w:rFonts w:ascii="Minion Pro" w:hAnsi="Minion Pro"/>
          <w:sz w:val="24"/>
          <w:szCs w:val="24"/>
        </w:rPr>
        <w:t>.</w:t>
      </w:r>
      <w:r w:rsidR="002948AF" w:rsidRPr="002B17FB">
        <w:rPr>
          <w:rFonts w:ascii="Minion Pro" w:hAnsi="Minion Pro"/>
          <w:sz w:val="24"/>
          <w:szCs w:val="24"/>
        </w:rPr>
        <w:t xml:space="preserve"> </w:t>
      </w:r>
      <w:r w:rsidR="006F14CA">
        <w:rPr>
          <w:rFonts w:ascii="Minion Pro" w:hAnsi="Minion Pro"/>
          <w:sz w:val="24"/>
          <w:szCs w:val="24"/>
        </w:rPr>
        <w:t>i članka 17. stavka 9.</w:t>
      </w:r>
      <w:r w:rsidR="002948AF" w:rsidRPr="002B17FB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 xml:space="preserve">Zakona o tržištu toplinske energije </w:t>
      </w:r>
      <w:r w:rsidR="00E6089A" w:rsidRPr="00DB7947">
        <w:rPr>
          <w:rFonts w:ascii="Minion Pro" w:hAnsi="Minion Pro"/>
          <w:sz w:val="24"/>
          <w:szCs w:val="24"/>
        </w:rPr>
        <w:t>(»Narodne novine«, broj 80/13, 14/14, 102/14, 95/15, 76/18, 86/19 i 67/25)</w:t>
      </w:r>
      <w:r w:rsidRPr="002B17FB">
        <w:rPr>
          <w:rFonts w:ascii="Minion Pro" w:hAnsi="Minion Pro"/>
          <w:sz w:val="24"/>
          <w:szCs w:val="24"/>
        </w:rPr>
        <w:t>, ministar</w:t>
      </w:r>
      <w:r w:rsidR="00D36F72" w:rsidRPr="00DB7947">
        <w:rPr>
          <w:rFonts w:ascii="Minion Pro" w:hAnsi="Minion Pro"/>
          <w:sz w:val="24"/>
          <w:szCs w:val="24"/>
        </w:rPr>
        <w:t xml:space="preserve"> gospodarstva</w:t>
      </w:r>
      <w:r w:rsidRPr="002B17FB">
        <w:rPr>
          <w:rFonts w:ascii="Minion Pro" w:hAnsi="Minion Pro"/>
          <w:sz w:val="24"/>
          <w:szCs w:val="24"/>
        </w:rPr>
        <w:t xml:space="preserve"> donosi</w:t>
      </w:r>
    </w:p>
    <w:p w14:paraId="7706B99E" w14:textId="77777777" w:rsidR="00437E14" w:rsidRPr="002B17FB" w:rsidRDefault="00437E14" w:rsidP="002B17FB">
      <w:pPr>
        <w:jc w:val="both"/>
        <w:rPr>
          <w:rFonts w:ascii="Minion Pro" w:hAnsi="Minion Pro"/>
          <w:sz w:val="24"/>
          <w:szCs w:val="24"/>
        </w:rPr>
      </w:pPr>
    </w:p>
    <w:p w14:paraId="1BA5B937" w14:textId="77777777" w:rsidR="00B97C6B" w:rsidRPr="002B17FB" w:rsidRDefault="00B97C6B" w:rsidP="00B97C6B">
      <w:pPr>
        <w:jc w:val="center"/>
        <w:rPr>
          <w:rFonts w:ascii="Minion Pro" w:hAnsi="Minion Pro"/>
          <w:b/>
          <w:bCs/>
          <w:sz w:val="28"/>
          <w:szCs w:val="28"/>
        </w:rPr>
      </w:pPr>
      <w:r w:rsidRPr="002B17FB">
        <w:rPr>
          <w:rFonts w:ascii="Minion Pro" w:hAnsi="Minion Pro"/>
          <w:b/>
          <w:bCs/>
          <w:sz w:val="28"/>
          <w:szCs w:val="28"/>
        </w:rPr>
        <w:t>PRAVILNIK</w:t>
      </w:r>
    </w:p>
    <w:p w14:paraId="3FBF3990" w14:textId="28E8D4CE" w:rsidR="00B97C6B" w:rsidRPr="002B17FB" w:rsidRDefault="00B97C6B" w:rsidP="00B97C6B">
      <w:pPr>
        <w:jc w:val="center"/>
        <w:rPr>
          <w:rFonts w:ascii="Minion Pro" w:hAnsi="Minion Pro"/>
          <w:b/>
          <w:bCs/>
          <w:sz w:val="28"/>
          <w:szCs w:val="28"/>
        </w:rPr>
      </w:pPr>
      <w:r w:rsidRPr="002B17FB">
        <w:rPr>
          <w:rFonts w:ascii="Minion Pro" w:hAnsi="Minion Pro"/>
          <w:b/>
          <w:bCs/>
          <w:sz w:val="28"/>
          <w:szCs w:val="28"/>
        </w:rPr>
        <w:t>O IZRADI ANALIZE TROŠKOVA I KORISTI</w:t>
      </w:r>
    </w:p>
    <w:p w14:paraId="26102733" w14:textId="77777777" w:rsidR="00B97C6B" w:rsidRPr="00DB7947" w:rsidRDefault="00B97C6B" w:rsidP="00383AB5">
      <w:pPr>
        <w:pStyle w:val="Naslov1"/>
        <w:jc w:val="center"/>
        <w:rPr>
          <w:rFonts w:ascii="Minion Pro" w:hAnsi="Minion Pro"/>
          <w:b/>
          <w:bCs/>
          <w:sz w:val="24"/>
          <w:szCs w:val="24"/>
        </w:rPr>
      </w:pPr>
      <w:r w:rsidRPr="002B17FB">
        <w:rPr>
          <w:rFonts w:ascii="Minion Pro" w:hAnsi="Minion Pro"/>
          <w:b/>
          <w:bCs/>
          <w:sz w:val="24"/>
          <w:szCs w:val="24"/>
        </w:rPr>
        <w:t>I. OPĆE ODREDBE</w:t>
      </w:r>
    </w:p>
    <w:p w14:paraId="0169A1F0" w14:textId="7C61C6B5" w:rsidR="00DB7187" w:rsidRPr="002B17FB" w:rsidRDefault="00DB7187" w:rsidP="00DB7187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Predmet i primjena Pravilnika</w:t>
      </w:r>
    </w:p>
    <w:p w14:paraId="54BC99DB" w14:textId="0738A97F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1.</w:t>
      </w:r>
    </w:p>
    <w:p w14:paraId="425B5BB6" w14:textId="4373F0CE" w:rsidR="00E05795" w:rsidRPr="002B17FB" w:rsidRDefault="00254601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</w:t>
      </w:r>
      <w:r w:rsidR="00BF6790" w:rsidRPr="002B17FB">
        <w:rPr>
          <w:rFonts w:ascii="Minion Pro" w:hAnsi="Minion Pro"/>
          <w:sz w:val="24"/>
          <w:szCs w:val="24"/>
        </w:rPr>
        <w:t>Ovim se Pravilnikom</w:t>
      </w:r>
      <w:r w:rsidR="00BC680F" w:rsidRPr="00DB7947">
        <w:rPr>
          <w:rFonts w:ascii="Minion Pro" w:hAnsi="Minion Pro"/>
          <w:sz w:val="24"/>
          <w:szCs w:val="24"/>
        </w:rPr>
        <w:t xml:space="preserve"> o izradi analize troškova i koristi (dalje u tekstu: Pravilnik) </w:t>
      </w:r>
      <w:r w:rsidR="00BF6790" w:rsidRPr="002B17FB">
        <w:rPr>
          <w:rFonts w:ascii="Minion Pro" w:hAnsi="Minion Pro"/>
          <w:sz w:val="24"/>
          <w:szCs w:val="24"/>
        </w:rPr>
        <w:t xml:space="preserve"> utvrđuje sadržaj, metodologija i postup</w:t>
      </w:r>
      <w:r w:rsidR="008947A6" w:rsidRPr="00DB7947">
        <w:rPr>
          <w:rFonts w:ascii="Minion Pro" w:hAnsi="Minion Pro"/>
          <w:sz w:val="24"/>
          <w:szCs w:val="24"/>
        </w:rPr>
        <w:t>ak</w:t>
      </w:r>
      <w:r w:rsidR="00BF6790" w:rsidRPr="002B17FB">
        <w:rPr>
          <w:rFonts w:ascii="Minion Pro" w:hAnsi="Minion Pro"/>
          <w:sz w:val="24"/>
          <w:szCs w:val="24"/>
        </w:rPr>
        <w:t xml:space="preserve"> izrade</w:t>
      </w:r>
      <w:r w:rsidR="00946FF6" w:rsidRPr="002B17FB">
        <w:rPr>
          <w:rFonts w:ascii="Minion Pro" w:hAnsi="Minion Pro"/>
          <w:sz w:val="24"/>
          <w:szCs w:val="24"/>
        </w:rPr>
        <w:t xml:space="preserve"> </w:t>
      </w:r>
      <w:r w:rsidR="00BF6790" w:rsidRPr="002B17FB">
        <w:rPr>
          <w:rFonts w:ascii="Minion Pro" w:hAnsi="Minion Pro"/>
          <w:sz w:val="24"/>
          <w:szCs w:val="24"/>
        </w:rPr>
        <w:t>analize troškova i koristi</w:t>
      </w:r>
      <w:r w:rsidR="008139C0" w:rsidRPr="002B17FB">
        <w:rPr>
          <w:rFonts w:ascii="Minion Pro" w:hAnsi="Minion Pro"/>
          <w:sz w:val="24"/>
          <w:szCs w:val="24"/>
        </w:rPr>
        <w:t xml:space="preserve"> </w:t>
      </w:r>
      <w:r w:rsidR="00FA0932" w:rsidRPr="00DB7947">
        <w:rPr>
          <w:rFonts w:ascii="Minion Pro" w:hAnsi="Minion Pro"/>
          <w:sz w:val="24"/>
          <w:szCs w:val="24"/>
        </w:rPr>
        <w:t xml:space="preserve">za čitavo državno područje </w:t>
      </w:r>
      <w:r w:rsidR="001151F7" w:rsidRPr="00DB7947">
        <w:rPr>
          <w:rFonts w:ascii="Minion Pro" w:hAnsi="Minion Pro"/>
          <w:sz w:val="24"/>
          <w:szCs w:val="24"/>
        </w:rPr>
        <w:t>u okviru sveobuhvatne procjene potencijala za učinkovito grijanje i hlađenje u Republici Hrvatskoj</w:t>
      </w:r>
      <w:r w:rsidR="00C62467" w:rsidRPr="00DB7947">
        <w:rPr>
          <w:rFonts w:ascii="Minion Pro" w:hAnsi="Minion Pro"/>
          <w:sz w:val="24"/>
          <w:szCs w:val="24"/>
        </w:rPr>
        <w:t>.</w:t>
      </w:r>
      <w:r w:rsidR="00DB082B" w:rsidRPr="00DB7947">
        <w:rPr>
          <w:rFonts w:ascii="Minion Pro" w:hAnsi="Minion Pro"/>
          <w:sz w:val="24"/>
          <w:szCs w:val="24"/>
        </w:rPr>
        <w:t xml:space="preserve"> </w:t>
      </w:r>
    </w:p>
    <w:p w14:paraId="364D1BAF" w14:textId="2E3D752B" w:rsidR="00335290" w:rsidRPr="00DB7947" w:rsidRDefault="005D1DE9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(2) </w:t>
      </w:r>
      <w:r w:rsidR="006F0E51" w:rsidRPr="00DB7947">
        <w:rPr>
          <w:rFonts w:ascii="Minion Pro" w:hAnsi="Minion Pro"/>
          <w:sz w:val="24"/>
          <w:szCs w:val="24"/>
        </w:rPr>
        <w:t>Osim</w:t>
      </w:r>
      <w:r w:rsidR="00C460C7" w:rsidRPr="00DB7947">
        <w:rPr>
          <w:rFonts w:ascii="Minion Pro" w:hAnsi="Minion Pro"/>
          <w:sz w:val="24"/>
          <w:szCs w:val="24"/>
        </w:rPr>
        <w:t xml:space="preserve"> </w:t>
      </w:r>
      <w:r w:rsidR="00335290" w:rsidRPr="00DB7947">
        <w:rPr>
          <w:rFonts w:ascii="Minion Pro" w:hAnsi="Minion Pro"/>
          <w:sz w:val="24"/>
          <w:szCs w:val="24"/>
        </w:rPr>
        <w:t>sadržaja i postupka izrade</w:t>
      </w:r>
      <w:r w:rsidR="006F0E51" w:rsidRPr="00DB7947">
        <w:rPr>
          <w:rFonts w:ascii="Minion Pro" w:hAnsi="Minion Pro"/>
          <w:sz w:val="24"/>
          <w:szCs w:val="24"/>
        </w:rPr>
        <w:t xml:space="preserve"> </w:t>
      </w:r>
      <w:r w:rsidR="00DA42E4" w:rsidRPr="00DB7947">
        <w:rPr>
          <w:rFonts w:ascii="Minion Pro" w:hAnsi="Minion Pro"/>
          <w:sz w:val="24"/>
          <w:szCs w:val="24"/>
        </w:rPr>
        <w:t xml:space="preserve">analize troškova i koristi </w:t>
      </w:r>
      <w:r w:rsidR="001F55B0" w:rsidRPr="00DB7947">
        <w:rPr>
          <w:rFonts w:ascii="Minion Pro" w:hAnsi="Minion Pro"/>
          <w:sz w:val="24"/>
          <w:szCs w:val="24"/>
        </w:rPr>
        <w:t xml:space="preserve">u okviru sveobuhvatne procjene potencijala za učinkovito grijanje i hlađenje u Republici Hrvatskoj iz stavka 1. ovog članka, </w:t>
      </w:r>
      <w:r w:rsidR="00200CCB" w:rsidRPr="00DB7947">
        <w:rPr>
          <w:rFonts w:ascii="Minion Pro" w:hAnsi="Minion Pro"/>
          <w:sz w:val="24"/>
          <w:szCs w:val="24"/>
        </w:rPr>
        <w:t xml:space="preserve">ovim Pravilnikom se utvrđuje i </w:t>
      </w:r>
      <w:r w:rsidRPr="002B17FB">
        <w:rPr>
          <w:rFonts w:ascii="Minion Pro" w:hAnsi="Minion Pro"/>
          <w:sz w:val="24"/>
          <w:szCs w:val="24"/>
        </w:rPr>
        <w:t>metodologija, pretpostavke</w:t>
      </w:r>
      <w:r w:rsidR="00200CCB" w:rsidRPr="00DB7947">
        <w:rPr>
          <w:rFonts w:ascii="Minion Pro" w:hAnsi="Minion Pro"/>
          <w:sz w:val="24"/>
          <w:szCs w:val="24"/>
        </w:rPr>
        <w:t xml:space="preserve">, </w:t>
      </w:r>
      <w:r w:rsidRPr="002B17FB">
        <w:rPr>
          <w:rFonts w:ascii="Minion Pro" w:hAnsi="Minion Pro"/>
          <w:sz w:val="24"/>
          <w:szCs w:val="24"/>
        </w:rPr>
        <w:t>načela</w:t>
      </w:r>
      <w:r w:rsidR="004B25B9" w:rsidRPr="002B17FB">
        <w:rPr>
          <w:rFonts w:ascii="Minion Pro" w:hAnsi="Minion Pro"/>
          <w:sz w:val="24"/>
          <w:szCs w:val="24"/>
        </w:rPr>
        <w:t xml:space="preserve"> i vremenski okvir </w:t>
      </w:r>
      <w:r w:rsidR="00335290" w:rsidRPr="00DB7947">
        <w:rPr>
          <w:rFonts w:ascii="Minion Pro" w:hAnsi="Minion Pro"/>
          <w:sz w:val="24"/>
          <w:szCs w:val="24"/>
        </w:rPr>
        <w:t>izrade analize troškova i koristi</w:t>
      </w:r>
      <w:r w:rsidR="00863DE2" w:rsidRPr="00DB7947">
        <w:rPr>
          <w:rFonts w:ascii="Minion Pro" w:hAnsi="Minion Pro"/>
          <w:sz w:val="24"/>
          <w:szCs w:val="24"/>
        </w:rPr>
        <w:t xml:space="preserve"> na ra</w:t>
      </w:r>
      <w:r w:rsidR="003C2F33" w:rsidRPr="00DB7947">
        <w:rPr>
          <w:rFonts w:ascii="Minion Pro" w:hAnsi="Minion Pro"/>
          <w:sz w:val="24"/>
          <w:szCs w:val="24"/>
        </w:rPr>
        <w:t>zini postrojenja</w:t>
      </w:r>
      <w:bookmarkStart w:id="0" w:name="_Hlk207630503"/>
      <w:r w:rsidR="00D002DA" w:rsidRPr="00DB7947">
        <w:rPr>
          <w:rFonts w:ascii="Minion Pro" w:hAnsi="Minion Pro"/>
          <w:sz w:val="24"/>
          <w:szCs w:val="24"/>
        </w:rPr>
        <w:t>, uzimajući u obzir načelo »energetska učinkovitost na prvom mjestu« u skladu s propisom kojim se uređuje područje energetske učinkovitosti</w:t>
      </w:r>
      <w:bookmarkEnd w:id="0"/>
      <w:r w:rsidR="00D002DA" w:rsidRPr="00DB7947">
        <w:rPr>
          <w:rFonts w:ascii="Minion Pro" w:hAnsi="Minion Pro"/>
          <w:sz w:val="24"/>
          <w:szCs w:val="24"/>
        </w:rPr>
        <w:t xml:space="preserve">, </w:t>
      </w:r>
      <w:r w:rsidR="0017078A" w:rsidRPr="00DB7947">
        <w:rPr>
          <w:rFonts w:ascii="Minion Pro" w:hAnsi="Minion Pro"/>
          <w:sz w:val="24"/>
          <w:szCs w:val="24"/>
        </w:rPr>
        <w:t>u sljedećim slučajevima</w:t>
      </w:r>
      <w:r w:rsidR="00FB79D3" w:rsidRPr="00DB7947">
        <w:rPr>
          <w:rFonts w:ascii="Minion Pro" w:hAnsi="Minion Pro"/>
          <w:sz w:val="24"/>
          <w:szCs w:val="24"/>
        </w:rPr>
        <w:t xml:space="preserve"> kada se</w:t>
      </w:r>
      <w:r w:rsidR="0017078A" w:rsidRPr="00DB7947">
        <w:rPr>
          <w:rFonts w:ascii="Minion Pro" w:hAnsi="Minion Pro"/>
          <w:sz w:val="24"/>
          <w:szCs w:val="24"/>
        </w:rPr>
        <w:t xml:space="preserve">: </w:t>
      </w:r>
    </w:p>
    <w:p w14:paraId="042DFEE3" w14:textId="66A06132" w:rsidR="00F84574" w:rsidRPr="00DB7947" w:rsidRDefault="00F84574" w:rsidP="00F84574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 xml:space="preserve">1. planira novo proizvodno postrojenje za proizvodnju električne i toplinske energije s ukupnom prosječnom godišnjom ulaznom snagom većom od 10 MW kako bi se procijenili troškovi i koristi osiguranja rada postrojenja kao visokoučinkovitog </w:t>
      </w:r>
      <w:proofErr w:type="spellStart"/>
      <w:r w:rsidRPr="00DB7947">
        <w:rPr>
          <w:rFonts w:ascii="Minion Pro" w:hAnsi="Minion Pro"/>
          <w:sz w:val="24"/>
          <w:szCs w:val="24"/>
        </w:rPr>
        <w:t>kogeneracijskog</w:t>
      </w:r>
      <w:proofErr w:type="spellEnd"/>
      <w:r w:rsidRPr="00DB7947">
        <w:rPr>
          <w:rFonts w:ascii="Minion Pro" w:hAnsi="Minion Pro"/>
          <w:sz w:val="24"/>
          <w:szCs w:val="24"/>
        </w:rPr>
        <w:t xml:space="preserve"> postrojenja;</w:t>
      </w:r>
    </w:p>
    <w:p w14:paraId="080352C3" w14:textId="511AD87A" w:rsidR="00F84574" w:rsidRPr="00DB7947" w:rsidRDefault="00F84574" w:rsidP="00F84574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2. u značajnoj mjeri radi rekonstrukcija postojećeg proizvodnog postrojenja za proizvodnju električne i toplinske energije s ukupnom prosječnom godišnjom ulaznom snagom većom od 10 MW kako bi se procijenili troškovi i koristi njegove pretvorbe u visokoučinkovitu kogeneraciju;</w:t>
      </w:r>
    </w:p>
    <w:p w14:paraId="4B18EBB5" w14:textId="17BA3D2E" w:rsidR="00F84574" w:rsidRPr="00DB7947" w:rsidRDefault="00F84574" w:rsidP="00F84574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3. planira ili u značajnoj mjeri rekonstruira industrijsko postrojenje, sukladno zakonu kojim se uređuje gradnja, s ukupnom prosječnom godišnjom ulaznom snagom većom od 8 MW kako bi se procijenilo iskorištavanje otpadne topline na lokaciji i izvan lokacije;</w:t>
      </w:r>
    </w:p>
    <w:p w14:paraId="707B0B99" w14:textId="4D8D7625" w:rsidR="00F84574" w:rsidRPr="00DB7947" w:rsidRDefault="00F84574" w:rsidP="00F84574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4. planira ili u značajnoj mjeri rekonstruira uslužni objekt, sukladno zakonu kojim se uređuje gradnja, s ukupnom prosječnom godišnjom ulaznom snagom većom od 7 MW, kao što su postrojenja za pročišćavanje otpadnih voda i terminali za ukapljeni prirodni plin, kako bi se procijenilo iskorištavanje otpadne topline na lokaciji i izvan lokacije;</w:t>
      </w:r>
    </w:p>
    <w:p w14:paraId="6F6F3AAE" w14:textId="6BC8E45D" w:rsidR="00C704A4" w:rsidRPr="002B17FB" w:rsidRDefault="00F84574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5. planira ili u značajnoj mjeri rekonstruira podatkovni centar, sukladno zakonu kojim se uređuje gradnja, s ukupnom nazivnom ulaznom snagom većom od 1 MW, uključujući, ali ne ograničavajući</w:t>
      </w:r>
      <w:r w:rsidR="00C704A4" w:rsidRPr="00DB7947">
        <w:rPr>
          <w:rFonts w:ascii="Minion Pro" w:hAnsi="Minion Pro"/>
          <w:sz w:val="24"/>
          <w:szCs w:val="24"/>
        </w:rPr>
        <w:t xml:space="preserve"> </w:t>
      </w:r>
      <w:r w:rsidRPr="00DB7947">
        <w:rPr>
          <w:rFonts w:ascii="Minion Pro" w:hAnsi="Minion Pro"/>
          <w:sz w:val="24"/>
          <w:szCs w:val="24"/>
        </w:rPr>
        <w:t xml:space="preserve">se na tehničku izvedivost, troškovnu učinkovitost i učinak na energetsku učinkovitost i lokalnu potražnju za toplinskom energijom, uključujući sezonsku varijaciju, </w:t>
      </w:r>
      <w:r w:rsidRPr="00DB7947">
        <w:rPr>
          <w:rFonts w:ascii="Minion Pro" w:hAnsi="Minion Pro"/>
          <w:sz w:val="24"/>
          <w:szCs w:val="24"/>
        </w:rPr>
        <w:lastRenderedPageBreak/>
        <w:t>u pogledu iskorištavanja otpadne topline za ispunjavanje ekonomski opravdane potražnje i povezivanja tog postrojenja na centralni toplinski sustav ili učinkovit toplinski sustav centraliziranog grijanja i hlađenja.</w:t>
      </w:r>
    </w:p>
    <w:p w14:paraId="7A6D8194" w14:textId="77777777" w:rsidR="00177192" w:rsidRPr="00FB362E" w:rsidRDefault="00177192" w:rsidP="00FB362E">
      <w:pPr>
        <w:jc w:val="center"/>
        <w:rPr>
          <w:rFonts w:ascii="Minion Pro" w:hAnsi="Minion Pro"/>
          <w:sz w:val="24"/>
          <w:szCs w:val="24"/>
        </w:rPr>
      </w:pPr>
      <w:r w:rsidRPr="00FB362E">
        <w:rPr>
          <w:rFonts w:ascii="Minion Pro" w:hAnsi="Minion Pro"/>
          <w:sz w:val="24"/>
          <w:szCs w:val="24"/>
        </w:rPr>
        <w:t>Primjena pravne stečevine EU</w:t>
      </w:r>
    </w:p>
    <w:p w14:paraId="513F3684" w14:textId="692F1BDA" w:rsidR="00931B20" w:rsidRDefault="00177192" w:rsidP="00177192">
      <w:pPr>
        <w:jc w:val="center"/>
        <w:rPr>
          <w:rFonts w:ascii="Minion Pro" w:hAnsi="Minion Pro"/>
          <w:sz w:val="24"/>
          <w:szCs w:val="24"/>
        </w:rPr>
      </w:pPr>
      <w:r w:rsidRPr="00FB362E">
        <w:rPr>
          <w:rFonts w:ascii="Minion Pro" w:hAnsi="Minion Pro"/>
          <w:sz w:val="24"/>
          <w:szCs w:val="24"/>
        </w:rPr>
        <w:t>Članak 2.</w:t>
      </w:r>
    </w:p>
    <w:p w14:paraId="0BEA3DF9" w14:textId="13C419D8" w:rsidR="00177192" w:rsidRDefault="00BE5105" w:rsidP="00E70CE5">
      <w:pPr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(1) </w:t>
      </w:r>
      <w:r w:rsidRPr="00BE5105">
        <w:rPr>
          <w:rFonts w:ascii="Minion Pro" w:hAnsi="Minion Pro"/>
          <w:sz w:val="24"/>
          <w:szCs w:val="24"/>
        </w:rPr>
        <w:t>Ov</w:t>
      </w:r>
      <w:r>
        <w:rPr>
          <w:rFonts w:ascii="Minion Pro" w:hAnsi="Minion Pro"/>
          <w:sz w:val="24"/>
          <w:szCs w:val="24"/>
        </w:rPr>
        <w:t>i</w:t>
      </w:r>
      <w:r w:rsidRPr="00BE5105">
        <w:rPr>
          <w:rFonts w:ascii="Minion Pro" w:hAnsi="Minion Pro"/>
          <w:sz w:val="24"/>
          <w:szCs w:val="24"/>
        </w:rPr>
        <w:t xml:space="preserve">m se </w:t>
      </w:r>
      <w:r>
        <w:rPr>
          <w:rFonts w:ascii="Minion Pro" w:hAnsi="Minion Pro"/>
          <w:sz w:val="24"/>
          <w:szCs w:val="24"/>
        </w:rPr>
        <w:t>Pravilnikom</w:t>
      </w:r>
      <w:r w:rsidRPr="00BE5105">
        <w:rPr>
          <w:rFonts w:ascii="Minion Pro" w:hAnsi="Minion Pro"/>
          <w:sz w:val="24"/>
          <w:szCs w:val="24"/>
        </w:rPr>
        <w:t xml:space="preserve"> u pravni poredak Republike Hrvatske prenosi Direktiva (EU)</w:t>
      </w:r>
      <w:r w:rsidR="00E70CE5">
        <w:rPr>
          <w:rFonts w:ascii="Minion Pro" w:hAnsi="Minion Pro"/>
          <w:sz w:val="24"/>
          <w:szCs w:val="24"/>
        </w:rPr>
        <w:t xml:space="preserve"> </w:t>
      </w:r>
      <w:r w:rsidR="00E207E4" w:rsidRPr="00E207E4">
        <w:rPr>
          <w:rFonts w:ascii="Minion Pro" w:hAnsi="Minion Pro"/>
          <w:sz w:val="24"/>
          <w:szCs w:val="24"/>
        </w:rPr>
        <w:t>2023/1791 Europskog parlamenta i Vijeća od 13. rujna 2023. o energetskoj</w:t>
      </w:r>
      <w:r w:rsidR="00E70CE5">
        <w:rPr>
          <w:rFonts w:ascii="Minion Pro" w:hAnsi="Minion Pro"/>
          <w:sz w:val="24"/>
          <w:szCs w:val="24"/>
        </w:rPr>
        <w:t xml:space="preserve"> </w:t>
      </w:r>
      <w:r w:rsidR="00E207E4" w:rsidRPr="00E207E4">
        <w:rPr>
          <w:rFonts w:ascii="Minion Pro" w:hAnsi="Minion Pro"/>
          <w:sz w:val="24"/>
          <w:szCs w:val="24"/>
        </w:rPr>
        <w:t>učinkovitosti i izmjeni Uredbe (EU) 2023/955 (preinaka) (Tekst značajan za EGP) (SL 231,</w:t>
      </w:r>
      <w:r w:rsidR="00E70CE5">
        <w:rPr>
          <w:rFonts w:ascii="Minion Pro" w:hAnsi="Minion Pro"/>
          <w:sz w:val="24"/>
          <w:szCs w:val="24"/>
        </w:rPr>
        <w:t xml:space="preserve"> </w:t>
      </w:r>
      <w:r w:rsidR="00E207E4" w:rsidRPr="00E207E4">
        <w:rPr>
          <w:rFonts w:ascii="Minion Pro" w:hAnsi="Minion Pro"/>
          <w:sz w:val="24"/>
          <w:szCs w:val="24"/>
        </w:rPr>
        <w:t>20/09/2023, p. 1 – 111)</w:t>
      </w:r>
      <w:r w:rsidR="00E70CE5">
        <w:rPr>
          <w:rFonts w:ascii="Minion Pro" w:hAnsi="Minion Pro"/>
          <w:sz w:val="24"/>
          <w:szCs w:val="24"/>
        </w:rPr>
        <w:t xml:space="preserve"> u dijelu sveobuhvatne procjene</w:t>
      </w:r>
      <w:r w:rsidR="00A65DFE">
        <w:rPr>
          <w:rFonts w:ascii="Minion Pro" w:hAnsi="Minion Pro"/>
          <w:sz w:val="24"/>
          <w:szCs w:val="24"/>
        </w:rPr>
        <w:t xml:space="preserve"> </w:t>
      </w:r>
      <w:r w:rsidR="00A65DFE" w:rsidRPr="00A65DFE">
        <w:rPr>
          <w:rFonts w:ascii="Minion Pro" w:hAnsi="Minion Pro"/>
          <w:sz w:val="24"/>
          <w:szCs w:val="24"/>
        </w:rPr>
        <w:t>potencijala za učinkovito grijanje i hlađenje</w:t>
      </w:r>
      <w:r w:rsidR="00A65DFE">
        <w:rPr>
          <w:rFonts w:ascii="Minion Pro" w:hAnsi="Minion Pro"/>
          <w:sz w:val="24"/>
          <w:szCs w:val="24"/>
        </w:rPr>
        <w:t xml:space="preserve"> i izrade analize troškova i koristi.</w:t>
      </w:r>
    </w:p>
    <w:p w14:paraId="0A48F90A" w14:textId="121179F0" w:rsidR="00CD6849" w:rsidRPr="002B17FB" w:rsidRDefault="00A65DFE" w:rsidP="00FB362E">
      <w:pPr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(2) </w:t>
      </w:r>
      <w:r w:rsidR="008C4775" w:rsidRPr="008C4775">
        <w:rPr>
          <w:rFonts w:ascii="Minion Pro" w:hAnsi="Minion Pro"/>
          <w:sz w:val="24"/>
          <w:szCs w:val="24"/>
        </w:rPr>
        <w:t xml:space="preserve">Ovim </w:t>
      </w:r>
      <w:r w:rsidR="008C4775">
        <w:rPr>
          <w:rFonts w:ascii="Minion Pro" w:hAnsi="Minion Pro"/>
          <w:sz w:val="24"/>
          <w:szCs w:val="24"/>
        </w:rPr>
        <w:t xml:space="preserve">se Pravilnikom </w:t>
      </w:r>
      <w:r w:rsidR="008C4775" w:rsidRPr="008C4775">
        <w:rPr>
          <w:rFonts w:ascii="Minion Pro" w:hAnsi="Minion Pro"/>
          <w:sz w:val="24"/>
          <w:szCs w:val="24"/>
        </w:rPr>
        <w:t xml:space="preserve">osigurava provedba </w:t>
      </w:r>
      <w:r w:rsidR="003A5218" w:rsidRPr="008C4775">
        <w:rPr>
          <w:rFonts w:ascii="Minion Pro" w:hAnsi="Minion Pro"/>
          <w:sz w:val="24"/>
          <w:szCs w:val="24"/>
        </w:rPr>
        <w:t>Delegiran</w:t>
      </w:r>
      <w:r w:rsidR="003A5218">
        <w:rPr>
          <w:rFonts w:ascii="Minion Pro" w:hAnsi="Minion Pro"/>
          <w:sz w:val="24"/>
          <w:szCs w:val="24"/>
        </w:rPr>
        <w:t>e</w:t>
      </w:r>
      <w:r w:rsidR="003A5218" w:rsidRPr="008C4775">
        <w:rPr>
          <w:rFonts w:ascii="Minion Pro" w:hAnsi="Minion Pro"/>
          <w:sz w:val="24"/>
          <w:szCs w:val="24"/>
        </w:rPr>
        <w:t xml:space="preserve"> uredb</w:t>
      </w:r>
      <w:r w:rsidR="003A5218">
        <w:rPr>
          <w:rFonts w:ascii="Minion Pro" w:hAnsi="Minion Pro"/>
          <w:sz w:val="24"/>
          <w:szCs w:val="24"/>
        </w:rPr>
        <w:t>e</w:t>
      </w:r>
      <w:r w:rsidR="003A5218" w:rsidRPr="008C4775">
        <w:rPr>
          <w:rFonts w:ascii="Minion Pro" w:hAnsi="Minion Pro"/>
          <w:sz w:val="24"/>
          <w:szCs w:val="24"/>
        </w:rPr>
        <w:t xml:space="preserve"> Komisije 2019/826/EU od 4. ožujka 2019. o izmjeni priloga VIII. i IX. Direktivi 2012/27/EU Europskog parlamenta i Vijeća u pogledu sadržaja sveobuhvatnih procjena potencijala za učinkovito grijanje i hlađenje (SL L 137, 23. 5. 2019.)</w:t>
      </w:r>
      <w:r w:rsidR="003A5218">
        <w:rPr>
          <w:rFonts w:ascii="Minion Pro" w:hAnsi="Minion Pro"/>
          <w:sz w:val="24"/>
          <w:szCs w:val="24"/>
        </w:rPr>
        <w:t xml:space="preserve"> </w:t>
      </w:r>
      <w:r w:rsidR="008C4775" w:rsidRPr="008C4775">
        <w:rPr>
          <w:rFonts w:ascii="Minion Pro" w:hAnsi="Minion Pro"/>
          <w:sz w:val="24"/>
          <w:szCs w:val="24"/>
        </w:rPr>
        <w:t xml:space="preserve">u dijelu koji se odnosi na </w:t>
      </w:r>
      <w:r w:rsidR="00A52207" w:rsidRPr="00A52207">
        <w:rPr>
          <w:rFonts w:ascii="Minion Pro" w:hAnsi="Minion Pro"/>
          <w:sz w:val="24"/>
          <w:szCs w:val="24"/>
        </w:rPr>
        <w:t xml:space="preserve">sveobuhvatne procjene potencijala za učinkovito grijanje i hlađenje i </w:t>
      </w:r>
      <w:r w:rsidR="008C4775" w:rsidRPr="008C4775">
        <w:rPr>
          <w:rFonts w:ascii="Minion Pro" w:hAnsi="Minion Pro"/>
          <w:sz w:val="24"/>
          <w:szCs w:val="24"/>
        </w:rPr>
        <w:t>analizu troškova i koristi</w:t>
      </w:r>
      <w:r w:rsidR="003A5218">
        <w:rPr>
          <w:rFonts w:ascii="Minion Pro" w:hAnsi="Minion Pro"/>
          <w:sz w:val="24"/>
          <w:szCs w:val="24"/>
        </w:rPr>
        <w:t>.</w:t>
      </w:r>
    </w:p>
    <w:p w14:paraId="3EA1AD3F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Značenje pojedinih izraza</w:t>
      </w:r>
    </w:p>
    <w:p w14:paraId="5B802DB1" w14:textId="471EC7B1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3</w:t>
      </w:r>
      <w:r w:rsidRPr="002B17FB">
        <w:rPr>
          <w:rFonts w:ascii="Minion Pro" w:hAnsi="Minion Pro"/>
          <w:sz w:val="24"/>
          <w:szCs w:val="24"/>
        </w:rPr>
        <w:t>.</w:t>
      </w:r>
    </w:p>
    <w:p w14:paraId="5F65B70A" w14:textId="73DC6682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Izrazi koji se koriste u ovom Pravilniku imaju značenja utvrđena zakonom kojim se uređuju tržište toplinske energije</w:t>
      </w:r>
      <w:r w:rsidR="007D5973" w:rsidRPr="002B17FB">
        <w:rPr>
          <w:rFonts w:ascii="Minion Pro" w:hAnsi="Minion Pro"/>
          <w:sz w:val="24"/>
          <w:szCs w:val="24"/>
        </w:rPr>
        <w:t>, energetska učinkovitost</w:t>
      </w:r>
      <w:r w:rsidR="00376CBC" w:rsidRPr="002B17FB">
        <w:rPr>
          <w:rFonts w:ascii="Minion Pro" w:hAnsi="Minion Pro"/>
          <w:sz w:val="24"/>
          <w:szCs w:val="24"/>
        </w:rPr>
        <w:t>,</w:t>
      </w:r>
      <w:r w:rsidRPr="002B17FB">
        <w:rPr>
          <w:rFonts w:ascii="Minion Pro" w:hAnsi="Minion Pro"/>
          <w:sz w:val="24"/>
          <w:szCs w:val="24"/>
        </w:rPr>
        <w:t xml:space="preserve"> te ostalim zakonima kojima se uređuje energetski sektor, zakonima kojim se uređuje prostorno planiranje i gradnja, zakonima kojim se uređuje područje financija</w:t>
      </w:r>
      <w:r w:rsidR="00376CBC" w:rsidRPr="002B17FB">
        <w:rPr>
          <w:rFonts w:ascii="Minion Pro" w:hAnsi="Minion Pro"/>
          <w:sz w:val="24"/>
          <w:szCs w:val="24"/>
        </w:rPr>
        <w:t>,</w:t>
      </w:r>
      <w:r w:rsidRPr="002B17FB">
        <w:rPr>
          <w:rFonts w:ascii="Minion Pro" w:hAnsi="Minion Pro"/>
          <w:sz w:val="24"/>
          <w:szCs w:val="24"/>
        </w:rPr>
        <w:t xml:space="preserve"> te propisima donesenima na temelju tih zakona.</w:t>
      </w:r>
    </w:p>
    <w:p w14:paraId="5C2BEF5F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U ovom Pravilniku koriste se i izrazi koji u smislu ovog Pravilnika imaju sljedeće značenje:</w:t>
      </w:r>
    </w:p>
    <w:p w14:paraId="394C1E81" w14:textId="10D5E7D5" w:rsidR="009E3501" w:rsidRPr="002B17FB" w:rsidRDefault="00CC7EDC" w:rsidP="002B17FB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a</w:t>
      </w:r>
      <w:r w:rsidR="001E6088" w:rsidRPr="002B17FB">
        <w:rPr>
          <w:rFonts w:ascii="Minion Pro" w:hAnsi="Minion Pro"/>
          <w:sz w:val="24"/>
          <w:szCs w:val="24"/>
        </w:rPr>
        <w:t xml:space="preserve">naliza troškova i koristi </w:t>
      </w:r>
      <w:r w:rsidR="00F72564" w:rsidRPr="00DB7947">
        <w:rPr>
          <w:rFonts w:ascii="Minion Pro" w:hAnsi="Minion Pro"/>
          <w:sz w:val="24"/>
          <w:szCs w:val="24"/>
        </w:rPr>
        <w:t>–</w:t>
      </w:r>
      <w:r w:rsidR="001E6088" w:rsidRPr="002B17FB">
        <w:rPr>
          <w:rFonts w:ascii="Minion Pro" w:hAnsi="Minion Pro"/>
          <w:sz w:val="24"/>
          <w:szCs w:val="24"/>
        </w:rPr>
        <w:t xml:space="preserve"> </w:t>
      </w:r>
      <w:r w:rsidR="00F72564" w:rsidRPr="00DB7947">
        <w:rPr>
          <w:rFonts w:ascii="Minion Pro" w:hAnsi="Minion Pro"/>
          <w:sz w:val="24"/>
          <w:szCs w:val="24"/>
        </w:rPr>
        <w:t xml:space="preserve">analiza koja </w:t>
      </w:r>
      <w:r w:rsidR="001B7994" w:rsidRPr="002B17FB">
        <w:rPr>
          <w:rFonts w:ascii="Minion Pro" w:hAnsi="Minion Pro"/>
          <w:sz w:val="24"/>
          <w:szCs w:val="24"/>
        </w:rPr>
        <w:t xml:space="preserve">uključuje </w:t>
      </w:r>
      <w:r w:rsidR="000D0EAB" w:rsidRPr="002B17FB">
        <w:rPr>
          <w:rFonts w:ascii="Minion Pro" w:hAnsi="Minion Pro"/>
          <w:sz w:val="24"/>
          <w:szCs w:val="24"/>
        </w:rPr>
        <w:t>ekonomsku</w:t>
      </w:r>
      <w:r w:rsidR="001B7994" w:rsidRPr="002B17FB">
        <w:rPr>
          <w:rFonts w:ascii="Minion Pro" w:hAnsi="Minion Pro"/>
          <w:sz w:val="24"/>
          <w:szCs w:val="24"/>
        </w:rPr>
        <w:t xml:space="preserve"> analizu u kojoj se uzimaju u obzir socioekonomski i okolišni čimbenici te financijsku analizu provedenu radi procjene projekata iz stajališta </w:t>
      </w:r>
      <w:r w:rsidR="003A2193" w:rsidRPr="00DB7947">
        <w:rPr>
          <w:rFonts w:ascii="Minion Pro" w:hAnsi="Minion Pro"/>
          <w:sz w:val="24"/>
          <w:szCs w:val="24"/>
        </w:rPr>
        <w:t>investitora</w:t>
      </w:r>
      <w:r w:rsidR="001B7994" w:rsidRPr="002B17FB">
        <w:rPr>
          <w:rFonts w:ascii="Minion Pro" w:hAnsi="Minion Pro"/>
          <w:sz w:val="24"/>
          <w:szCs w:val="24"/>
        </w:rPr>
        <w:t xml:space="preserve">, pri čemu se i u </w:t>
      </w:r>
      <w:r w:rsidR="00BA5070" w:rsidRPr="002B17FB">
        <w:rPr>
          <w:rFonts w:ascii="Minion Pro" w:hAnsi="Minion Pro"/>
          <w:sz w:val="24"/>
          <w:szCs w:val="24"/>
        </w:rPr>
        <w:t>ekonomskoj</w:t>
      </w:r>
      <w:r w:rsidR="001B7994" w:rsidRPr="002B17FB">
        <w:rPr>
          <w:rFonts w:ascii="Minion Pro" w:hAnsi="Minion Pro"/>
          <w:sz w:val="24"/>
          <w:szCs w:val="24"/>
        </w:rPr>
        <w:t xml:space="preserve"> i financijskoj analizi kao kriterij za ocjenu</w:t>
      </w:r>
      <w:r w:rsidR="002564FF" w:rsidRPr="00DB7947">
        <w:rPr>
          <w:rFonts w:ascii="Minion Pro" w:hAnsi="Minion Pro"/>
          <w:sz w:val="24"/>
          <w:szCs w:val="24"/>
        </w:rPr>
        <w:t xml:space="preserve"> isplativosti projekta </w:t>
      </w:r>
      <w:r w:rsidR="00610BB9" w:rsidRPr="00DB7947">
        <w:rPr>
          <w:rFonts w:ascii="Minion Pro" w:hAnsi="Minion Pro"/>
          <w:sz w:val="24"/>
          <w:szCs w:val="24"/>
        </w:rPr>
        <w:t xml:space="preserve">kao konačan rezultat analize troškova i koristi </w:t>
      </w:r>
      <w:r w:rsidR="001B7994" w:rsidRPr="002B17FB" w:rsidDel="002564FF">
        <w:rPr>
          <w:rFonts w:ascii="Minion Pro" w:hAnsi="Minion Pro"/>
          <w:sz w:val="24"/>
          <w:szCs w:val="24"/>
        </w:rPr>
        <w:t xml:space="preserve"> </w:t>
      </w:r>
      <w:r w:rsidR="001B7994" w:rsidRPr="002B17FB">
        <w:rPr>
          <w:rFonts w:ascii="Minion Pro" w:hAnsi="Minion Pro"/>
          <w:sz w:val="24"/>
          <w:szCs w:val="24"/>
        </w:rPr>
        <w:t>upotrebljava neto sadašnja vrijednost</w:t>
      </w:r>
    </w:p>
    <w:p w14:paraId="0A09B53F" w14:textId="5BCB6032" w:rsidR="004F30A8" w:rsidRPr="002B17FB" w:rsidRDefault="007C7F78" w:rsidP="002B17FB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ishodišni</w:t>
      </w:r>
      <w:r w:rsidR="004F30A8" w:rsidRPr="002B17FB">
        <w:rPr>
          <w:rFonts w:ascii="Minion Pro" w:hAnsi="Minion Pro"/>
          <w:sz w:val="24"/>
          <w:szCs w:val="24"/>
        </w:rPr>
        <w:t xml:space="preserve"> scenarij </w:t>
      </w:r>
      <w:r w:rsidR="00597B6B" w:rsidRPr="00DB7947">
        <w:rPr>
          <w:rFonts w:ascii="Minion Pro" w:hAnsi="Minion Pro"/>
          <w:sz w:val="24"/>
          <w:szCs w:val="24"/>
        </w:rPr>
        <w:t>–</w:t>
      </w:r>
      <w:r w:rsidR="004F30A8" w:rsidRPr="002B17FB">
        <w:rPr>
          <w:rFonts w:ascii="Minion Pro" w:hAnsi="Minion Pro"/>
          <w:sz w:val="24"/>
          <w:szCs w:val="24"/>
        </w:rPr>
        <w:t xml:space="preserve"> </w:t>
      </w:r>
      <w:r w:rsidR="00597B6B" w:rsidRPr="00DB7947">
        <w:rPr>
          <w:rFonts w:ascii="Minion Pro" w:hAnsi="Minion Pro"/>
          <w:sz w:val="24"/>
          <w:szCs w:val="24"/>
        </w:rPr>
        <w:t xml:space="preserve">scenarij </w:t>
      </w:r>
      <w:r w:rsidR="00402D4E" w:rsidRPr="00DB7947">
        <w:rPr>
          <w:rFonts w:ascii="Minion Pro" w:hAnsi="Minion Pro"/>
          <w:sz w:val="24"/>
          <w:szCs w:val="24"/>
        </w:rPr>
        <w:t xml:space="preserve">koji </w:t>
      </w:r>
      <w:r w:rsidR="00D34DF4" w:rsidRPr="002B17FB">
        <w:rPr>
          <w:rFonts w:ascii="Minion Pro" w:hAnsi="Minion Pro"/>
          <w:sz w:val="24"/>
          <w:szCs w:val="24"/>
        </w:rPr>
        <w:t>obuhva</w:t>
      </w:r>
      <w:r w:rsidR="00402D4E" w:rsidRPr="00DB7947">
        <w:rPr>
          <w:rFonts w:ascii="Minion Pro" w:hAnsi="Minion Pro"/>
          <w:sz w:val="24"/>
          <w:szCs w:val="24"/>
        </w:rPr>
        <w:t>ća</w:t>
      </w:r>
      <w:r w:rsidR="00D34DF4" w:rsidRPr="002B17FB">
        <w:rPr>
          <w:rFonts w:ascii="Minion Pro" w:hAnsi="Minion Pro"/>
          <w:sz w:val="24"/>
          <w:szCs w:val="24"/>
        </w:rPr>
        <w:t xml:space="preserve"> sve važeće politike i mjere</w:t>
      </w:r>
      <w:r w:rsidR="00373E1E" w:rsidRPr="00DB7947">
        <w:rPr>
          <w:rFonts w:ascii="Minion Pro" w:hAnsi="Minion Pro"/>
          <w:sz w:val="24"/>
          <w:szCs w:val="24"/>
        </w:rPr>
        <w:t xml:space="preserve"> projekta koji se </w:t>
      </w:r>
      <w:r w:rsidR="00B00721" w:rsidRPr="00DB7947">
        <w:rPr>
          <w:rFonts w:ascii="Minion Pro" w:hAnsi="Minion Pro"/>
          <w:sz w:val="24"/>
          <w:szCs w:val="24"/>
        </w:rPr>
        <w:t>analizira</w:t>
      </w:r>
      <w:r w:rsidR="00D34DF4" w:rsidRPr="002B17FB">
        <w:rPr>
          <w:rFonts w:ascii="Minion Pro" w:hAnsi="Minion Pro"/>
          <w:sz w:val="24"/>
          <w:szCs w:val="24"/>
        </w:rPr>
        <w:t xml:space="preserve"> na dan izrade </w:t>
      </w:r>
      <w:r w:rsidR="00A96AAA" w:rsidRPr="00DB7947">
        <w:rPr>
          <w:rFonts w:ascii="Minion Pro" w:hAnsi="Minion Pro"/>
          <w:sz w:val="24"/>
          <w:szCs w:val="24"/>
        </w:rPr>
        <w:t xml:space="preserve">na dan izrade analize troškova </w:t>
      </w:r>
      <w:r w:rsidR="00276F83" w:rsidRPr="00DB7947">
        <w:rPr>
          <w:rFonts w:ascii="Minion Pro" w:hAnsi="Minion Pro"/>
          <w:sz w:val="24"/>
          <w:szCs w:val="24"/>
        </w:rPr>
        <w:t>i</w:t>
      </w:r>
      <w:r w:rsidR="00A96AAA" w:rsidRPr="00DB7947">
        <w:rPr>
          <w:rFonts w:ascii="Minion Pro" w:hAnsi="Minion Pro"/>
          <w:sz w:val="24"/>
          <w:szCs w:val="24"/>
        </w:rPr>
        <w:t xml:space="preserve"> koristi</w:t>
      </w:r>
      <w:r w:rsidR="00402D4E" w:rsidRPr="00DB7947">
        <w:rPr>
          <w:rFonts w:ascii="Minion Pro" w:hAnsi="Minion Pro"/>
          <w:sz w:val="24"/>
          <w:szCs w:val="24"/>
        </w:rPr>
        <w:t xml:space="preserve"> i služi kao referentna točka  za izradu analize troškova i koristi</w:t>
      </w:r>
    </w:p>
    <w:p w14:paraId="21C13FD2" w14:textId="2BAD74BA" w:rsidR="006B6CE7" w:rsidRPr="002B17FB" w:rsidRDefault="00CC7EDC" w:rsidP="002B17FB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a</w:t>
      </w:r>
      <w:r w:rsidR="006B6CE7" w:rsidRPr="002B17FB">
        <w:rPr>
          <w:rFonts w:ascii="Minion Pro" w:hAnsi="Minion Pro"/>
          <w:sz w:val="24"/>
          <w:szCs w:val="24"/>
        </w:rPr>
        <w:t>lternativni scenarij</w:t>
      </w:r>
      <w:r w:rsidR="001F3CCF" w:rsidRPr="002B17FB">
        <w:rPr>
          <w:rFonts w:ascii="Minion Pro" w:hAnsi="Minion Pro"/>
          <w:sz w:val="24"/>
          <w:szCs w:val="24"/>
        </w:rPr>
        <w:t>i</w:t>
      </w:r>
      <w:r w:rsidR="006B6CE7" w:rsidRPr="002B17FB">
        <w:rPr>
          <w:rFonts w:ascii="Minion Pro" w:hAnsi="Minion Pro"/>
          <w:sz w:val="24"/>
          <w:szCs w:val="24"/>
        </w:rPr>
        <w:t xml:space="preserve"> </w:t>
      </w:r>
      <w:r w:rsidR="00402D4E" w:rsidRPr="00DB7947">
        <w:rPr>
          <w:rFonts w:ascii="Minion Pro" w:hAnsi="Minion Pro"/>
          <w:sz w:val="24"/>
          <w:szCs w:val="24"/>
        </w:rPr>
        <w:t>–</w:t>
      </w:r>
      <w:r w:rsidR="006B6CE7" w:rsidRPr="002B17FB">
        <w:rPr>
          <w:rFonts w:ascii="Minion Pro" w:hAnsi="Minion Pro"/>
          <w:sz w:val="24"/>
          <w:szCs w:val="24"/>
        </w:rPr>
        <w:t xml:space="preserve"> </w:t>
      </w:r>
      <w:r w:rsidR="00402D4E" w:rsidRPr="00DB7947">
        <w:rPr>
          <w:rFonts w:ascii="Minion Pro" w:hAnsi="Minion Pro"/>
          <w:sz w:val="24"/>
          <w:szCs w:val="24"/>
        </w:rPr>
        <w:t xml:space="preserve">scenarij koji </w:t>
      </w:r>
      <w:r w:rsidR="006B6CE7" w:rsidRPr="002B17FB">
        <w:rPr>
          <w:rFonts w:ascii="Minion Pro" w:hAnsi="Minion Pro"/>
          <w:sz w:val="24"/>
          <w:szCs w:val="24"/>
        </w:rPr>
        <w:t xml:space="preserve">u odnosu na </w:t>
      </w:r>
      <w:r w:rsidR="007C7F78" w:rsidRPr="00DB7947">
        <w:rPr>
          <w:rFonts w:ascii="Minion Pro" w:hAnsi="Minion Pro"/>
          <w:sz w:val="24"/>
          <w:szCs w:val="24"/>
        </w:rPr>
        <w:t>ishodišni</w:t>
      </w:r>
      <w:r w:rsidR="006B6CE7" w:rsidRPr="002B17FB">
        <w:rPr>
          <w:rFonts w:ascii="Minion Pro" w:hAnsi="Minion Pro"/>
          <w:sz w:val="24"/>
          <w:szCs w:val="24"/>
        </w:rPr>
        <w:t xml:space="preserve"> scenarij uzima</w:t>
      </w:r>
      <w:r w:rsidR="00402D4E" w:rsidRPr="00DB7947">
        <w:rPr>
          <w:rFonts w:ascii="Minion Pro" w:hAnsi="Minion Pro"/>
          <w:sz w:val="24"/>
          <w:szCs w:val="24"/>
        </w:rPr>
        <w:t xml:space="preserve"> </w:t>
      </w:r>
      <w:r w:rsidR="006B6CE7" w:rsidRPr="002B17FB">
        <w:rPr>
          <w:rFonts w:ascii="Minion Pro" w:hAnsi="Minion Pro"/>
          <w:sz w:val="24"/>
          <w:szCs w:val="24"/>
        </w:rPr>
        <w:t>u obzir ciljeve energetske učinkovitosti i obnovljivih izvora energije te mora</w:t>
      </w:r>
      <w:r w:rsidR="00402D4E" w:rsidRPr="00DB7947">
        <w:rPr>
          <w:rFonts w:ascii="Minion Pro" w:hAnsi="Minion Pro"/>
          <w:sz w:val="24"/>
          <w:szCs w:val="24"/>
        </w:rPr>
        <w:t xml:space="preserve"> </w:t>
      </w:r>
      <w:r w:rsidR="006B6CE7" w:rsidRPr="002B17FB">
        <w:rPr>
          <w:rFonts w:ascii="Minion Pro" w:hAnsi="Minion Pro"/>
          <w:sz w:val="24"/>
          <w:szCs w:val="24"/>
        </w:rPr>
        <w:t xml:space="preserve">sadržavati, za svaki scenarij </w:t>
      </w:r>
      <w:r w:rsidR="001F29DC" w:rsidRPr="002B17FB">
        <w:rPr>
          <w:rFonts w:ascii="Minion Pro" w:hAnsi="Minion Pro"/>
          <w:sz w:val="24"/>
          <w:szCs w:val="24"/>
        </w:rPr>
        <w:t>koji se uspoređuje</w:t>
      </w:r>
      <w:r w:rsidR="006B6CE7" w:rsidRPr="002B17FB">
        <w:rPr>
          <w:rFonts w:ascii="Minion Pro" w:hAnsi="Minion Pro"/>
          <w:sz w:val="24"/>
          <w:szCs w:val="24"/>
        </w:rPr>
        <w:t xml:space="preserve"> s </w:t>
      </w:r>
      <w:r w:rsidR="003A753B" w:rsidRPr="00DB7947">
        <w:rPr>
          <w:rFonts w:ascii="Minion Pro" w:hAnsi="Minion Pro"/>
          <w:sz w:val="24"/>
          <w:szCs w:val="24"/>
        </w:rPr>
        <w:t>ishodišnim</w:t>
      </w:r>
      <w:r w:rsidR="006B6CE7" w:rsidRPr="002B17FB">
        <w:rPr>
          <w:rFonts w:ascii="Minion Pro" w:hAnsi="Minion Pro"/>
          <w:sz w:val="24"/>
          <w:szCs w:val="24"/>
        </w:rPr>
        <w:t xml:space="preserve"> scenarijem, barem sljedeće podatke</w:t>
      </w:r>
    </w:p>
    <w:p w14:paraId="393F1F90" w14:textId="3384B3AB" w:rsidR="006B6CE7" w:rsidRPr="002B17FB" w:rsidRDefault="006B6CE7" w:rsidP="002B17FB">
      <w:pPr>
        <w:pStyle w:val="Odlomakpopisa"/>
        <w:numPr>
          <w:ilvl w:val="0"/>
          <w:numId w:val="8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gospodarski potencijal analiziranih tehnologija, </w:t>
      </w:r>
      <w:r w:rsidR="00BD33E1" w:rsidRPr="002B17FB">
        <w:rPr>
          <w:rFonts w:ascii="Minion Pro" w:hAnsi="Minion Pro"/>
          <w:sz w:val="24"/>
          <w:szCs w:val="24"/>
        </w:rPr>
        <w:t>pri čemu se kao mjerilo uzima neto sadašnja vrijednost</w:t>
      </w:r>
      <w:r w:rsidRPr="002B17FB">
        <w:rPr>
          <w:rFonts w:ascii="Minion Pro" w:hAnsi="Minion Pro"/>
          <w:sz w:val="24"/>
          <w:szCs w:val="24"/>
        </w:rPr>
        <w:t>;</w:t>
      </w:r>
    </w:p>
    <w:p w14:paraId="3C83E312" w14:textId="2055D10D" w:rsidR="006B6CE7" w:rsidRPr="002B17FB" w:rsidRDefault="006B6CE7" w:rsidP="002B17FB">
      <w:pPr>
        <w:pStyle w:val="Odlomakpopisa"/>
        <w:numPr>
          <w:ilvl w:val="0"/>
          <w:numId w:val="8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smanjenje emisija stakleničkih plinova;</w:t>
      </w:r>
    </w:p>
    <w:p w14:paraId="7C1B0403" w14:textId="709AC0AE" w:rsidR="006B6CE7" w:rsidRPr="002B17FB" w:rsidRDefault="006B6CE7" w:rsidP="002B17FB">
      <w:pPr>
        <w:pStyle w:val="Odlomakpopisa"/>
        <w:numPr>
          <w:ilvl w:val="0"/>
          <w:numId w:val="8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ušteda primarne energije, izražena u GWh godišnje;</w:t>
      </w:r>
    </w:p>
    <w:p w14:paraId="07EDF38B" w14:textId="21277B9A" w:rsidR="00BE497A" w:rsidRPr="002B17FB" w:rsidRDefault="006B6CE7" w:rsidP="002B17FB">
      <w:pPr>
        <w:pStyle w:val="Odlomakpopisa"/>
        <w:numPr>
          <w:ilvl w:val="0"/>
          <w:numId w:val="8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utjecaj na udio obnovljivih izvora energije u nacionalnoj energetskoj strukturi.</w:t>
      </w:r>
    </w:p>
    <w:p w14:paraId="5FDD15B7" w14:textId="056A27E4" w:rsidR="00477968" w:rsidRPr="002B17FB" w:rsidRDefault="00B97C6B" w:rsidP="002B17FB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 xml:space="preserve">analiza osjetljivosti </w:t>
      </w:r>
      <w:r w:rsidR="00DF639D" w:rsidRPr="002B17FB">
        <w:rPr>
          <w:rFonts w:ascii="Minion Pro" w:hAnsi="Minion Pro"/>
          <w:sz w:val="24"/>
          <w:szCs w:val="24"/>
        </w:rPr>
        <w:t>–</w:t>
      </w:r>
      <w:r w:rsidR="00376CBC" w:rsidRPr="002B17FB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>analiza</w:t>
      </w:r>
      <w:r w:rsidR="00DF639D" w:rsidRPr="002B17FB">
        <w:rPr>
          <w:rFonts w:ascii="Minion Pro" w:hAnsi="Minion Pro"/>
          <w:sz w:val="24"/>
          <w:szCs w:val="24"/>
        </w:rPr>
        <w:t xml:space="preserve"> </w:t>
      </w:r>
      <w:r w:rsidR="003C744E" w:rsidRPr="00DB7947">
        <w:rPr>
          <w:rFonts w:ascii="Minion Pro" w:hAnsi="Minion Pro"/>
          <w:sz w:val="24"/>
          <w:szCs w:val="24"/>
        </w:rPr>
        <w:t xml:space="preserve">koja </w:t>
      </w:r>
      <w:r w:rsidR="00DF639D" w:rsidRPr="002B17FB">
        <w:rPr>
          <w:rFonts w:ascii="Minion Pro" w:hAnsi="Minion Pro"/>
          <w:sz w:val="24"/>
          <w:szCs w:val="24"/>
        </w:rPr>
        <w:t>se izrađuje na temelju</w:t>
      </w:r>
      <w:r w:rsidR="007D30F7" w:rsidRPr="002B17FB">
        <w:rPr>
          <w:rFonts w:ascii="Minion Pro" w:hAnsi="Minion Pro"/>
          <w:sz w:val="24"/>
          <w:szCs w:val="24"/>
        </w:rPr>
        <w:t xml:space="preserve"> </w:t>
      </w:r>
      <w:r w:rsidR="00083B23" w:rsidRPr="002B17FB">
        <w:rPr>
          <w:rFonts w:ascii="Minion Pro" w:hAnsi="Minion Pro"/>
          <w:sz w:val="24"/>
          <w:szCs w:val="24"/>
        </w:rPr>
        <w:t>procjene troškova i koristi projekta ili skupine projekata, a temelji se na varijabilnim čimbenicima koji imaju značajan učinak na ishod izračuna različitih cijena energije, potražnje</w:t>
      </w:r>
      <w:r w:rsidR="005B3C64" w:rsidRPr="00DB7947">
        <w:rPr>
          <w:rFonts w:ascii="Minion Pro" w:hAnsi="Minion Pro"/>
          <w:sz w:val="24"/>
          <w:szCs w:val="24"/>
        </w:rPr>
        <w:t xml:space="preserve"> energije</w:t>
      </w:r>
      <w:r w:rsidR="00083B23" w:rsidRPr="002B17FB">
        <w:rPr>
          <w:rFonts w:ascii="Minion Pro" w:hAnsi="Minion Pro"/>
          <w:sz w:val="24"/>
          <w:szCs w:val="24"/>
        </w:rPr>
        <w:t>, diskontnih stopa i drugih</w:t>
      </w:r>
      <w:r w:rsidR="00D31EBD" w:rsidRPr="00DB7947">
        <w:rPr>
          <w:rFonts w:ascii="Minion Pro" w:hAnsi="Minion Pro"/>
          <w:sz w:val="24"/>
          <w:szCs w:val="24"/>
        </w:rPr>
        <w:t xml:space="preserve"> čimbenika</w:t>
      </w:r>
    </w:p>
    <w:p w14:paraId="182133A1" w14:textId="26FD2F25" w:rsidR="00B97C6B" w:rsidRPr="002B17FB" w:rsidRDefault="00B97C6B" w:rsidP="002B17FB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društveni čimbenici </w:t>
      </w:r>
      <w:r w:rsidR="00376CBC" w:rsidRPr="002B17FB">
        <w:rPr>
          <w:rFonts w:ascii="Minion Pro" w:hAnsi="Minion Pro"/>
          <w:sz w:val="24"/>
          <w:szCs w:val="24"/>
        </w:rPr>
        <w:t xml:space="preserve">- </w:t>
      </w:r>
      <w:r w:rsidRPr="002B17FB">
        <w:rPr>
          <w:rFonts w:ascii="Minion Pro" w:hAnsi="Minion Pro"/>
          <w:sz w:val="24"/>
          <w:szCs w:val="24"/>
        </w:rPr>
        <w:t xml:space="preserve">promjene u društvu </w:t>
      </w:r>
      <w:r w:rsidR="00FE6069" w:rsidRPr="00DB7947">
        <w:rPr>
          <w:rFonts w:ascii="Minion Pro" w:hAnsi="Minion Pro"/>
          <w:sz w:val="24"/>
          <w:szCs w:val="24"/>
        </w:rPr>
        <w:t>koje se analiziraju u</w:t>
      </w:r>
      <w:r w:rsidRPr="002B17FB">
        <w:rPr>
          <w:rFonts w:ascii="Minion Pro" w:hAnsi="Minion Pro"/>
          <w:sz w:val="24"/>
          <w:szCs w:val="24"/>
        </w:rPr>
        <w:t xml:space="preserve"> </w:t>
      </w:r>
      <w:r w:rsidR="00FE6069" w:rsidRPr="002B17FB">
        <w:rPr>
          <w:rFonts w:ascii="Minion Pro" w:hAnsi="Minion Pro"/>
          <w:sz w:val="24"/>
          <w:szCs w:val="24"/>
        </w:rPr>
        <w:t>analiz</w:t>
      </w:r>
      <w:r w:rsidR="00FE6069" w:rsidRPr="00DB7947">
        <w:rPr>
          <w:rFonts w:ascii="Minion Pro" w:hAnsi="Minion Pro"/>
          <w:sz w:val="24"/>
          <w:szCs w:val="24"/>
        </w:rPr>
        <w:t>i</w:t>
      </w:r>
      <w:r w:rsidR="00FE6069" w:rsidRPr="002B17FB">
        <w:rPr>
          <w:rFonts w:ascii="Minion Pro" w:hAnsi="Minion Pro"/>
          <w:sz w:val="24"/>
          <w:szCs w:val="24"/>
        </w:rPr>
        <w:t xml:space="preserve"> </w:t>
      </w:r>
      <w:r w:rsidR="00E0233F" w:rsidRPr="00DB7947">
        <w:rPr>
          <w:rFonts w:ascii="Minion Pro" w:hAnsi="Minion Pro"/>
          <w:sz w:val="24"/>
          <w:szCs w:val="24"/>
        </w:rPr>
        <w:t>troškova i koristi</w:t>
      </w:r>
      <w:r w:rsidRPr="002B17FB">
        <w:rPr>
          <w:rFonts w:ascii="Minion Pro" w:hAnsi="Minion Pro"/>
          <w:sz w:val="24"/>
          <w:szCs w:val="24"/>
        </w:rPr>
        <w:t xml:space="preserve">, </w:t>
      </w:r>
      <w:r w:rsidR="00E23B51" w:rsidRPr="00DB7947">
        <w:rPr>
          <w:rFonts w:ascii="Minion Pro" w:hAnsi="Minion Pro"/>
          <w:sz w:val="24"/>
          <w:szCs w:val="24"/>
        </w:rPr>
        <w:t xml:space="preserve">pri čemu </w:t>
      </w:r>
      <w:r w:rsidRPr="002B17FB">
        <w:rPr>
          <w:rFonts w:ascii="Minion Pro" w:hAnsi="Minion Pro"/>
          <w:sz w:val="24"/>
          <w:szCs w:val="24"/>
        </w:rPr>
        <w:t xml:space="preserve">se uzima u obzir utjecaj na tržište rada ili stopa nezaposlenosti, </w:t>
      </w:r>
      <w:r w:rsidR="00570B8C" w:rsidRPr="002B17FB">
        <w:rPr>
          <w:rFonts w:ascii="Minion Pro" w:hAnsi="Minion Pro"/>
          <w:sz w:val="24"/>
          <w:szCs w:val="24"/>
        </w:rPr>
        <w:t xml:space="preserve"> energetsk</w:t>
      </w:r>
      <w:r w:rsidR="00A41B3C" w:rsidRPr="00DB7947">
        <w:rPr>
          <w:rFonts w:ascii="Minion Pro" w:hAnsi="Minion Pro"/>
          <w:sz w:val="24"/>
          <w:szCs w:val="24"/>
        </w:rPr>
        <w:t>a</w:t>
      </w:r>
      <w:r w:rsidR="00570B8C" w:rsidRPr="002B17FB">
        <w:rPr>
          <w:rFonts w:ascii="Minion Pro" w:hAnsi="Minion Pro"/>
          <w:sz w:val="24"/>
          <w:szCs w:val="24"/>
        </w:rPr>
        <w:t xml:space="preserve"> sigurnost i konkurentnost, u mjeri u kojoj je to moguće</w:t>
      </w:r>
      <w:r w:rsidR="0029436F" w:rsidRPr="002B17FB">
        <w:rPr>
          <w:rFonts w:ascii="Minion Pro" w:hAnsi="Minion Pro"/>
          <w:sz w:val="24"/>
          <w:szCs w:val="24"/>
        </w:rPr>
        <w:t>,</w:t>
      </w:r>
      <w:r w:rsidR="00C374FB" w:rsidRPr="002B17FB">
        <w:rPr>
          <w:rFonts w:ascii="Minion Pro" w:hAnsi="Minion Pro"/>
          <w:sz w:val="24"/>
          <w:szCs w:val="24"/>
        </w:rPr>
        <w:t xml:space="preserve"> </w:t>
      </w:r>
      <w:r w:rsidR="00424D62" w:rsidRPr="002B17FB">
        <w:rPr>
          <w:rFonts w:ascii="Minion Pro" w:hAnsi="Minion Pro"/>
          <w:sz w:val="24"/>
          <w:szCs w:val="24"/>
        </w:rPr>
        <w:t xml:space="preserve">vrijednost proizvodnje za potrošača (grijanje, hlađenje i električna energija), </w:t>
      </w:r>
      <w:r w:rsidR="0029436F" w:rsidRPr="002B17FB">
        <w:rPr>
          <w:rFonts w:ascii="Minion Pro" w:hAnsi="Minion Pro"/>
          <w:sz w:val="24"/>
          <w:szCs w:val="24"/>
        </w:rPr>
        <w:t xml:space="preserve"> </w:t>
      </w:r>
      <w:r w:rsidR="00424D62" w:rsidRPr="002B17FB">
        <w:rPr>
          <w:rFonts w:ascii="Minion Pro" w:hAnsi="Minion Pro"/>
          <w:sz w:val="24"/>
          <w:szCs w:val="24"/>
        </w:rPr>
        <w:t>vanjske koristi kao što su koristi za okoliš, koristi u pogledu emisija stakleničkih plinova te koristi za zdravlje i sigurnost, u mjeri u kojoj je to moguće</w:t>
      </w:r>
      <w:r w:rsidR="00304F76" w:rsidRPr="002B17FB">
        <w:rPr>
          <w:rFonts w:ascii="Minion Pro" w:hAnsi="Minion Pro"/>
          <w:sz w:val="24"/>
          <w:szCs w:val="24"/>
        </w:rPr>
        <w:t xml:space="preserve">, </w:t>
      </w:r>
      <w:r w:rsidRPr="002B17FB">
        <w:rPr>
          <w:rFonts w:ascii="Minion Pro" w:hAnsi="Minion Pro"/>
          <w:sz w:val="24"/>
          <w:szCs w:val="24"/>
        </w:rPr>
        <w:t>te promjene koje se vrednuju troškovima</w:t>
      </w:r>
      <w:r w:rsidR="00173B93" w:rsidRPr="002B17FB">
        <w:rPr>
          <w:rFonts w:ascii="Minion Pro" w:hAnsi="Minion Pro"/>
          <w:sz w:val="24"/>
          <w:szCs w:val="24"/>
        </w:rPr>
        <w:t xml:space="preserve"> (kapitalni troškovi postrojenja i opreme, </w:t>
      </w:r>
      <w:r w:rsidR="00445001" w:rsidRPr="002B17FB">
        <w:rPr>
          <w:rFonts w:ascii="Minion Pro" w:hAnsi="Minion Pro"/>
          <w:sz w:val="24"/>
          <w:szCs w:val="24"/>
        </w:rPr>
        <w:t xml:space="preserve">kapitalni troškovi povezanih energetskih mreža, varijabilni i fiksni operativni troškovi, troškovi energije, </w:t>
      </w:r>
      <w:r w:rsidR="004A283A" w:rsidRPr="002B17FB">
        <w:rPr>
          <w:rFonts w:ascii="Minion Pro" w:hAnsi="Minion Pro"/>
          <w:sz w:val="24"/>
          <w:szCs w:val="24"/>
        </w:rPr>
        <w:t>troškovi povezani s okolišem, zdravljem i sigurnošću, u mjeri u kojoj je to moguće, troškovi povezani s tržištem rada, energetskom sigurnošću i konkurentnošću, u mjeri u kojoj je to moguće</w:t>
      </w:r>
      <w:r w:rsidR="008E0AEA" w:rsidRPr="002B17FB">
        <w:rPr>
          <w:rFonts w:ascii="Minion Pro" w:hAnsi="Minion Pro"/>
          <w:sz w:val="24"/>
          <w:szCs w:val="24"/>
        </w:rPr>
        <w:t>)</w:t>
      </w:r>
      <w:r w:rsidR="004A283A" w:rsidRPr="002B17FB">
        <w:rPr>
          <w:rFonts w:ascii="Minion Pro" w:hAnsi="Minion Pro"/>
          <w:sz w:val="24"/>
          <w:szCs w:val="24"/>
        </w:rPr>
        <w:t>,</w:t>
      </w:r>
      <w:r w:rsidRPr="002B17FB">
        <w:rPr>
          <w:rFonts w:ascii="Minion Pro" w:hAnsi="Minion Pro"/>
          <w:sz w:val="24"/>
          <w:szCs w:val="24"/>
        </w:rPr>
        <w:t xml:space="preserve"> koji utječu na investitora iz članka 1. stavka 2. ovoga Pravilnika</w:t>
      </w:r>
    </w:p>
    <w:p w14:paraId="4CC662C2" w14:textId="3B870E80" w:rsidR="00B97C6B" w:rsidRPr="002B17FB" w:rsidRDefault="0062415B" w:rsidP="002B17FB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gospodarski </w:t>
      </w:r>
      <w:r w:rsidR="00B97C6B" w:rsidRPr="002B17FB">
        <w:rPr>
          <w:rFonts w:ascii="Minion Pro" w:hAnsi="Minion Pro"/>
          <w:sz w:val="24"/>
          <w:szCs w:val="24"/>
        </w:rPr>
        <w:t xml:space="preserve">čimbenici </w:t>
      </w:r>
      <w:r w:rsidR="00376CBC" w:rsidRPr="002B17FB">
        <w:rPr>
          <w:rFonts w:ascii="Minion Pro" w:hAnsi="Minion Pro"/>
          <w:sz w:val="24"/>
          <w:szCs w:val="24"/>
        </w:rPr>
        <w:t xml:space="preserve">- </w:t>
      </w:r>
      <w:r w:rsidR="00B97C6B" w:rsidRPr="002B17FB">
        <w:rPr>
          <w:rFonts w:ascii="Minion Pro" w:hAnsi="Minion Pro"/>
          <w:sz w:val="24"/>
          <w:szCs w:val="24"/>
        </w:rPr>
        <w:t xml:space="preserve">ekonomski troškovi sirovina koji se procjenjuju </w:t>
      </w:r>
      <w:r w:rsidR="00651526" w:rsidRPr="00DB7947">
        <w:rPr>
          <w:rFonts w:ascii="Minion Pro" w:hAnsi="Minion Pro"/>
          <w:sz w:val="24"/>
          <w:szCs w:val="24"/>
        </w:rPr>
        <w:t xml:space="preserve">u analizi troškova i koristi </w:t>
      </w:r>
      <w:r w:rsidR="00B97C6B" w:rsidRPr="002B17FB">
        <w:rPr>
          <w:rFonts w:ascii="Minion Pro" w:hAnsi="Minion Pro"/>
          <w:sz w:val="24"/>
          <w:szCs w:val="24"/>
        </w:rPr>
        <w:t xml:space="preserve">uzimajući u obzir gubitak za investitora i vrednuju se alternativnim troškovima različitih ulaznih parametara. </w:t>
      </w:r>
      <w:r w:rsidR="001A0648" w:rsidRPr="002B17FB">
        <w:rPr>
          <w:rFonts w:ascii="Minion Pro" w:hAnsi="Minion Pro"/>
          <w:sz w:val="24"/>
          <w:szCs w:val="24"/>
        </w:rPr>
        <w:t xml:space="preserve">Gospodarski </w:t>
      </w:r>
      <w:r w:rsidR="00B97C6B" w:rsidRPr="002B17FB">
        <w:rPr>
          <w:rFonts w:ascii="Minion Pro" w:hAnsi="Minion Pro"/>
          <w:sz w:val="24"/>
          <w:szCs w:val="24"/>
        </w:rPr>
        <w:t>čimbenici uključuju promjenu u cijeni sirovina zbog veće ili manje ovisnosti o ostatku svijeta, koja se procjenjuje u odnosu na cijenu zamjenske uvezene energije, vrednovanje područja na koje se isporučuje energija, procjenu vrijednosti nekretnina i zemljišta, te negativne učinke koji proizlaze iz provedbe gradnje, stanovanja, proizvodnih i neproizvodnih usluga, mobilnost, poljoprivredu i infrastrukturu</w:t>
      </w:r>
    </w:p>
    <w:p w14:paraId="74EFB49A" w14:textId="1A472D0C" w:rsidR="00EA3B1B" w:rsidRPr="00DB7947" w:rsidRDefault="00B97C6B" w:rsidP="00862226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okolišni čimbenici </w:t>
      </w:r>
      <w:r w:rsidR="00376CBC" w:rsidRPr="002B17FB">
        <w:rPr>
          <w:rFonts w:ascii="Minion Pro" w:hAnsi="Minion Pro"/>
          <w:sz w:val="24"/>
          <w:szCs w:val="24"/>
        </w:rPr>
        <w:t xml:space="preserve">- </w:t>
      </w:r>
      <w:r w:rsidRPr="002B17FB">
        <w:rPr>
          <w:rFonts w:ascii="Minion Pro" w:hAnsi="Minion Pro"/>
          <w:sz w:val="24"/>
          <w:szCs w:val="24"/>
        </w:rPr>
        <w:t>negativni ili pozitivni učinci na zrak, vodu ili tlo i drugi utjecaji koji se procjenjuju</w:t>
      </w:r>
      <w:r w:rsidR="00862226" w:rsidRPr="00DB7947">
        <w:rPr>
          <w:rFonts w:ascii="Minion Pro" w:hAnsi="Minion Pro"/>
          <w:sz w:val="24"/>
          <w:szCs w:val="24"/>
        </w:rPr>
        <w:t xml:space="preserve"> u analizi troškova i koristi</w:t>
      </w:r>
      <w:r w:rsidRPr="002B17FB">
        <w:rPr>
          <w:rFonts w:ascii="Minion Pro" w:hAnsi="Minion Pro"/>
          <w:sz w:val="24"/>
          <w:szCs w:val="24"/>
        </w:rPr>
        <w:t xml:space="preserve"> eksternim troškovima okoliša kako bi se uklonili mogući negativni učinci </w:t>
      </w:r>
      <w:r w:rsidR="00FE4562" w:rsidRPr="002B17FB">
        <w:rPr>
          <w:rFonts w:ascii="Minion Pro" w:hAnsi="Minion Pro"/>
          <w:sz w:val="24"/>
          <w:szCs w:val="24"/>
        </w:rPr>
        <w:t xml:space="preserve">koji </w:t>
      </w:r>
      <w:r w:rsidRPr="002B17FB">
        <w:rPr>
          <w:rFonts w:ascii="Minion Pro" w:hAnsi="Minion Pro"/>
          <w:sz w:val="24"/>
          <w:szCs w:val="24"/>
        </w:rPr>
        <w:t>se ne mogu izbjeći (npr. gubitak zemljišta ili promjena krajobraza)</w:t>
      </w:r>
    </w:p>
    <w:p w14:paraId="71C779F3" w14:textId="3797F622" w:rsidR="00B97C6B" w:rsidRPr="002B17FB" w:rsidRDefault="00EA3B1B" w:rsidP="00862226">
      <w:pPr>
        <w:pStyle w:val="Odlomakpopisa"/>
        <w:numPr>
          <w:ilvl w:val="0"/>
          <w:numId w:val="6"/>
        </w:num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 xml:space="preserve">postrojenje – proizvodno postrojenje za proizvodnju električne i toplinske energije, </w:t>
      </w:r>
      <w:r w:rsidR="000714FC" w:rsidRPr="00DB7947">
        <w:rPr>
          <w:rFonts w:ascii="Minion Pro" w:hAnsi="Minion Pro"/>
          <w:sz w:val="24"/>
          <w:szCs w:val="24"/>
        </w:rPr>
        <w:t xml:space="preserve">visokoučinkovita kogeneracija, </w:t>
      </w:r>
      <w:r w:rsidRPr="00DB7947">
        <w:rPr>
          <w:rFonts w:ascii="Minion Pro" w:hAnsi="Minion Pro"/>
          <w:sz w:val="24"/>
          <w:szCs w:val="24"/>
        </w:rPr>
        <w:t xml:space="preserve">industrijsko postrojenje, uslužni objekt i </w:t>
      </w:r>
      <w:r w:rsidR="000714FC" w:rsidRPr="00DB7947">
        <w:rPr>
          <w:rFonts w:ascii="Minion Pro" w:hAnsi="Minion Pro"/>
          <w:sz w:val="24"/>
          <w:szCs w:val="24"/>
        </w:rPr>
        <w:t>podatkovni</w:t>
      </w:r>
      <w:r w:rsidRPr="00DB7947">
        <w:rPr>
          <w:rFonts w:ascii="Minion Pro" w:hAnsi="Minion Pro"/>
          <w:sz w:val="24"/>
          <w:szCs w:val="24"/>
        </w:rPr>
        <w:t xml:space="preserve"> centar, u smislu ovog Pravilnika</w:t>
      </w:r>
      <w:r w:rsidR="00C44961" w:rsidRPr="00DB7947">
        <w:rPr>
          <w:rFonts w:ascii="Minion Pro" w:hAnsi="Minion Pro"/>
          <w:sz w:val="24"/>
          <w:szCs w:val="24"/>
        </w:rPr>
        <w:t>.</w:t>
      </w:r>
    </w:p>
    <w:p w14:paraId="3FB91A23" w14:textId="77777777" w:rsidR="0059304A" w:rsidRPr="00DB7947" w:rsidRDefault="0059304A">
      <w:pPr>
        <w:pStyle w:val="Odlomakpopisa"/>
        <w:ind w:left="360"/>
        <w:jc w:val="both"/>
        <w:rPr>
          <w:rFonts w:ascii="Minion Pro" w:hAnsi="Minion Pro"/>
          <w:sz w:val="24"/>
          <w:szCs w:val="24"/>
        </w:rPr>
      </w:pPr>
    </w:p>
    <w:p w14:paraId="7CA1118E" w14:textId="02DFBBC7" w:rsidR="00931B20" w:rsidRPr="00DB7947" w:rsidRDefault="00931B20" w:rsidP="002B17FB">
      <w:pPr>
        <w:jc w:val="center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4</w:t>
      </w:r>
      <w:r w:rsidRPr="00DB7947">
        <w:rPr>
          <w:rFonts w:ascii="Minion Pro" w:hAnsi="Minion Pro"/>
          <w:sz w:val="24"/>
          <w:szCs w:val="24"/>
        </w:rPr>
        <w:t>.</w:t>
      </w:r>
    </w:p>
    <w:p w14:paraId="4A2B70AB" w14:textId="5261961A" w:rsidR="00931B20" w:rsidRPr="00DB7947" w:rsidRDefault="00931B20" w:rsidP="00931B20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(</w:t>
      </w:r>
      <w:r w:rsidR="00E21139" w:rsidRPr="00DB7947">
        <w:rPr>
          <w:rFonts w:ascii="Minion Pro" w:hAnsi="Minion Pro"/>
          <w:sz w:val="24"/>
          <w:szCs w:val="24"/>
        </w:rPr>
        <w:t>1</w:t>
      </w:r>
      <w:r w:rsidRPr="00DB7947">
        <w:rPr>
          <w:rFonts w:ascii="Minion Pro" w:hAnsi="Minion Pro"/>
          <w:sz w:val="24"/>
          <w:szCs w:val="24"/>
        </w:rPr>
        <w:t>) Analize troškova i koristi iz članka 1. ovog Pravilnika mogu biti sastavni dio procjena utjecaja na okoliš sukladno zakonu kojim se uređuje zaštita okoliša i prirode.</w:t>
      </w:r>
    </w:p>
    <w:p w14:paraId="7F8E222A" w14:textId="09164963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(</w:t>
      </w:r>
      <w:r w:rsidR="005F0942" w:rsidRPr="00DB7947">
        <w:rPr>
          <w:rFonts w:ascii="Minion Pro" w:hAnsi="Minion Pro"/>
          <w:sz w:val="24"/>
          <w:szCs w:val="24"/>
        </w:rPr>
        <w:t>2</w:t>
      </w:r>
      <w:r w:rsidRPr="00DB7947">
        <w:rPr>
          <w:rFonts w:ascii="Minion Pro" w:hAnsi="Minion Pro"/>
          <w:sz w:val="24"/>
          <w:szCs w:val="24"/>
        </w:rPr>
        <w:t>) Analiz</w:t>
      </w:r>
      <w:r w:rsidR="005F0942" w:rsidRPr="00DB7947">
        <w:rPr>
          <w:rFonts w:ascii="Minion Pro" w:hAnsi="Minion Pro"/>
          <w:sz w:val="24"/>
          <w:szCs w:val="24"/>
        </w:rPr>
        <w:t>e</w:t>
      </w:r>
      <w:r w:rsidRPr="00DB7947">
        <w:rPr>
          <w:rFonts w:ascii="Minion Pro" w:hAnsi="Minion Pro"/>
          <w:sz w:val="24"/>
          <w:szCs w:val="24"/>
        </w:rPr>
        <w:t xml:space="preserve"> troškova i koristi </w:t>
      </w:r>
      <w:r w:rsidR="00013220" w:rsidRPr="00DB7947">
        <w:rPr>
          <w:rFonts w:ascii="Minion Pro" w:hAnsi="Minion Pro"/>
          <w:sz w:val="24"/>
          <w:szCs w:val="24"/>
        </w:rPr>
        <w:t xml:space="preserve">iz članka 1. ovog Pravilnika </w:t>
      </w:r>
      <w:r w:rsidRPr="00DB7947">
        <w:rPr>
          <w:rFonts w:ascii="Minion Pro" w:hAnsi="Minion Pro"/>
          <w:sz w:val="24"/>
          <w:szCs w:val="24"/>
        </w:rPr>
        <w:t>različitih tehnologija za grijanje i hlađenje utvrđuju se alternativni scenariji za učinkovitije tehnologije za grijanje i hlađenje uporabom energije iz obnovljivih izvora energije, pri čemu se, ako je primjenjivo, razlikuje energija dobivena iz fosilnih goriva i energija dobivena iz obnovljivih izvora energije.</w:t>
      </w:r>
    </w:p>
    <w:p w14:paraId="0AC1A17E" w14:textId="7A0A6BE1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(</w:t>
      </w:r>
      <w:r w:rsidR="005F0942" w:rsidRPr="00DB7947">
        <w:rPr>
          <w:rFonts w:ascii="Minion Pro" w:hAnsi="Minion Pro"/>
          <w:sz w:val="24"/>
          <w:szCs w:val="24"/>
        </w:rPr>
        <w:t>3</w:t>
      </w:r>
      <w:r w:rsidRPr="00DB7947">
        <w:rPr>
          <w:rFonts w:ascii="Minion Pro" w:hAnsi="Minion Pro"/>
          <w:sz w:val="24"/>
          <w:szCs w:val="24"/>
        </w:rPr>
        <w:t>) Tehnologije</w:t>
      </w:r>
      <w:r w:rsidR="002521EE" w:rsidRPr="00DB7947">
        <w:rPr>
          <w:rFonts w:ascii="Minion Pro" w:hAnsi="Minion Pro"/>
          <w:sz w:val="24"/>
          <w:szCs w:val="24"/>
        </w:rPr>
        <w:t xml:space="preserve"> za grijanje i hlađenje</w:t>
      </w:r>
      <w:r w:rsidRPr="00DB7947">
        <w:rPr>
          <w:rFonts w:ascii="Minion Pro" w:hAnsi="Minion Pro"/>
          <w:sz w:val="24"/>
          <w:szCs w:val="24"/>
        </w:rPr>
        <w:t xml:space="preserve"> iz stavka </w:t>
      </w:r>
      <w:r w:rsidR="005F0942" w:rsidRPr="00DB7947">
        <w:rPr>
          <w:rFonts w:ascii="Minion Pro" w:hAnsi="Minion Pro"/>
          <w:sz w:val="24"/>
          <w:szCs w:val="24"/>
        </w:rPr>
        <w:t>2</w:t>
      </w:r>
      <w:r w:rsidRPr="00DB7947">
        <w:rPr>
          <w:rFonts w:ascii="Minion Pro" w:hAnsi="Minion Pro"/>
          <w:sz w:val="24"/>
          <w:szCs w:val="24"/>
        </w:rPr>
        <w:t>. ovoga članka</w:t>
      </w:r>
      <w:r w:rsidR="000F7700" w:rsidRPr="00DB7947">
        <w:rPr>
          <w:rFonts w:ascii="Minion Pro" w:hAnsi="Minion Pro"/>
          <w:sz w:val="24"/>
          <w:szCs w:val="24"/>
        </w:rPr>
        <w:t xml:space="preserve"> su</w:t>
      </w:r>
      <w:r w:rsidRPr="00DB7947">
        <w:rPr>
          <w:rFonts w:ascii="Minion Pro" w:hAnsi="Minion Pro"/>
          <w:sz w:val="24"/>
          <w:szCs w:val="24"/>
        </w:rPr>
        <w:t>:</w:t>
      </w:r>
    </w:p>
    <w:p w14:paraId="415D188B" w14:textId="77777777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1. industrijska otpadna toplinska i rashladna energija;</w:t>
      </w:r>
    </w:p>
    <w:p w14:paraId="2B83680F" w14:textId="77777777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2. spaljivanje otpada;</w:t>
      </w:r>
    </w:p>
    <w:p w14:paraId="6B3BDFF0" w14:textId="77777777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3. visokoučinkovita kogeneracija toplinske i električne energije;</w:t>
      </w:r>
    </w:p>
    <w:p w14:paraId="730AE7E1" w14:textId="77777777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lastRenderedPageBreak/>
        <w:t>4. obnovljivi izvori energije (poput geotermalne energije, solarne toplinske energije i energije iz biomase), osim onih koji se upotrebljavaju za visokoučinkovitu kogeneraciju;</w:t>
      </w:r>
    </w:p>
    <w:p w14:paraId="046E9FF3" w14:textId="77777777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5. dizalice topline;</w:t>
      </w:r>
    </w:p>
    <w:p w14:paraId="22FACE79" w14:textId="7866FEBE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 xml:space="preserve">6. smanjivanje gubitka toplinske i rashladne energije iz postojećih </w:t>
      </w:r>
      <w:r w:rsidR="008E02E4" w:rsidRPr="00DB7947">
        <w:rPr>
          <w:rFonts w:ascii="Minion Pro" w:hAnsi="Minion Pro"/>
          <w:sz w:val="24"/>
          <w:szCs w:val="24"/>
        </w:rPr>
        <w:t>distribucijskih mreža centralnih toplinskih sustava</w:t>
      </w:r>
      <w:r w:rsidRPr="00DB7947">
        <w:rPr>
          <w:rFonts w:ascii="Minion Pro" w:hAnsi="Minion Pro"/>
          <w:sz w:val="24"/>
          <w:szCs w:val="24"/>
        </w:rPr>
        <w:t>, koju u postupku dobivanja energetskog odobrenja treba izraditi investitor, uzimajući u obzir procjenu gospodarskog potencijala za grijanje i hlađenje;</w:t>
      </w:r>
    </w:p>
    <w:p w14:paraId="29B79131" w14:textId="77777777" w:rsidR="00E57EFF" w:rsidRDefault="00931B20" w:rsidP="00E57EFF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7. centralizirano grijanje i hlađenje.</w:t>
      </w:r>
    </w:p>
    <w:p w14:paraId="779456E7" w14:textId="4958AB5E" w:rsidR="00E57EFF" w:rsidRPr="00DB7947" w:rsidRDefault="00E57EFF" w:rsidP="00E57EFF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koj</w:t>
      </w:r>
      <w:r>
        <w:rPr>
          <w:rFonts w:ascii="Minion Pro" w:hAnsi="Minion Pro"/>
          <w:sz w:val="24"/>
          <w:szCs w:val="24"/>
        </w:rPr>
        <w:t>e</w:t>
      </w:r>
      <w:r w:rsidRPr="00DB7947">
        <w:rPr>
          <w:rFonts w:ascii="Minion Pro" w:hAnsi="Minion Pro"/>
          <w:sz w:val="24"/>
          <w:szCs w:val="24"/>
        </w:rPr>
        <w:t xml:space="preserve"> </w:t>
      </w:r>
      <w:r>
        <w:rPr>
          <w:rFonts w:ascii="Minion Pro" w:hAnsi="Minion Pro"/>
          <w:sz w:val="24"/>
          <w:szCs w:val="24"/>
        </w:rPr>
        <w:t xml:space="preserve">treba uzeti u obzir </w:t>
      </w:r>
      <w:r w:rsidRPr="00DB7947">
        <w:rPr>
          <w:rFonts w:ascii="Minion Pro" w:hAnsi="Minion Pro"/>
          <w:sz w:val="24"/>
          <w:szCs w:val="24"/>
        </w:rPr>
        <w:t>u postupku dobivanja energetskog odobrenja investitor, uzimajući u obzir procjenu gospodarskog potencijala za grijanje i hlađenje</w:t>
      </w:r>
      <w:r w:rsidR="00BF36F3">
        <w:rPr>
          <w:rFonts w:ascii="Minion Pro" w:hAnsi="Minion Pro"/>
          <w:sz w:val="24"/>
          <w:szCs w:val="24"/>
        </w:rPr>
        <w:t>.</w:t>
      </w:r>
    </w:p>
    <w:p w14:paraId="2AF87A5F" w14:textId="77777777" w:rsidR="00E57EFF" w:rsidRPr="00DB7947" w:rsidRDefault="00E57EFF" w:rsidP="002B17FB">
      <w:pPr>
        <w:jc w:val="both"/>
        <w:rPr>
          <w:rFonts w:ascii="Minion Pro" w:hAnsi="Minion Pro"/>
          <w:sz w:val="24"/>
          <w:szCs w:val="24"/>
        </w:rPr>
      </w:pPr>
    </w:p>
    <w:p w14:paraId="2B00F5E5" w14:textId="1EB152DE" w:rsidR="00931B20" w:rsidRPr="00DB7947" w:rsidRDefault="00931B20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(</w:t>
      </w:r>
      <w:r w:rsidR="005F0942" w:rsidRPr="00DB7947">
        <w:rPr>
          <w:rFonts w:ascii="Minion Pro" w:hAnsi="Minion Pro"/>
          <w:sz w:val="24"/>
          <w:szCs w:val="24"/>
        </w:rPr>
        <w:t>4</w:t>
      </w:r>
      <w:r w:rsidRPr="00DB7947">
        <w:rPr>
          <w:rFonts w:ascii="Minion Pro" w:hAnsi="Minion Pro"/>
          <w:sz w:val="24"/>
          <w:szCs w:val="24"/>
        </w:rPr>
        <w:t>) Analiz</w:t>
      </w:r>
      <w:r w:rsidR="005F0942" w:rsidRPr="00DB7947">
        <w:rPr>
          <w:rFonts w:ascii="Minion Pro" w:hAnsi="Minion Pro"/>
          <w:sz w:val="24"/>
          <w:szCs w:val="24"/>
        </w:rPr>
        <w:t>e</w:t>
      </w:r>
      <w:r w:rsidRPr="00DB7947">
        <w:rPr>
          <w:rFonts w:ascii="Minion Pro" w:hAnsi="Minion Pro"/>
          <w:sz w:val="24"/>
          <w:szCs w:val="24"/>
        </w:rPr>
        <w:t xml:space="preserve"> troškova i koristi </w:t>
      </w:r>
      <w:r w:rsidR="006971CB" w:rsidRPr="00DB7947">
        <w:rPr>
          <w:rFonts w:ascii="Minion Pro" w:hAnsi="Minion Pro"/>
          <w:sz w:val="24"/>
          <w:szCs w:val="24"/>
        </w:rPr>
        <w:t xml:space="preserve">iz članka 1. ovog Pravilnika </w:t>
      </w:r>
      <w:r w:rsidRPr="00DB7947">
        <w:rPr>
          <w:rFonts w:ascii="Minion Pro" w:hAnsi="Minion Pro"/>
          <w:sz w:val="24"/>
          <w:szCs w:val="24"/>
        </w:rPr>
        <w:t>uključuj</w:t>
      </w:r>
      <w:r w:rsidR="005F0942" w:rsidRPr="00DB7947">
        <w:rPr>
          <w:rFonts w:ascii="Minion Pro" w:hAnsi="Minion Pro"/>
          <w:sz w:val="24"/>
          <w:szCs w:val="24"/>
        </w:rPr>
        <w:t>u</w:t>
      </w:r>
      <w:r w:rsidRPr="00DB7947">
        <w:rPr>
          <w:rFonts w:ascii="Minion Pro" w:hAnsi="Minion Pro"/>
          <w:sz w:val="24"/>
          <w:szCs w:val="24"/>
        </w:rPr>
        <w:t xml:space="preserve"> ekonomsku i financijsku analizu koja odražava stvarne transakcije u novčanom toku iz ulaganja u pojedinačna postrojenja i iz njihova rada, uključujući i monetizaciju širih koristi, ukoliko je to moguće.</w:t>
      </w:r>
    </w:p>
    <w:p w14:paraId="2FE09630" w14:textId="77777777" w:rsidR="00931B20" w:rsidRPr="002B17FB" w:rsidRDefault="00931B20" w:rsidP="002B17FB">
      <w:pPr>
        <w:jc w:val="both"/>
        <w:rPr>
          <w:rFonts w:ascii="Minion Pro" w:hAnsi="Minion Pro"/>
          <w:sz w:val="24"/>
          <w:szCs w:val="24"/>
        </w:rPr>
      </w:pPr>
    </w:p>
    <w:p w14:paraId="422E3E45" w14:textId="1E8C6E19" w:rsidR="00D43209" w:rsidRPr="002B17FB" w:rsidRDefault="00B97C6B" w:rsidP="007765B7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II. </w:t>
      </w:r>
      <w:r w:rsidR="00E405F6" w:rsidRPr="002B17FB">
        <w:rPr>
          <w:rFonts w:ascii="Minion Pro" w:hAnsi="Minion Pro"/>
          <w:sz w:val="24"/>
          <w:szCs w:val="24"/>
        </w:rPr>
        <w:t>ANALIZA TROŠKOVA I KORISTI</w:t>
      </w:r>
      <w:r w:rsidR="007765B7" w:rsidRPr="00DB7947">
        <w:rPr>
          <w:rFonts w:ascii="Minion Pro" w:hAnsi="Minion Pro"/>
          <w:sz w:val="24"/>
          <w:szCs w:val="24"/>
        </w:rPr>
        <w:t xml:space="preserve"> U OKVIRU SVEOBUHVATNE PROCJENE POTENCIJALA ZA UČINKOVITO GRIJANJE I HLAĐENJE U REPUBLICI HRVATSKOJ</w:t>
      </w:r>
    </w:p>
    <w:p w14:paraId="5235FC3E" w14:textId="0C6819BE" w:rsidR="007C678A" w:rsidRDefault="007C678A" w:rsidP="00B97C6B">
      <w:pPr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Sadržaj sveobuhvatne procjene potencijala za učinkovito grijanje i hlađenje</w:t>
      </w:r>
    </w:p>
    <w:p w14:paraId="6604A447" w14:textId="5C33790A" w:rsidR="007C678A" w:rsidRDefault="007C678A" w:rsidP="00B97C6B">
      <w:pPr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5</w:t>
      </w:r>
      <w:r>
        <w:rPr>
          <w:rFonts w:ascii="Minion Pro" w:hAnsi="Minion Pro"/>
          <w:sz w:val="24"/>
          <w:szCs w:val="24"/>
        </w:rPr>
        <w:t>.</w:t>
      </w:r>
    </w:p>
    <w:p w14:paraId="22C549DB" w14:textId="5A5BE1E8" w:rsidR="007C678A" w:rsidRDefault="007C678A" w:rsidP="004F2CCE">
      <w:pPr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(1) </w:t>
      </w:r>
      <w:r w:rsidR="004F2CCE" w:rsidRPr="004F2CCE">
        <w:rPr>
          <w:rFonts w:ascii="Minion Pro" w:hAnsi="Minion Pro"/>
          <w:sz w:val="24"/>
          <w:szCs w:val="24"/>
        </w:rPr>
        <w:t>Radi unaprjeđenja energetske učinkovitosti te šire primjene obnovljivih izvora energije u grijanju i hlađenju, Vlada Republike Hrvatske na prijedlog ministra donosi odluku o usvajanju sveobuhvatne procjene potencijala za učinkovito grijanje i hlađenje.</w:t>
      </w:r>
    </w:p>
    <w:p w14:paraId="5A2E0D85" w14:textId="1CF61E12" w:rsidR="00417519" w:rsidRDefault="00417519" w:rsidP="00B61E47">
      <w:pPr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(2) </w:t>
      </w:r>
      <w:r w:rsidR="00B61E47" w:rsidRPr="00B61E47">
        <w:rPr>
          <w:rFonts w:ascii="Minion Pro" w:hAnsi="Minion Pro"/>
          <w:sz w:val="24"/>
          <w:szCs w:val="24"/>
        </w:rPr>
        <w:t>Sveobuhvatna procjena potencijala za učinkovito grijanje i hlađenje iz stavka 1. ovoga članka</w:t>
      </w:r>
      <w:r w:rsidR="00B61E47">
        <w:rPr>
          <w:rFonts w:ascii="Minion Pro" w:hAnsi="Minion Pro"/>
          <w:sz w:val="24"/>
          <w:szCs w:val="24"/>
        </w:rPr>
        <w:t xml:space="preserve"> </w:t>
      </w:r>
      <w:r w:rsidR="00B61E47" w:rsidRPr="00B61E47">
        <w:rPr>
          <w:rFonts w:ascii="Minion Pro" w:hAnsi="Minion Pro"/>
          <w:sz w:val="24"/>
          <w:szCs w:val="24"/>
        </w:rPr>
        <w:t>sadrži sve elemente</w:t>
      </w:r>
      <w:r w:rsidR="00B61E47">
        <w:rPr>
          <w:rFonts w:ascii="Minion Pro" w:hAnsi="Minion Pro"/>
          <w:sz w:val="24"/>
          <w:szCs w:val="24"/>
        </w:rPr>
        <w:t xml:space="preserve"> određene </w:t>
      </w:r>
      <w:r w:rsidR="000E248F">
        <w:rPr>
          <w:rFonts w:ascii="Minion Pro" w:hAnsi="Minion Pro"/>
          <w:sz w:val="24"/>
          <w:szCs w:val="24"/>
        </w:rPr>
        <w:t>Prilogom 1. ovog Pravilnika.</w:t>
      </w:r>
    </w:p>
    <w:p w14:paraId="421AE03E" w14:textId="5D6E2FAE" w:rsidR="000E248F" w:rsidRDefault="000E248F" w:rsidP="00A162E7">
      <w:pPr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(3)</w:t>
      </w:r>
      <w:r w:rsidR="007177E2">
        <w:rPr>
          <w:rFonts w:ascii="Minion Pro" w:hAnsi="Minion Pro"/>
          <w:sz w:val="24"/>
          <w:szCs w:val="24"/>
        </w:rPr>
        <w:t xml:space="preserve"> </w:t>
      </w:r>
      <w:r w:rsidR="004C6BCC" w:rsidRPr="00B61E47">
        <w:rPr>
          <w:rFonts w:ascii="Minion Pro" w:hAnsi="Minion Pro"/>
          <w:sz w:val="24"/>
          <w:szCs w:val="24"/>
        </w:rPr>
        <w:t>Sveobuhvatna procjena potencijala za učinkovito grijanje i hlađenje iz stavka 1. ovoga članka</w:t>
      </w:r>
      <w:r w:rsidR="004C6BCC">
        <w:rPr>
          <w:rFonts w:ascii="Minion Pro" w:hAnsi="Minion Pro"/>
          <w:sz w:val="24"/>
          <w:szCs w:val="24"/>
        </w:rPr>
        <w:t xml:space="preserve"> </w:t>
      </w:r>
      <w:r w:rsidR="004C6BCC" w:rsidRPr="004C6BCC">
        <w:rPr>
          <w:rFonts w:ascii="Minion Pro" w:hAnsi="Minion Pro"/>
          <w:sz w:val="24"/>
          <w:szCs w:val="24"/>
        </w:rPr>
        <w:t>redovito se ažurira svaki put kada se donese novi integrirani nacionalni energetski i klimatski plan, budući da čini njegov sastavni dio.</w:t>
      </w:r>
    </w:p>
    <w:p w14:paraId="23C3121D" w14:textId="2193A79D" w:rsidR="007C678A" w:rsidRDefault="00546B11" w:rsidP="000E0C8F">
      <w:pPr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(4)</w:t>
      </w:r>
      <w:r w:rsidR="007177E2">
        <w:rPr>
          <w:rFonts w:ascii="Minion Pro" w:hAnsi="Minion Pro"/>
          <w:sz w:val="24"/>
          <w:szCs w:val="24"/>
        </w:rPr>
        <w:t xml:space="preserve"> </w:t>
      </w:r>
      <w:r w:rsidR="00811004" w:rsidRPr="00811004">
        <w:rPr>
          <w:rFonts w:ascii="Minion Pro" w:hAnsi="Minion Pro"/>
          <w:sz w:val="24"/>
          <w:szCs w:val="24"/>
        </w:rPr>
        <w:t>Za potrebe sveobuhvatne procjene iz stavka 1. ovoga članka provodi se analiza troškova i koristi</w:t>
      </w:r>
      <w:r w:rsidR="00811004">
        <w:rPr>
          <w:rFonts w:ascii="Minion Pro" w:hAnsi="Minion Pro"/>
          <w:sz w:val="24"/>
          <w:szCs w:val="24"/>
        </w:rPr>
        <w:t xml:space="preserve"> </w:t>
      </w:r>
      <w:r w:rsidR="007177E2" w:rsidRPr="007177E2">
        <w:rPr>
          <w:rFonts w:ascii="Minion Pro" w:hAnsi="Minion Pro"/>
          <w:sz w:val="24"/>
          <w:szCs w:val="24"/>
        </w:rPr>
        <w:t>na razini cijele države</w:t>
      </w:r>
      <w:r w:rsidR="007177E2">
        <w:rPr>
          <w:rFonts w:ascii="Minion Pro" w:hAnsi="Minion Pro"/>
          <w:sz w:val="24"/>
          <w:szCs w:val="24"/>
        </w:rPr>
        <w:t>.</w:t>
      </w:r>
    </w:p>
    <w:p w14:paraId="4544704C" w14:textId="77777777" w:rsidR="007C678A" w:rsidRDefault="007C678A" w:rsidP="00B97C6B">
      <w:pPr>
        <w:jc w:val="center"/>
        <w:rPr>
          <w:rFonts w:ascii="Minion Pro" w:hAnsi="Minion Pro"/>
          <w:sz w:val="24"/>
          <w:szCs w:val="24"/>
        </w:rPr>
      </w:pPr>
    </w:p>
    <w:p w14:paraId="31B38F97" w14:textId="56247083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Svrha</w:t>
      </w:r>
      <w:r w:rsidR="00EF53BB">
        <w:rPr>
          <w:rFonts w:ascii="Minion Pro" w:hAnsi="Minion Pro"/>
          <w:sz w:val="24"/>
          <w:szCs w:val="24"/>
        </w:rPr>
        <w:t xml:space="preserve"> </w:t>
      </w:r>
      <w:r w:rsidR="00EF53BB" w:rsidRPr="00EF53BB">
        <w:rPr>
          <w:rFonts w:ascii="Minion Pro" w:hAnsi="Minion Pro"/>
          <w:sz w:val="24"/>
          <w:szCs w:val="24"/>
        </w:rPr>
        <w:t>analize troškova i koristi u okviru sveobuhvatne procjene potencijala za učinkovito grijanje i hlađenje</w:t>
      </w:r>
    </w:p>
    <w:p w14:paraId="50985198" w14:textId="3DB753DF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</w:t>
      </w:r>
    </w:p>
    <w:p w14:paraId="4335A820" w14:textId="1C678978" w:rsidR="00A57A7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</w:t>
      </w:r>
      <w:r w:rsidR="0096144D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>naliza troškova i koristi iz</w:t>
      </w:r>
      <w:r w:rsidR="006971CB" w:rsidRPr="00DB7947">
        <w:rPr>
          <w:rFonts w:ascii="Minion Pro" w:hAnsi="Minion Pro"/>
          <w:sz w:val="24"/>
          <w:szCs w:val="24"/>
        </w:rPr>
        <w:t xml:space="preserve"> članka 1.</w:t>
      </w:r>
      <w:r w:rsidR="00941415" w:rsidRPr="00DB7947">
        <w:rPr>
          <w:rFonts w:ascii="Minion Pro" w:hAnsi="Minion Pro"/>
          <w:sz w:val="24"/>
          <w:szCs w:val="24"/>
        </w:rPr>
        <w:t xml:space="preserve"> stavka 1.</w:t>
      </w:r>
      <w:r w:rsidR="006971CB" w:rsidRPr="00DB7947">
        <w:rPr>
          <w:rFonts w:ascii="Minion Pro" w:hAnsi="Minion Pro"/>
          <w:sz w:val="24"/>
          <w:szCs w:val="24"/>
        </w:rPr>
        <w:t xml:space="preserve"> ovog Pravilnika </w:t>
      </w:r>
      <w:r w:rsidRPr="002B17FB">
        <w:rPr>
          <w:rFonts w:ascii="Minion Pro" w:hAnsi="Minion Pro"/>
          <w:sz w:val="24"/>
          <w:szCs w:val="24"/>
        </w:rPr>
        <w:t xml:space="preserve">temelji se na klimatskim uvjetima, ekonomskoj izvedivosti i tehničkoj prikladnosti, te doprinosi lakšem </w:t>
      </w:r>
      <w:r w:rsidRPr="002B17FB">
        <w:rPr>
          <w:rFonts w:ascii="Minion Pro" w:hAnsi="Minion Pro"/>
          <w:sz w:val="24"/>
          <w:szCs w:val="24"/>
        </w:rPr>
        <w:lastRenderedPageBreak/>
        <w:t>utvrđivanju, u smislu izvora i troškova, najučinkovitijih rješenja za ispunjavanje potreba za grijanjem i hlađenjem</w:t>
      </w:r>
      <w:r w:rsidR="00A57A7B" w:rsidRPr="00DB7947">
        <w:rPr>
          <w:rFonts w:ascii="Minion Pro" w:hAnsi="Minion Pro"/>
          <w:sz w:val="24"/>
          <w:szCs w:val="24"/>
        </w:rPr>
        <w:t>, uzimajući u obzir načelo »energetska učinkovitost na prvom mjestu« u skladu s propisom kojim se uređuje područje energetske učinkovitosti</w:t>
      </w:r>
      <w:r w:rsidR="006A2B97" w:rsidRPr="00DB7947">
        <w:rPr>
          <w:rFonts w:ascii="Minion Pro" w:hAnsi="Minion Pro"/>
          <w:sz w:val="24"/>
          <w:szCs w:val="24"/>
        </w:rPr>
        <w:t>.</w:t>
      </w:r>
    </w:p>
    <w:p w14:paraId="6F27FAA1" w14:textId="4B118E5F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(2) </w:t>
      </w:r>
      <w:r w:rsidR="005F223E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>naliza iz stavka 1. ovoga članka treba se temeljiti na sadašnjim i budućim potrebama za toplinom i hlađenjem, ekonomskom održivošću i tehničkom važnošću te pomoći u utvrđivanju najisplativije varijante za zadovoljavanje potreba za grijanje i hlađenje.</w:t>
      </w:r>
    </w:p>
    <w:p w14:paraId="6BC6F430" w14:textId="2D79F222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(3) </w:t>
      </w:r>
      <w:r w:rsidR="005F223E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 xml:space="preserve">naliza iz stavka 1. ovoga članka, </w:t>
      </w:r>
      <w:r w:rsidR="00295D91" w:rsidRPr="002B17FB">
        <w:rPr>
          <w:rFonts w:ascii="Minion Pro" w:hAnsi="Minion Pro"/>
          <w:sz w:val="24"/>
          <w:szCs w:val="24"/>
        </w:rPr>
        <w:t xml:space="preserve">uključuje </w:t>
      </w:r>
      <w:r w:rsidR="006A28D9" w:rsidRPr="002B17FB">
        <w:rPr>
          <w:rFonts w:ascii="Minion Pro" w:hAnsi="Minion Pro"/>
          <w:sz w:val="24"/>
          <w:szCs w:val="24"/>
        </w:rPr>
        <w:t>ekonomsku i financijsku</w:t>
      </w:r>
      <w:r w:rsidR="00295D91" w:rsidRPr="002B17FB">
        <w:rPr>
          <w:rFonts w:ascii="Minion Pro" w:hAnsi="Minion Pro"/>
          <w:sz w:val="24"/>
          <w:szCs w:val="24"/>
        </w:rPr>
        <w:t xml:space="preserve"> analizu </w:t>
      </w:r>
      <w:r w:rsidRPr="002B17FB">
        <w:rPr>
          <w:rFonts w:ascii="Minion Pro" w:hAnsi="Minion Pro"/>
          <w:sz w:val="24"/>
          <w:szCs w:val="24"/>
        </w:rPr>
        <w:t>koja mora obuhvatiti sve relevantne društvene, ekonomske i okolišne čimbenike.</w:t>
      </w:r>
    </w:p>
    <w:p w14:paraId="4A92BF76" w14:textId="60D4E4AD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(4) </w:t>
      </w:r>
      <w:r w:rsidR="005F223E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>naliza iz stavka 1. ovoga članka može obuhvaćati procjenu projekta ili skupinu projekata za širu lokalnu, regionalnu ili nacionalnu procjenu, s ciljem utvrđivanja troškovno najučinkovitije i najkorisnije mogućnosti grijanja ili hlađenja na određenom zemljopisnom području za potrebe planiranja potrošnje toplinske energije.</w:t>
      </w:r>
    </w:p>
    <w:p w14:paraId="7AC7EC9A" w14:textId="6255A241" w:rsidR="00B97C6B" w:rsidRPr="00DB7947" w:rsidRDefault="00B97C6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(5) Pri planiranju najisplativije varijante opskrbe toplinom za analizirano zemljopisno područje za zadovoljavanje potreba za grijanjem i hlađenjem, analiza iz stavka 1. ovoga članka uzima u obzir energetska rješenja šireg lokalnog, regionalnog ili nacionalnog okruženja.</w:t>
      </w:r>
    </w:p>
    <w:p w14:paraId="6932A95D" w14:textId="18CA9F41" w:rsidR="0034136B" w:rsidRPr="002B17FB" w:rsidRDefault="0034136B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 xml:space="preserve">(6) </w:t>
      </w:r>
      <w:r w:rsidR="00C20413" w:rsidRPr="00DB7947">
        <w:rPr>
          <w:rFonts w:ascii="Minion Pro" w:hAnsi="Minion Pro"/>
          <w:sz w:val="24"/>
          <w:szCs w:val="24"/>
        </w:rPr>
        <w:t>Analiza troškova i koristi iz stavka 1. ovog članka</w:t>
      </w:r>
      <w:r w:rsidR="009411B7" w:rsidRPr="00DB7947">
        <w:rPr>
          <w:rFonts w:ascii="Minion Pro" w:hAnsi="Minion Pro"/>
          <w:sz w:val="24"/>
          <w:szCs w:val="24"/>
        </w:rPr>
        <w:t xml:space="preserve"> uzima u obzir i energetska rješenja</w:t>
      </w:r>
      <w:r w:rsidR="006E4516" w:rsidRPr="00DB7947">
        <w:rPr>
          <w:rFonts w:ascii="Minion Pro" w:hAnsi="Minion Pro"/>
          <w:sz w:val="24"/>
          <w:szCs w:val="24"/>
        </w:rPr>
        <w:t xml:space="preserve"> </w:t>
      </w:r>
      <w:r w:rsidR="00E8199D" w:rsidRPr="00DB7947">
        <w:rPr>
          <w:rFonts w:ascii="Minion Pro" w:hAnsi="Minion Pro"/>
          <w:sz w:val="24"/>
          <w:szCs w:val="24"/>
        </w:rPr>
        <w:t xml:space="preserve">iz Akcijskih planova energetske učinkovitosti kojima se utvrđuje provedba politike za poboljšanje energetske učinkovitosti u jedinici područne (regionalne) samouprave, odnosno na području velikog grada, </w:t>
      </w:r>
      <w:r w:rsidR="0062271E" w:rsidRPr="00DB7947">
        <w:rPr>
          <w:rFonts w:ascii="Minion Pro" w:hAnsi="Minion Pro"/>
          <w:sz w:val="24"/>
          <w:szCs w:val="24"/>
        </w:rPr>
        <w:t>u skladu sa zakonom</w:t>
      </w:r>
      <w:r w:rsidR="00E8199D" w:rsidRPr="00DB7947">
        <w:rPr>
          <w:rFonts w:ascii="Minion Pro" w:hAnsi="Minion Pro"/>
          <w:sz w:val="24"/>
          <w:szCs w:val="24"/>
        </w:rPr>
        <w:t xml:space="preserve"> kojim se uređuje područje energetske učinkovitosti.</w:t>
      </w:r>
    </w:p>
    <w:p w14:paraId="62CCCEDF" w14:textId="270AE45E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Sadržaj</w:t>
      </w:r>
      <w:r w:rsidR="00535185">
        <w:rPr>
          <w:rFonts w:ascii="Minion Pro" w:hAnsi="Minion Pro"/>
          <w:sz w:val="24"/>
          <w:szCs w:val="24"/>
        </w:rPr>
        <w:t xml:space="preserve"> analize troškova i koristi u</w:t>
      </w:r>
      <w:r w:rsidR="007C678A">
        <w:rPr>
          <w:rFonts w:ascii="Minion Pro" w:hAnsi="Minion Pro"/>
          <w:sz w:val="24"/>
          <w:szCs w:val="24"/>
        </w:rPr>
        <w:t xml:space="preserve"> okviru sveobuhvatne procjene potencijala za učinkovito grijanje i hlađenje</w:t>
      </w:r>
    </w:p>
    <w:p w14:paraId="662935D3" w14:textId="3D195752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7</w:t>
      </w:r>
      <w:r w:rsidRPr="002B17FB">
        <w:rPr>
          <w:rFonts w:ascii="Minion Pro" w:hAnsi="Minion Pro"/>
          <w:sz w:val="24"/>
          <w:szCs w:val="24"/>
        </w:rPr>
        <w:t>.</w:t>
      </w:r>
    </w:p>
    <w:p w14:paraId="5602C04F" w14:textId="1037BF4E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</w:t>
      </w:r>
      <w:r w:rsidR="00E50B33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 xml:space="preserve">naliza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mora uključivati ishodišni scenarij i izvedive (relevantne) alternativne scenarije.</w:t>
      </w:r>
    </w:p>
    <w:p w14:paraId="42987CAD" w14:textId="45B2D6FF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(2) </w:t>
      </w:r>
      <w:r w:rsidR="00E50B33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 xml:space="preserve">naliza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sadrži sljedeće elemente i korake:</w:t>
      </w:r>
    </w:p>
    <w:p w14:paraId="6EF3DADA" w14:textId="282DCF7F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određivanje granice energetskog sustava i zemljopisne granice,</w:t>
      </w:r>
    </w:p>
    <w:p w14:paraId="1C1FCD84" w14:textId="007DF30A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integrirani pristup mogućnostima u vezi s potražnjom i opskrbom energije,</w:t>
      </w:r>
    </w:p>
    <w:p w14:paraId="0B1BFF39" w14:textId="7AE16713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određivanje ishodišnog scenarija,</w:t>
      </w:r>
    </w:p>
    <w:p w14:paraId="4C1ADF02" w14:textId="343C36B2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određivanje alternativnih scenarija,</w:t>
      </w:r>
    </w:p>
    <w:p w14:paraId="3DEA3D7F" w14:textId="050B142C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utvrđivanje neto koristi,</w:t>
      </w:r>
    </w:p>
    <w:p w14:paraId="5E460EF2" w14:textId="77406DEA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izračun i predviđanje cijena i druge pretpostavke za ekonomsku</w:t>
      </w:r>
      <w:r w:rsidR="00FF6677" w:rsidRPr="002B17FB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>analizu</w:t>
      </w:r>
      <w:r w:rsidR="00D671FA" w:rsidRPr="002B17FB">
        <w:rPr>
          <w:rFonts w:ascii="Minion Pro" w:hAnsi="Minion Pro"/>
          <w:sz w:val="24"/>
          <w:szCs w:val="24"/>
        </w:rPr>
        <w:t>:</w:t>
      </w:r>
    </w:p>
    <w:p w14:paraId="6143EB68" w14:textId="43360956" w:rsidR="000B518E" w:rsidRPr="002B17FB" w:rsidRDefault="00A8776B" w:rsidP="002B17FB">
      <w:pPr>
        <w:pStyle w:val="Odlomakpopisa"/>
        <w:numPr>
          <w:ilvl w:val="0"/>
          <w:numId w:val="10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cijene koje se upotrebljavaju u </w:t>
      </w:r>
      <w:r w:rsidR="009E4EFF" w:rsidRPr="002B17FB">
        <w:rPr>
          <w:rFonts w:ascii="Minion Pro" w:hAnsi="Minion Pro"/>
          <w:sz w:val="24"/>
          <w:szCs w:val="24"/>
        </w:rPr>
        <w:t>ekonomskoj</w:t>
      </w:r>
      <w:r w:rsidRPr="002B17FB">
        <w:rPr>
          <w:rFonts w:ascii="Minion Pro" w:hAnsi="Minion Pro"/>
          <w:sz w:val="24"/>
          <w:szCs w:val="24"/>
        </w:rPr>
        <w:t xml:space="preserve"> analizi odražavaju socioekonomske troškove i koristi</w:t>
      </w:r>
      <w:r w:rsidR="00D671FA" w:rsidRPr="002B17FB">
        <w:rPr>
          <w:rFonts w:ascii="Minion Pro" w:hAnsi="Minion Pro"/>
          <w:sz w:val="24"/>
          <w:szCs w:val="24"/>
        </w:rPr>
        <w:t xml:space="preserve">, </w:t>
      </w:r>
    </w:p>
    <w:p w14:paraId="29F7B7BC" w14:textId="22F94829" w:rsidR="00A8776B" w:rsidRPr="002B17FB" w:rsidRDefault="000B518E" w:rsidP="00D671FA">
      <w:pPr>
        <w:pStyle w:val="Odlomakpopisa"/>
        <w:numPr>
          <w:ilvl w:val="0"/>
          <w:numId w:val="10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v</w:t>
      </w:r>
      <w:r w:rsidR="00A8776B" w:rsidRPr="002B17FB">
        <w:rPr>
          <w:rFonts w:ascii="Minion Pro" w:hAnsi="Minion Pro"/>
          <w:sz w:val="24"/>
          <w:szCs w:val="24"/>
        </w:rPr>
        <w:t>anjski troškovi, kao što su učinci na zdravlje i okoliš, trebalo bi se uključiti u mjeri u kojoj je to moguće, odnosno ako tržišna cijena već postoji ili ako je uključena u europske ili nacionalne propise</w:t>
      </w:r>
      <w:r w:rsidRPr="002B17FB">
        <w:rPr>
          <w:rFonts w:ascii="Minion Pro" w:hAnsi="Minion Pro"/>
          <w:sz w:val="24"/>
          <w:szCs w:val="24"/>
        </w:rPr>
        <w:t>,</w:t>
      </w:r>
    </w:p>
    <w:p w14:paraId="3FD07BFF" w14:textId="607A2917" w:rsidR="001D6284" w:rsidRPr="002B17FB" w:rsidRDefault="00D32A23" w:rsidP="002B17FB">
      <w:pPr>
        <w:pStyle w:val="Odlomakpopisa"/>
        <w:numPr>
          <w:ilvl w:val="0"/>
          <w:numId w:val="10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 xml:space="preserve">diskontna stopa koja se u </w:t>
      </w:r>
      <w:r w:rsidR="009E4EFF" w:rsidRPr="002B17FB">
        <w:rPr>
          <w:rFonts w:ascii="Minion Pro" w:hAnsi="Minion Pro"/>
          <w:sz w:val="24"/>
          <w:szCs w:val="24"/>
        </w:rPr>
        <w:t>ekonomskoj</w:t>
      </w:r>
      <w:r w:rsidRPr="002B17FB">
        <w:rPr>
          <w:rFonts w:ascii="Minion Pro" w:hAnsi="Minion Pro"/>
          <w:sz w:val="24"/>
          <w:szCs w:val="24"/>
        </w:rPr>
        <w:t xml:space="preserve"> analizi upotrebljava za izračun neto sadašnje vrijednosti</w:t>
      </w:r>
      <w:r w:rsidR="00095C1D" w:rsidRPr="00DB7947">
        <w:rPr>
          <w:rFonts w:ascii="Minion Pro" w:hAnsi="Minion Pro"/>
          <w:sz w:val="24"/>
          <w:szCs w:val="24"/>
        </w:rPr>
        <w:t xml:space="preserve"> projekta</w:t>
      </w:r>
      <w:r w:rsidRPr="002B17FB">
        <w:rPr>
          <w:rFonts w:ascii="Minion Pro" w:hAnsi="Minion Pro"/>
          <w:sz w:val="24"/>
          <w:szCs w:val="24"/>
        </w:rPr>
        <w:t xml:space="preserve"> odabire se u skladu s europskim ili nacionalnim smjernicama</w:t>
      </w:r>
      <w:r w:rsidR="00095C1D" w:rsidRPr="00DB7947">
        <w:rPr>
          <w:rFonts w:ascii="Minion Pro" w:hAnsi="Minion Pro"/>
          <w:sz w:val="24"/>
          <w:szCs w:val="24"/>
        </w:rPr>
        <w:t xml:space="preserve"> za</w:t>
      </w:r>
      <w:r w:rsidR="00521CFE" w:rsidRPr="00DB7947">
        <w:rPr>
          <w:rFonts w:ascii="Minion Pro" w:hAnsi="Minion Pro"/>
          <w:sz w:val="24"/>
          <w:szCs w:val="24"/>
        </w:rPr>
        <w:t xml:space="preserve"> izradu analize troškova i koristi</w:t>
      </w:r>
      <w:r w:rsidR="001D6284" w:rsidRPr="002B17FB">
        <w:rPr>
          <w:rFonts w:ascii="Minion Pro" w:hAnsi="Minion Pro"/>
          <w:sz w:val="24"/>
          <w:szCs w:val="24"/>
        </w:rPr>
        <w:t>,</w:t>
      </w:r>
    </w:p>
    <w:p w14:paraId="40B843A3" w14:textId="7DC59C92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ekonomsku </w:t>
      </w:r>
      <w:r w:rsidR="006E11A7" w:rsidRPr="002B17FB">
        <w:rPr>
          <w:rFonts w:ascii="Minion Pro" w:hAnsi="Minion Pro"/>
          <w:sz w:val="24"/>
          <w:szCs w:val="24"/>
        </w:rPr>
        <w:t xml:space="preserve">i financijsku </w:t>
      </w:r>
      <w:r w:rsidRPr="002B17FB">
        <w:rPr>
          <w:rFonts w:ascii="Minion Pro" w:hAnsi="Minion Pro"/>
          <w:sz w:val="24"/>
          <w:szCs w:val="24"/>
        </w:rPr>
        <w:t>analizu</w:t>
      </w:r>
      <w:r w:rsidR="000B518E" w:rsidRPr="002B17FB">
        <w:rPr>
          <w:rFonts w:ascii="Minion Pro" w:hAnsi="Minion Pro"/>
          <w:sz w:val="24"/>
          <w:szCs w:val="24"/>
        </w:rPr>
        <w:t xml:space="preserve">, </w:t>
      </w:r>
    </w:p>
    <w:p w14:paraId="7807A95D" w14:textId="211482E7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popis učinaka i</w:t>
      </w:r>
    </w:p>
    <w:p w14:paraId="58F95D3A" w14:textId="2AEEA71E" w:rsidR="00B97C6B" w:rsidRPr="002B17FB" w:rsidRDefault="00B97C6B" w:rsidP="002B17FB">
      <w:pPr>
        <w:pStyle w:val="Odlomakpopisa"/>
        <w:numPr>
          <w:ilvl w:val="0"/>
          <w:numId w:val="9"/>
        </w:num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analizu osjetljivosti.</w:t>
      </w:r>
    </w:p>
    <w:p w14:paraId="717A716E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Određivanje sistemske i zemljopisne granice</w:t>
      </w:r>
    </w:p>
    <w:p w14:paraId="015E705E" w14:textId="78EECF4C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8</w:t>
      </w:r>
      <w:r w:rsidRPr="002B17FB">
        <w:rPr>
          <w:rFonts w:ascii="Minion Pro" w:hAnsi="Minion Pro"/>
          <w:sz w:val="24"/>
          <w:szCs w:val="24"/>
        </w:rPr>
        <w:t>.</w:t>
      </w:r>
    </w:p>
    <w:p w14:paraId="1F096CBD" w14:textId="7C938E91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Za područje primjene analize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određuje se jasno definirane granice zemljopisnog područja.</w:t>
      </w:r>
    </w:p>
    <w:p w14:paraId="479D570B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Zemljopisna granica iz stavka 1. ovoga članka pokriva određenu regiju ili područje gradova i/ili općina, ali koje se ne mora poklapati s upravno-teritorijalnim ustrojem, te koje ispunjava optimalne tehničke uvjete razvoja sustava, kako bi se izbjegao odabir onih rješenja koja nisu optimalna za svaki slučaj pojedinačno.</w:t>
      </w:r>
    </w:p>
    <w:p w14:paraId="7A2111CE" w14:textId="43D14989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(3) U analizama troškova i koristi uzimaju se u obzir svi relevantni centralizirani ili decentralizirani izvori opskrbe koji su dostupni u okviru sustava i zemljopisnih granica, uključujući tehnologije iz članka </w:t>
      </w:r>
      <w:r w:rsidR="003A5218">
        <w:rPr>
          <w:rFonts w:ascii="Minion Pro" w:hAnsi="Minion Pro"/>
          <w:sz w:val="24"/>
          <w:szCs w:val="24"/>
        </w:rPr>
        <w:t>4</w:t>
      </w:r>
      <w:r w:rsidRPr="002B17FB">
        <w:rPr>
          <w:rFonts w:ascii="Minion Pro" w:hAnsi="Minion Pro"/>
          <w:sz w:val="24"/>
          <w:szCs w:val="24"/>
        </w:rPr>
        <w:t xml:space="preserve">. stavka </w:t>
      </w:r>
      <w:r w:rsidR="0047187C" w:rsidRPr="00DB7947">
        <w:rPr>
          <w:rFonts w:ascii="Minion Pro" w:hAnsi="Minion Pro"/>
          <w:sz w:val="24"/>
          <w:szCs w:val="24"/>
        </w:rPr>
        <w:t>3</w:t>
      </w:r>
      <w:r w:rsidRPr="002B17FB">
        <w:rPr>
          <w:rFonts w:ascii="Minion Pro" w:hAnsi="Minion Pro"/>
          <w:sz w:val="24"/>
          <w:szCs w:val="24"/>
        </w:rPr>
        <w:t>. ovoga Pravilnika te kretanja i značajke potražnje za grijanjem i hlađenjem.</w:t>
      </w:r>
    </w:p>
    <w:p w14:paraId="61B4F509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Integrirani pristup mogućnostima u vezi s potražnjom i ponudom za grijanjem i hlađenjem</w:t>
      </w:r>
    </w:p>
    <w:p w14:paraId="76293501" w14:textId="4EFEE629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9</w:t>
      </w:r>
      <w:r w:rsidRPr="002B17FB">
        <w:rPr>
          <w:rFonts w:ascii="Minion Pro" w:hAnsi="Minion Pro"/>
          <w:sz w:val="24"/>
          <w:szCs w:val="24"/>
        </w:rPr>
        <w:t>.</w:t>
      </w:r>
    </w:p>
    <w:p w14:paraId="25E3664B" w14:textId="23D0811F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Pri </w:t>
      </w:r>
      <w:r w:rsidR="00A6521E" w:rsidRPr="002B17FB">
        <w:rPr>
          <w:rFonts w:ascii="Minion Pro" w:hAnsi="Minion Pro"/>
          <w:sz w:val="24"/>
          <w:szCs w:val="24"/>
        </w:rPr>
        <w:t>a</w:t>
      </w:r>
      <w:r w:rsidRPr="002B17FB">
        <w:rPr>
          <w:rFonts w:ascii="Minion Pro" w:hAnsi="Minion Pro"/>
          <w:sz w:val="24"/>
          <w:szCs w:val="24"/>
        </w:rPr>
        <w:t xml:space="preserve">nalizi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uzimaju se u obzir, i to na temelju raspoloživih podataka, svi relevantni izvori opskrbe energijom dostupni unutar granica energetskog sustava i definiranog zemljopisnog područja, uključujući otpadnu toplinu iz proizvodnje električne energije i industrijskih postrojenja i obnovljivu energiju, te svojstva i kretanja u vezi s potražnjom za grijanjem i hlađenjem.</w:t>
      </w:r>
    </w:p>
    <w:p w14:paraId="1FD819B3" w14:textId="171EB1AD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(2) Procjene potreba za grijanjem i hlađenjem se rade za razdoblje od 30 godina u GWh, uzimajući detaljnu projekciju za narednih 10 godina koja obuhvaća promjene potražnje u građevinama i različitim sektorima industrije te utjecaj politika i strategija vezanih za upravljanjem potrošnjom poput </w:t>
      </w:r>
      <w:r w:rsidR="00705447" w:rsidRPr="00DB7947">
        <w:rPr>
          <w:rFonts w:ascii="Minion Pro" w:hAnsi="Minion Pro"/>
          <w:sz w:val="24"/>
          <w:szCs w:val="24"/>
        </w:rPr>
        <w:t>n</w:t>
      </w:r>
      <w:r w:rsidR="00EA5FF5" w:rsidRPr="00DB7947">
        <w:rPr>
          <w:rFonts w:ascii="Minion Pro" w:hAnsi="Minion Pro"/>
          <w:sz w:val="24"/>
          <w:szCs w:val="24"/>
        </w:rPr>
        <w:t>acionalnog plan</w:t>
      </w:r>
      <w:r w:rsidR="0062271E" w:rsidRPr="00DB7947">
        <w:rPr>
          <w:rFonts w:ascii="Minion Pro" w:hAnsi="Minion Pro"/>
          <w:sz w:val="24"/>
          <w:szCs w:val="24"/>
        </w:rPr>
        <w:t>a</w:t>
      </w:r>
      <w:r w:rsidR="00EA5FF5" w:rsidRPr="00DB7947">
        <w:rPr>
          <w:rFonts w:ascii="Minion Pro" w:hAnsi="Minion Pro"/>
          <w:sz w:val="24"/>
          <w:szCs w:val="24"/>
        </w:rPr>
        <w:t xml:space="preserve"> obnove zgrada u skladu sa zakonom kojim se </w:t>
      </w:r>
      <w:r w:rsidR="0062271E" w:rsidRPr="00DB7947">
        <w:rPr>
          <w:rFonts w:ascii="Minion Pro" w:hAnsi="Minion Pro"/>
          <w:sz w:val="24"/>
          <w:szCs w:val="24"/>
        </w:rPr>
        <w:t>uređuje</w:t>
      </w:r>
      <w:r w:rsidR="00EA5FF5" w:rsidRPr="00DB7947">
        <w:rPr>
          <w:rFonts w:ascii="Minion Pro" w:hAnsi="Minion Pro"/>
          <w:sz w:val="24"/>
          <w:szCs w:val="24"/>
        </w:rPr>
        <w:t xml:space="preserve"> energetska učinkovitost u zgradarstvu</w:t>
      </w:r>
      <w:r w:rsidR="0062271E" w:rsidRPr="00DB7947">
        <w:rPr>
          <w:rFonts w:ascii="Minion Pro" w:hAnsi="Minion Pro"/>
          <w:sz w:val="24"/>
          <w:szCs w:val="24"/>
        </w:rPr>
        <w:t>.</w:t>
      </w:r>
      <w:r w:rsidR="007F2091" w:rsidRPr="00DB7947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>.</w:t>
      </w:r>
    </w:p>
    <w:p w14:paraId="405EA252" w14:textId="10F64E04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Pri analizi</w:t>
      </w:r>
      <w:r w:rsidR="003D280F" w:rsidRPr="00DB7947">
        <w:rPr>
          <w:rFonts w:ascii="Minion Pro" w:hAnsi="Minion Pro"/>
          <w:sz w:val="24"/>
          <w:szCs w:val="24"/>
        </w:rPr>
        <w:t xml:space="preserve">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="003D280F" w:rsidRPr="00DB7947">
        <w:rPr>
          <w:rFonts w:ascii="Minion Pro" w:hAnsi="Minion Pro"/>
          <w:sz w:val="24"/>
          <w:szCs w:val="24"/>
        </w:rPr>
        <w:t>. ovoga Pravilnika</w:t>
      </w:r>
      <w:r w:rsidRPr="002B17FB">
        <w:rPr>
          <w:rFonts w:ascii="Minion Pro" w:hAnsi="Minion Pro"/>
          <w:sz w:val="24"/>
          <w:szCs w:val="24"/>
        </w:rPr>
        <w:t xml:space="preserve"> uzima se u obzir nacionalni doprinos ciljevima energetske politike koji se predviđaju realizirati kroz učinkovitost u grijanju i hlađenju te se isti uspoređuju s podacima iz integralnog nacionalnog energetsko</w:t>
      </w:r>
      <w:r w:rsidR="00D67729" w:rsidRPr="00DB7947">
        <w:rPr>
          <w:rFonts w:ascii="Minion Pro" w:hAnsi="Minion Pro"/>
          <w:sz w:val="24"/>
          <w:szCs w:val="24"/>
        </w:rPr>
        <w:t xml:space="preserve"> i</w:t>
      </w:r>
      <w:r w:rsidRPr="002B17FB">
        <w:rPr>
          <w:rFonts w:ascii="Minion Pro" w:hAnsi="Minion Pro"/>
          <w:sz w:val="24"/>
          <w:szCs w:val="24"/>
        </w:rPr>
        <w:t xml:space="preserve"> klimatskog plana.</w:t>
      </w:r>
    </w:p>
    <w:p w14:paraId="098609C5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Određivanje ishodišnog scenarija</w:t>
      </w:r>
    </w:p>
    <w:p w14:paraId="76318635" w14:textId="541BBB6E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10</w:t>
      </w:r>
      <w:r w:rsidRPr="002B17FB">
        <w:rPr>
          <w:rFonts w:ascii="Minion Pro" w:hAnsi="Minion Pro"/>
          <w:sz w:val="24"/>
          <w:szCs w:val="24"/>
        </w:rPr>
        <w:t>.</w:t>
      </w:r>
    </w:p>
    <w:p w14:paraId="64F68F92" w14:textId="46F24BD8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Za potrebe</w:t>
      </w:r>
      <w:r w:rsidR="00A6521E" w:rsidRPr="002B17FB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 xml:space="preserve">analize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određuje se ishodišni scenarij koji služi kao referentna točka na temelju koje se ocjenjuju alternativni scenariji.</w:t>
      </w:r>
    </w:p>
    <w:p w14:paraId="61EEB8AA" w14:textId="585471FD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 xml:space="preserve">(2) Ishodišni scenarij iz stavka 1. ovoga članka obuhvaća troškove i prihode odnosno koristi, kako bi se održala usluga na postojećoj razini koja je još na raspolaganju, a u okviru predviđenog razmatranog vremenskog razdoblja za koje se radi </w:t>
      </w:r>
      <w:r w:rsidR="008028B9" w:rsidRPr="00DB7947">
        <w:rPr>
          <w:rFonts w:ascii="Minion Pro" w:hAnsi="Minion Pro"/>
          <w:sz w:val="24"/>
          <w:szCs w:val="24"/>
        </w:rPr>
        <w:t>sveobuhvatna procjena potencijala za učinkovito grijanje i hlađenje u Republici Hrvatskoj</w:t>
      </w:r>
      <w:r w:rsidR="005B3021" w:rsidRPr="00DB7947">
        <w:rPr>
          <w:rFonts w:ascii="Minion Pro" w:hAnsi="Minion Pro"/>
          <w:sz w:val="24"/>
          <w:szCs w:val="24"/>
        </w:rPr>
        <w:t xml:space="preserve">, </w:t>
      </w:r>
      <w:r w:rsidRPr="002B17FB">
        <w:rPr>
          <w:rFonts w:ascii="Minion Pro" w:hAnsi="Minion Pro"/>
          <w:sz w:val="24"/>
          <w:szCs w:val="24"/>
        </w:rPr>
        <w:t xml:space="preserve"> sukladno </w:t>
      </w:r>
      <w:r w:rsidR="00F239C0" w:rsidRPr="00DB7947">
        <w:rPr>
          <w:rFonts w:ascii="Minion Pro" w:hAnsi="Minion Pro"/>
          <w:sz w:val="24"/>
          <w:szCs w:val="24"/>
        </w:rPr>
        <w:t xml:space="preserve">članku </w:t>
      </w:r>
      <w:r w:rsidR="003A5218">
        <w:rPr>
          <w:rFonts w:ascii="Minion Pro" w:hAnsi="Minion Pro"/>
          <w:sz w:val="24"/>
          <w:szCs w:val="24"/>
        </w:rPr>
        <w:t>9</w:t>
      </w:r>
      <w:r w:rsidR="00F239C0" w:rsidRPr="00DB7947">
        <w:rPr>
          <w:rFonts w:ascii="Minion Pro" w:hAnsi="Minion Pro"/>
          <w:sz w:val="24"/>
          <w:szCs w:val="24"/>
        </w:rPr>
        <w:t xml:space="preserve">. stavku 2. ovog Pravilnika. </w:t>
      </w:r>
    </w:p>
    <w:p w14:paraId="70D2EBDF" w14:textId="3AA5CC8E" w:rsidR="003C2F33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(3) Ishodišni scenarij iz stavka 1. ovoga članka opisuje postojeću situaciju, bez promjene parametara, uzimajući u obzir eventualne zamjene postojeće opreme ili postrojenja u okviru predviđenog razmatranog vremenskog razdoblja za koje se radi </w:t>
      </w:r>
      <w:r w:rsidR="00F239C0" w:rsidRPr="00DB7947">
        <w:rPr>
          <w:rFonts w:ascii="Minion Pro" w:hAnsi="Minion Pro"/>
          <w:sz w:val="24"/>
          <w:szCs w:val="24"/>
        </w:rPr>
        <w:t xml:space="preserve">sveobuhvatna procjena potencijala za učinkovito grijanje i hlađenje u Republici Hrvatskoj sukladno članku </w:t>
      </w:r>
      <w:r w:rsidR="003A5218">
        <w:rPr>
          <w:rFonts w:ascii="Minion Pro" w:hAnsi="Minion Pro"/>
          <w:sz w:val="24"/>
          <w:szCs w:val="24"/>
        </w:rPr>
        <w:t>9</w:t>
      </w:r>
      <w:r w:rsidR="00F239C0" w:rsidRPr="00DB7947">
        <w:rPr>
          <w:rFonts w:ascii="Minion Pro" w:hAnsi="Minion Pro"/>
          <w:sz w:val="24"/>
          <w:szCs w:val="24"/>
        </w:rPr>
        <w:t>. stavku 2. ovog Pravilnika</w:t>
      </w:r>
      <w:r w:rsidR="003C2F33" w:rsidRPr="00DB7947">
        <w:rPr>
          <w:rFonts w:ascii="Minion Pro" w:hAnsi="Minion Pro"/>
          <w:sz w:val="24"/>
          <w:szCs w:val="24"/>
        </w:rPr>
        <w:t>.</w:t>
      </w:r>
    </w:p>
    <w:p w14:paraId="1814BFCB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(4) Za svaki ishodišni scenarij definiraju se tehnička svojstva postojećeg postrojenja, što između ostalog uključuje i opis postrojenja i opis korištene tehnologije za proizvodnju.</w:t>
      </w:r>
    </w:p>
    <w:p w14:paraId="6F0E8631" w14:textId="77777777" w:rsidR="00B97C6B" w:rsidRPr="002B17FB" w:rsidRDefault="00B97C6B" w:rsidP="00BD5C1E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Određivanje alternativnih scenarija</w:t>
      </w:r>
    </w:p>
    <w:p w14:paraId="1B3EEF87" w14:textId="05A52EAB" w:rsidR="00B97C6B" w:rsidRPr="002B17FB" w:rsidRDefault="00B97C6B" w:rsidP="00BD5C1E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EF53BB">
        <w:rPr>
          <w:rFonts w:ascii="Minion Pro" w:hAnsi="Minion Pro"/>
          <w:sz w:val="24"/>
          <w:szCs w:val="24"/>
        </w:rPr>
        <w:t>1</w:t>
      </w:r>
      <w:r w:rsidR="003A5218">
        <w:rPr>
          <w:rFonts w:ascii="Minion Pro" w:hAnsi="Minion Pro"/>
          <w:sz w:val="24"/>
          <w:szCs w:val="24"/>
        </w:rPr>
        <w:t>1</w:t>
      </w:r>
      <w:r w:rsidRPr="002B17FB">
        <w:rPr>
          <w:rFonts w:ascii="Minion Pro" w:hAnsi="Minion Pro"/>
          <w:sz w:val="24"/>
          <w:szCs w:val="24"/>
        </w:rPr>
        <w:t>.</w:t>
      </w:r>
    </w:p>
    <w:p w14:paraId="5877CCE8" w14:textId="2CFC09C0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Alternativni scenariji moraju uzeti u obzir analizu određenog zemljopisnog područja u sektoru grijanja i hlađenja, sukladno tehnologijama iz članka </w:t>
      </w:r>
      <w:r w:rsidR="003A5218">
        <w:rPr>
          <w:rFonts w:ascii="Minion Pro" w:hAnsi="Minion Pro"/>
          <w:sz w:val="24"/>
          <w:szCs w:val="24"/>
        </w:rPr>
        <w:t>4</w:t>
      </w:r>
      <w:r w:rsidRPr="002B17FB">
        <w:rPr>
          <w:rFonts w:ascii="Minion Pro" w:hAnsi="Minion Pro"/>
          <w:sz w:val="24"/>
          <w:szCs w:val="24"/>
        </w:rPr>
        <w:t xml:space="preserve">. stavka </w:t>
      </w:r>
      <w:r w:rsidR="006B2B4A" w:rsidRPr="00DB7947">
        <w:rPr>
          <w:rFonts w:ascii="Minion Pro" w:hAnsi="Minion Pro"/>
          <w:sz w:val="24"/>
          <w:szCs w:val="24"/>
        </w:rPr>
        <w:t>3</w:t>
      </w:r>
      <w:r w:rsidRPr="002B17FB">
        <w:rPr>
          <w:rFonts w:ascii="Minion Pro" w:hAnsi="Minion Pro"/>
          <w:sz w:val="24"/>
          <w:szCs w:val="24"/>
        </w:rPr>
        <w:t>. ovoga Pravilnika, te ekonomsku i financijsku analizu svih ekonomskih učinaka, socijalnih i ekoloških koristi koje su definirane za potrebe grijanja i hlađenja.</w:t>
      </w:r>
    </w:p>
    <w:p w14:paraId="06FCC95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U alternativnim scenarijima u odnosu na ishodišni scenarij uzimaju se u obzir ciljevi u pogledu energetske učinkovitosti i obnovljivih izvora energije.</w:t>
      </w:r>
    </w:p>
    <w:p w14:paraId="2AC48EAF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U svakom scenariju navode se sljedeći elementi u odnosu na ishodišni scenarij:</w:t>
      </w:r>
    </w:p>
    <w:p w14:paraId="51A28A04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gospodarski potencijal analiziranih tehnologija, pri čemu se kao mjerilo uzima neto sadašnja vrijednost,</w:t>
      </w:r>
    </w:p>
    <w:p w14:paraId="6395AF5E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smanjivanje emisija stakleničkih plinova,</w:t>
      </w:r>
    </w:p>
    <w:p w14:paraId="007582EB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uštede primarne energije u GWh godišnje,</w:t>
      </w:r>
    </w:p>
    <w:p w14:paraId="372C15B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utjecaj na udio obnovljivih izvora energije u nacionalnoj kombinaciji izvora energije.</w:t>
      </w:r>
    </w:p>
    <w:p w14:paraId="3149C4A1" w14:textId="5C0EC3FE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(4) Scenariji koji nisu izvedivi zbog tehničkih ili financijskih razloga, nacionalne regulative ili vremenskih ograničenja, mogu se isključiti u ranoj fazi analize troškova i koristi iz članka </w:t>
      </w:r>
      <w:r w:rsidR="00D125B9">
        <w:rPr>
          <w:rFonts w:ascii="Minion Pro" w:hAnsi="Minion Pro"/>
          <w:sz w:val="24"/>
          <w:szCs w:val="24"/>
        </w:rPr>
        <w:t>5</w:t>
      </w:r>
      <w:r w:rsidRPr="002B17FB">
        <w:rPr>
          <w:rFonts w:ascii="Minion Pro" w:hAnsi="Minion Pro"/>
          <w:sz w:val="24"/>
          <w:szCs w:val="24"/>
        </w:rPr>
        <w:t>. ovoga Pravilnika, ako je to opravdano na temelju pažljivih, jasnih i dobro dokumentiranih analiza.</w:t>
      </w:r>
    </w:p>
    <w:p w14:paraId="76092DCD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Izračun neto koristi</w:t>
      </w:r>
    </w:p>
    <w:p w14:paraId="592EFF17" w14:textId="3D81DEC9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2</w:t>
      </w:r>
      <w:r w:rsidRPr="002B17FB">
        <w:rPr>
          <w:rFonts w:ascii="Minion Pro" w:hAnsi="Minion Pro"/>
          <w:sz w:val="24"/>
          <w:szCs w:val="24"/>
        </w:rPr>
        <w:t>.</w:t>
      </w:r>
    </w:p>
    <w:p w14:paraId="7AFD0BAA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Neto korist primjene visokoučinkovite kogeneracije, učinkovitog daljinskog grijanja i hlađenja ili opskrba s učinkovitim individualnim grijanjem i hlađenjem, izračunava se kao razlika između procijenjenih ukupnih dugoročnih troškova i ukupnih dugoročnih koristi svake opcije opskrbe energijom za grijanje ili hlađenje.</w:t>
      </w:r>
    </w:p>
    <w:p w14:paraId="32717D29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>(2) Kriterij za izračun neto koristi je neto vrijednost. Razdoblje ocjenjivanja za ukupnu procjenu opcije određuje se na takav način da se svi troškovi i koristi alternativnih varijacija uzimaju u obzir u ocjenjivanju.</w:t>
      </w:r>
    </w:p>
    <w:p w14:paraId="43D773BC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Pri izračunavanju neto koristi za tehnologije iz članka 1. stavka 4. ovoga Pravilnika, postupa se na sljedeći način:</w:t>
      </w:r>
    </w:p>
    <w:p w14:paraId="3B7FC45F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ocjenjuju se i uspoređuju ukupni dugoročni troškovi i koristi mogućnosti opskrbe grijanjem ili hlađenjem,</w:t>
      </w:r>
    </w:p>
    <w:p w14:paraId="2F9D3885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kriterij za ocjenjivanje je neto sadašnja vrijednost i</w:t>
      </w:r>
    </w:p>
    <w:p w14:paraId="3D8E0F2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vremenski okvir se odabire tako da se uključe svi relevantni troškovi i koristi scenarija (odgovarajući vremenski okvir od 25 godina za plinsku elektranu, od 30 godina za sustav centraliziranoga grijanja ili od 20 godina za opremu za grijanje kao što su kotlovi)</w:t>
      </w:r>
    </w:p>
    <w:p w14:paraId="46DB584C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obuhvaća se procjena projekta ili skupine projekata u pogledu šire lokalne, regionalne ili nacionalne procjene s ciljem utvrđivanja troškovno najučinkovitije i najkorisnije opcije grijanja ili hlađenja u odnosu na ishodišni scenarij na određenom zemljopisnom području definiranom za potrebe planiranja.</w:t>
      </w:r>
    </w:p>
    <w:p w14:paraId="15916F1A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Pretpostavke za ekonomsku analizu</w:t>
      </w:r>
    </w:p>
    <w:p w14:paraId="075FFE5B" w14:textId="4E456F12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EF53BB">
        <w:rPr>
          <w:rFonts w:ascii="Minion Pro" w:hAnsi="Minion Pro"/>
          <w:sz w:val="24"/>
          <w:szCs w:val="24"/>
        </w:rPr>
        <w:t>12</w:t>
      </w:r>
      <w:r w:rsidRPr="002B17FB">
        <w:rPr>
          <w:rFonts w:ascii="Minion Pro" w:hAnsi="Minion Pro"/>
          <w:sz w:val="24"/>
          <w:szCs w:val="24"/>
        </w:rPr>
        <w:t>.</w:t>
      </w:r>
    </w:p>
    <w:p w14:paraId="08ADAE99" w14:textId="3A4C93FF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U </w:t>
      </w:r>
      <w:r w:rsidR="009E4EFF" w:rsidRPr="002B17FB">
        <w:rPr>
          <w:rFonts w:ascii="Minion Pro" w:hAnsi="Minion Pro"/>
          <w:sz w:val="24"/>
          <w:szCs w:val="24"/>
        </w:rPr>
        <w:t xml:space="preserve">ekonomskoj </w:t>
      </w:r>
      <w:r w:rsidRPr="002B17FB">
        <w:rPr>
          <w:rFonts w:ascii="Minion Pro" w:hAnsi="Minion Pro"/>
          <w:sz w:val="24"/>
          <w:szCs w:val="24"/>
        </w:rPr>
        <w:t xml:space="preserve">analizi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potrebno je naznačiti pretpostavke koje su uzete u obzir kada se radi o cijenama glavnih ulaznih i izlaznih faktora kao i diskontna stopa.</w:t>
      </w:r>
    </w:p>
    <w:p w14:paraId="0A0FC647" w14:textId="1CD1872A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(2) Diskontna stopa koja se u </w:t>
      </w:r>
      <w:r w:rsidR="00854245" w:rsidRPr="002B17FB">
        <w:rPr>
          <w:rFonts w:ascii="Minion Pro" w:hAnsi="Minion Pro"/>
          <w:sz w:val="24"/>
          <w:szCs w:val="24"/>
        </w:rPr>
        <w:t xml:space="preserve">ekonomskoj </w:t>
      </w:r>
      <w:r w:rsidRPr="002B17FB">
        <w:rPr>
          <w:rFonts w:ascii="Minion Pro" w:hAnsi="Minion Pro"/>
          <w:sz w:val="24"/>
          <w:szCs w:val="24"/>
        </w:rPr>
        <w:t>analizi upotrebljava za izračun neto sadašnje vrijednosti odabire se u skladu s europskim ili nacionalnim smjernicama.</w:t>
      </w:r>
    </w:p>
    <w:p w14:paraId="1A364918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Ako je to potrebno u nacionalnom i/ili regionalnom/lokalnom kontekstu, koriste se predviđanja u vezi s kretanjem nacionalnih, europskih ili međunarodnih cijena energije.</w:t>
      </w:r>
    </w:p>
    <w:p w14:paraId="2F9ED325" w14:textId="26D66259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(4) Cijene koje se upotrebljavaju u </w:t>
      </w:r>
      <w:r w:rsidR="00382761" w:rsidRPr="002B17FB">
        <w:rPr>
          <w:rFonts w:ascii="Minion Pro" w:hAnsi="Minion Pro"/>
          <w:sz w:val="24"/>
          <w:szCs w:val="24"/>
        </w:rPr>
        <w:t xml:space="preserve">ekonomskoj </w:t>
      </w:r>
      <w:r w:rsidRPr="002B17FB">
        <w:rPr>
          <w:rFonts w:ascii="Minion Pro" w:hAnsi="Minion Pro"/>
          <w:sz w:val="24"/>
          <w:szCs w:val="24"/>
        </w:rPr>
        <w:t xml:space="preserve">analizi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odražavaju socioekonomske troškove i koristi.</w:t>
      </w:r>
    </w:p>
    <w:p w14:paraId="7B16F978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(5) Vanjski troškovi, kao što su učinci na zdravlje i okoliš, trebaju se uključiti u mjeri u kojoj je to moguće, odnosno ako tržišna cijena već postoji ili ako je uključena u europske ili nacionalne propise.</w:t>
      </w:r>
    </w:p>
    <w:p w14:paraId="3B6D784A" w14:textId="4C6A290C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Ekonomska analiza </w:t>
      </w:r>
      <w:r w:rsidR="009A2CA3" w:rsidRPr="002B17FB">
        <w:rPr>
          <w:rFonts w:ascii="Minion Pro" w:hAnsi="Minion Pro"/>
          <w:sz w:val="24"/>
          <w:szCs w:val="24"/>
        </w:rPr>
        <w:t xml:space="preserve">- </w:t>
      </w:r>
      <w:r w:rsidRPr="002B17FB">
        <w:rPr>
          <w:rFonts w:ascii="Minion Pro" w:hAnsi="Minion Pro"/>
          <w:sz w:val="24"/>
          <w:szCs w:val="24"/>
        </w:rPr>
        <w:t>popis učinaka</w:t>
      </w:r>
    </w:p>
    <w:p w14:paraId="71AC86EC" w14:textId="0987B9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4</w:t>
      </w:r>
      <w:r w:rsidRPr="002B17FB">
        <w:rPr>
          <w:rFonts w:ascii="Minion Pro" w:hAnsi="Minion Pro"/>
          <w:sz w:val="24"/>
          <w:szCs w:val="24"/>
        </w:rPr>
        <w:t>.</w:t>
      </w:r>
    </w:p>
    <w:p w14:paraId="02C0F5FD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U ekonomskoj analizi se uzimaju u obzir i svi značajni (relevantni) ekonomski učinci.</w:t>
      </w:r>
    </w:p>
    <w:p w14:paraId="3FA98DE7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Pri donošenju odluka mogu se procijeniti i uzeti u obzir troškovi i uštede energije u analiziranim scenarijima proizašle iz povećanja fleksibilnosti u opskrbi energijom te iz optimalnijeg rada elektroenergetskih mreža, uključujući izbjegnute troškove i uštede proizišle iz smanjenja ulaganja u infrastrukturu.</w:t>
      </w:r>
    </w:p>
    <w:p w14:paraId="66B5AA17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Troškovi koji se uzimaju u obzir uključuju minimalno:</w:t>
      </w:r>
    </w:p>
    <w:p w14:paraId="624B16A9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>– kapitalne troškove postrojenja i opreme,</w:t>
      </w:r>
    </w:p>
    <w:p w14:paraId="75B13738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kapitalne troškove povezanih energetskih mreža,</w:t>
      </w:r>
    </w:p>
    <w:p w14:paraId="2AA059C7" w14:textId="272BBF73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varijabiln</w:t>
      </w:r>
      <w:r w:rsidR="00E474D5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i fiksn</w:t>
      </w:r>
      <w:r w:rsidR="00E474D5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operativn</w:t>
      </w:r>
      <w:r w:rsidR="00E474D5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troškov</w:t>
      </w:r>
      <w:r w:rsidR="00E474D5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>,</w:t>
      </w:r>
    </w:p>
    <w:p w14:paraId="64A0F9A3" w14:textId="545C7458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troškov</w:t>
      </w:r>
      <w:r w:rsidR="005013A2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energije,</w:t>
      </w:r>
    </w:p>
    <w:p w14:paraId="0E95D3F6" w14:textId="5DB05329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troškov</w:t>
      </w:r>
      <w:r w:rsidR="005013A2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povezan</w:t>
      </w:r>
      <w:r w:rsidR="005013A2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s okolišem, zdravljem i sigurnošću, u mjeri u kojoj je to moguće,</w:t>
      </w:r>
    </w:p>
    <w:p w14:paraId="24F12D81" w14:textId="6D4A65A8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troškov</w:t>
      </w:r>
      <w:r w:rsidR="005013A2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povezan</w:t>
      </w:r>
      <w:r w:rsidR="005013A2" w:rsidRPr="002B17FB">
        <w:rPr>
          <w:rFonts w:ascii="Minion Pro" w:hAnsi="Minion Pro"/>
          <w:sz w:val="24"/>
          <w:szCs w:val="24"/>
        </w:rPr>
        <w:t>e</w:t>
      </w:r>
      <w:r w:rsidRPr="002B17FB">
        <w:rPr>
          <w:rFonts w:ascii="Minion Pro" w:hAnsi="Minion Pro"/>
          <w:sz w:val="24"/>
          <w:szCs w:val="24"/>
        </w:rPr>
        <w:t xml:space="preserve"> s tržištem rada, energetskom sigurnošću i konkurentnošću, u mjeri u kojoj je to moguće.</w:t>
      </w:r>
    </w:p>
    <w:p w14:paraId="536B7CFD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(4) Koristi koje se uzimaju u obzir uključuju minimalno:</w:t>
      </w:r>
    </w:p>
    <w:p w14:paraId="5DA6C88E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vrijednost proizvodnje za potrošača (toplinska i električna energija),</w:t>
      </w:r>
    </w:p>
    <w:p w14:paraId="6268D6D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vanjske koristi kao što su koristi za okoliš, koristi u pogledu emisija stakleničkih plinova te koristi za zdravlje i sigurnost, u mjeri u kojoj je to moguće,</w:t>
      </w:r>
    </w:p>
    <w:p w14:paraId="6B06B51E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učinci na tržište rada, energetsku sigurnost i konkurentnost, u mjeri u kojoj je to moguće.</w:t>
      </w:r>
    </w:p>
    <w:p w14:paraId="7B5F36E2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Analiza osjetljivosti</w:t>
      </w:r>
    </w:p>
    <w:p w14:paraId="0EC96707" w14:textId="36E2C87F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5</w:t>
      </w:r>
      <w:r w:rsidRPr="002B17FB">
        <w:rPr>
          <w:rFonts w:ascii="Minion Pro" w:hAnsi="Minion Pro"/>
          <w:sz w:val="24"/>
          <w:szCs w:val="24"/>
        </w:rPr>
        <w:t>.</w:t>
      </w:r>
    </w:p>
    <w:p w14:paraId="5F8232CF" w14:textId="353287CE" w:rsidR="00B97C6B" w:rsidRPr="002B17FB" w:rsidRDefault="00D44565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A</w:t>
      </w:r>
      <w:r w:rsidR="00B97C6B" w:rsidRPr="002B17FB">
        <w:rPr>
          <w:rFonts w:ascii="Minion Pro" w:hAnsi="Minion Pro"/>
          <w:sz w:val="24"/>
          <w:szCs w:val="24"/>
        </w:rPr>
        <w:t xml:space="preserve">naliza troškova i koristi iz članka </w:t>
      </w:r>
      <w:r w:rsidR="003A5218">
        <w:rPr>
          <w:rFonts w:ascii="Minion Pro" w:hAnsi="Minion Pro"/>
          <w:sz w:val="24"/>
          <w:szCs w:val="24"/>
        </w:rPr>
        <w:t>6</w:t>
      </w:r>
      <w:r w:rsidR="00B97C6B" w:rsidRPr="002B17FB">
        <w:rPr>
          <w:rFonts w:ascii="Minion Pro" w:hAnsi="Minion Pro"/>
          <w:sz w:val="24"/>
          <w:szCs w:val="24"/>
        </w:rPr>
        <w:t>. ovoga Pravilnika mora sadržavati i analizu osjetljivosti radi procjene troškova i koristi projekta ili skupine projekata na temelju različitih cijena energije, potražnje, diskontnih stopa i drugih varijabilnih čimbenika sa značajnim učinkom na ishod izračuna.</w:t>
      </w:r>
    </w:p>
    <w:p w14:paraId="20E4230A" w14:textId="2188D2EE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III. ANALIZA TROŠKOVA I KORISTI NA RAZINI POSTROJENJA</w:t>
      </w:r>
      <w:r w:rsidR="003C2F33" w:rsidRPr="002B17FB">
        <w:rPr>
          <w:rFonts w:ascii="Minion Pro" w:hAnsi="Minion Pro"/>
          <w:sz w:val="24"/>
          <w:szCs w:val="24"/>
        </w:rPr>
        <w:t xml:space="preserve"> </w:t>
      </w:r>
    </w:p>
    <w:p w14:paraId="6B21096D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Opća načela i postavke</w:t>
      </w:r>
    </w:p>
    <w:p w14:paraId="6D738FC8" w14:textId="6E90B13D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</w:t>
      </w:r>
    </w:p>
    <w:p w14:paraId="055FEF29" w14:textId="0A9427D6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(1) Kod planiranja izgradnje ili rekonstrukcije i revitalizacije postrojenja </w:t>
      </w:r>
      <w:r w:rsidR="00C80991" w:rsidRPr="00DB7947">
        <w:rPr>
          <w:rFonts w:ascii="Minion Pro" w:hAnsi="Minion Pro"/>
          <w:sz w:val="24"/>
          <w:szCs w:val="24"/>
        </w:rPr>
        <w:t>iz članka 1. stavka 2. ovog Pravilnika,</w:t>
      </w:r>
      <w:r w:rsidR="003C2F33" w:rsidRPr="00DB7947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 xml:space="preserve">investitor mora u postupku ishođenja energetskog odobrenja izraditi analizu troškova i koristi za mogućnosti korištenja visokoučinkovite kogeneracije te učinkovitog daljinskog grijanja i hlađenja, uzimajući u obzir </w:t>
      </w:r>
      <w:r w:rsidR="00BD5D4A" w:rsidRPr="00DB7947">
        <w:rPr>
          <w:rFonts w:ascii="Minion Pro" w:hAnsi="Minion Pro"/>
          <w:sz w:val="24"/>
          <w:szCs w:val="24"/>
        </w:rPr>
        <w:t xml:space="preserve">načelo »energetska učinkovitost na prvom mjestu« u skladu s propisom kojim se uređuje područje energetske učinkovitosti i </w:t>
      </w:r>
      <w:r w:rsidR="00A26F8E" w:rsidRPr="00DB7947">
        <w:rPr>
          <w:rFonts w:ascii="Minion Pro" w:hAnsi="Minion Pro"/>
          <w:sz w:val="24"/>
          <w:szCs w:val="24"/>
        </w:rPr>
        <w:t>sveobuhvatnu procjenu potencijala za učinkovito grijanje i hlađenje u Republici Hrvatskoj.</w:t>
      </w:r>
      <w:r w:rsidR="003C2F33" w:rsidRPr="00DB7947">
        <w:rPr>
          <w:rFonts w:ascii="Minion Pro" w:hAnsi="Minion Pro"/>
          <w:sz w:val="24"/>
          <w:szCs w:val="24"/>
        </w:rPr>
        <w:t xml:space="preserve"> </w:t>
      </w:r>
    </w:p>
    <w:p w14:paraId="7DA86CCE" w14:textId="70C8F1A4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(2) U </w:t>
      </w:r>
      <w:r w:rsidR="00072769" w:rsidRPr="00DB7947">
        <w:rPr>
          <w:rFonts w:ascii="Minion Pro" w:hAnsi="Minion Pro"/>
          <w:sz w:val="24"/>
          <w:szCs w:val="24"/>
        </w:rPr>
        <w:t>analizi troškova i koristi iz stavka 1. ovog članka</w:t>
      </w:r>
      <w:r w:rsidR="00072769" w:rsidRPr="002B17FB">
        <w:rPr>
          <w:rFonts w:ascii="Minion Pro" w:hAnsi="Minion Pro"/>
          <w:sz w:val="24"/>
          <w:szCs w:val="24"/>
        </w:rPr>
        <w:t xml:space="preserve"> </w:t>
      </w:r>
      <w:r w:rsidRPr="002B17FB">
        <w:rPr>
          <w:rFonts w:ascii="Minion Pro" w:hAnsi="Minion Pro"/>
          <w:sz w:val="24"/>
          <w:szCs w:val="24"/>
        </w:rPr>
        <w:t>se u okviru zadane zemljopisne granice uzima u obzir planirano postrojenje i sva odgovarajuća postojeća ili potencijalna mjesta potražnje za toplinskom energijom koja se iz njega mogu opskrbljivati, uzimajući u obzir racionalne mogućnosti koje uključuju tehničku izvedivost i udaljenost.</w:t>
      </w:r>
    </w:p>
    <w:p w14:paraId="67D7439C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Granica sustava određuje se tako da uključuje planirano postrojenje i toplinska opterećenja, kao što su zgrade i tehnološki procesi. U okviru granica sustava za oba se slučaja određuju i uspoređuju ukupni troškovi pružanja toplinske i električne energije.</w:t>
      </w:r>
    </w:p>
    <w:p w14:paraId="4163144C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>(4) Toplinska opterećenja uključuju postojeća toplinska opterećenja, kao što je industrijsko postrojenje ili postojeći sustav za centralizirano grijanje, a u gradskim područjima također toplinsko opterećenje i troškove koji bi nastali ako bi se skupini zgrada ili dijelu grada osigurala nova mreža za centralizirano grijanje i/ili ako bi se skupina zgrada ili dio grada priključili na takvu mrežu.</w:t>
      </w:r>
    </w:p>
    <w:p w14:paraId="48499602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(5) Analiza troškova i koristi iz stavka 1. ovoga članka temelji se na opisu planiranog postrojenja i usporednog postrojenja, uključujući prema potrebi električne i toplinske kapacitete, vrstu goriva, planiranu uporabu i broj planiranih radnih sati godišnje, lokaciju i potražnju za električnom i toplinskom energijom.</w:t>
      </w:r>
    </w:p>
    <w:p w14:paraId="110E6C0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(6) Za potrebe usporedbe u obzir se uzimaju potražnja za toplinskom energijom i vrste grijanja i hlađenja koja upotrebljavaju susjedna mjesta potražnje za toplinskom energijom. Usporedba obuhvaća infrastrukturne troškove planiranog i usporednog postrojenja.</w:t>
      </w:r>
    </w:p>
    <w:p w14:paraId="6B171A6E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(7) Analiza troškova i koristi uključuje ekonomsku analizu koja odražava stvarne transakcije u novčanom toku iz ulaganja u pojedinačna postrojenja i iz njihova rada.</w:t>
      </w:r>
    </w:p>
    <w:p w14:paraId="705DE35F" w14:textId="77777777" w:rsidR="00B97C6B" w:rsidRPr="00DB7947" w:rsidRDefault="00B97C6B" w:rsidP="00A967D0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(8) Projekti s pozitivnim rezultatima analize troškova i koristi su projekti kod kojih zbroj diskontiranih koristi u ekonomskoj i financijskoj analizi prelazi zbroj diskontiranih troškova (veća korist od troškova).</w:t>
      </w:r>
    </w:p>
    <w:p w14:paraId="43D27A3E" w14:textId="2310B174" w:rsidR="001E27C4" w:rsidRPr="002B17FB" w:rsidRDefault="001E27C4" w:rsidP="002B17FB">
      <w:pPr>
        <w:jc w:val="both"/>
        <w:rPr>
          <w:rFonts w:ascii="Minion Pro" w:hAnsi="Minion Pro"/>
          <w:sz w:val="24"/>
          <w:szCs w:val="24"/>
        </w:rPr>
      </w:pPr>
      <w:r w:rsidRPr="00DB7947">
        <w:rPr>
          <w:rFonts w:ascii="Minion Pro" w:hAnsi="Minion Pro"/>
          <w:sz w:val="24"/>
          <w:szCs w:val="24"/>
        </w:rPr>
        <w:t>(9) Analiza troškova i koristi iz stavka 1 ovog članka se mora provesti u suradnji s distributerom toplinske energije u centralnom toplinskom sustavu, odnosno opskrbljivačem toplinskom energijom u zatvorenom toplinskom sustavu koji postoje na području određene jedinice lokalne samouprave.</w:t>
      </w:r>
    </w:p>
    <w:p w14:paraId="5CE8A5A0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Sadržaj</w:t>
      </w:r>
    </w:p>
    <w:p w14:paraId="6426DD8A" w14:textId="3FEC7556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7</w:t>
      </w:r>
      <w:r w:rsidRPr="002B17FB">
        <w:rPr>
          <w:rFonts w:ascii="Minion Pro" w:hAnsi="Minion Pro"/>
          <w:sz w:val="24"/>
          <w:szCs w:val="24"/>
        </w:rPr>
        <w:t>.</w:t>
      </w:r>
    </w:p>
    <w:p w14:paraId="420DDEFC" w14:textId="67EB038E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Analiza troškova i koristi na razini  postrojenja mora sadržavati najmanje sljedeće podatke:</w:t>
      </w:r>
    </w:p>
    <w:p w14:paraId="293039F2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1. podatke o građevini, investitoru i odgovornoj osobi investitora izvođača studije izvedivosti,</w:t>
      </w:r>
    </w:p>
    <w:p w14:paraId="3A2BCEEF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2. sažetak analize (izjava o ciljevima ulaganja, kratak opis varijanti, prijedlog odabrane varijante s prikazom troškova ulaganja, predviđena financijska struktura, pokazatelji i indikativni raspored provedbe predložene investicije),</w:t>
      </w:r>
    </w:p>
    <w:p w14:paraId="3DAE6E62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3. analizu stanja i potreba za opskrbom energijom,</w:t>
      </w:r>
    </w:p>
    <w:p w14:paraId="67CD6AFC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4. identificiranje mogućih varijanti opskrbe energijom i provjera usklađenosti s uvjetima lokacije,</w:t>
      </w:r>
    </w:p>
    <w:p w14:paraId="4E8E2707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5. definiciju investicije (specifikacija opreme i radova, analiza lokacije, raspored izvršenja, zaštita okoliša, osoblje) za svaku varijantu,</w:t>
      </w:r>
    </w:p>
    <w:p w14:paraId="3E7C1D72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6. procjenu investicijskih troškova, navodeći osnove za procjenu vrijednosti ulaganja i procijenjene izvore financiranja i obveze prema njima,</w:t>
      </w:r>
    </w:p>
    <w:p w14:paraId="3A827974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>7. izračun troškova i koristi svake varijante i</w:t>
      </w:r>
    </w:p>
    <w:p w14:paraId="3A7A2537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8. izračun pokazatelja energetske učinkovitosti i varijanti pokazatelja troškova.</w:t>
      </w:r>
    </w:p>
    <w:p w14:paraId="7AF29328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Analiza iz stavka 1. ovoga članka mora sadržavati sve potrebne podatke i izračune za sveobuhvatnu procjenu energetskih, ekoloških, financijskih i drugih rješenja (kao što su tehnička, tehnološka, prostorna rješenja) i adekvatnost ulaganja.</w:t>
      </w:r>
    </w:p>
    <w:p w14:paraId="4704601D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Analiza iz stavka 1. ovoga članka se mora izraditi na temelju svih važećih propisa u području financija i gradnje na temelju raspoloživih podataka i na takav način da je njezina izrada ekonomski opravdana.</w:t>
      </w:r>
    </w:p>
    <w:p w14:paraId="0DE818AC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Analiza osjetljivosti</w:t>
      </w:r>
    </w:p>
    <w:p w14:paraId="1C0733B0" w14:textId="6D5E279A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8</w:t>
      </w:r>
      <w:r w:rsidRPr="002B17FB">
        <w:rPr>
          <w:rFonts w:ascii="Minion Pro" w:hAnsi="Minion Pro"/>
          <w:sz w:val="24"/>
          <w:szCs w:val="24"/>
        </w:rPr>
        <w:t>.</w:t>
      </w:r>
    </w:p>
    <w:p w14:paraId="5B569910" w14:textId="629A806A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Pri planiranju postrojenja koje je namijenjeno isključivo za proizvodnju električne energije ili postrojenja koje ne koristi višak topline, uspoređuje se planirano postrojenje ili planirana rekonstrukcija ili revitalizacija i ekvivalentna postrojenja koja proizvode istu količinu električne energije ili procesne topline i koristi višak topline i zaliha topline preko mreža visokog učinka ili za daljinsko grijanje i hlađenje.</w:t>
      </w:r>
    </w:p>
    <w:p w14:paraId="7152CF6F" w14:textId="5C3D5A51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Prilikom ocjenjivanja planiranog  postrojenja uzimaju se u obzir i potencijalne buduće kupnje, unutar granica sustava, uzimajući u obzir tehničku izvedivost i udaljenost.</w:t>
      </w:r>
    </w:p>
    <w:p w14:paraId="02F69A13" w14:textId="38BEC046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Granica sustava određuje se tako da uključuje postojeća i planirana postrojenja i toplinska opterećenja koja se nalaze na područjima gradova i/ili općina, ali koja se ne mora poklapati s upravno-teritorijalnim ustrojem, a kako bi se izbjegao odabir onih rješenja koja nisu optimalna za svako  postrojenje.</w:t>
      </w:r>
    </w:p>
    <w:p w14:paraId="0E8F28BE" w14:textId="08E31806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(4) Unutar granica sustava iz stavka 3. ovoga članka određuje se ukupni trošak pružanja toplinske i električne energije za planiranu izgradnju, rekonstrukciju ili revitalizaciju  postrojenja i ekvivalentna postrojenja koja proizvode istu količinu električne energije iz stavka 1. ovoga članka.</w:t>
      </w:r>
    </w:p>
    <w:p w14:paraId="0519E09A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(5) Pri ocjenjivanju toplinskog opterećenja industrijskog postrojenja ili postojećeg sustava daljinskog grijanja unutar granica sustava iz stavka 3. ovoga članka uzimaju se u obzir toplinska opterećenja i troškovi koji nastaju kada se skupina zgrada ili dio gradova i/ili općina opskrbljuje ili priključuje na nove mreže daljinskog grijanja.</w:t>
      </w:r>
    </w:p>
    <w:p w14:paraId="671F00EE" w14:textId="0B1D4273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(6) U sklopu analize troškova i koristi za planiranu izgradnju, rekonstrukciju ili revitalizaciju postrojena iz stavka 1. ovoga članka uzimaju se u obzir vrste goriva, planirani godišnji broj radnih sati, lokacija i potražnja za električnom energijom i toplinom.</w:t>
      </w:r>
    </w:p>
    <w:p w14:paraId="4A0C9880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(7) U svrhu ekonomske analize, usporedba postrojenja iz stavka 1. ovoga članka mora uzeti u obzir potrebe za toplinom i hladnoćom, kao i način grijanja i hlađenja sa sličnim mjestima u odnosu na potrošnju i potrebe, gdje se također moraju osigurati grijanje i hlađenje. Uspoređuju se troškovi povezani s infrastrukturom za planiranu instalaciju i postrojenje s kojim se uspoređuje.</w:t>
      </w:r>
    </w:p>
    <w:p w14:paraId="2B7386ED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(8) Ekonomska neto sadašnja vrijednost projekta pozitivna je ako projekt iz stavka 1. ovoga članka ima pozitivne rezultate analize troškova i koristi.</w:t>
      </w:r>
    </w:p>
    <w:p w14:paraId="34A156FB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>Polazni parametri</w:t>
      </w:r>
    </w:p>
    <w:p w14:paraId="2C92A72A" w14:textId="50222419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1</w:t>
      </w:r>
      <w:r w:rsidR="003A5218">
        <w:rPr>
          <w:rFonts w:ascii="Minion Pro" w:hAnsi="Minion Pro"/>
          <w:sz w:val="24"/>
          <w:szCs w:val="24"/>
        </w:rPr>
        <w:t>9</w:t>
      </w:r>
      <w:r w:rsidRPr="002B17FB">
        <w:rPr>
          <w:rFonts w:ascii="Minion Pro" w:hAnsi="Minion Pro"/>
          <w:sz w:val="24"/>
          <w:szCs w:val="24"/>
        </w:rPr>
        <w:t>.</w:t>
      </w:r>
    </w:p>
    <w:p w14:paraId="1123B0C8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Osnovni podaci za vrednovanje varijanti na razini postrojenja su troškovi i koristi ulaganja, navodeći osnovne i alternativne varijante te njihove troškove i koristi.</w:t>
      </w:r>
    </w:p>
    <w:p w14:paraId="214196D0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Prihodi i troškovi izračunavaju se metodom prirasta na temelju usporedbe prihoda i troškova u varijanti ulaganja s prihodima i troškovima početne varijante.</w:t>
      </w:r>
    </w:p>
    <w:p w14:paraId="6C437F34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Prilikom izračunavanja troškova i koristi treba uzeti u obzir:</w:t>
      </w:r>
    </w:p>
    <w:p w14:paraId="7473DF54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investicijske i operativne troškove,</w:t>
      </w:r>
    </w:p>
    <w:p w14:paraId="1C4B9A05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investicijske troškove i troškove održavanja,</w:t>
      </w:r>
    </w:p>
    <w:p w14:paraId="1B607913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troškove osiguranja,</w:t>
      </w:r>
    </w:p>
    <w:p w14:paraId="5F119DC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koristi od prodaje energije na tržištu i ušteda od izgradnje ili obnove i koristi od preostale vrijednosti i</w:t>
      </w:r>
    </w:p>
    <w:p w14:paraId="41DEA6E5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vanjske okolišne, društvene i ekonomske čimbenike.</w:t>
      </w:r>
    </w:p>
    <w:p w14:paraId="15B58399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(4) Ekonomski čimbenici za projekcije troškova i koristi moraju biti opravdani i vjerodostojni.</w:t>
      </w:r>
    </w:p>
    <w:p w14:paraId="6F864757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Pokazatelji</w:t>
      </w:r>
    </w:p>
    <w:p w14:paraId="0D6BCEBE" w14:textId="636B9CEB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3A5218">
        <w:rPr>
          <w:rFonts w:ascii="Minion Pro" w:hAnsi="Minion Pro"/>
          <w:sz w:val="24"/>
          <w:szCs w:val="24"/>
        </w:rPr>
        <w:t>20</w:t>
      </w:r>
      <w:r w:rsidRPr="002B17FB">
        <w:rPr>
          <w:rFonts w:ascii="Minion Pro" w:hAnsi="Minion Pro"/>
          <w:sz w:val="24"/>
          <w:szCs w:val="24"/>
        </w:rPr>
        <w:t>.</w:t>
      </w:r>
    </w:p>
    <w:p w14:paraId="7BE7057E" w14:textId="326FE1ED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Varijante na razini postrojenja u skladu s člankom 1</w:t>
      </w:r>
      <w:r w:rsidR="003A5218">
        <w:rPr>
          <w:rFonts w:ascii="Minion Pro" w:hAnsi="Minion Pro"/>
          <w:sz w:val="24"/>
          <w:szCs w:val="24"/>
        </w:rPr>
        <w:t>6</w:t>
      </w:r>
      <w:r w:rsidRPr="002B17FB">
        <w:rPr>
          <w:rFonts w:ascii="Minion Pro" w:hAnsi="Minion Pro"/>
          <w:sz w:val="24"/>
          <w:szCs w:val="24"/>
        </w:rPr>
        <w:t>. ovoga Pravilnika ocjenjuju se na temelju najmanje sljedećih pokazatelja energetske učinkovitosti, utjecaja na okoliš i pokazatelja troškova:</w:t>
      </w:r>
    </w:p>
    <w:p w14:paraId="68CAB4FF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konačna potrošnja energije (</w:t>
      </w:r>
      <w:proofErr w:type="spellStart"/>
      <w:r w:rsidRPr="002B17FB">
        <w:rPr>
          <w:rFonts w:ascii="Minion Pro" w:hAnsi="Minion Pro"/>
          <w:sz w:val="24"/>
          <w:szCs w:val="24"/>
        </w:rPr>
        <w:t>kwh</w:t>
      </w:r>
      <w:proofErr w:type="spellEnd"/>
      <w:r w:rsidRPr="002B17FB">
        <w:rPr>
          <w:rFonts w:ascii="Minion Pro" w:hAnsi="Minion Pro"/>
          <w:sz w:val="24"/>
          <w:szCs w:val="24"/>
        </w:rPr>
        <w:t xml:space="preserve"> / godišnje),</w:t>
      </w:r>
    </w:p>
    <w:p w14:paraId="438E8F26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ukupnih emisija CO</w:t>
      </w:r>
      <w:r w:rsidRPr="002B17FB">
        <w:rPr>
          <w:rFonts w:ascii="Minion Pro" w:hAnsi="Minion Pro"/>
          <w:sz w:val="24"/>
          <w:szCs w:val="24"/>
          <w:vertAlign w:val="subscript"/>
        </w:rPr>
        <w:t>2</w:t>
      </w:r>
      <w:r w:rsidRPr="002B17FB">
        <w:rPr>
          <w:rFonts w:ascii="Minion Pro" w:hAnsi="Minion Pro"/>
          <w:sz w:val="24"/>
          <w:szCs w:val="24"/>
        </w:rPr>
        <w:t xml:space="preserve"> (kg CO</w:t>
      </w:r>
      <w:r w:rsidRPr="002B17FB">
        <w:rPr>
          <w:rFonts w:ascii="Minion Pro" w:hAnsi="Minion Pro"/>
          <w:sz w:val="24"/>
          <w:szCs w:val="24"/>
          <w:vertAlign w:val="subscript"/>
        </w:rPr>
        <w:t>2</w:t>
      </w:r>
      <w:r w:rsidRPr="002B17FB">
        <w:rPr>
          <w:rFonts w:ascii="Minion Pro" w:hAnsi="Minion Pro"/>
          <w:sz w:val="24"/>
          <w:szCs w:val="24"/>
        </w:rPr>
        <w:t xml:space="preserve"> /godišnje) i</w:t>
      </w:r>
    </w:p>
    <w:p w14:paraId="4F168FF4" w14:textId="77A4B9F9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ukupnih troškova ulaganja, rada i održavanja po jedinici proizvedene energije (€ / kWh).</w:t>
      </w:r>
    </w:p>
    <w:p w14:paraId="2F9D53BE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Ukupni troškovi moraju se procijeniti barem na temelju već provedenih ulaganja, financijskih ulaznih podatka i već identificiranih troškova ili drugih početnih točaka.</w:t>
      </w:r>
    </w:p>
    <w:p w14:paraId="6043552B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Za svaku varijantu, investicijske pokazatelje treba također izračunati kako bi se procijenila financijska održivost ulaganja s gledišta investitora. Pri tome se uzimaju u obzir izrada prognoze novčanog toka, izvješća o novčanom toku i izračuna investicijskih pokazatelja, koji ocjenjuju financijsku održivost ulaganja iz perspektive investitora.</w:t>
      </w:r>
    </w:p>
    <w:p w14:paraId="0C69FBAA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(4) Pokazatelji ulaganja iz stavka 3. ovoga članka su:</w:t>
      </w:r>
    </w:p>
    <w:p w14:paraId="58E86CA4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neto sadašnja vrijednost, koja je razlika između diskontiranog toka svih koristi i svih troškova ulaganja,</w:t>
      </w:r>
    </w:p>
    <w:p w14:paraId="679CBF25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interna stopa povrata koja je diskontna stopa po kojoj je neto sadašnja vrijednost investicije nula,</w:t>
      </w:r>
    </w:p>
    <w:p w14:paraId="035DDA0B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lastRenderedPageBreak/>
        <w:t>– relativnu neto sadašnja vrijednost, koja je omjer između neto sadašnje vrijednosti ulaganja i diskontiranih investicijskih troškova i</w:t>
      </w:r>
    </w:p>
    <w:p w14:paraId="4282852E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– jednostavan rok otplate, koji je broj godina u kojima se početni iznos ulaganja vraća bez uvažavanja vremenske vrijednosti novca (uzimaju se u obzir troškovi i koristi u životnom vijeku postrojenja za reprezentativnu godinu koju je odabrao investitor).</w:t>
      </w:r>
    </w:p>
    <w:p w14:paraId="243BFD7F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(5) Svi troškovi i koristi tretiraju se na usporedivim osnovama, na temelju cijena koje se primjenjuju u trenutku izrade analize (fiksne cijene) i budućih novčanih vrijednosti na usporedivu sadašnju vrijednost koristeći diskontnu stopu (diskontiranje).</w:t>
      </w:r>
    </w:p>
    <w:p w14:paraId="2C78A510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(6) Prilikom odabira varijante u svjetlu izvršene analize uspoređuju se pokazatelji energetske učinkovitosti, utjecaja na okoliš i ekonomskih čimbenika.</w:t>
      </w:r>
    </w:p>
    <w:p w14:paraId="2B612BEF" w14:textId="093B12EC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Članak </w:t>
      </w:r>
      <w:r w:rsidR="00251617">
        <w:rPr>
          <w:rFonts w:ascii="Minion Pro" w:hAnsi="Minion Pro"/>
          <w:sz w:val="24"/>
          <w:szCs w:val="24"/>
        </w:rPr>
        <w:t>2</w:t>
      </w:r>
      <w:r w:rsidR="003A5218">
        <w:rPr>
          <w:rFonts w:ascii="Minion Pro" w:hAnsi="Minion Pro"/>
          <w:sz w:val="24"/>
          <w:szCs w:val="24"/>
        </w:rPr>
        <w:t>1</w:t>
      </w:r>
      <w:r w:rsidRPr="002B17FB">
        <w:rPr>
          <w:rFonts w:ascii="Minion Pro" w:hAnsi="Minion Pro"/>
          <w:sz w:val="24"/>
          <w:szCs w:val="24"/>
        </w:rPr>
        <w:t>.</w:t>
      </w:r>
    </w:p>
    <w:p w14:paraId="49DF307D" w14:textId="444ABC9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(1) Ekonomska analiza troškova i koristi iz članka 1</w:t>
      </w:r>
      <w:r w:rsidR="003A5218">
        <w:rPr>
          <w:rFonts w:ascii="Minion Pro" w:hAnsi="Minion Pro"/>
          <w:sz w:val="24"/>
          <w:szCs w:val="24"/>
        </w:rPr>
        <w:t>5</w:t>
      </w:r>
      <w:r w:rsidRPr="002B17FB">
        <w:rPr>
          <w:rFonts w:ascii="Minion Pro" w:hAnsi="Minion Pro"/>
          <w:sz w:val="24"/>
          <w:szCs w:val="24"/>
        </w:rPr>
        <w:t xml:space="preserve">. ovoga Pravilnika, na razini  postrojenja mora se sastojati od analize osjetljivosti koja određuje parametre ulaganja iz članka </w:t>
      </w:r>
      <w:r w:rsidR="006D0E0F" w:rsidRPr="002B17FB">
        <w:rPr>
          <w:rFonts w:ascii="Minion Pro" w:hAnsi="Minion Pro"/>
          <w:sz w:val="24"/>
          <w:szCs w:val="24"/>
        </w:rPr>
        <w:t>1</w:t>
      </w:r>
      <w:r w:rsidR="006D0E0F">
        <w:rPr>
          <w:rFonts w:ascii="Minion Pro" w:hAnsi="Minion Pro"/>
          <w:sz w:val="24"/>
          <w:szCs w:val="24"/>
        </w:rPr>
        <w:t>9</w:t>
      </w:r>
      <w:r w:rsidRPr="002B17FB">
        <w:rPr>
          <w:rFonts w:ascii="Minion Pro" w:hAnsi="Minion Pro"/>
          <w:sz w:val="24"/>
          <w:szCs w:val="24"/>
        </w:rPr>
        <w:t>. ovoga Pravilnika koji utječu na pokazatelje (npr. investicijski troškovi, količina prodane energije, cijene goriva, cijene prodane energije).</w:t>
      </w:r>
    </w:p>
    <w:p w14:paraId="1253FBE3" w14:textId="77777777" w:rsidR="00B97C6B" w:rsidRPr="002B17FB" w:rsidRDefault="00B97C6B" w:rsidP="002B17FB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(2) U analizi osjetljivosti iz stavka 1. ovoga članka izrađuju se proračuni za promjene parametara i prikazuju se učinci promjena na prihvatljivost ulaganja.</w:t>
      </w:r>
    </w:p>
    <w:p w14:paraId="3AF2EA17" w14:textId="77777777" w:rsidR="00B97C6B" w:rsidRPr="00DB7947" w:rsidRDefault="00B97C6B" w:rsidP="00DD4BEF">
      <w:pPr>
        <w:jc w:val="both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(3) Za svaku promjenu pojedinačnog parametra kreira se poseban izračun.</w:t>
      </w:r>
    </w:p>
    <w:p w14:paraId="503830C5" w14:textId="77777777" w:rsidR="00161AE2" w:rsidRPr="002B17FB" w:rsidRDefault="00161AE2" w:rsidP="002B17FB">
      <w:pPr>
        <w:jc w:val="both"/>
        <w:rPr>
          <w:rFonts w:ascii="Minion Pro" w:hAnsi="Minion Pro"/>
          <w:sz w:val="24"/>
          <w:szCs w:val="24"/>
        </w:rPr>
      </w:pPr>
    </w:p>
    <w:p w14:paraId="140B37CB" w14:textId="77777777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IV. ZAVRŠNA ODREDBA</w:t>
      </w:r>
    </w:p>
    <w:p w14:paraId="0D682C82" w14:textId="0231D828" w:rsidR="00B97C6B" w:rsidRPr="002B17FB" w:rsidRDefault="00B97C6B" w:rsidP="00B97C6B">
      <w:pPr>
        <w:jc w:val="center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Članak 2</w:t>
      </w:r>
      <w:r w:rsidR="003A5218">
        <w:rPr>
          <w:rFonts w:ascii="Minion Pro" w:hAnsi="Minion Pro"/>
          <w:sz w:val="24"/>
          <w:szCs w:val="24"/>
        </w:rPr>
        <w:t>2</w:t>
      </w:r>
      <w:r w:rsidRPr="002B17FB">
        <w:rPr>
          <w:rFonts w:ascii="Minion Pro" w:hAnsi="Minion Pro"/>
          <w:sz w:val="24"/>
          <w:szCs w:val="24"/>
        </w:rPr>
        <w:t>.</w:t>
      </w:r>
    </w:p>
    <w:p w14:paraId="70802ED2" w14:textId="77777777" w:rsidR="00B97C6B" w:rsidRPr="002B17FB" w:rsidRDefault="00B97C6B" w:rsidP="00B97C6B">
      <w:p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Ovaj Pravilnik stupa na snagu osmoga dana od dana objave u »Narodnim novinama«.</w:t>
      </w:r>
    </w:p>
    <w:p w14:paraId="39008CAA" w14:textId="77777777" w:rsidR="008E4F56" w:rsidRPr="002B17FB" w:rsidRDefault="008E4F56" w:rsidP="00B97C6B">
      <w:pPr>
        <w:rPr>
          <w:rFonts w:ascii="Minion Pro" w:hAnsi="Minion Pro"/>
          <w:sz w:val="24"/>
          <w:szCs w:val="24"/>
        </w:rPr>
      </w:pPr>
    </w:p>
    <w:p w14:paraId="009125F4" w14:textId="16AA97BE" w:rsidR="00B97C6B" w:rsidRPr="002B17FB" w:rsidRDefault="00B97C6B" w:rsidP="00B97C6B">
      <w:p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Klasa: </w:t>
      </w:r>
    </w:p>
    <w:p w14:paraId="5B69B843" w14:textId="7B679269" w:rsidR="00B97C6B" w:rsidRPr="002B17FB" w:rsidRDefault="00B97C6B" w:rsidP="00B97C6B">
      <w:pPr>
        <w:rPr>
          <w:rFonts w:ascii="Minion Pro" w:hAnsi="Minion Pro"/>
          <w:sz w:val="24"/>
          <w:szCs w:val="24"/>
        </w:rPr>
      </w:pPr>
      <w:proofErr w:type="spellStart"/>
      <w:r w:rsidRPr="002B17FB">
        <w:rPr>
          <w:rFonts w:ascii="Minion Pro" w:hAnsi="Minion Pro"/>
          <w:sz w:val="24"/>
          <w:szCs w:val="24"/>
        </w:rPr>
        <w:t>Urbroj</w:t>
      </w:r>
      <w:proofErr w:type="spellEnd"/>
      <w:r w:rsidRPr="002B17FB">
        <w:rPr>
          <w:rFonts w:ascii="Minion Pro" w:hAnsi="Minion Pro"/>
          <w:sz w:val="24"/>
          <w:szCs w:val="24"/>
        </w:rPr>
        <w:t xml:space="preserve">: </w:t>
      </w:r>
    </w:p>
    <w:p w14:paraId="01CECC25" w14:textId="7CDA16CC" w:rsidR="00B97C6B" w:rsidRPr="002B17FB" w:rsidRDefault="00B97C6B" w:rsidP="00B97C6B">
      <w:pPr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 xml:space="preserve">Zagreb, </w:t>
      </w:r>
      <w:r w:rsidR="000F7C30" w:rsidRPr="002B17FB">
        <w:rPr>
          <w:rFonts w:ascii="Minion Pro" w:hAnsi="Minion Pro"/>
          <w:sz w:val="24"/>
          <w:szCs w:val="24"/>
        </w:rPr>
        <w:t>2025</w:t>
      </w:r>
      <w:r w:rsidRPr="002B17FB">
        <w:rPr>
          <w:rFonts w:ascii="Minion Pro" w:hAnsi="Minion Pro"/>
          <w:sz w:val="24"/>
          <w:szCs w:val="24"/>
        </w:rPr>
        <w:t>.</w:t>
      </w:r>
    </w:p>
    <w:p w14:paraId="757A524C" w14:textId="643A886F" w:rsidR="00B97C6B" w:rsidRPr="002B17FB" w:rsidRDefault="00B97C6B" w:rsidP="00B97C6B">
      <w:pPr>
        <w:jc w:val="right"/>
        <w:rPr>
          <w:rFonts w:ascii="Minion Pro" w:hAnsi="Minion Pro"/>
          <w:sz w:val="24"/>
          <w:szCs w:val="24"/>
        </w:rPr>
      </w:pPr>
      <w:r w:rsidRPr="002B17FB">
        <w:rPr>
          <w:rFonts w:ascii="Minion Pro" w:hAnsi="Minion Pro"/>
          <w:sz w:val="24"/>
          <w:szCs w:val="24"/>
        </w:rPr>
        <w:t>Ministar</w:t>
      </w:r>
      <w:r w:rsidRPr="002B17FB">
        <w:rPr>
          <w:rFonts w:ascii="Minion Pro" w:hAnsi="Minion Pro"/>
          <w:sz w:val="24"/>
          <w:szCs w:val="24"/>
        </w:rPr>
        <w:br/>
      </w:r>
    </w:p>
    <w:p w14:paraId="721A89CB" w14:textId="6A4524D8" w:rsidR="006160DD" w:rsidRDefault="00E04E62" w:rsidP="00A162E7">
      <w:pPr>
        <w:jc w:val="center"/>
        <w:rPr>
          <w:rFonts w:ascii="Minion Pro" w:hAnsi="Minion Pro"/>
          <w:b/>
          <w:bCs/>
          <w:color w:val="231F20"/>
          <w:sz w:val="24"/>
          <w:szCs w:val="24"/>
          <w:shd w:val="clear" w:color="auto" w:fill="FFFFFF"/>
        </w:rPr>
      </w:pPr>
      <w:r w:rsidRPr="000E0C8F">
        <w:rPr>
          <w:rFonts w:ascii="Minion Pro" w:hAnsi="Minion Pro"/>
          <w:b/>
          <w:bCs/>
          <w:color w:val="231F20"/>
          <w:sz w:val="24"/>
          <w:szCs w:val="24"/>
          <w:shd w:val="clear" w:color="auto" w:fill="FFFFFF"/>
        </w:rPr>
        <w:t>PRILOG I</w:t>
      </w:r>
    </w:p>
    <w:p w14:paraId="37D136EC" w14:textId="77777777" w:rsidR="009F3E42" w:rsidRPr="009F3E42" w:rsidRDefault="009F3E42" w:rsidP="000E0C8F">
      <w:pPr>
        <w:jc w:val="center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POTENCIJAL ZA UČINKOVITOST U GRIJANJU I HLAĐENJU</w:t>
      </w:r>
    </w:p>
    <w:p w14:paraId="7034D9FE" w14:textId="77777777" w:rsidR="009F3E42" w:rsidRPr="009F3E42" w:rsidRDefault="009F3E42" w:rsidP="009F3E42">
      <w:pPr>
        <w:rPr>
          <w:rFonts w:ascii="Minion Pro" w:hAnsi="Minion Pro"/>
          <w:sz w:val="24"/>
          <w:szCs w:val="24"/>
        </w:rPr>
      </w:pPr>
    </w:p>
    <w:p w14:paraId="12E52BEB" w14:textId="4D3E2E34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 xml:space="preserve">Sveobuhvatna procjena nacionalnih potencijala za </w:t>
      </w:r>
      <w:r w:rsidR="00B60973" w:rsidRPr="00B60973">
        <w:rPr>
          <w:rFonts w:ascii="Minion Pro" w:hAnsi="Minion Pro"/>
          <w:sz w:val="24"/>
          <w:szCs w:val="24"/>
        </w:rPr>
        <w:t xml:space="preserve">učinkovito </w:t>
      </w:r>
      <w:r w:rsidRPr="009F3E42">
        <w:rPr>
          <w:rFonts w:ascii="Minion Pro" w:hAnsi="Minion Pro"/>
          <w:sz w:val="24"/>
          <w:szCs w:val="24"/>
        </w:rPr>
        <w:t xml:space="preserve">grijanje i hlađenje iz članka </w:t>
      </w:r>
      <w:r w:rsidR="003A5218">
        <w:rPr>
          <w:rFonts w:ascii="Minion Pro" w:hAnsi="Minion Pro"/>
          <w:sz w:val="24"/>
          <w:szCs w:val="24"/>
        </w:rPr>
        <w:t>5</w:t>
      </w:r>
      <w:r w:rsidRPr="009F3E42">
        <w:rPr>
          <w:rFonts w:ascii="Minion Pro" w:hAnsi="Minion Pro"/>
          <w:sz w:val="24"/>
          <w:szCs w:val="24"/>
        </w:rPr>
        <w:t xml:space="preserve">. stavka 1. </w:t>
      </w:r>
      <w:r w:rsidR="00691409">
        <w:rPr>
          <w:rFonts w:ascii="Minion Pro" w:hAnsi="Minion Pro"/>
          <w:sz w:val="24"/>
          <w:szCs w:val="24"/>
        </w:rPr>
        <w:t xml:space="preserve">ovog Pravilnika </w:t>
      </w:r>
      <w:r w:rsidRPr="009F3E42">
        <w:rPr>
          <w:rFonts w:ascii="Minion Pro" w:hAnsi="Minion Pro"/>
          <w:sz w:val="24"/>
          <w:szCs w:val="24"/>
        </w:rPr>
        <w:t>uključuje sljedeće i temelji se na sljedećem:</w:t>
      </w:r>
    </w:p>
    <w:p w14:paraId="0C4E53F5" w14:textId="7AC18C4D" w:rsidR="009F3E42" w:rsidRPr="000E0C8F" w:rsidRDefault="009F3E42" w:rsidP="000E0C8F">
      <w:pPr>
        <w:jc w:val="both"/>
        <w:rPr>
          <w:rFonts w:ascii="Minion Pro" w:hAnsi="Minion Pro"/>
          <w:b/>
          <w:bCs/>
          <w:sz w:val="24"/>
          <w:szCs w:val="24"/>
        </w:rPr>
      </w:pPr>
      <w:r w:rsidRPr="000E0C8F">
        <w:rPr>
          <w:rFonts w:ascii="Minion Pro" w:hAnsi="Minion Pro"/>
          <w:b/>
          <w:bCs/>
          <w:sz w:val="24"/>
          <w:szCs w:val="24"/>
        </w:rPr>
        <w:t>Dio I.</w:t>
      </w:r>
      <w:r w:rsidR="006573BA">
        <w:rPr>
          <w:rFonts w:ascii="Minion Pro" w:hAnsi="Minion Pro"/>
          <w:b/>
          <w:bCs/>
          <w:sz w:val="24"/>
          <w:szCs w:val="24"/>
        </w:rPr>
        <w:t xml:space="preserve"> </w:t>
      </w:r>
      <w:r w:rsidRPr="000E0C8F">
        <w:rPr>
          <w:rFonts w:ascii="Minion Pro" w:hAnsi="Minion Pro"/>
          <w:b/>
          <w:bCs/>
          <w:sz w:val="24"/>
          <w:szCs w:val="24"/>
        </w:rPr>
        <w:t>PREGLED GRIJANJA I HLA</w:t>
      </w:r>
      <w:r w:rsidRPr="000E0C8F">
        <w:rPr>
          <w:rFonts w:ascii="Minion Pro" w:hAnsi="Minion Pro" w:hint="eastAsia"/>
          <w:b/>
          <w:bCs/>
          <w:sz w:val="24"/>
          <w:szCs w:val="24"/>
        </w:rPr>
        <w:t>Đ</w:t>
      </w:r>
      <w:r w:rsidRPr="000E0C8F">
        <w:rPr>
          <w:rFonts w:ascii="Minion Pro" w:hAnsi="Minion Pro"/>
          <w:b/>
          <w:bCs/>
          <w:sz w:val="24"/>
          <w:szCs w:val="24"/>
        </w:rPr>
        <w:t>ENJA</w:t>
      </w:r>
    </w:p>
    <w:p w14:paraId="02A389CC" w14:textId="7714F76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lastRenderedPageBreak/>
        <w:t>1.</w:t>
      </w:r>
      <w:r w:rsidR="00CF786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potražnja za grijanjem i hlađenjem u smislu procijenjene korisne energije</w:t>
      </w:r>
      <w:r>
        <w:rPr>
          <w:rFonts w:ascii="Minion Pro" w:hAnsi="Minion Pro"/>
          <w:sz w:val="24"/>
          <w:szCs w:val="24"/>
          <w:vertAlign w:val="superscript"/>
        </w:rPr>
        <w:t xml:space="preserve"> </w:t>
      </w:r>
      <w:r w:rsidRPr="009F3E42">
        <w:rPr>
          <w:rFonts w:ascii="Minion Pro" w:hAnsi="Minion Pro"/>
          <w:sz w:val="24"/>
          <w:szCs w:val="24"/>
        </w:rPr>
        <w:t>i kvantificirane krajnje potrošnje energije u GWh godišnje po sektoru:</w:t>
      </w:r>
    </w:p>
    <w:p w14:paraId="293A3071" w14:textId="3E6666D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CF786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domaćinstva;</w:t>
      </w:r>
    </w:p>
    <w:p w14:paraId="1032E580" w14:textId="5CF4C350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CF786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usluge;</w:t>
      </w:r>
    </w:p>
    <w:p w14:paraId="0C52116B" w14:textId="0C4F030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CF786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industrija;</w:t>
      </w:r>
    </w:p>
    <w:p w14:paraId="372AFCD6" w14:textId="77B1008D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(d)</w:t>
      </w:r>
      <w:r w:rsidR="00CF786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svaki drugi sektor koji pojedinačno troši više od 5 % ukupne nacionalne potražnje za korisnim grijanjem ili hlađenjem;</w:t>
      </w:r>
    </w:p>
    <w:p w14:paraId="6064E64A" w14:textId="0C64A70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2.</w:t>
      </w:r>
      <w:r w:rsidR="000F4F5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utvrđivanje postojanja, odnosno, u slučaju iz </w:t>
      </w:r>
      <w:proofErr w:type="spellStart"/>
      <w:r w:rsidRPr="009F3E42">
        <w:rPr>
          <w:rFonts w:ascii="Minion Pro" w:hAnsi="Minion Pro"/>
          <w:sz w:val="24"/>
          <w:szCs w:val="24"/>
        </w:rPr>
        <w:t>podtočke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(a) i., utvrđivanje postojanja ili procjena, trenutačne opskrbe grijanjem i hlađenjem:</w:t>
      </w:r>
    </w:p>
    <w:p w14:paraId="2B502246" w14:textId="70080CB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0F4F5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po tehnologiji, u GWh godišnje</w:t>
      </w:r>
      <w:r w:rsidRPr="006573BA">
        <w:rPr>
          <w:rFonts w:ascii="Minion Pro" w:hAnsi="Minion Pro"/>
          <w:sz w:val="24"/>
          <w:szCs w:val="24"/>
        </w:rPr>
        <w:t>,</w:t>
      </w:r>
      <w:r w:rsidRPr="000E0C8F">
        <w:rPr>
          <w:rFonts w:ascii="Minion Pro" w:hAnsi="Minion Pro"/>
          <w:sz w:val="24"/>
          <w:szCs w:val="24"/>
          <w:vertAlign w:val="superscript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 sektorima iz točke 1., ako je to moguće, pri čemu se razlikuje energija dobivena iz fosilnih goriva i energija dobivena iz obnovljivih izvora:</w:t>
      </w:r>
    </w:p>
    <w:p w14:paraId="646459CB" w14:textId="77777777" w:rsidR="0018572D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i.</w:t>
      </w:r>
      <w:r w:rsidR="000F4F5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opskrba na lokaciji u poslovnim i stambenim zgradama, putem:</w:t>
      </w:r>
    </w:p>
    <w:p w14:paraId="7796F79C" w14:textId="7A506E3E" w:rsidR="000F4F5C" w:rsidRDefault="009F3E42" w:rsidP="000E0C8F">
      <w:pPr>
        <w:pStyle w:val="Odlomakpopisa"/>
        <w:numPr>
          <w:ilvl w:val="0"/>
          <w:numId w:val="17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kotlova koji služe samo za grijanje,</w:t>
      </w:r>
    </w:p>
    <w:p w14:paraId="4D38710C" w14:textId="736813A4" w:rsidR="009F3E42" w:rsidRDefault="009F3E42" w:rsidP="000E0C8F">
      <w:pPr>
        <w:pStyle w:val="Odlomakpopisa"/>
        <w:numPr>
          <w:ilvl w:val="0"/>
          <w:numId w:val="17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visokoučinkovite kogeneracije toplinske i električne energije,</w:t>
      </w:r>
    </w:p>
    <w:p w14:paraId="1C4863D7" w14:textId="5DBD2578" w:rsidR="009F3E42" w:rsidRDefault="009F3E42" w:rsidP="000E0C8F">
      <w:pPr>
        <w:pStyle w:val="Odlomakpopisa"/>
        <w:numPr>
          <w:ilvl w:val="0"/>
          <w:numId w:val="17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dizalica topline;</w:t>
      </w:r>
    </w:p>
    <w:p w14:paraId="7381045C" w14:textId="0ADDE3EC" w:rsidR="009F3E42" w:rsidRPr="000E0C8F" w:rsidRDefault="009F3E42" w:rsidP="000E0C8F">
      <w:pPr>
        <w:pStyle w:val="Odlomakpopisa"/>
        <w:numPr>
          <w:ilvl w:val="0"/>
          <w:numId w:val="17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drugih tehnologija i izvora na lokaciji;</w:t>
      </w:r>
    </w:p>
    <w:p w14:paraId="3E153B79" w14:textId="04B7FA8E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opskrba na lokaciji u zgradama koje nisu poslovne ni stambene, putem:</w:t>
      </w:r>
    </w:p>
    <w:p w14:paraId="4861C9F4" w14:textId="7698E989" w:rsidR="009F3E42" w:rsidRPr="000E0C8F" w:rsidRDefault="009F3E42" w:rsidP="000E0C8F">
      <w:pPr>
        <w:pStyle w:val="Odlomakpopisa"/>
        <w:numPr>
          <w:ilvl w:val="0"/>
          <w:numId w:val="19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kotlova koji služe samo za grijanje,</w:t>
      </w:r>
    </w:p>
    <w:p w14:paraId="0F9E106F" w14:textId="77777777" w:rsidR="009F3E42" w:rsidRDefault="009F3E42" w:rsidP="000E0C8F">
      <w:pPr>
        <w:pStyle w:val="Odlomakpopisa"/>
        <w:numPr>
          <w:ilvl w:val="0"/>
          <w:numId w:val="19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visokoučinkovite kogeneracije toplinske i električne energije,</w:t>
      </w:r>
    </w:p>
    <w:p w14:paraId="1FEEFA94" w14:textId="77777777" w:rsidR="009F3E42" w:rsidRDefault="009F3E42" w:rsidP="000E0C8F">
      <w:pPr>
        <w:pStyle w:val="Odlomakpopisa"/>
        <w:numPr>
          <w:ilvl w:val="0"/>
          <w:numId w:val="19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dizalica topline;</w:t>
      </w:r>
    </w:p>
    <w:p w14:paraId="469429DF" w14:textId="20C34334" w:rsidR="009F3E42" w:rsidRPr="000E0C8F" w:rsidRDefault="009F3E42" w:rsidP="000E0C8F">
      <w:pPr>
        <w:pStyle w:val="Odlomakpopisa"/>
        <w:numPr>
          <w:ilvl w:val="0"/>
          <w:numId w:val="19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drugih tehnologija i izvora na lokaciji;</w:t>
      </w:r>
    </w:p>
    <w:p w14:paraId="0660DE95" w14:textId="5F95C0DC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iii.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opskrba energijom generiranom izvan lokacije, putem:</w:t>
      </w:r>
    </w:p>
    <w:p w14:paraId="3461601C" w14:textId="77777777" w:rsidR="009F3E42" w:rsidRDefault="009F3E42" w:rsidP="000E0C8F">
      <w:pPr>
        <w:pStyle w:val="Odlomakpopisa"/>
        <w:numPr>
          <w:ilvl w:val="0"/>
          <w:numId w:val="20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visokoučinkovite kogeneracije toplinske i električne energije,</w:t>
      </w:r>
    </w:p>
    <w:p w14:paraId="6CC9E50A" w14:textId="77777777" w:rsidR="009F3E42" w:rsidRDefault="009F3E42" w:rsidP="000E0C8F">
      <w:pPr>
        <w:pStyle w:val="Odlomakpopisa"/>
        <w:numPr>
          <w:ilvl w:val="0"/>
          <w:numId w:val="20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otpadne topline,</w:t>
      </w:r>
    </w:p>
    <w:p w14:paraId="623EB4E9" w14:textId="29E01DD8" w:rsidR="009F3E42" w:rsidRPr="000E0C8F" w:rsidRDefault="009F3E42" w:rsidP="000E0C8F">
      <w:pPr>
        <w:pStyle w:val="Odlomakpopisa"/>
        <w:numPr>
          <w:ilvl w:val="0"/>
          <w:numId w:val="20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drugih tehnologija i izvora izvan lokacije;</w:t>
      </w:r>
    </w:p>
    <w:p w14:paraId="5D2AEC95" w14:textId="66DF5A3E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utvrđivanje postojanja postrojenja koja proizvode otpadnu toplinu ili hladnoću i njihova potencijala za opskrbu grijanjem ili hlađenjem, u GWh godišnje:</w:t>
      </w:r>
    </w:p>
    <w:p w14:paraId="3B1BD4D1" w14:textId="0FFDDB08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termoelektrane koje mogu proizvoditi otpadnu toplinu ili se mogu podvrgnuti naknadnoj ugradnji tako da mogu proizvoditi otpadnu toplinu s ukupnom toplinskom snagom većom od 50 MW;</w:t>
      </w:r>
    </w:p>
    <w:p w14:paraId="33AEABAF" w14:textId="2FC6D69E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ii.</w:t>
      </w:r>
      <w:r w:rsidR="0018572D">
        <w:rPr>
          <w:rFonts w:ascii="Minion Pro" w:hAnsi="Minion Pro"/>
          <w:sz w:val="24"/>
          <w:szCs w:val="24"/>
        </w:rPr>
        <w:t xml:space="preserve"> </w:t>
      </w:r>
      <w:proofErr w:type="spellStart"/>
      <w:r w:rsidRPr="009F3E42">
        <w:rPr>
          <w:rFonts w:ascii="Minion Pro" w:hAnsi="Minion Pro"/>
          <w:sz w:val="24"/>
          <w:szCs w:val="24"/>
        </w:rPr>
        <w:t>kogeneracijska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postrojenja za proizvodnju toplinske i električne energije s ukupnom toplinskom snagom većom od 20 MW;</w:t>
      </w:r>
    </w:p>
    <w:p w14:paraId="6D7C5BDF" w14:textId="27F015AD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iii.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postrojenja za spaljivanje otpada;</w:t>
      </w:r>
    </w:p>
    <w:p w14:paraId="3F50889A" w14:textId="758D730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iv.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pogoni za proizvodnju energije iz obnovljivih izvora s ukupnom toplinskom snagom većom od 20 MW, osim postrojenja iz </w:t>
      </w:r>
      <w:proofErr w:type="spellStart"/>
      <w:r w:rsidRPr="009F3E42">
        <w:rPr>
          <w:rFonts w:ascii="Minion Pro" w:hAnsi="Minion Pro"/>
          <w:sz w:val="24"/>
          <w:szCs w:val="24"/>
        </w:rPr>
        <w:t>podtočaka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i. i ii., za opskrbu grijanjem ili hlađenjem uporabom energije iz obnovljivih izvora;</w:t>
      </w:r>
    </w:p>
    <w:p w14:paraId="4ECCCE93" w14:textId="503CFCF2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lastRenderedPageBreak/>
        <w:t>v.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industrijska postrojenja s ukupnom toplinskom snagom većom od 20 MW iz kojih se može dobivati otpadna toplina;</w:t>
      </w:r>
    </w:p>
    <w:p w14:paraId="6779A43C" w14:textId="7209B8EF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prijavljeni udio energije iz obnovljivih izvora i iz otpadne topline ili hladnoće u krajnjoj potrošnji energije u sektoru centraliziranog grijanja i hlađenja</w:t>
      </w:r>
      <w:r w:rsidRPr="000E0C8F">
        <w:rPr>
          <w:rFonts w:ascii="Minion Pro" w:hAnsi="Minion Pro"/>
          <w:sz w:val="24"/>
          <w:szCs w:val="24"/>
          <w:vertAlign w:val="superscript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 proteklih pet godina, u skladu s Direktivom (EU) 2018/2001;</w:t>
      </w:r>
    </w:p>
    <w:p w14:paraId="5DCC384B" w14:textId="6FA91B76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3.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objedinjeni podaci o </w:t>
      </w:r>
      <w:proofErr w:type="spellStart"/>
      <w:r w:rsidRPr="009F3E42">
        <w:rPr>
          <w:rFonts w:ascii="Minion Pro" w:hAnsi="Minion Pro"/>
          <w:sz w:val="24"/>
          <w:szCs w:val="24"/>
        </w:rPr>
        <w:t>kogeneracijskim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jedinicama u postojećim mrežama centraliziranoga grijanja i hlađenja u pet raspona kapaciteta koji obuhvaćaju:</w:t>
      </w:r>
    </w:p>
    <w:p w14:paraId="5B4EE44D" w14:textId="2830331D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potrošnju primarne energije;</w:t>
      </w:r>
    </w:p>
    <w:p w14:paraId="240048F8" w14:textId="44B0183C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(b)ukupnu učinkovitost;</w:t>
      </w:r>
    </w:p>
    <w:p w14:paraId="53773F02" w14:textId="4A816D8C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uštedu primarne energije;</w:t>
      </w:r>
    </w:p>
    <w:p w14:paraId="69B465CA" w14:textId="2E61A30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(d)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faktore emisije CO2;</w:t>
      </w:r>
    </w:p>
    <w:p w14:paraId="67ACA7CD" w14:textId="59FEF183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4.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objedinjeni podaci o postojećim mrežama centraliziranoga grijanja i hlađenja koje se opskrbljuju iz kogeneracije u pet raspona kapaciteta koji obuhvaćaju:</w:t>
      </w:r>
    </w:p>
    <w:p w14:paraId="04E3D131" w14:textId="71924889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sveukupnu potrošnju primarne energije;</w:t>
      </w:r>
    </w:p>
    <w:p w14:paraId="0AA95ED1" w14:textId="5E6D0136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potrošnju primarne energije </w:t>
      </w:r>
      <w:proofErr w:type="spellStart"/>
      <w:r w:rsidRPr="009F3E42">
        <w:rPr>
          <w:rFonts w:ascii="Minion Pro" w:hAnsi="Minion Pro"/>
          <w:sz w:val="24"/>
          <w:szCs w:val="24"/>
        </w:rPr>
        <w:t>kogeneracijskih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jedinica;</w:t>
      </w:r>
    </w:p>
    <w:p w14:paraId="5CBB8889" w14:textId="63DABC3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udio kogeneracije u opskrbi centraliziranoga grijanja i hlađenja;</w:t>
      </w:r>
    </w:p>
    <w:p w14:paraId="1F7BA678" w14:textId="7DDC6545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(d)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gubitke sustava centraliziranoga grijanja;</w:t>
      </w:r>
    </w:p>
    <w:p w14:paraId="31151BD4" w14:textId="1C7CF93F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(e)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gubitke sustava centraliziranog hlađenja;</w:t>
      </w:r>
    </w:p>
    <w:p w14:paraId="5C2040F8" w14:textId="7840AB90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(f)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gustoću priključenja;</w:t>
      </w:r>
    </w:p>
    <w:p w14:paraId="7AC96D5E" w14:textId="25EB8F92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(g)</w:t>
      </w:r>
      <w:r w:rsidR="0018572D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udjele sustav</w:t>
      </w:r>
      <w:r w:rsidR="00B272D2">
        <w:rPr>
          <w:rFonts w:ascii="Minion Pro" w:hAnsi="Minion Pro"/>
          <w:sz w:val="24"/>
          <w:szCs w:val="24"/>
        </w:rPr>
        <w:t>a</w:t>
      </w:r>
      <w:r w:rsidRPr="009F3E42">
        <w:rPr>
          <w:rFonts w:ascii="Minion Pro" w:hAnsi="Minion Pro"/>
          <w:sz w:val="24"/>
          <w:szCs w:val="24"/>
        </w:rPr>
        <w:t xml:space="preserve"> po različitim skupinama radne temperature;</w:t>
      </w:r>
    </w:p>
    <w:p w14:paraId="604DAB6B" w14:textId="4BEB89A9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5.</w:t>
      </w:r>
      <w:r w:rsidR="00B272D2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karta čitavog državnog područja na kojoj je, uz istodobno očuvanje poslovno osjetljivih informacija, utvrđeno sljedeće:</w:t>
      </w:r>
    </w:p>
    <w:p w14:paraId="0F10EA89" w14:textId="38F9C2D0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B272D2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područja potražnje za grijanjem i hlađenjem utvrđena na temelju analize iz točke 1., pri čemu se upotrebljavaju dosljedna mjerila za </w:t>
      </w:r>
      <w:proofErr w:type="spellStart"/>
      <w:r w:rsidRPr="009F3E42">
        <w:rPr>
          <w:rFonts w:ascii="Minion Pro" w:hAnsi="Minion Pro"/>
          <w:sz w:val="24"/>
          <w:szCs w:val="24"/>
        </w:rPr>
        <w:t>usredotočavanje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na energetski bogata područja u općinama i </w:t>
      </w:r>
      <w:proofErr w:type="spellStart"/>
      <w:r w:rsidRPr="009F3E42">
        <w:rPr>
          <w:rFonts w:ascii="Minion Pro" w:hAnsi="Minion Pro"/>
          <w:sz w:val="24"/>
          <w:szCs w:val="24"/>
        </w:rPr>
        <w:t>konurbacijama</w:t>
      </w:r>
      <w:proofErr w:type="spellEnd"/>
      <w:r w:rsidRPr="009F3E42">
        <w:rPr>
          <w:rFonts w:ascii="Minion Pro" w:hAnsi="Minion Pro"/>
          <w:sz w:val="24"/>
          <w:szCs w:val="24"/>
        </w:rPr>
        <w:t>;</w:t>
      </w:r>
    </w:p>
    <w:p w14:paraId="727B3C93" w14:textId="6A0F26F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B272D2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postojeće opskrbne točke za grijanje i hlađenje utvrđene u točki 2. podtočki (b) i postrojenja za prijenos centraliziranog grijanja;</w:t>
      </w:r>
    </w:p>
    <w:p w14:paraId="3D574F93" w14:textId="677E4D53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B272D2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planirane opskrbne točke za grijanje i hlađenje čiji je tip utvrđen u točki 2. podtočki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(b) i utvrđena nova područja za centralizirano grijanje i hlađenje;</w:t>
      </w:r>
    </w:p>
    <w:p w14:paraId="7A48309B" w14:textId="022DDFFC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6.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predviđanje kretanja potražnje za grijanjem i hlađenjem kako bi se u vidu imao razvoj situacije u sljedećih 30 godina, u GWh, posebice uzimajući u obzir predviđanja za sljedećih 10 godina, promjene u potražnji povezanoj sa zgradama i različitim sektorima industrije te učinke politika i strategija povezanih s upravljanjem potražnjom, poput dugoročnih strategija obnova zgrada u skladu s Direktivom (EU) 2018/844 Europskog parlamenta i Vijeća;</w:t>
      </w:r>
    </w:p>
    <w:p w14:paraId="0F58CA5C" w14:textId="5B0C9188" w:rsidR="009F3E42" w:rsidRPr="000E0C8F" w:rsidRDefault="009F3E42" w:rsidP="000E0C8F">
      <w:pPr>
        <w:jc w:val="both"/>
        <w:rPr>
          <w:rFonts w:ascii="Minion Pro" w:hAnsi="Minion Pro"/>
          <w:b/>
          <w:bCs/>
          <w:sz w:val="24"/>
          <w:szCs w:val="24"/>
        </w:rPr>
      </w:pPr>
      <w:r w:rsidRPr="000E0C8F">
        <w:rPr>
          <w:rFonts w:ascii="Minion Pro" w:hAnsi="Minion Pro"/>
          <w:b/>
          <w:bCs/>
          <w:sz w:val="24"/>
          <w:szCs w:val="24"/>
        </w:rPr>
        <w:lastRenderedPageBreak/>
        <w:t>Dio II.</w:t>
      </w:r>
      <w:r w:rsidR="006573BA" w:rsidRPr="000E0C8F">
        <w:rPr>
          <w:rFonts w:ascii="Minion Pro" w:hAnsi="Minion Pro"/>
          <w:b/>
          <w:bCs/>
          <w:sz w:val="24"/>
          <w:szCs w:val="24"/>
        </w:rPr>
        <w:t xml:space="preserve"> </w:t>
      </w:r>
      <w:r w:rsidRPr="000E0C8F">
        <w:rPr>
          <w:rFonts w:ascii="Minion Pro" w:hAnsi="Minion Pro"/>
          <w:b/>
          <w:bCs/>
          <w:sz w:val="24"/>
          <w:szCs w:val="24"/>
        </w:rPr>
        <w:t>CILJEVI, STRATEGIJE I MJERE POLITIKE</w:t>
      </w:r>
    </w:p>
    <w:p w14:paraId="2B818D31" w14:textId="22A5D772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7.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planirani doprinos države članice svojim nacionalnim ciljevima i doprinosima koji se odnose na pet dimenzija energetske unije, kako je navedeno u članku 3. stavku 2. točki (b) Uredbe (EU) 2018/1999, putem učinkovitosti u grijanju i hlađenju, posebice u vezi s člankom 4. točkom (b) </w:t>
      </w:r>
      <w:proofErr w:type="spellStart"/>
      <w:r w:rsidRPr="009F3E42">
        <w:rPr>
          <w:rFonts w:ascii="Minion Pro" w:hAnsi="Minion Pro"/>
          <w:sz w:val="24"/>
          <w:szCs w:val="24"/>
        </w:rPr>
        <w:t>podtočkama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od 1. do 4. i člankom 15. stavkom 4. točkom (b) te uredbe, pri čemu se utvrđuje kojim se od tih elemenata dopunjuju integrirani nacionalni energetski i klimatski plan priopćen na temelju članka 3. i članaka od 7. do 12. te uredbe;</w:t>
      </w:r>
    </w:p>
    <w:p w14:paraId="1D2CF543" w14:textId="0CF4E4AE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8.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opći pregled postojećih politika i mjera opisanih u najnovijem izvješću koje se dostavlja u skladu s člancima 3., 20., i 21. te člankom 27. točkom (a) Uredbe (EU) 2018/1999;</w:t>
      </w:r>
    </w:p>
    <w:p w14:paraId="73A2F4DE" w14:textId="0A201B0C" w:rsidR="009F3E42" w:rsidRPr="000E0C8F" w:rsidRDefault="009F3E42" w:rsidP="000E0C8F">
      <w:pPr>
        <w:jc w:val="both"/>
        <w:rPr>
          <w:rFonts w:ascii="Minion Pro" w:hAnsi="Minion Pro"/>
          <w:b/>
          <w:bCs/>
          <w:sz w:val="24"/>
          <w:szCs w:val="24"/>
        </w:rPr>
      </w:pPr>
      <w:r w:rsidRPr="000E0C8F">
        <w:rPr>
          <w:rFonts w:ascii="Minion Pro" w:hAnsi="Minion Pro"/>
          <w:b/>
          <w:bCs/>
          <w:sz w:val="24"/>
          <w:szCs w:val="24"/>
        </w:rPr>
        <w:t>Dio III.</w:t>
      </w:r>
      <w:r w:rsidR="006573BA" w:rsidRPr="000E0C8F">
        <w:rPr>
          <w:rFonts w:ascii="Minion Pro" w:hAnsi="Minion Pro"/>
          <w:b/>
          <w:bCs/>
          <w:sz w:val="24"/>
          <w:szCs w:val="24"/>
        </w:rPr>
        <w:t xml:space="preserve"> </w:t>
      </w:r>
      <w:r w:rsidRPr="000E0C8F">
        <w:rPr>
          <w:rFonts w:ascii="Minion Pro" w:hAnsi="Minion Pro"/>
          <w:b/>
          <w:bCs/>
          <w:sz w:val="24"/>
          <w:szCs w:val="24"/>
        </w:rPr>
        <w:t>ANALIZA GOSPODARSKOG POTENCIJALA U</w:t>
      </w:r>
      <w:r w:rsidRPr="000E0C8F">
        <w:rPr>
          <w:rFonts w:ascii="Minion Pro" w:hAnsi="Minion Pro" w:hint="eastAsia"/>
          <w:b/>
          <w:bCs/>
          <w:sz w:val="24"/>
          <w:szCs w:val="24"/>
        </w:rPr>
        <w:t>Č</w:t>
      </w:r>
      <w:r w:rsidRPr="000E0C8F">
        <w:rPr>
          <w:rFonts w:ascii="Minion Pro" w:hAnsi="Minion Pro"/>
          <w:b/>
          <w:bCs/>
          <w:sz w:val="24"/>
          <w:szCs w:val="24"/>
        </w:rPr>
        <w:t>INKOVITOG GRIJANJA I HLA</w:t>
      </w:r>
      <w:r w:rsidRPr="000E0C8F">
        <w:rPr>
          <w:rFonts w:ascii="Minion Pro" w:hAnsi="Minion Pro" w:hint="eastAsia"/>
          <w:b/>
          <w:bCs/>
          <w:sz w:val="24"/>
          <w:szCs w:val="24"/>
        </w:rPr>
        <w:t>Đ</w:t>
      </w:r>
      <w:r w:rsidRPr="000E0C8F">
        <w:rPr>
          <w:rFonts w:ascii="Minion Pro" w:hAnsi="Minion Pro"/>
          <w:b/>
          <w:bCs/>
          <w:sz w:val="24"/>
          <w:szCs w:val="24"/>
        </w:rPr>
        <w:t>ENJA</w:t>
      </w:r>
    </w:p>
    <w:p w14:paraId="528FF0B9" w14:textId="5D447E09" w:rsidR="009F3E42" w:rsidRPr="009F3E42" w:rsidRDefault="009F3E42" w:rsidP="00B841EC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9.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="00C90C7E" w:rsidRPr="009F3E42">
        <w:rPr>
          <w:rFonts w:ascii="Minion Pro" w:hAnsi="Minion Pro"/>
          <w:sz w:val="24"/>
          <w:szCs w:val="24"/>
        </w:rPr>
        <w:t>analiza gospodarskog potencijala</w:t>
      </w:r>
      <w:r w:rsidR="00C90C7E">
        <w:rPr>
          <w:rFonts w:ascii="Minion Pro" w:hAnsi="Minion Pro"/>
          <w:sz w:val="24"/>
          <w:szCs w:val="24"/>
          <w:vertAlign w:val="superscript"/>
        </w:rPr>
        <w:t xml:space="preserve"> </w:t>
      </w:r>
      <w:r w:rsidR="00C90C7E" w:rsidRPr="009F3E42">
        <w:rPr>
          <w:rFonts w:ascii="Minion Pro" w:hAnsi="Minion Pro"/>
          <w:sz w:val="24"/>
          <w:szCs w:val="24"/>
        </w:rPr>
        <w:t xml:space="preserve">različitih tehnologija za grijanje i hlađenje provodi se za cijelo državno područje putem analize troškova i koristi iz članka 25. </w:t>
      </w:r>
      <w:r w:rsidRPr="009F3E42">
        <w:rPr>
          <w:rFonts w:ascii="Minion Pro" w:hAnsi="Minion Pro"/>
          <w:sz w:val="24"/>
          <w:szCs w:val="24"/>
        </w:rPr>
        <w:t>analiza gospodarskog potencijala</w:t>
      </w:r>
      <w:r w:rsidR="00395457">
        <w:rPr>
          <w:rFonts w:ascii="Minion Pro" w:hAnsi="Minion Pro"/>
          <w:sz w:val="24"/>
          <w:szCs w:val="24"/>
          <w:vertAlign w:val="superscript"/>
        </w:rPr>
        <w:t xml:space="preserve"> </w:t>
      </w:r>
      <w:r w:rsidRPr="009F3E42">
        <w:rPr>
          <w:rFonts w:ascii="Minion Pro" w:hAnsi="Minion Pro"/>
          <w:sz w:val="24"/>
          <w:szCs w:val="24"/>
        </w:rPr>
        <w:t>različitih tehnologija za grijanje i hlađenje provodi se za cijelo državno područje putem analize troškova i koristi iz članka 25. stavka 3. te se njome utvrđuju alternativni scenariji za učinkovitije tehnologije za grijanje i hlađenje uporabom energije iz obnovljivih izvora, pri čemu se, ako je primjenjivo, razlikuje energija dobivena iz fosilnih goriva i energija dobivena iz obnovljivih izvora.</w:t>
      </w:r>
    </w:p>
    <w:p w14:paraId="2832D99E" w14:textId="125F6235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U obzir bi trebalo uzeti sljedeće tehnologije:</w:t>
      </w:r>
    </w:p>
    <w:p w14:paraId="7A675FAF" w14:textId="2DF0CEDD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industrijska otpadna toplina i hladnoća;</w:t>
      </w:r>
    </w:p>
    <w:p w14:paraId="0308A9EF" w14:textId="0BCE8AED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spaljivanje otpada;</w:t>
      </w:r>
    </w:p>
    <w:p w14:paraId="1A432B7E" w14:textId="298E2C1F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visokoučinkovita kogeneracija;</w:t>
      </w:r>
    </w:p>
    <w:p w14:paraId="654840EC" w14:textId="4E20BF5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(d)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obnovljivi izvori energije, poput geotermalne energije, solarne toplinske energije i energije iz biomase, osim onih koji se upotrebljavaju za visokoučinkovitu kogeneraciju;</w:t>
      </w:r>
    </w:p>
    <w:p w14:paraId="60095E3A" w14:textId="0AEA2985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(e)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dizalice topline;</w:t>
      </w:r>
    </w:p>
    <w:p w14:paraId="4293B352" w14:textId="064D961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(f)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smanjivanje gubitka topline i hladnoće iz postojećih centraliziranih mreža;</w:t>
      </w:r>
    </w:p>
    <w:p w14:paraId="437B1B37" w14:textId="145BDCC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(g)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centralizirano grijanje i hlađenje;</w:t>
      </w:r>
    </w:p>
    <w:p w14:paraId="53019C3A" w14:textId="76E487E6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10.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analiza gospodarskog potencijala uključuje sljedeće korake i razmatranja:</w:t>
      </w:r>
    </w:p>
    <w:p w14:paraId="6DEA94C9" w14:textId="713B5BF0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razmatranja:</w:t>
      </w:r>
    </w:p>
    <w:p w14:paraId="142DD7DB" w14:textId="5ED9E0D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analiza troškova i koristi za potrebe članka 25. stavka 3. uključuje gospodarsku analizu u kojoj se uzimaju u obzir socioekonomski i okolišni čimbenici</w:t>
      </w:r>
      <w:r w:rsidR="00392447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te financijsku analizu provedenu radi procjene projekata iz stajališta ulagatelja, pri čemu se i u gospodarskoj i financijskoj analizi kao kriterij za procjenu upotrebljava neto sadašnja vrijednost;</w:t>
      </w:r>
    </w:p>
    <w:p w14:paraId="4007CAB0" w14:textId="24C6755E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osnovni scenarij trebao bi služiti kao referentna točka i u njemu bi se trebale uzeti u obzir postojeće politike u trenutku pripremanja ove sveobuhvatne procjene te bi trebao biti povezan s podacima prikupljenima u skladu s dijelom I. i dijelom II. točkom 6. ovog Priloga;</w:t>
      </w:r>
    </w:p>
    <w:p w14:paraId="3A4DCA94" w14:textId="1E9FCFF1" w:rsid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lastRenderedPageBreak/>
        <w:t>iii.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 alternativnim scenarijima u odnosu na osnovni scenarij uzimaju se u obzir ciljevi u pogledu energetske učinkovitosti i obnovljivih izvora energije iz Uredbe (EU) 2018/1999., pri čemu se u svakom scenariju navode sljedeći elementi u odnosu na osnovni scenarij:</w:t>
      </w:r>
    </w:p>
    <w:p w14:paraId="63BDC338" w14:textId="2FF2328E" w:rsidR="009F3E42" w:rsidRDefault="009F3E42" w:rsidP="000E0C8F">
      <w:pPr>
        <w:pStyle w:val="Odlomakpopisa"/>
        <w:numPr>
          <w:ilvl w:val="0"/>
          <w:numId w:val="21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gospodarski potencijal analiziranih tehnologija, pri čemu se kao mjerilo uzima neto sadašnja vrijednost,</w:t>
      </w:r>
    </w:p>
    <w:p w14:paraId="6BF9FF78" w14:textId="77777777" w:rsidR="000F61EC" w:rsidRDefault="009F3E42" w:rsidP="000E0C8F">
      <w:pPr>
        <w:pStyle w:val="Odlomakpopisa"/>
        <w:numPr>
          <w:ilvl w:val="0"/>
          <w:numId w:val="21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smanjivanje emisija stakleničkih plinova,</w:t>
      </w:r>
    </w:p>
    <w:p w14:paraId="78B81956" w14:textId="10AD85FD" w:rsidR="009F3E42" w:rsidRDefault="009F3E42" w:rsidP="000E0C8F">
      <w:pPr>
        <w:pStyle w:val="Odlomakpopisa"/>
        <w:numPr>
          <w:ilvl w:val="0"/>
          <w:numId w:val="21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ušteda primarne energije u GWh godišnje,</w:t>
      </w:r>
    </w:p>
    <w:p w14:paraId="3E5F0E3B" w14:textId="2FC9BA3E" w:rsidR="009F3E42" w:rsidRPr="000E0C8F" w:rsidRDefault="009F3E42" w:rsidP="000E0C8F">
      <w:pPr>
        <w:pStyle w:val="Odlomakpopisa"/>
        <w:numPr>
          <w:ilvl w:val="0"/>
          <w:numId w:val="21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utjecaj na udio obnovljivih izvora energije u nacionalnoj kombinaciji izvora energije.</w:t>
      </w:r>
    </w:p>
    <w:p w14:paraId="3FC9B609" w14:textId="5BA7DED1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Scenariji koji nisu izvedivi zbog tehničkih razloga, financijskih razloga ili nacionalnih propisa mogu se isključiti u ranoj fazi analize troškova i koristi ako je to opravdano na temelju pažljivih, jasnih i dobro dokumentiranih razmatranja.</w:t>
      </w:r>
    </w:p>
    <w:p w14:paraId="56A3242B" w14:textId="54E31DE9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Prilikom procjene i donošenja odluka trebalo bi uzeti u obzir troškove i uštedu energije proizišle iz povećanja fleksibilnosti u opskrbi energijom te iz optimalnijeg rada elektroenergetskih mreža, uključujući izbjegnute troškove i uštedu proizišle iz smanjenja ulaganja u infrastrukturu, u analiziranim scenarijima;</w:t>
      </w:r>
    </w:p>
    <w:p w14:paraId="13CA38C3" w14:textId="6921FC12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0F6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troškovi i koristi</w:t>
      </w:r>
    </w:p>
    <w:p w14:paraId="4F4BAB2B" w14:textId="31EB7198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 xml:space="preserve">Troškovi i koristi iz </w:t>
      </w:r>
      <w:proofErr w:type="spellStart"/>
      <w:r w:rsidRPr="009F3E42">
        <w:rPr>
          <w:rFonts w:ascii="Minion Pro" w:hAnsi="Minion Pro"/>
          <w:sz w:val="24"/>
          <w:szCs w:val="24"/>
        </w:rPr>
        <w:t>podtočke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(a) uključuju barem sljedeće troškove i koristi:</w:t>
      </w:r>
    </w:p>
    <w:p w14:paraId="6F8B35EC" w14:textId="3C4707F4" w:rsid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troškovi:</w:t>
      </w:r>
    </w:p>
    <w:p w14:paraId="4D8069C3" w14:textId="19C521AB" w:rsidR="009F3E42" w:rsidRDefault="009F3E42" w:rsidP="000E0C8F">
      <w:pPr>
        <w:pStyle w:val="Odlomakpopisa"/>
        <w:numPr>
          <w:ilvl w:val="0"/>
          <w:numId w:val="22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kapitalni troškovi postrojenja i opreme,</w:t>
      </w:r>
    </w:p>
    <w:p w14:paraId="44E0B84E" w14:textId="3F1FFA54" w:rsidR="009F3E42" w:rsidRDefault="009F3E42" w:rsidP="000E0C8F">
      <w:pPr>
        <w:pStyle w:val="Odlomakpopisa"/>
        <w:numPr>
          <w:ilvl w:val="0"/>
          <w:numId w:val="22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kapitalni troškovi povezanih energetskih mreža,</w:t>
      </w:r>
    </w:p>
    <w:p w14:paraId="1D3DBE39" w14:textId="63E31A7E" w:rsidR="009F3E42" w:rsidRDefault="009F3E42" w:rsidP="000E0C8F">
      <w:pPr>
        <w:pStyle w:val="Odlomakpopisa"/>
        <w:numPr>
          <w:ilvl w:val="0"/>
          <w:numId w:val="22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varijabilni i fiksni operativni troškovi,</w:t>
      </w:r>
    </w:p>
    <w:p w14:paraId="0D185A67" w14:textId="77777777" w:rsidR="009F3E42" w:rsidRDefault="009F3E42" w:rsidP="000E0C8F">
      <w:pPr>
        <w:pStyle w:val="Odlomakpopisa"/>
        <w:numPr>
          <w:ilvl w:val="0"/>
          <w:numId w:val="22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troškovi energije,</w:t>
      </w:r>
    </w:p>
    <w:p w14:paraId="7131D17D" w14:textId="77777777" w:rsidR="009F3E42" w:rsidRDefault="009F3E42" w:rsidP="000E0C8F">
      <w:pPr>
        <w:pStyle w:val="Odlomakpopisa"/>
        <w:numPr>
          <w:ilvl w:val="0"/>
          <w:numId w:val="22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troškovi povezani s okolišem, zdravljem i sigurnošću, u mjeri u kojoj je to moguće,</w:t>
      </w:r>
    </w:p>
    <w:p w14:paraId="7DFF8207" w14:textId="5102876B" w:rsidR="009F3E42" w:rsidRPr="000E0C8F" w:rsidRDefault="009F3E42" w:rsidP="000E0C8F">
      <w:pPr>
        <w:pStyle w:val="Odlomakpopisa"/>
        <w:numPr>
          <w:ilvl w:val="0"/>
          <w:numId w:val="22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troškovi povezani s tržištem rada, energetskom sigurnošću i konkurentnošću, u mjeri u kojoj je to moguće;</w:t>
      </w:r>
    </w:p>
    <w:p w14:paraId="660CBF27" w14:textId="579490CB" w:rsid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koristi:</w:t>
      </w:r>
    </w:p>
    <w:p w14:paraId="687F80D7" w14:textId="18226B3E" w:rsidR="009F3E42" w:rsidRDefault="009F3E42" w:rsidP="000E0C8F">
      <w:pPr>
        <w:pStyle w:val="Odlomakpopisa"/>
        <w:numPr>
          <w:ilvl w:val="0"/>
          <w:numId w:val="23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vrijednost proizvodnje za potrošača (grijanje, hlađenje i električna energija),</w:t>
      </w:r>
    </w:p>
    <w:p w14:paraId="6BECC5CE" w14:textId="77777777" w:rsidR="009F3E42" w:rsidRDefault="009F3E42" w:rsidP="000E0C8F">
      <w:pPr>
        <w:pStyle w:val="Odlomakpopisa"/>
        <w:numPr>
          <w:ilvl w:val="0"/>
          <w:numId w:val="23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vanjske koristi kao što su koristi za okoliš, koristi u pogledu emisija stakleničkih plinova te koristi za zdravlje i sigurnost, u mjeri u kojoj je to moguće,</w:t>
      </w:r>
    </w:p>
    <w:p w14:paraId="06E5CB5F" w14:textId="56C9CE9D" w:rsidR="009F3E42" w:rsidRPr="000E0C8F" w:rsidRDefault="009F3E42" w:rsidP="000E0C8F">
      <w:pPr>
        <w:pStyle w:val="Odlomakpopisa"/>
        <w:numPr>
          <w:ilvl w:val="0"/>
          <w:numId w:val="23"/>
        </w:numPr>
        <w:jc w:val="both"/>
        <w:rPr>
          <w:rFonts w:ascii="Minion Pro" w:hAnsi="Minion Pro"/>
          <w:sz w:val="24"/>
          <w:szCs w:val="24"/>
        </w:rPr>
      </w:pPr>
      <w:r w:rsidRPr="000E0C8F">
        <w:rPr>
          <w:rFonts w:ascii="Minion Pro" w:hAnsi="Minion Pro"/>
          <w:sz w:val="24"/>
          <w:szCs w:val="24"/>
        </w:rPr>
        <w:t>učinci na tržište rada, energetsku sigurnost i konkurentnost, u mjeri u kojoj je to moguće;</w:t>
      </w:r>
    </w:p>
    <w:p w14:paraId="2543780A" w14:textId="6A578F62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relevantni scenariji u odnosu na osnovni scenarij:</w:t>
      </w:r>
    </w:p>
    <w:p w14:paraId="275C4051" w14:textId="28D7E178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Razmatraju se svi relevantni scenariji u odnosu na osnovni scenarij, uključujući ulogu učinkovitog individualnog grijanja i hlađenja. Analiza troškova i koristi može obuhvaćati procjenu projekta ili skupine projekata u pogledu šire lokalne, regionalne ili nacionalne procjene s ciljem utvrđivanja troškovno najučinkovitije i najkorisnije opcije grijanja ili hlađenja u odnosu na osnovni scenarij na određenom zemljopisnom području za potrebe planiranja.</w:t>
      </w:r>
    </w:p>
    <w:p w14:paraId="7FD055F1" w14:textId="7F2B8D8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lastRenderedPageBreak/>
        <w:t>(d)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granice i integrirani pristup:</w:t>
      </w:r>
    </w:p>
    <w:p w14:paraId="0F6F4428" w14:textId="4BDC7450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geografska granica obuhvaća odgovarajuće jasno definirano zemljopisno područje;</w:t>
      </w:r>
    </w:p>
    <w:p w14:paraId="27B53975" w14:textId="195F1074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 analizama troškova i koristi uzimaju se u obzir svi relevantni centralizirani ili decentralizirani izvori opskrbe koji su dostupni u okviru sustava i zemljopisnih granica, uključujući tehnologije iz dijela III. točke 9. ovog Priloga te kretanja i značajke potražnje za grijanjem i hlađenjem;</w:t>
      </w:r>
    </w:p>
    <w:p w14:paraId="4387D9A6" w14:textId="008933A6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(e)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pretpostavke:</w:t>
      </w:r>
    </w:p>
    <w:p w14:paraId="45F0B5C1" w14:textId="485498BB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za potrebe analiza troškova i koristi države članice pružaju pretpostavke o cijenama glavnih ulaznih i izlaznih čimbenika i diskontnoj stopi;</w:t>
      </w:r>
    </w:p>
    <w:p w14:paraId="24F3DD35" w14:textId="7B840719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diskontna stopa koja se u gospodarskoj analizi upotrebljava za izračun neto sadašnje vrijednosti odabire se u skladu s europskim ili nacionalnim smjernicama;</w:t>
      </w:r>
    </w:p>
    <w:p w14:paraId="43B294A9" w14:textId="62A9E5B4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iii.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države članice upotrebljavaju predviđanja u vezi s kretanjem nacionalnih, europskih ili međunarodnih cijena energije ako je to potrebno u njihovu nacionalnom, regionalnom ili lokalnom kontekstu;</w:t>
      </w:r>
    </w:p>
    <w:p w14:paraId="4D3650E8" w14:textId="1BE8E983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iv.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cijene koje se upotrebljavaju u gospodarskoj analizi odražavaju socioekonomske troškove i koristi. Vanjski troškovi, kao što su učinci na zdravlje i okoliš, trebalo bi se uključiti u mjeri u kojoj je to moguće, odnosno ako tržišna cijena već postoji ili ako je uključena u europske ili nacionalne propise;</w:t>
      </w:r>
    </w:p>
    <w:p w14:paraId="2074B0DD" w14:textId="1B69A42A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(f)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analiza osjetljivosti: uključuje se analiza osjetljivosti radi procjene troškova i koristi projekta ili skupine projekata, a temelji se na varijabilnim čimbenicima koji imaju značajan učinak na ishod izračuna, poput različitih cijena energije, potražnje, diskontnih stopa i drugih;</w:t>
      </w:r>
    </w:p>
    <w:p w14:paraId="5C70E7C3" w14:textId="5D16AF78" w:rsidR="009F3E42" w:rsidRPr="002A2387" w:rsidRDefault="009F3E42" w:rsidP="000E0C8F">
      <w:pPr>
        <w:jc w:val="both"/>
        <w:rPr>
          <w:rFonts w:ascii="Minion Pro" w:hAnsi="Minion Pro"/>
          <w:b/>
          <w:bCs/>
          <w:sz w:val="24"/>
          <w:szCs w:val="24"/>
        </w:rPr>
      </w:pPr>
      <w:r w:rsidRPr="002A2387">
        <w:rPr>
          <w:rFonts w:ascii="Minion Pro" w:hAnsi="Minion Pro"/>
          <w:b/>
          <w:bCs/>
          <w:sz w:val="24"/>
          <w:szCs w:val="24"/>
        </w:rPr>
        <w:t>Dio IV.</w:t>
      </w:r>
      <w:r w:rsidR="006573BA" w:rsidRPr="002A2387">
        <w:rPr>
          <w:rFonts w:ascii="Minion Pro" w:hAnsi="Minion Pro"/>
          <w:b/>
          <w:bCs/>
          <w:sz w:val="24"/>
          <w:szCs w:val="24"/>
        </w:rPr>
        <w:t xml:space="preserve"> </w:t>
      </w:r>
      <w:r w:rsidRPr="002A2387">
        <w:rPr>
          <w:rFonts w:ascii="Minion Pro" w:hAnsi="Minion Pro"/>
          <w:b/>
          <w:bCs/>
          <w:sz w:val="24"/>
          <w:szCs w:val="24"/>
        </w:rPr>
        <w:t>POTENCIJALNE NOVE STRATEGIJE I MJERE POLITIKE</w:t>
      </w:r>
    </w:p>
    <w:p w14:paraId="04766D18" w14:textId="6FBDBFED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11.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 xml:space="preserve">pregled novih zakonodavnih i </w:t>
      </w:r>
      <w:proofErr w:type="spellStart"/>
      <w:r w:rsidRPr="009F3E42">
        <w:rPr>
          <w:rFonts w:ascii="Minion Pro" w:hAnsi="Minion Pro"/>
          <w:sz w:val="24"/>
          <w:szCs w:val="24"/>
        </w:rPr>
        <w:t>nezakonodavnih</w:t>
      </w:r>
      <w:proofErr w:type="spellEnd"/>
      <w:r w:rsidRPr="009F3E42">
        <w:rPr>
          <w:rFonts w:ascii="Minion Pro" w:hAnsi="Minion Pro"/>
          <w:sz w:val="24"/>
          <w:szCs w:val="24"/>
        </w:rPr>
        <w:t xml:space="preserve"> mjera politike kako bi se ostvario gospodarski potencijal utvrđen u skladu s točkama 9. i 10., zajedno s predviđanjem:</w:t>
      </w:r>
    </w:p>
    <w:p w14:paraId="31641F25" w14:textId="5A56260C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(a)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smanjivanja emisija stakleničkih plinova;</w:t>
      </w:r>
    </w:p>
    <w:p w14:paraId="4D9568BB" w14:textId="668BB628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(b)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uštede primarne energije u GWh godišnje;</w:t>
      </w:r>
    </w:p>
    <w:p w14:paraId="0A91132C" w14:textId="7B1C9116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(c)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utjecaja na udio visokoučinkovite kogeneracije;</w:t>
      </w:r>
    </w:p>
    <w:p w14:paraId="6B901DE9" w14:textId="781985C9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(d)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utjecaja na udio obnovljivih izvora energije u nacionalnoj kombinaciji izvora energije te u sektoru grijanja i hlađenja;</w:t>
      </w:r>
    </w:p>
    <w:p w14:paraId="42CEDEE3" w14:textId="6869C8BF" w:rsidR="009F3E42" w:rsidRPr="009F3E42" w:rsidRDefault="009F3E42" w:rsidP="000E0C8F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(e)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veza s nacionalnim financijskim programiranjem i uštede troškova za državni proračun i sudionike na tržištu;</w:t>
      </w:r>
    </w:p>
    <w:p w14:paraId="0CA2F422" w14:textId="6EB87F99" w:rsidR="009F3E42" w:rsidRDefault="009F3E42" w:rsidP="00A162E7">
      <w:pPr>
        <w:jc w:val="both"/>
        <w:rPr>
          <w:rFonts w:ascii="Minion Pro" w:hAnsi="Minion Pro"/>
          <w:sz w:val="24"/>
          <w:szCs w:val="24"/>
        </w:rPr>
      </w:pPr>
      <w:r w:rsidRPr="009F3E42">
        <w:rPr>
          <w:rFonts w:ascii="Minion Pro" w:hAnsi="Minion Pro"/>
          <w:sz w:val="24"/>
          <w:szCs w:val="24"/>
        </w:rPr>
        <w:t>(f)</w:t>
      </w:r>
      <w:r w:rsidR="00B841EC">
        <w:rPr>
          <w:rFonts w:ascii="Minion Pro" w:hAnsi="Minion Pro"/>
          <w:sz w:val="24"/>
          <w:szCs w:val="24"/>
        </w:rPr>
        <w:t xml:space="preserve"> </w:t>
      </w:r>
      <w:r w:rsidRPr="009F3E42">
        <w:rPr>
          <w:rFonts w:ascii="Minion Pro" w:hAnsi="Minion Pro"/>
          <w:sz w:val="24"/>
          <w:szCs w:val="24"/>
        </w:rPr>
        <w:t>procijenjenih mjera javne potpore, ako postoje, uz godišnji proračun i utvrđivanje mogućeg elementa potpore.</w:t>
      </w:r>
    </w:p>
    <w:p w14:paraId="72F01349" w14:textId="77777777" w:rsidR="00854085" w:rsidRDefault="00854085" w:rsidP="00A162E7">
      <w:pPr>
        <w:jc w:val="both"/>
        <w:rPr>
          <w:rFonts w:ascii="Minion Pro" w:hAnsi="Minion Pro"/>
          <w:sz w:val="24"/>
          <w:szCs w:val="24"/>
        </w:rPr>
      </w:pPr>
    </w:p>
    <w:p w14:paraId="43D1A41F" w14:textId="5BA60ADA" w:rsidR="00E04E62" w:rsidRPr="000E0C8F" w:rsidRDefault="00E04E62" w:rsidP="000E0C8F">
      <w:pPr>
        <w:jc w:val="both"/>
        <w:rPr>
          <w:rFonts w:ascii="Minion Pro" w:hAnsi="Minion Pro"/>
          <w:sz w:val="18"/>
          <w:szCs w:val="18"/>
        </w:rPr>
      </w:pPr>
    </w:p>
    <w:sectPr w:rsidR="00E04E62" w:rsidRPr="000E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05C"/>
    <w:multiLevelType w:val="hybridMultilevel"/>
    <w:tmpl w:val="08A8550A"/>
    <w:lvl w:ilvl="0" w:tplc="E9BA3C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23C0A"/>
    <w:multiLevelType w:val="hybridMultilevel"/>
    <w:tmpl w:val="209EA7DC"/>
    <w:lvl w:ilvl="0" w:tplc="C87CED9A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73C8"/>
    <w:multiLevelType w:val="hybridMultilevel"/>
    <w:tmpl w:val="E7D68952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DA42EB8">
      <w:numFmt w:val="bullet"/>
      <w:lvlText w:val="—"/>
      <w:lvlJc w:val="left"/>
      <w:pPr>
        <w:ind w:left="2508" w:hanging="360"/>
      </w:pPr>
      <w:rPr>
        <w:rFonts w:ascii="Minion Pro" w:eastAsiaTheme="minorHAnsi" w:hAnsi="Minion Pro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8F756F"/>
    <w:multiLevelType w:val="hybridMultilevel"/>
    <w:tmpl w:val="0C1AC3BC"/>
    <w:lvl w:ilvl="0" w:tplc="B9243E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0A6D"/>
    <w:multiLevelType w:val="multilevel"/>
    <w:tmpl w:val="4AF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065EF"/>
    <w:multiLevelType w:val="hybridMultilevel"/>
    <w:tmpl w:val="99087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76DCB"/>
    <w:multiLevelType w:val="hybridMultilevel"/>
    <w:tmpl w:val="525C1A8C"/>
    <w:lvl w:ilvl="0" w:tplc="AC5E2B4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C87CED9A">
      <w:start w:val="4"/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1258"/>
    <w:multiLevelType w:val="hybridMultilevel"/>
    <w:tmpl w:val="BA4A3D98"/>
    <w:lvl w:ilvl="0" w:tplc="1F4E7BF4">
      <w:start w:val="1"/>
      <w:numFmt w:val="bullet"/>
      <w:lvlText w:val="—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1689"/>
    <w:multiLevelType w:val="hybridMultilevel"/>
    <w:tmpl w:val="760C1D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D02B0"/>
    <w:multiLevelType w:val="hybridMultilevel"/>
    <w:tmpl w:val="6EC018C8"/>
    <w:lvl w:ilvl="0" w:tplc="C87CED9A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D03E3"/>
    <w:multiLevelType w:val="hybridMultilevel"/>
    <w:tmpl w:val="898A1BDA"/>
    <w:lvl w:ilvl="0" w:tplc="B9243E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6F9"/>
    <w:multiLevelType w:val="hybridMultilevel"/>
    <w:tmpl w:val="F2983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06337"/>
    <w:multiLevelType w:val="hybridMultilevel"/>
    <w:tmpl w:val="08F29906"/>
    <w:lvl w:ilvl="0" w:tplc="B9243E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A13EF"/>
    <w:multiLevelType w:val="hybridMultilevel"/>
    <w:tmpl w:val="EB827E62"/>
    <w:lvl w:ilvl="0" w:tplc="C87CED9A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F5746"/>
    <w:multiLevelType w:val="hybridMultilevel"/>
    <w:tmpl w:val="9C0E43BC"/>
    <w:lvl w:ilvl="0" w:tplc="E8B4CA6E">
      <w:start w:val="1"/>
      <w:numFmt w:val="lowerLetter"/>
      <w:lvlText w:val="%1)"/>
      <w:lvlJc w:val="left"/>
      <w:pPr>
        <w:ind w:left="1020" w:hanging="360"/>
      </w:pPr>
    </w:lvl>
    <w:lvl w:ilvl="1" w:tplc="681A049E">
      <w:start w:val="1"/>
      <w:numFmt w:val="lowerLetter"/>
      <w:lvlText w:val="%2)"/>
      <w:lvlJc w:val="left"/>
      <w:pPr>
        <w:ind w:left="1020" w:hanging="360"/>
      </w:pPr>
    </w:lvl>
    <w:lvl w:ilvl="2" w:tplc="7160CDAE">
      <w:start w:val="1"/>
      <w:numFmt w:val="lowerLetter"/>
      <w:lvlText w:val="%3)"/>
      <w:lvlJc w:val="left"/>
      <w:pPr>
        <w:ind w:left="1020" w:hanging="360"/>
      </w:pPr>
    </w:lvl>
    <w:lvl w:ilvl="3" w:tplc="0CF8007A">
      <w:start w:val="1"/>
      <w:numFmt w:val="lowerLetter"/>
      <w:lvlText w:val="%4)"/>
      <w:lvlJc w:val="left"/>
      <w:pPr>
        <w:ind w:left="1020" w:hanging="360"/>
      </w:pPr>
    </w:lvl>
    <w:lvl w:ilvl="4" w:tplc="ABB8661E">
      <w:start w:val="1"/>
      <w:numFmt w:val="lowerLetter"/>
      <w:lvlText w:val="%5)"/>
      <w:lvlJc w:val="left"/>
      <w:pPr>
        <w:ind w:left="1020" w:hanging="360"/>
      </w:pPr>
    </w:lvl>
    <w:lvl w:ilvl="5" w:tplc="28EE92E2">
      <w:start w:val="1"/>
      <w:numFmt w:val="lowerLetter"/>
      <w:lvlText w:val="%6)"/>
      <w:lvlJc w:val="left"/>
      <w:pPr>
        <w:ind w:left="1020" w:hanging="360"/>
      </w:pPr>
    </w:lvl>
    <w:lvl w:ilvl="6" w:tplc="7C2C02EC">
      <w:start w:val="1"/>
      <w:numFmt w:val="lowerLetter"/>
      <w:lvlText w:val="%7)"/>
      <w:lvlJc w:val="left"/>
      <w:pPr>
        <w:ind w:left="1020" w:hanging="360"/>
      </w:pPr>
    </w:lvl>
    <w:lvl w:ilvl="7" w:tplc="8B049820">
      <w:start w:val="1"/>
      <w:numFmt w:val="lowerLetter"/>
      <w:lvlText w:val="%8)"/>
      <w:lvlJc w:val="left"/>
      <w:pPr>
        <w:ind w:left="1020" w:hanging="360"/>
      </w:pPr>
    </w:lvl>
    <w:lvl w:ilvl="8" w:tplc="78222446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55D80DC7"/>
    <w:multiLevelType w:val="hybridMultilevel"/>
    <w:tmpl w:val="3066090A"/>
    <w:lvl w:ilvl="0" w:tplc="1D769478">
      <w:start w:val="1"/>
      <w:numFmt w:val="bullet"/>
      <w:lvlText w:val="—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5D4D"/>
    <w:multiLevelType w:val="hybridMultilevel"/>
    <w:tmpl w:val="5C545944"/>
    <w:lvl w:ilvl="0" w:tplc="DB46B356">
      <w:start w:val="1"/>
      <w:numFmt w:val="decimal"/>
      <w:lvlText w:val="%1."/>
      <w:lvlJc w:val="left"/>
      <w:pPr>
        <w:ind w:left="1020" w:hanging="360"/>
      </w:pPr>
    </w:lvl>
    <w:lvl w:ilvl="1" w:tplc="64B4B794">
      <w:start w:val="1"/>
      <w:numFmt w:val="decimal"/>
      <w:lvlText w:val="%2."/>
      <w:lvlJc w:val="left"/>
      <w:pPr>
        <w:ind w:left="1020" w:hanging="360"/>
      </w:pPr>
    </w:lvl>
    <w:lvl w:ilvl="2" w:tplc="1708EB68">
      <w:start w:val="1"/>
      <w:numFmt w:val="decimal"/>
      <w:lvlText w:val="%3."/>
      <w:lvlJc w:val="left"/>
      <w:pPr>
        <w:ind w:left="1020" w:hanging="360"/>
      </w:pPr>
    </w:lvl>
    <w:lvl w:ilvl="3" w:tplc="7B2482CA">
      <w:start w:val="1"/>
      <w:numFmt w:val="decimal"/>
      <w:lvlText w:val="%4."/>
      <w:lvlJc w:val="left"/>
      <w:pPr>
        <w:ind w:left="1020" w:hanging="360"/>
      </w:pPr>
    </w:lvl>
    <w:lvl w:ilvl="4" w:tplc="23F0FC88">
      <w:start w:val="1"/>
      <w:numFmt w:val="decimal"/>
      <w:lvlText w:val="%5."/>
      <w:lvlJc w:val="left"/>
      <w:pPr>
        <w:ind w:left="1020" w:hanging="360"/>
      </w:pPr>
    </w:lvl>
    <w:lvl w:ilvl="5" w:tplc="88D2687E">
      <w:start w:val="1"/>
      <w:numFmt w:val="decimal"/>
      <w:lvlText w:val="%6."/>
      <w:lvlJc w:val="left"/>
      <w:pPr>
        <w:ind w:left="1020" w:hanging="360"/>
      </w:pPr>
    </w:lvl>
    <w:lvl w:ilvl="6" w:tplc="3AB82E24">
      <w:start w:val="1"/>
      <w:numFmt w:val="decimal"/>
      <w:lvlText w:val="%7."/>
      <w:lvlJc w:val="left"/>
      <w:pPr>
        <w:ind w:left="1020" w:hanging="360"/>
      </w:pPr>
    </w:lvl>
    <w:lvl w:ilvl="7" w:tplc="76FAF56E">
      <w:start w:val="1"/>
      <w:numFmt w:val="decimal"/>
      <w:lvlText w:val="%8."/>
      <w:lvlJc w:val="left"/>
      <w:pPr>
        <w:ind w:left="1020" w:hanging="360"/>
      </w:pPr>
    </w:lvl>
    <w:lvl w:ilvl="8" w:tplc="1128882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65F2A80"/>
    <w:multiLevelType w:val="multilevel"/>
    <w:tmpl w:val="917A87C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6161C"/>
    <w:multiLevelType w:val="hybridMultilevel"/>
    <w:tmpl w:val="EF8A2BEC"/>
    <w:lvl w:ilvl="0" w:tplc="C87CED9A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C40A6"/>
    <w:multiLevelType w:val="hybridMultilevel"/>
    <w:tmpl w:val="B546C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404E0"/>
    <w:multiLevelType w:val="multilevel"/>
    <w:tmpl w:val="6FBA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69410B"/>
    <w:multiLevelType w:val="hybridMultilevel"/>
    <w:tmpl w:val="E6F4E648"/>
    <w:lvl w:ilvl="0" w:tplc="C87CED9A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D2BB9"/>
    <w:multiLevelType w:val="hybridMultilevel"/>
    <w:tmpl w:val="0F5CA73E"/>
    <w:lvl w:ilvl="0" w:tplc="C87CED9A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09807">
    <w:abstractNumId w:val="0"/>
  </w:num>
  <w:num w:numId="2" w16cid:durableId="850726595">
    <w:abstractNumId w:val="20"/>
  </w:num>
  <w:num w:numId="3" w16cid:durableId="1069424147">
    <w:abstractNumId w:val="4"/>
  </w:num>
  <w:num w:numId="4" w16cid:durableId="2101951871">
    <w:abstractNumId w:val="11"/>
  </w:num>
  <w:num w:numId="5" w16cid:durableId="434446829">
    <w:abstractNumId w:val="17"/>
  </w:num>
  <w:num w:numId="6" w16cid:durableId="818232164">
    <w:abstractNumId w:val="8"/>
  </w:num>
  <w:num w:numId="7" w16cid:durableId="1361394209">
    <w:abstractNumId w:val="5"/>
  </w:num>
  <w:num w:numId="8" w16cid:durableId="1211041904">
    <w:abstractNumId w:val="6"/>
  </w:num>
  <w:num w:numId="9" w16cid:durableId="1330912368">
    <w:abstractNumId w:val="10"/>
  </w:num>
  <w:num w:numId="10" w16cid:durableId="214127704">
    <w:abstractNumId w:val="2"/>
  </w:num>
  <w:num w:numId="11" w16cid:durableId="660306848">
    <w:abstractNumId w:val="16"/>
  </w:num>
  <w:num w:numId="12" w16cid:durableId="2138067257">
    <w:abstractNumId w:val="14"/>
  </w:num>
  <w:num w:numId="13" w16cid:durableId="1688408792">
    <w:abstractNumId w:val="15"/>
  </w:num>
  <w:num w:numId="14" w16cid:durableId="1819759117">
    <w:abstractNumId w:val="7"/>
  </w:num>
  <w:num w:numId="15" w16cid:durableId="1121802961">
    <w:abstractNumId w:val="12"/>
  </w:num>
  <w:num w:numId="16" w16cid:durableId="565267056">
    <w:abstractNumId w:val="19"/>
  </w:num>
  <w:num w:numId="17" w16cid:durableId="912083121">
    <w:abstractNumId w:val="22"/>
  </w:num>
  <w:num w:numId="18" w16cid:durableId="1831408847">
    <w:abstractNumId w:val="3"/>
  </w:num>
  <w:num w:numId="19" w16cid:durableId="885917736">
    <w:abstractNumId w:val="1"/>
  </w:num>
  <w:num w:numId="20" w16cid:durableId="101265173">
    <w:abstractNumId w:val="18"/>
  </w:num>
  <w:num w:numId="21" w16cid:durableId="1851868592">
    <w:abstractNumId w:val="9"/>
  </w:num>
  <w:num w:numId="22" w16cid:durableId="1477723472">
    <w:abstractNumId w:val="13"/>
  </w:num>
  <w:num w:numId="23" w16cid:durableId="18344877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1MDM3NjQ1NTQ3MDdU0lEKTi0uzszPAymwqAUALWvqciwAAAA="/>
  </w:docVars>
  <w:rsids>
    <w:rsidRoot w:val="00244CCB"/>
    <w:rsid w:val="00004501"/>
    <w:rsid w:val="0000690C"/>
    <w:rsid w:val="00007FB7"/>
    <w:rsid w:val="00012B2D"/>
    <w:rsid w:val="00013220"/>
    <w:rsid w:val="000173B4"/>
    <w:rsid w:val="00023706"/>
    <w:rsid w:val="00024423"/>
    <w:rsid w:val="00025713"/>
    <w:rsid w:val="00033562"/>
    <w:rsid w:val="000335C6"/>
    <w:rsid w:val="00042F95"/>
    <w:rsid w:val="00043136"/>
    <w:rsid w:val="000433CB"/>
    <w:rsid w:val="00047B0E"/>
    <w:rsid w:val="00052AA7"/>
    <w:rsid w:val="000714FC"/>
    <w:rsid w:val="00072769"/>
    <w:rsid w:val="00076EE5"/>
    <w:rsid w:val="0008336D"/>
    <w:rsid w:val="00083B23"/>
    <w:rsid w:val="0009232D"/>
    <w:rsid w:val="00094FB2"/>
    <w:rsid w:val="00095C1D"/>
    <w:rsid w:val="000960F9"/>
    <w:rsid w:val="00097C85"/>
    <w:rsid w:val="000A2F73"/>
    <w:rsid w:val="000A58B7"/>
    <w:rsid w:val="000B04FF"/>
    <w:rsid w:val="000B480A"/>
    <w:rsid w:val="000B489C"/>
    <w:rsid w:val="000B5126"/>
    <w:rsid w:val="000B518E"/>
    <w:rsid w:val="000D07CA"/>
    <w:rsid w:val="000D0EAB"/>
    <w:rsid w:val="000D3411"/>
    <w:rsid w:val="000D441C"/>
    <w:rsid w:val="000D555F"/>
    <w:rsid w:val="000D77E3"/>
    <w:rsid w:val="000E0C8F"/>
    <w:rsid w:val="000E248F"/>
    <w:rsid w:val="000E3B1C"/>
    <w:rsid w:val="000E44AD"/>
    <w:rsid w:val="000F4F5C"/>
    <w:rsid w:val="000F61EC"/>
    <w:rsid w:val="000F7700"/>
    <w:rsid w:val="000F7C30"/>
    <w:rsid w:val="00110D23"/>
    <w:rsid w:val="0011458D"/>
    <w:rsid w:val="0011505C"/>
    <w:rsid w:val="001151F7"/>
    <w:rsid w:val="00122F04"/>
    <w:rsid w:val="001270C0"/>
    <w:rsid w:val="00127F78"/>
    <w:rsid w:val="001340CC"/>
    <w:rsid w:val="00134F30"/>
    <w:rsid w:val="00136CA8"/>
    <w:rsid w:val="00137C43"/>
    <w:rsid w:val="0014074A"/>
    <w:rsid w:val="00142A38"/>
    <w:rsid w:val="00142D62"/>
    <w:rsid w:val="001432D3"/>
    <w:rsid w:val="00144682"/>
    <w:rsid w:val="00151411"/>
    <w:rsid w:val="0015347D"/>
    <w:rsid w:val="00161AE2"/>
    <w:rsid w:val="00164AA7"/>
    <w:rsid w:val="0017078A"/>
    <w:rsid w:val="00171881"/>
    <w:rsid w:val="001738B0"/>
    <w:rsid w:val="00173B93"/>
    <w:rsid w:val="00175BD4"/>
    <w:rsid w:val="00176A7F"/>
    <w:rsid w:val="00177192"/>
    <w:rsid w:val="001826FF"/>
    <w:rsid w:val="001832E6"/>
    <w:rsid w:val="0018572D"/>
    <w:rsid w:val="00185DDC"/>
    <w:rsid w:val="001A0648"/>
    <w:rsid w:val="001A131E"/>
    <w:rsid w:val="001A35B2"/>
    <w:rsid w:val="001A4539"/>
    <w:rsid w:val="001A7C61"/>
    <w:rsid w:val="001B7994"/>
    <w:rsid w:val="001B7C58"/>
    <w:rsid w:val="001C5771"/>
    <w:rsid w:val="001D1155"/>
    <w:rsid w:val="001D1DE3"/>
    <w:rsid w:val="001D5C91"/>
    <w:rsid w:val="001D6284"/>
    <w:rsid w:val="001E27C4"/>
    <w:rsid w:val="001E29C5"/>
    <w:rsid w:val="001E6088"/>
    <w:rsid w:val="001F19E5"/>
    <w:rsid w:val="001F29DC"/>
    <w:rsid w:val="001F3CCF"/>
    <w:rsid w:val="001F4617"/>
    <w:rsid w:val="001F55B0"/>
    <w:rsid w:val="00200CCB"/>
    <w:rsid w:val="002067FD"/>
    <w:rsid w:val="002130E8"/>
    <w:rsid w:val="002144A5"/>
    <w:rsid w:val="00216CFF"/>
    <w:rsid w:val="0022469D"/>
    <w:rsid w:val="00226BE1"/>
    <w:rsid w:val="00227967"/>
    <w:rsid w:val="0023116F"/>
    <w:rsid w:val="00232AB2"/>
    <w:rsid w:val="0024054E"/>
    <w:rsid w:val="00240A03"/>
    <w:rsid w:val="00242C88"/>
    <w:rsid w:val="00242DEB"/>
    <w:rsid w:val="00244073"/>
    <w:rsid w:val="00244CCB"/>
    <w:rsid w:val="00245D6B"/>
    <w:rsid w:val="00251617"/>
    <w:rsid w:val="002521EE"/>
    <w:rsid w:val="00254601"/>
    <w:rsid w:val="002548B1"/>
    <w:rsid w:val="002564FF"/>
    <w:rsid w:val="002650DD"/>
    <w:rsid w:val="00265751"/>
    <w:rsid w:val="00265812"/>
    <w:rsid w:val="00266F09"/>
    <w:rsid w:val="00267425"/>
    <w:rsid w:val="00271677"/>
    <w:rsid w:val="00273D0C"/>
    <w:rsid w:val="0027472E"/>
    <w:rsid w:val="00276F83"/>
    <w:rsid w:val="00281AE6"/>
    <w:rsid w:val="00285B2D"/>
    <w:rsid w:val="00291801"/>
    <w:rsid w:val="002938A4"/>
    <w:rsid w:val="0029436F"/>
    <w:rsid w:val="002948AF"/>
    <w:rsid w:val="00295D91"/>
    <w:rsid w:val="00296B14"/>
    <w:rsid w:val="002A05AC"/>
    <w:rsid w:val="002A121C"/>
    <w:rsid w:val="002A2387"/>
    <w:rsid w:val="002A5A95"/>
    <w:rsid w:val="002B17FB"/>
    <w:rsid w:val="002B3A20"/>
    <w:rsid w:val="002D3B02"/>
    <w:rsid w:val="002F28AD"/>
    <w:rsid w:val="002F7D2A"/>
    <w:rsid w:val="00304D3E"/>
    <w:rsid w:val="00304F76"/>
    <w:rsid w:val="00317D23"/>
    <w:rsid w:val="00322E31"/>
    <w:rsid w:val="00323ADF"/>
    <w:rsid w:val="00331816"/>
    <w:rsid w:val="00332C5A"/>
    <w:rsid w:val="00335290"/>
    <w:rsid w:val="003372E8"/>
    <w:rsid w:val="0034136B"/>
    <w:rsid w:val="00343454"/>
    <w:rsid w:val="003451C7"/>
    <w:rsid w:val="0034590F"/>
    <w:rsid w:val="00351020"/>
    <w:rsid w:val="00351EEF"/>
    <w:rsid w:val="00361F5E"/>
    <w:rsid w:val="0036710A"/>
    <w:rsid w:val="00373E1E"/>
    <w:rsid w:val="0037612B"/>
    <w:rsid w:val="00376CBC"/>
    <w:rsid w:val="00377A6F"/>
    <w:rsid w:val="003804CF"/>
    <w:rsid w:val="00382761"/>
    <w:rsid w:val="00383AB5"/>
    <w:rsid w:val="0038439C"/>
    <w:rsid w:val="00392447"/>
    <w:rsid w:val="00393B3A"/>
    <w:rsid w:val="00395457"/>
    <w:rsid w:val="003A00A6"/>
    <w:rsid w:val="003A2193"/>
    <w:rsid w:val="003A5218"/>
    <w:rsid w:val="003A6D71"/>
    <w:rsid w:val="003A753B"/>
    <w:rsid w:val="003A7670"/>
    <w:rsid w:val="003B0EA3"/>
    <w:rsid w:val="003B12DD"/>
    <w:rsid w:val="003B1727"/>
    <w:rsid w:val="003B443C"/>
    <w:rsid w:val="003B6B71"/>
    <w:rsid w:val="003B7395"/>
    <w:rsid w:val="003C04E7"/>
    <w:rsid w:val="003C2CDE"/>
    <w:rsid w:val="003C2F33"/>
    <w:rsid w:val="003C744E"/>
    <w:rsid w:val="003D0C86"/>
    <w:rsid w:val="003D280F"/>
    <w:rsid w:val="003D602A"/>
    <w:rsid w:val="003E0FBF"/>
    <w:rsid w:val="003E742D"/>
    <w:rsid w:val="003F486E"/>
    <w:rsid w:val="00402D4E"/>
    <w:rsid w:val="0040513F"/>
    <w:rsid w:val="0041049E"/>
    <w:rsid w:val="00411645"/>
    <w:rsid w:val="00413592"/>
    <w:rsid w:val="00417519"/>
    <w:rsid w:val="00424D62"/>
    <w:rsid w:val="00426C78"/>
    <w:rsid w:val="004301B9"/>
    <w:rsid w:val="00434AAE"/>
    <w:rsid w:val="00437E14"/>
    <w:rsid w:val="00445001"/>
    <w:rsid w:val="00446060"/>
    <w:rsid w:val="00452F32"/>
    <w:rsid w:val="00453095"/>
    <w:rsid w:val="00454AB6"/>
    <w:rsid w:val="00461123"/>
    <w:rsid w:val="004619B2"/>
    <w:rsid w:val="00463FD7"/>
    <w:rsid w:val="0046464F"/>
    <w:rsid w:val="00465AFD"/>
    <w:rsid w:val="0047187C"/>
    <w:rsid w:val="00473BFB"/>
    <w:rsid w:val="00474239"/>
    <w:rsid w:val="00477968"/>
    <w:rsid w:val="00492733"/>
    <w:rsid w:val="0049740A"/>
    <w:rsid w:val="00497515"/>
    <w:rsid w:val="004A0A06"/>
    <w:rsid w:val="004A0B28"/>
    <w:rsid w:val="004A283A"/>
    <w:rsid w:val="004A35A4"/>
    <w:rsid w:val="004B1C81"/>
    <w:rsid w:val="004B25B9"/>
    <w:rsid w:val="004C4582"/>
    <w:rsid w:val="004C6BCC"/>
    <w:rsid w:val="004D05F5"/>
    <w:rsid w:val="004E7A68"/>
    <w:rsid w:val="004F1954"/>
    <w:rsid w:val="004F2CCE"/>
    <w:rsid w:val="004F30A8"/>
    <w:rsid w:val="004F5417"/>
    <w:rsid w:val="005013A2"/>
    <w:rsid w:val="00501C0B"/>
    <w:rsid w:val="00502090"/>
    <w:rsid w:val="0050487F"/>
    <w:rsid w:val="005061FC"/>
    <w:rsid w:val="0050694D"/>
    <w:rsid w:val="00511238"/>
    <w:rsid w:val="00515CAC"/>
    <w:rsid w:val="0051751D"/>
    <w:rsid w:val="00517B12"/>
    <w:rsid w:val="00520B9F"/>
    <w:rsid w:val="00521CFE"/>
    <w:rsid w:val="00522011"/>
    <w:rsid w:val="0052409A"/>
    <w:rsid w:val="0053397B"/>
    <w:rsid w:val="00533D7D"/>
    <w:rsid w:val="00535185"/>
    <w:rsid w:val="005367EC"/>
    <w:rsid w:val="00536FC1"/>
    <w:rsid w:val="005433AA"/>
    <w:rsid w:val="00544C75"/>
    <w:rsid w:val="00546B11"/>
    <w:rsid w:val="0055237B"/>
    <w:rsid w:val="00557BBF"/>
    <w:rsid w:val="005613F2"/>
    <w:rsid w:val="0056525F"/>
    <w:rsid w:val="00570B8C"/>
    <w:rsid w:val="0059290C"/>
    <w:rsid w:val="0059304A"/>
    <w:rsid w:val="0059617A"/>
    <w:rsid w:val="00596AB7"/>
    <w:rsid w:val="00597B6B"/>
    <w:rsid w:val="005B3021"/>
    <w:rsid w:val="005B3C64"/>
    <w:rsid w:val="005B4A8D"/>
    <w:rsid w:val="005C179C"/>
    <w:rsid w:val="005C195E"/>
    <w:rsid w:val="005C59E4"/>
    <w:rsid w:val="005D1DE9"/>
    <w:rsid w:val="005E23E9"/>
    <w:rsid w:val="005E5210"/>
    <w:rsid w:val="005F0942"/>
    <w:rsid w:val="005F223E"/>
    <w:rsid w:val="005F2C8B"/>
    <w:rsid w:val="00600DB4"/>
    <w:rsid w:val="006014D1"/>
    <w:rsid w:val="006018BC"/>
    <w:rsid w:val="00610BB9"/>
    <w:rsid w:val="006160DD"/>
    <w:rsid w:val="0062271E"/>
    <w:rsid w:val="0062415B"/>
    <w:rsid w:val="00630284"/>
    <w:rsid w:val="006330D7"/>
    <w:rsid w:val="00634671"/>
    <w:rsid w:val="006374CD"/>
    <w:rsid w:val="00640361"/>
    <w:rsid w:val="00644BC1"/>
    <w:rsid w:val="00646188"/>
    <w:rsid w:val="0064670A"/>
    <w:rsid w:val="0064793B"/>
    <w:rsid w:val="00651526"/>
    <w:rsid w:val="006573BA"/>
    <w:rsid w:val="00667E0F"/>
    <w:rsid w:val="00672E26"/>
    <w:rsid w:val="00673F79"/>
    <w:rsid w:val="00676CA0"/>
    <w:rsid w:val="006805AE"/>
    <w:rsid w:val="0068442E"/>
    <w:rsid w:val="0068595A"/>
    <w:rsid w:val="00686DD4"/>
    <w:rsid w:val="00687505"/>
    <w:rsid w:val="00691409"/>
    <w:rsid w:val="006940B7"/>
    <w:rsid w:val="006971CB"/>
    <w:rsid w:val="006A28D9"/>
    <w:rsid w:val="006A2B97"/>
    <w:rsid w:val="006A6EF2"/>
    <w:rsid w:val="006B2885"/>
    <w:rsid w:val="006B2B4A"/>
    <w:rsid w:val="006B2D37"/>
    <w:rsid w:val="006B6CE7"/>
    <w:rsid w:val="006C1C7B"/>
    <w:rsid w:val="006C405D"/>
    <w:rsid w:val="006C4A5B"/>
    <w:rsid w:val="006C6E65"/>
    <w:rsid w:val="006C7CC5"/>
    <w:rsid w:val="006D0E0F"/>
    <w:rsid w:val="006D7949"/>
    <w:rsid w:val="006E11A7"/>
    <w:rsid w:val="006E1552"/>
    <w:rsid w:val="006E4516"/>
    <w:rsid w:val="006E48F5"/>
    <w:rsid w:val="006E49F5"/>
    <w:rsid w:val="006F0E51"/>
    <w:rsid w:val="006F110D"/>
    <w:rsid w:val="006F14CA"/>
    <w:rsid w:val="006F451B"/>
    <w:rsid w:val="006F5F39"/>
    <w:rsid w:val="006F5FF2"/>
    <w:rsid w:val="007034B6"/>
    <w:rsid w:val="00704BBE"/>
    <w:rsid w:val="00705447"/>
    <w:rsid w:val="0070661F"/>
    <w:rsid w:val="007177E2"/>
    <w:rsid w:val="00721B56"/>
    <w:rsid w:val="007223D0"/>
    <w:rsid w:val="007232FA"/>
    <w:rsid w:val="00723DD7"/>
    <w:rsid w:val="00725F07"/>
    <w:rsid w:val="007331DB"/>
    <w:rsid w:val="0073342B"/>
    <w:rsid w:val="00744747"/>
    <w:rsid w:val="007465F0"/>
    <w:rsid w:val="007647E5"/>
    <w:rsid w:val="00764E5E"/>
    <w:rsid w:val="00770D17"/>
    <w:rsid w:val="00771B93"/>
    <w:rsid w:val="00773A4F"/>
    <w:rsid w:val="0077571B"/>
    <w:rsid w:val="0077579A"/>
    <w:rsid w:val="007765B7"/>
    <w:rsid w:val="00786B53"/>
    <w:rsid w:val="007919F6"/>
    <w:rsid w:val="00793C5E"/>
    <w:rsid w:val="007A1231"/>
    <w:rsid w:val="007A326C"/>
    <w:rsid w:val="007B0858"/>
    <w:rsid w:val="007B5092"/>
    <w:rsid w:val="007C0DC5"/>
    <w:rsid w:val="007C0EC0"/>
    <w:rsid w:val="007C10CA"/>
    <w:rsid w:val="007C4669"/>
    <w:rsid w:val="007C535B"/>
    <w:rsid w:val="007C678A"/>
    <w:rsid w:val="007C7F78"/>
    <w:rsid w:val="007D30F7"/>
    <w:rsid w:val="007D40C1"/>
    <w:rsid w:val="007D4AF8"/>
    <w:rsid w:val="007D5973"/>
    <w:rsid w:val="007D6031"/>
    <w:rsid w:val="007E5CAD"/>
    <w:rsid w:val="007F2091"/>
    <w:rsid w:val="007F66F0"/>
    <w:rsid w:val="007F7C54"/>
    <w:rsid w:val="008028B9"/>
    <w:rsid w:val="00804684"/>
    <w:rsid w:val="00811004"/>
    <w:rsid w:val="008116B0"/>
    <w:rsid w:val="008121C3"/>
    <w:rsid w:val="008139C0"/>
    <w:rsid w:val="00813F5B"/>
    <w:rsid w:val="00821023"/>
    <w:rsid w:val="008248D8"/>
    <w:rsid w:val="00826F26"/>
    <w:rsid w:val="00832A29"/>
    <w:rsid w:val="00834445"/>
    <w:rsid w:val="00835AEC"/>
    <w:rsid w:val="00841B6C"/>
    <w:rsid w:val="00844D32"/>
    <w:rsid w:val="00846CE4"/>
    <w:rsid w:val="00847E75"/>
    <w:rsid w:val="00852C9E"/>
    <w:rsid w:val="00854085"/>
    <w:rsid w:val="00854245"/>
    <w:rsid w:val="008552DE"/>
    <w:rsid w:val="00855852"/>
    <w:rsid w:val="00857D3E"/>
    <w:rsid w:val="00862226"/>
    <w:rsid w:val="00863023"/>
    <w:rsid w:val="00863DE2"/>
    <w:rsid w:val="00870071"/>
    <w:rsid w:val="00870932"/>
    <w:rsid w:val="00875335"/>
    <w:rsid w:val="00875E6E"/>
    <w:rsid w:val="00876E42"/>
    <w:rsid w:val="00882A4D"/>
    <w:rsid w:val="00884A67"/>
    <w:rsid w:val="008947A6"/>
    <w:rsid w:val="008951BF"/>
    <w:rsid w:val="008A1BE5"/>
    <w:rsid w:val="008A3F36"/>
    <w:rsid w:val="008A7C66"/>
    <w:rsid w:val="008B714C"/>
    <w:rsid w:val="008C4775"/>
    <w:rsid w:val="008C5F76"/>
    <w:rsid w:val="008D1060"/>
    <w:rsid w:val="008D437D"/>
    <w:rsid w:val="008D4410"/>
    <w:rsid w:val="008E02E4"/>
    <w:rsid w:val="008E0713"/>
    <w:rsid w:val="008E0910"/>
    <w:rsid w:val="008E0AEA"/>
    <w:rsid w:val="008E41E4"/>
    <w:rsid w:val="008E4F56"/>
    <w:rsid w:val="008F365E"/>
    <w:rsid w:val="00915471"/>
    <w:rsid w:val="00917D0E"/>
    <w:rsid w:val="00922594"/>
    <w:rsid w:val="009269C9"/>
    <w:rsid w:val="00927D3A"/>
    <w:rsid w:val="00931B20"/>
    <w:rsid w:val="00935C9D"/>
    <w:rsid w:val="0094060D"/>
    <w:rsid w:val="009411B7"/>
    <w:rsid w:val="00941415"/>
    <w:rsid w:val="00946FF6"/>
    <w:rsid w:val="00952BC3"/>
    <w:rsid w:val="00957C34"/>
    <w:rsid w:val="0096144D"/>
    <w:rsid w:val="0096699F"/>
    <w:rsid w:val="00984A07"/>
    <w:rsid w:val="00986CB8"/>
    <w:rsid w:val="009902B8"/>
    <w:rsid w:val="00990C49"/>
    <w:rsid w:val="00992BAB"/>
    <w:rsid w:val="009939EE"/>
    <w:rsid w:val="009A1D8B"/>
    <w:rsid w:val="009A2CA3"/>
    <w:rsid w:val="009A3D05"/>
    <w:rsid w:val="009C297D"/>
    <w:rsid w:val="009C6B24"/>
    <w:rsid w:val="009D33FD"/>
    <w:rsid w:val="009D3712"/>
    <w:rsid w:val="009E0FFC"/>
    <w:rsid w:val="009E3501"/>
    <w:rsid w:val="009E4809"/>
    <w:rsid w:val="009E4EFF"/>
    <w:rsid w:val="009E5AB0"/>
    <w:rsid w:val="009E5D70"/>
    <w:rsid w:val="009F3E42"/>
    <w:rsid w:val="009F4868"/>
    <w:rsid w:val="00A162E7"/>
    <w:rsid w:val="00A23083"/>
    <w:rsid w:val="00A24E15"/>
    <w:rsid w:val="00A26F8E"/>
    <w:rsid w:val="00A37341"/>
    <w:rsid w:val="00A41B3C"/>
    <w:rsid w:val="00A449A9"/>
    <w:rsid w:val="00A46FFE"/>
    <w:rsid w:val="00A47E6B"/>
    <w:rsid w:val="00A52207"/>
    <w:rsid w:val="00A57A7B"/>
    <w:rsid w:val="00A6206A"/>
    <w:rsid w:val="00A64541"/>
    <w:rsid w:val="00A64F0C"/>
    <w:rsid w:val="00A6521E"/>
    <w:rsid w:val="00A65DFE"/>
    <w:rsid w:val="00A67906"/>
    <w:rsid w:val="00A67922"/>
    <w:rsid w:val="00A83268"/>
    <w:rsid w:val="00A84849"/>
    <w:rsid w:val="00A87492"/>
    <w:rsid w:val="00A8776B"/>
    <w:rsid w:val="00A967D0"/>
    <w:rsid w:val="00A96AAA"/>
    <w:rsid w:val="00AA04DA"/>
    <w:rsid w:val="00AA10B8"/>
    <w:rsid w:val="00AA7D9F"/>
    <w:rsid w:val="00AB101B"/>
    <w:rsid w:val="00AB5CC0"/>
    <w:rsid w:val="00AB5FC6"/>
    <w:rsid w:val="00AC04AB"/>
    <w:rsid w:val="00AC470F"/>
    <w:rsid w:val="00AD5140"/>
    <w:rsid w:val="00AE3201"/>
    <w:rsid w:val="00AE3466"/>
    <w:rsid w:val="00AE598B"/>
    <w:rsid w:val="00AF18EE"/>
    <w:rsid w:val="00B00721"/>
    <w:rsid w:val="00B028AB"/>
    <w:rsid w:val="00B120C2"/>
    <w:rsid w:val="00B12D34"/>
    <w:rsid w:val="00B272D2"/>
    <w:rsid w:val="00B27D56"/>
    <w:rsid w:val="00B36818"/>
    <w:rsid w:val="00B4672D"/>
    <w:rsid w:val="00B511C4"/>
    <w:rsid w:val="00B52DCD"/>
    <w:rsid w:val="00B539DE"/>
    <w:rsid w:val="00B60973"/>
    <w:rsid w:val="00B61E47"/>
    <w:rsid w:val="00B6767B"/>
    <w:rsid w:val="00B700D7"/>
    <w:rsid w:val="00B72740"/>
    <w:rsid w:val="00B72EBC"/>
    <w:rsid w:val="00B7493A"/>
    <w:rsid w:val="00B75730"/>
    <w:rsid w:val="00B75AAD"/>
    <w:rsid w:val="00B75BB4"/>
    <w:rsid w:val="00B81539"/>
    <w:rsid w:val="00B841EC"/>
    <w:rsid w:val="00B86989"/>
    <w:rsid w:val="00B96B1D"/>
    <w:rsid w:val="00B97C6B"/>
    <w:rsid w:val="00B97E3E"/>
    <w:rsid w:val="00BA0E91"/>
    <w:rsid w:val="00BA5070"/>
    <w:rsid w:val="00BB3501"/>
    <w:rsid w:val="00BB3A35"/>
    <w:rsid w:val="00BB657F"/>
    <w:rsid w:val="00BC680F"/>
    <w:rsid w:val="00BD33E1"/>
    <w:rsid w:val="00BD3FB5"/>
    <w:rsid w:val="00BD493F"/>
    <w:rsid w:val="00BD56AD"/>
    <w:rsid w:val="00BD5C1E"/>
    <w:rsid w:val="00BD5D4A"/>
    <w:rsid w:val="00BD62C5"/>
    <w:rsid w:val="00BD66A1"/>
    <w:rsid w:val="00BE337C"/>
    <w:rsid w:val="00BE497A"/>
    <w:rsid w:val="00BE5105"/>
    <w:rsid w:val="00BE550E"/>
    <w:rsid w:val="00BF36F3"/>
    <w:rsid w:val="00BF6790"/>
    <w:rsid w:val="00C02F33"/>
    <w:rsid w:val="00C06A34"/>
    <w:rsid w:val="00C126A2"/>
    <w:rsid w:val="00C175C9"/>
    <w:rsid w:val="00C20413"/>
    <w:rsid w:val="00C248C6"/>
    <w:rsid w:val="00C258DE"/>
    <w:rsid w:val="00C31B8A"/>
    <w:rsid w:val="00C353F8"/>
    <w:rsid w:val="00C374FB"/>
    <w:rsid w:val="00C418D6"/>
    <w:rsid w:val="00C44961"/>
    <w:rsid w:val="00C4553C"/>
    <w:rsid w:val="00C46084"/>
    <w:rsid w:val="00C460C7"/>
    <w:rsid w:val="00C54B44"/>
    <w:rsid w:val="00C62467"/>
    <w:rsid w:val="00C648F0"/>
    <w:rsid w:val="00C704A4"/>
    <w:rsid w:val="00C755C6"/>
    <w:rsid w:val="00C80991"/>
    <w:rsid w:val="00C80A53"/>
    <w:rsid w:val="00C83926"/>
    <w:rsid w:val="00C83B98"/>
    <w:rsid w:val="00C84CE0"/>
    <w:rsid w:val="00C8568A"/>
    <w:rsid w:val="00C85EEC"/>
    <w:rsid w:val="00C8710A"/>
    <w:rsid w:val="00C901A9"/>
    <w:rsid w:val="00C90C7E"/>
    <w:rsid w:val="00C92F21"/>
    <w:rsid w:val="00CC5D93"/>
    <w:rsid w:val="00CC7488"/>
    <w:rsid w:val="00CC75A7"/>
    <w:rsid w:val="00CC7EDC"/>
    <w:rsid w:val="00CD260E"/>
    <w:rsid w:val="00CD30F8"/>
    <w:rsid w:val="00CD6849"/>
    <w:rsid w:val="00CE464E"/>
    <w:rsid w:val="00CE774E"/>
    <w:rsid w:val="00CF6D6D"/>
    <w:rsid w:val="00CF786C"/>
    <w:rsid w:val="00D002DA"/>
    <w:rsid w:val="00D125B9"/>
    <w:rsid w:val="00D13C46"/>
    <w:rsid w:val="00D235B2"/>
    <w:rsid w:val="00D31EBD"/>
    <w:rsid w:val="00D32A23"/>
    <w:rsid w:val="00D33EC9"/>
    <w:rsid w:val="00D34DF4"/>
    <w:rsid w:val="00D367F3"/>
    <w:rsid w:val="00D36EDD"/>
    <w:rsid w:val="00D36F72"/>
    <w:rsid w:val="00D43209"/>
    <w:rsid w:val="00D437B7"/>
    <w:rsid w:val="00D4439C"/>
    <w:rsid w:val="00D44565"/>
    <w:rsid w:val="00D554FE"/>
    <w:rsid w:val="00D614FF"/>
    <w:rsid w:val="00D671FA"/>
    <w:rsid w:val="00D67729"/>
    <w:rsid w:val="00D74D2E"/>
    <w:rsid w:val="00D75863"/>
    <w:rsid w:val="00D83C69"/>
    <w:rsid w:val="00D90711"/>
    <w:rsid w:val="00D9297D"/>
    <w:rsid w:val="00D94D5D"/>
    <w:rsid w:val="00D95C44"/>
    <w:rsid w:val="00DA2A50"/>
    <w:rsid w:val="00DA42E4"/>
    <w:rsid w:val="00DA7951"/>
    <w:rsid w:val="00DB082B"/>
    <w:rsid w:val="00DB11A7"/>
    <w:rsid w:val="00DB7187"/>
    <w:rsid w:val="00DB7947"/>
    <w:rsid w:val="00DC01FF"/>
    <w:rsid w:val="00DC3C66"/>
    <w:rsid w:val="00DD0E41"/>
    <w:rsid w:val="00DD4BEF"/>
    <w:rsid w:val="00DD54A2"/>
    <w:rsid w:val="00DE0516"/>
    <w:rsid w:val="00DE07C4"/>
    <w:rsid w:val="00DE23B0"/>
    <w:rsid w:val="00DE722B"/>
    <w:rsid w:val="00DF1B5B"/>
    <w:rsid w:val="00DF2321"/>
    <w:rsid w:val="00DF2CD9"/>
    <w:rsid w:val="00DF57FC"/>
    <w:rsid w:val="00DF639D"/>
    <w:rsid w:val="00E00B85"/>
    <w:rsid w:val="00E0150D"/>
    <w:rsid w:val="00E0233F"/>
    <w:rsid w:val="00E04E62"/>
    <w:rsid w:val="00E04F89"/>
    <w:rsid w:val="00E05795"/>
    <w:rsid w:val="00E06F7F"/>
    <w:rsid w:val="00E07706"/>
    <w:rsid w:val="00E1449A"/>
    <w:rsid w:val="00E20265"/>
    <w:rsid w:val="00E207E4"/>
    <w:rsid w:val="00E21139"/>
    <w:rsid w:val="00E21525"/>
    <w:rsid w:val="00E23B51"/>
    <w:rsid w:val="00E353D2"/>
    <w:rsid w:val="00E405F6"/>
    <w:rsid w:val="00E41EB6"/>
    <w:rsid w:val="00E474D5"/>
    <w:rsid w:val="00E50B33"/>
    <w:rsid w:val="00E51195"/>
    <w:rsid w:val="00E519A2"/>
    <w:rsid w:val="00E51A06"/>
    <w:rsid w:val="00E56729"/>
    <w:rsid w:val="00E57EFF"/>
    <w:rsid w:val="00E6089A"/>
    <w:rsid w:val="00E626E6"/>
    <w:rsid w:val="00E6354F"/>
    <w:rsid w:val="00E646C6"/>
    <w:rsid w:val="00E70CE5"/>
    <w:rsid w:val="00E81929"/>
    <w:rsid w:val="00E8199D"/>
    <w:rsid w:val="00E9149A"/>
    <w:rsid w:val="00E9446B"/>
    <w:rsid w:val="00E9598A"/>
    <w:rsid w:val="00E977E0"/>
    <w:rsid w:val="00EA3B1B"/>
    <w:rsid w:val="00EA5FF5"/>
    <w:rsid w:val="00EA71F4"/>
    <w:rsid w:val="00EA7375"/>
    <w:rsid w:val="00EB3C37"/>
    <w:rsid w:val="00EB510B"/>
    <w:rsid w:val="00EB61B5"/>
    <w:rsid w:val="00EC09BF"/>
    <w:rsid w:val="00EC1529"/>
    <w:rsid w:val="00EC1BF4"/>
    <w:rsid w:val="00EC346F"/>
    <w:rsid w:val="00EC4578"/>
    <w:rsid w:val="00EC5D52"/>
    <w:rsid w:val="00EC64F0"/>
    <w:rsid w:val="00ED394F"/>
    <w:rsid w:val="00EE0555"/>
    <w:rsid w:val="00EE538D"/>
    <w:rsid w:val="00EF1099"/>
    <w:rsid w:val="00EF301C"/>
    <w:rsid w:val="00EF34F9"/>
    <w:rsid w:val="00EF53BB"/>
    <w:rsid w:val="00F0798A"/>
    <w:rsid w:val="00F07F50"/>
    <w:rsid w:val="00F110B2"/>
    <w:rsid w:val="00F22538"/>
    <w:rsid w:val="00F239C0"/>
    <w:rsid w:val="00F277A2"/>
    <w:rsid w:val="00F31508"/>
    <w:rsid w:val="00F31745"/>
    <w:rsid w:val="00F45303"/>
    <w:rsid w:val="00F51DF6"/>
    <w:rsid w:val="00F72564"/>
    <w:rsid w:val="00F84574"/>
    <w:rsid w:val="00F84781"/>
    <w:rsid w:val="00F86447"/>
    <w:rsid w:val="00F95B73"/>
    <w:rsid w:val="00F96E10"/>
    <w:rsid w:val="00FA0932"/>
    <w:rsid w:val="00FA1159"/>
    <w:rsid w:val="00FA1168"/>
    <w:rsid w:val="00FA2A6E"/>
    <w:rsid w:val="00FB119A"/>
    <w:rsid w:val="00FB1EEE"/>
    <w:rsid w:val="00FB2071"/>
    <w:rsid w:val="00FB27B6"/>
    <w:rsid w:val="00FB362E"/>
    <w:rsid w:val="00FB4605"/>
    <w:rsid w:val="00FB625F"/>
    <w:rsid w:val="00FB79D3"/>
    <w:rsid w:val="00FC70F6"/>
    <w:rsid w:val="00FD7A8D"/>
    <w:rsid w:val="00FE0B6D"/>
    <w:rsid w:val="00FE207B"/>
    <w:rsid w:val="00FE4562"/>
    <w:rsid w:val="00FE50AC"/>
    <w:rsid w:val="00FE6069"/>
    <w:rsid w:val="00FF09A6"/>
    <w:rsid w:val="00FF2943"/>
    <w:rsid w:val="00FF6677"/>
    <w:rsid w:val="0BA3325D"/>
    <w:rsid w:val="16A026C9"/>
    <w:rsid w:val="3119E589"/>
    <w:rsid w:val="3FCBEC53"/>
    <w:rsid w:val="501C16D0"/>
    <w:rsid w:val="6DD140D5"/>
    <w:rsid w:val="7099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B6E81"/>
  <w15:chartTrackingRefBased/>
  <w15:docId w15:val="{F64120B5-A4B9-4A62-88B5-FC9740EE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4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C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C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C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C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C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C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C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C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C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C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CCB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EC346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56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012B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2B2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12B2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B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B2D"/>
    <w:rPr>
      <w:b/>
      <w:bCs/>
      <w:sz w:val="20"/>
      <w:szCs w:val="20"/>
    </w:rPr>
  </w:style>
  <w:style w:type="character" w:styleId="Spominjanje">
    <w:name w:val="Mention"/>
    <w:basedOn w:val="Zadanifontodlomka"/>
    <w:uiPriority w:val="99"/>
    <w:unhideWhenUsed/>
    <w:rsid w:val="009E0F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2FF5847A0104FB8389824D1FC409D" ma:contentTypeVersion="13" ma:contentTypeDescription="Create a new document." ma:contentTypeScope="" ma:versionID="c165ce72b2f5102f4bef5acb36e8cc42">
  <xsd:schema xmlns:xsd="http://www.w3.org/2001/XMLSchema" xmlns:xs="http://www.w3.org/2001/XMLSchema" xmlns:p="http://schemas.microsoft.com/office/2006/metadata/properties" xmlns:ns2="992c3184-d014-4351-95ed-aed26883c104" xmlns:ns3="b60be9dd-f232-4589-82c8-07ad7a0d9fc0" targetNamespace="http://schemas.microsoft.com/office/2006/metadata/properties" ma:root="true" ma:fieldsID="92e378bfda75be57c06956b2031bed39" ns2:_="" ns3:_="">
    <xsd:import namespace="992c3184-d014-4351-95ed-aed26883c104"/>
    <xsd:import namespace="b60be9dd-f232-4589-82c8-07ad7a0d9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c3184-d014-4351-95ed-aed26883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5529b3-693a-41aa-b0bf-d4da65b63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be9dd-f232-4589-82c8-07ad7a0d9f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66be9-6d43-4290-a38b-5a4ef891d1cb}" ma:internalName="TaxCatchAll" ma:showField="CatchAllData" ma:web="b60be9dd-f232-4589-82c8-07ad7a0d9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c3184-d014-4351-95ed-aed26883c104">
      <Terms xmlns="http://schemas.microsoft.com/office/infopath/2007/PartnerControls"/>
    </lcf76f155ced4ddcb4097134ff3c332f>
    <TaxCatchAll xmlns="b60be9dd-f232-4589-82c8-07ad7a0d9f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0298E-59E3-4C64-96E7-8FDEFBB24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c3184-d014-4351-95ed-aed26883c104"/>
    <ds:schemaRef ds:uri="b60be9dd-f232-4589-82c8-07ad7a0d9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DD889-AC03-477F-A457-ECBE5F886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7F01D-49BA-49E9-8DC3-D421AA8EC4B6}">
  <ds:schemaRefs>
    <ds:schemaRef ds:uri="http://schemas.microsoft.com/office/2006/metadata/properties"/>
    <ds:schemaRef ds:uri="http://schemas.microsoft.com/office/infopath/2007/PartnerControls"/>
    <ds:schemaRef ds:uri="992c3184-d014-4351-95ed-aed26883c104"/>
    <ds:schemaRef ds:uri="b60be9dd-f232-4589-82c8-07ad7a0d9fc0"/>
  </ds:schemaRefs>
</ds:datastoreItem>
</file>

<file path=customXml/itemProps4.xml><?xml version="1.0" encoding="utf-8"?>
<ds:datastoreItem xmlns:ds="http://schemas.openxmlformats.org/officeDocument/2006/customXml" ds:itemID="{43A851E9-643C-4993-8D25-C93817ADD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6544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Bukarica</dc:creator>
  <cp:keywords/>
  <dc:description/>
  <cp:lastModifiedBy>Boris Makšijan</cp:lastModifiedBy>
  <cp:revision>4</cp:revision>
  <dcterms:created xsi:type="dcterms:W3CDTF">2025-09-04T14:34:00Z</dcterms:created>
  <dcterms:modified xsi:type="dcterms:W3CDTF">2025-09-04T14:35:00Z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0x010100A8C2FF5847A0104FB8389824D1FC409D</vt:lpwstr>
  </property>
  <property fmtid="{D5CDD505-2E9C-101B-9397-08002B2CF9AE}" pid="3" name="MediaServiceImageTags">
    <vt:lpwstr/>
  </property>
  <property fmtid="{D5CDD505-2E9C-101B-9397-08002B2CF9AE}" pid="4" name="GrammarlyDocumentId">
    <vt:lpwstr>6ca7072e-0d55-4d88-9a61-bff69d086705</vt:lpwstr>
  </property>
  <property fmtid="{D5CDD505-2E9C-101B-9397-08002B2CF9AE}" pid="5" name="docLang">
    <vt:lpwstr>hr</vt:lpwstr>
  </property>
</Properties>
</file>