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4EF2F" w14:textId="030269CC" w:rsidR="008F2F44" w:rsidRPr="00584A70" w:rsidRDefault="008F2F44" w:rsidP="008F2F44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24242"/>
          <w:kern w:val="0"/>
          <w:sz w:val="24"/>
          <w:szCs w:val="24"/>
          <w:lang w:eastAsia="hr-HR"/>
          <w14:ligatures w14:val="none"/>
        </w:rPr>
      </w:pPr>
      <w:r w:rsidRPr="00584A70">
        <w:rPr>
          <w:rFonts w:ascii="Times New Roman" w:eastAsia="Times New Roman" w:hAnsi="Times New Roman" w:cs="Times New Roman"/>
          <w:b/>
          <w:bCs/>
          <w:color w:val="424242"/>
          <w:kern w:val="0"/>
          <w:sz w:val="24"/>
          <w:szCs w:val="24"/>
          <w:lang w:eastAsia="hr-HR"/>
          <w14:ligatures w14:val="none"/>
        </w:rPr>
        <w:t>NACRT -</w:t>
      </w:r>
    </w:p>
    <w:p w14:paraId="639DB17B" w14:textId="77777777" w:rsidR="008F2F44" w:rsidRDefault="008F2F44" w:rsidP="004F5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</w:pPr>
    </w:p>
    <w:p w14:paraId="06E9BB7A" w14:textId="30E8875C" w:rsidR="004F539B" w:rsidRPr="004F539B" w:rsidRDefault="004F539B" w:rsidP="004F5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</w:pPr>
      <w:r w:rsidRPr="004F539B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Na temelju članka 4. Zakona o financiranju vodnoga gospodarstva („Narodne novine“, broj 153/09, 90/11, 56/13, 154/14,119/15, 120/16, 127/17, 66/19, 36/24) Ministarstvo zaštite okoliša i zelene tranzicije ( u daljnjem tekstu Ministarstvo) objavljuje</w:t>
      </w:r>
    </w:p>
    <w:p w14:paraId="4FC9F9DB" w14:textId="77777777" w:rsidR="004F539B" w:rsidRPr="004F539B" w:rsidRDefault="004F539B" w:rsidP="004F5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</w:pPr>
      <w:r w:rsidRPr="004F539B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 </w:t>
      </w:r>
    </w:p>
    <w:p w14:paraId="12832BCA" w14:textId="77777777" w:rsidR="004F539B" w:rsidRPr="004F539B" w:rsidRDefault="004F539B" w:rsidP="004F5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</w:pPr>
    </w:p>
    <w:p w14:paraId="389E8333" w14:textId="77777777" w:rsidR="00A90983" w:rsidRDefault="004F539B" w:rsidP="004F539B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bookmarkStart w:id="0" w:name="_Hlk183431223"/>
      <w:bookmarkStart w:id="1" w:name="_Hlk188875037"/>
      <w:bookmarkStart w:id="2" w:name="_Hlk200445085"/>
      <w:r w:rsidRPr="00B226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JAVNI POZIV ZA DODJELU SREDSTAVA</w:t>
      </w:r>
    </w:p>
    <w:p w14:paraId="0E5895DE" w14:textId="77777777" w:rsidR="00D13469" w:rsidRDefault="004F539B" w:rsidP="00437262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226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  <w14:ligatures w14:val="none"/>
        </w:rPr>
        <w:t>ZA POKRIVANJE  TROŠKOV</w:t>
      </w:r>
      <w:r w:rsidR="00F8157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  <w14:ligatures w14:val="none"/>
        </w:rPr>
        <w:t xml:space="preserve">A </w:t>
      </w:r>
      <w:r w:rsidRPr="00B226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  <w14:ligatures w14:val="none"/>
        </w:rPr>
        <w:t xml:space="preserve">IZGRADNJE/REKONSTRUKCIJE </w:t>
      </w:r>
      <w:r w:rsidR="00843A0A" w:rsidRPr="00B226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  <w14:ligatures w14:val="none"/>
        </w:rPr>
        <w:t xml:space="preserve">MANJIH DIJELOVA </w:t>
      </w:r>
      <w:r w:rsidRPr="00B226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  <w14:ligatures w14:val="none"/>
        </w:rPr>
        <w:t>SUSTAVA JAVNE VODOOPSKRBE I JAVNE ODVODNJE OTPADNIH VODA NA PODRUČJIMA POGOĐENIM POTRES</w:t>
      </w:r>
      <w:r w:rsidR="00C150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  <w14:ligatures w14:val="none"/>
        </w:rPr>
        <w:t>I</w:t>
      </w:r>
      <w:r w:rsidRPr="00B226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  <w14:ligatures w14:val="none"/>
        </w:rPr>
        <w:t>M</w:t>
      </w:r>
      <w:r w:rsidR="00C150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  <w14:ligatures w14:val="none"/>
        </w:rPr>
        <w:t>A</w:t>
      </w:r>
      <w:r w:rsidRPr="00B226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  <w14:ligatures w14:val="none"/>
        </w:rPr>
        <w:t xml:space="preserve"> </w:t>
      </w:r>
      <w:r w:rsidR="005642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  <w14:ligatures w14:val="none"/>
        </w:rPr>
        <w:t xml:space="preserve">I </w:t>
      </w:r>
      <w:r w:rsidRPr="00B226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OTOCIMA</w:t>
      </w:r>
    </w:p>
    <w:p w14:paraId="2CE1AA5D" w14:textId="2F98A758" w:rsidR="008D7F2E" w:rsidRPr="00437262" w:rsidRDefault="009E4367" w:rsidP="00437262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  <w14:ligatures w14:val="none"/>
        </w:rPr>
      </w:pPr>
      <w:r w:rsidRPr="00B226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bookmarkEnd w:id="0"/>
      <w:bookmarkEnd w:id="1"/>
    </w:p>
    <w:p w14:paraId="38DF5B5B" w14:textId="77777777" w:rsidR="004F539B" w:rsidRDefault="004F539B" w:rsidP="004F5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4F53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1. CILJEVI POZIVA ZA DODJELU SREDSTAVA</w:t>
      </w:r>
    </w:p>
    <w:p w14:paraId="3D897F4B" w14:textId="345589F2" w:rsidR="000757D2" w:rsidRDefault="000757D2" w:rsidP="000757D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757D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Ministarstvo zaštite okoliša i zelene tranzicije planiralo je sredstva u državnom proračunu za 2025.</w:t>
      </w:r>
      <w:r w:rsidR="00CC7A2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</w:t>
      </w:r>
      <w:r w:rsidRPr="000757D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2026. godinu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 poziciji </w:t>
      </w:r>
      <w:r w:rsidR="00CC7A25" w:rsidRPr="00CC7A2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A905057</w:t>
      </w:r>
      <w:r w:rsidR="002C79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ukupnom iznosu od </w:t>
      </w:r>
      <w:r w:rsidR="0022704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</w:t>
      </w:r>
      <w:r w:rsidR="002C79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.000.000,00 EUR</w:t>
      </w:r>
      <w:r w:rsidR="00CC7A2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0757D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 ciljem </w:t>
      </w:r>
      <w:r w:rsidR="00FF09F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pokrivanja troškova </w:t>
      </w:r>
      <w:r w:rsidR="00FF09F1" w:rsidRPr="00FF09F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izgradnje/rekonstrukcije manjih dijelova sustava javne vodoopskrbe i javne odvodnje otpadnih voda na područjima pogođenim potresima i otocima</w:t>
      </w:r>
      <w:r w:rsidRPr="000757D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0757D2">
        <w:t xml:space="preserve"> </w:t>
      </w:r>
      <w:r w:rsidRPr="000757D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Sukladno navedenome, raspisuje se Poziv za dvije grupe projekata u okviru kojih su identificirane prioritetne aktivnosti za koje je potrebna potpora u vidu dodjele financijskih sredstava.</w:t>
      </w:r>
    </w:p>
    <w:p w14:paraId="54A429A6" w14:textId="1BBC2B73" w:rsidR="004F539B" w:rsidRPr="00A800F8" w:rsidRDefault="004F539B" w:rsidP="004F539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800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Grupa: Projekti izgradnje/rekonstrukcije sustava javne vodoopskrbe i </w:t>
      </w:r>
      <w:r w:rsidR="00FF09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javne </w:t>
      </w:r>
      <w:r w:rsidRPr="00A800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odvodnje otpadnih voda na područjima pogođenim potres</w:t>
      </w:r>
      <w:r w:rsidR="008F35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ima</w:t>
      </w:r>
      <w:r w:rsidR="002C7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</w:p>
    <w:p w14:paraId="6E9EAC19" w14:textId="359D2ED4" w:rsidR="000A7899" w:rsidRDefault="005B799C" w:rsidP="00566C45">
      <w:pPr>
        <w:pStyle w:val="NormalWeb"/>
        <w:jc w:val="both"/>
      </w:pPr>
      <w:r>
        <w:t xml:space="preserve">Nakon potresa </w:t>
      </w:r>
      <w:r w:rsidR="00A90DDC">
        <w:t xml:space="preserve">koji </w:t>
      </w:r>
      <w:r w:rsidR="00C150E7">
        <w:t xml:space="preserve">su se </w:t>
      </w:r>
      <w:r w:rsidR="00A90DDC">
        <w:t>dogodi</w:t>
      </w:r>
      <w:r w:rsidR="00C150E7">
        <w:t>li 28. i</w:t>
      </w:r>
      <w:r w:rsidR="00A90DDC">
        <w:t xml:space="preserve"> 29. prosinca 2020. </w:t>
      </w:r>
      <w:r>
        <w:t xml:space="preserve">došlo je do značajnih oštećenja i </w:t>
      </w:r>
      <w:r w:rsidRPr="00316557">
        <w:rPr>
          <w:b/>
          <w:bCs/>
        </w:rPr>
        <w:t xml:space="preserve">poremećaja u funkcioniranju sustava javne vodoopskrbe i </w:t>
      </w:r>
      <w:r w:rsidR="00A90983" w:rsidRPr="00316557">
        <w:rPr>
          <w:b/>
          <w:bCs/>
        </w:rPr>
        <w:t xml:space="preserve">javne </w:t>
      </w:r>
      <w:r w:rsidRPr="00316557">
        <w:rPr>
          <w:b/>
          <w:bCs/>
        </w:rPr>
        <w:t>odvodnje</w:t>
      </w:r>
      <w:r w:rsidR="00A90983" w:rsidRPr="00316557">
        <w:rPr>
          <w:b/>
          <w:bCs/>
        </w:rPr>
        <w:t xml:space="preserve"> otpadnih voda</w:t>
      </w:r>
      <w:r>
        <w:t>. Iako su kroz različite izvore financiranja (Fond solidarnosti</w:t>
      </w:r>
      <w:r w:rsidR="00566C45">
        <w:t xml:space="preserve"> EU</w:t>
      </w:r>
      <w:r>
        <w:t xml:space="preserve">, Operativni program Konkurentnost i kohezija 2014. – 2020. te Nacionalni plan oporavka i otpornosti) realizirana brojna ulaganja u obnovu oštećene </w:t>
      </w:r>
      <w:proofErr w:type="spellStart"/>
      <w:r>
        <w:t>vodnokomunalne</w:t>
      </w:r>
      <w:proofErr w:type="spellEnd"/>
      <w:r>
        <w:t xml:space="preserve"> infrastrukture i dalje postoji potreba za dodatnim rekonstrukcijama</w:t>
      </w:r>
      <w:r w:rsidR="004152BA">
        <w:t xml:space="preserve"> i izgradnjom</w:t>
      </w:r>
      <w:r>
        <w:t>, kao i za dodatnim snimanjima i analizama stanja na terenu</w:t>
      </w:r>
      <w:r w:rsidR="004152BA">
        <w:t xml:space="preserve"> </w:t>
      </w:r>
      <w:r w:rsidR="005D6DC8">
        <w:t>o</w:t>
      </w:r>
      <w:r w:rsidR="000A7899">
        <w:t>sobito u dijelovima novo</w:t>
      </w:r>
      <w:r w:rsidR="00C05003">
        <w:t xml:space="preserve"> </w:t>
      </w:r>
      <w:r w:rsidR="000A7899">
        <w:t>uspostavljen</w:t>
      </w:r>
      <w:r w:rsidR="005D6DC8">
        <w:t>ih</w:t>
      </w:r>
      <w:r w:rsidR="008522CB">
        <w:t xml:space="preserve"> i okrupnjen</w:t>
      </w:r>
      <w:r w:rsidR="005D6DC8">
        <w:t>ih</w:t>
      </w:r>
      <w:r w:rsidR="008522CB">
        <w:t xml:space="preserve"> </w:t>
      </w:r>
      <w:r w:rsidR="000A7899">
        <w:t>uslužn</w:t>
      </w:r>
      <w:r w:rsidR="005D6DC8">
        <w:t>ih</w:t>
      </w:r>
      <w:r w:rsidR="000A7899">
        <w:t xml:space="preserve"> područja </w:t>
      </w:r>
      <w:r w:rsidR="00F147E5">
        <w:t xml:space="preserve">gdje </w:t>
      </w:r>
      <w:r w:rsidR="000A7899">
        <w:t>su naknadno uočene određene poteškoće u f</w:t>
      </w:r>
      <w:r w:rsidR="008522CB">
        <w:t>u</w:t>
      </w:r>
      <w:r w:rsidR="000A7899">
        <w:t xml:space="preserve">nkcionalnosti sustava. </w:t>
      </w:r>
    </w:p>
    <w:p w14:paraId="68F54ED7" w14:textId="536C4B43" w:rsidR="005B799C" w:rsidRDefault="005B799C" w:rsidP="00607227">
      <w:pPr>
        <w:pStyle w:val="NormalWeb"/>
        <w:jc w:val="both"/>
      </w:pPr>
      <w:r>
        <w:t>S obzirom na navedeno, cilj ove grupe Poziva je:</w:t>
      </w:r>
    </w:p>
    <w:p w14:paraId="7CD797A6" w14:textId="1CDB8F01" w:rsidR="008522CB" w:rsidRPr="00B952A3" w:rsidRDefault="00C150E7" w:rsidP="008522CB">
      <w:pPr>
        <w:pStyle w:val="NormalWeb"/>
        <w:numPr>
          <w:ilvl w:val="0"/>
          <w:numId w:val="17"/>
        </w:numPr>
        <w:jc w:val="both"/>
      </w:pPr>
      <w:bookmarkStart w:id="3" w:name="_Hlk207697285"/>
      <w:r w:rsidRPr="001E0389">
        <w:t xml:space="preserve">provedba manjih intervencija na </w:t>
      </w:r>
      <w:r w:rsidRPr="00B952A3">
        <w:t xml:space="preserve">izgradnji/rekonstrukciji dijelova sustava javne vodoopskrbe i </w:t>
      </w:r>
      <w:r w:rsidR="00FF09F1" w:rsidRPr="00B952A3">
        <w:t xml:space="preserve">javne </w:t>
      </w:r>
      <w:r w:rsidRPr="00B952A3">
        <w:t>odvodnje otpadnih voda koja su nužna za uspostavu funkcionalnog sustava na područjima pogođenim potres</w:t>
      </w:r>
      <w:r w:rsidR="00D63981" w:rsidRPr="00B952A3">
        <w:t>i</w:t>
      </w:r>
      <w:r w:rsidRPr="00B952A3">
        <w:t>m</w:t>
      </w:r>
      <w:r w:rsidR="00D63981" w:rsidRPr="00B952A3">
        <w:t>a</w:t>
      </w:r>
      <w:r w:rsidRPr="00B952A3">
        <w:t>;</w:t>
      </w:r>
    </w:p>
    <w:bookmarkEnd w:id="3"/>
    <w:p w14:paraId="29A8A8D3" w14:textId="06626A93" w:rsidR="00C150E7" w:rsidRDefault="00C150E7" w:rsidP="00C150E7">
      <w:pPr>
        <w:pStyle w:val="NormalWeb"/>
        <w:numPr>
          <w:ilvl w:val="0"/>
          <w:numId w:val="17"/>
        </w:numPr>
        <w:jc w:val="both"/>
      </w:pPr>
      <w:r w:rsidRPr="00B952A3">
        <w:t xml:space="preserve">te izrada studijsko/projektne dokumentacije u svrhu utvrđivanja potrebnih zahvata izgradnje/rekonstrukcije sustava koji su nužni za uspostavu funkcionalnosti sustava javne vodoopskrbe i </w:t>
      </w:r>
      <w:r w:rsidR="00FF09F1" w:rsidRPr="00B952A3">
        <w:t xml:space="preserve">javne </w:t>
      </w:r>
      <w:r w:rsidRPr="00B952A3">
        <w:t>odvodnje otpadnih voda na područjima pogođenim</w:t>
      </w:r>
      <w:r w:rsidRPr="001E0389">
        <w:t xml:space="preserve"> potres</w:t>
      </w:r>
      <w:r w:rsidR="00D63981">
        <w:t>i</w:t>
      </w:r>
      <w:r w:rsidRPr="001E0389">
        <w:t>m</w:t>
      </w:r>
      <w:r w:rsidR="00D63981">
        <w:t>a</w:t>
      </w:r>
      <w:r>
        <w:t>.</w:t>
      </w:r>
    </w:p>
    <w:p w14:paraId="5F102A5C" w14:textId="77777777" w:rsidR="008F2F44" w:rsidRDefault="008F2F44" w:rsidP="008F2F44">
      <w:pPr>
        <w:pStyle w:val="NormalWeb"/>
        <w:jc w:val="both"/>
      </w:pPr>
    </w:p>
    <w:p w14:paraId="50B1AC9F" w14:textId="77777777" w:rsidR="008F2F44" w:rsidRDefault="008F2F44" w:rsidP="008F2F44">
      <w:pPr>
        <w:pStyle w:val="NormalWeb"/>
        <w:jc w:val="both"/>
      </w:pPr>
    </w:p>
    <w:p w14:paraId="7B2770D0" w14:textId="77777777" w:rsidR="00EE018A" w:rsidRPr="001E0389" w:rsidRDefault="00EE018A" w:rsidP="008F2F44">
      <w:pPr>
        <w:pStyle w:val="NormalWeb"/>
        <w:jc w:val="both"/>
      </w:pPr>
    </w:p>
    <w:p w14:paraId="55FCA068" w14:textId="724D6FF5" w:rsidR="004F539B" w:rsidRPr="00B52997" w:rsidRDefault="004F539B" w:rsidP="004F539B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E0B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lastRenderedPageBreak/>
        <w:t>Grupa: Projekti izgradnje/rekonstrukcije sustava javne vodoopskrbe</w:t>
      </w:r>
      <w:r w:rsidR="006A7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bookmarkStart w:id="4" w:name="_Hlk207183382"/>
      <w:r w:rsidR="004E6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 javne odvodnje otpadnih voda</w:t>
      </w:r>
      <w:bookmarkEnd w:id="4"/>
      <w:r w:rsidR="004E6D05" w:rsidRPr="006E0B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6E0B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na otocima</w:t>
      </w:r>
    </w:p>
    <w:p w14:paraId="4BFA9E5A" w14:textId="27A65E60" w:rsidR="00A27914" w:rsidRDefault="00B52997" w:rsidP="00A27914">
      <w:pPr>
        <w:pStyle w:val="NormalWeb"/>
        <w:jc w:val="both"/>
      </w:pPr>
      <w:r>
        <w:t xml:space="preserve">Cilj ove grupe je pokrivanje troškova izgradnje/rekonstrukcije </w:t>
      </w:r>
      <w:r>
        <w:rPr>
          <w:rStyle w:val="Strong"/>
          <w:rFonts w:eastAsiaTheme="majorEastAsia"/>
        </w:rPr>
        <w:t>manjih dijelova sustava javne vodoopskrbe</w:t>
      </w:r>
      <w:r w:rsidR="00C150E7">
        <w:rPr>
          <w:rStyle w:val="Strong"/>
          <w:rFonts w:eastAsiaTheme="majorEastAsia"/>
        </w:rPr>
        <w:t xml:space="preserve"> (uključujući i </w:t>
      </w:r>
      <w:proofErr w:type="spellStart"/>
      <w:r w:rsidR="00C150E7">
        <w:rPr>
          <w:rStyle w:val="Strong"/>
          <w:rFonts w:eastAsiaTheme="majorEastAsia"/>
        </w:rPr>
        <w:t>desalinizatore</w:t>
      </w:r>
      <w:proofErr w:type="spellEnd"/>
      <w:r w:rsidR="00C150E7">
        <w:rPr>
          <w:rStyle w:val="Strong"/>
          <w:rFonts w:eastAsiaTheme="majorEastAsia"/>
        </w:rPr>
        <w:t>)</w:t>
      </w:r>
      <w:r w:rsidR="004E6D05">
        <w:rPr>
          <w:rStyle w:val="Strong"/>
          <w:rFonts w:eastAsiaTheme="majorEastAsia"/>
        </w:rPr>
        <w:t xml:space="preserve"> i </w:t>
      </w:r>
      <w:r w:rsidR="00C150E7">
        <w:rPr>
          <w:rStyle w:val="Strong"/>
          <w:rFonts w:eastAsiaTheme="majorEastAsia"/>
        </w:rPr>
        <w:t xml:space="preserve">javne </w:t>
      </w:r>
      <w:r w:rsidR="004E6D05">
        <w:rPr>
          <w:rStyle w:val="Strong"/>
          <w:rFonts w:eastAsiaTheme="majorEastAsia"/>
        </w:rPr>
        <w:t>odvodnje</w:t>
      </w:r>
      <w:r w:rsidR="00C150E7">
        <w:rPr>
          <w:rStyle w:val="Strong"/>
          <w:rFonts w:eastAsiaTheme="majorEastAsia"/>
        </w:rPr>
        <w:t xml:space="preserve"> otpadnih voda</w:t>
      </w:r>
      <w:r>
        <w:t xml:space="preserve"> na otocima, kako bi se omogućila stabilna i sigurna opskrba vodom, </w:t>
      </w:r>
      <w:r w:rsidR="006D3A35">
        <w:t>poboljšala funkcionalnost sustava javne odvodnje otpadnih voda</w:t>
      </w:r>
      <w:r w:rsidR="002C79BA">
        <w:t>,</w:t>
      </w:r>
      <w:r w:rsidR="006D3A35">
        <w:t xml:space="preserve"> </w:t>
      </w:r>
      <w:r>
        <w:t xml:space="preserve">potaknuo održivi razvoj otoka, poboljšala dostupnost osnovne komunalne infrastrukture, smanjile regionalne razlike i osigurali jednaki uvjeti života stanovnicima otoka. </w:t>
      </w:r>
      <w:bookmarkEnd w:id="2"/>
      <w:r w:rsidR="00A24C77" w:rsidRPr="00A24C77">
        <w:t>Stanovnici na otocima su, sukladno članku 4. stavak 1. točka 71.a Zakona o vodama (</w:t>
      </w:r>
      <w:r w:rsidR="00566C45">
        <w:t>''Narodne novine''</w:t>
      </w:r>
      <w:r w:rsidR="00437262">
        <w:t>,</w:t>
      </w:r>
      <w:r w:rsidR="00566C45">
        <w:t xml:space="preserve"> br.</w:t>
      </w:r>
      <w:r w:rsidR="00A24C77" w:rsidRPr="00A24C77">
        <w:t xml:space="preserve"> 66/19, 84/21, 47/23), prepoznati kao ranjive i marginalizirane skupine</w:t>
      </w:r>
      <w:r w:rsidR="00A24C77" w:rsidRPr="00A24C77">
        <w:rPr>
          <w:i/>
          <w:iCs/>
        </w:rPr>
        <w:t> </w:t>
      </w:r>
      <w:r w:rsidR="00A24C77" w:rsidRPr="00A24C77">
        <w:t>kojima je otežano ili onemogućeno osigurati pristup vodnim uslugama iz sustava javne vodoopskrbe i sustava javne odvodnje</w:t>
      </w:r>
      <w:r w:rsidR="00FF09F1">
        <w:t xml:space="preserve"> otpadnih voda</w:t>
      </w:r>
      <w:r w:rsidR="00A24C77" w:rsidRPr="00A24C77">
        <w:t xml:space="preserve">. Upravo stoga se u okviru ove grupe Poziva </w:t>
      </w:r>
      <w:r w:rsidR="00A24C77" w:rsidRPr="00B952A3">
        <w:t>omogućuje sufinanciranje manjih infrastrukturnih zahvata kojima se rješavanju konkretni problemi u funkcioniranju sustava javne vodoopskrbe i javne odvodnje otpadnih voda na otocima.</w:t>
      </w:r>
    </w:p>
    <w:p w14:paraId="1611D71F" w14:textId="77777777" w:rsidR="00A27914" w:rsidRPr="00A27914" w:rsidRDefault="00A27914" w:rsidP="00A27914">
      <w:pPr>
        <w:pStyle w:val="NormalWeb"/>
        <w:jc w:val="both"/>
      </w:pPr>
    </w:p>
    <w:p w14:paraId="0DC21347" w14:textId="71D8E63F" w:rsidR="002619ED" w:rsidRPr="00147A65" w:rsidRDefault="00A800F8" w:rsidP="00A800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424242"/>
          <w:kern w:val="0"/>
          <w:sz w:val="27"/>
          <w:szCs w:val="27"/>
          <w:lang w:eastAsia="hr-HR"/>
          <w14:ligatures w14:val="none"/>
        </w:rPr>
      </w:pPr>
      <w:r w:rsidRPr="00147A65">
        <w:rPr>
          <w:rFonts w:ascii="Times New Roman" w:eastAsia="Times New Roman" w:hAnsi="Times New Roman" w:cs="Times New Roman"/>
          <w:b/>
          <w:bCs/>
          <w:color w:val="424242"/>
          <w:kern w:val="0"/>
          <w:sz w:val="27"/>
          <w:szCs w:val="27"/>
          <w:lang w:eastAsia="hr-HR"/>
          <w14:ligatures w14:val="none"/>
        </w:rPr>
        <w:t xml:space="preserve">2. </w:t>
      </w:r>
      <w:r w:rsidR="00446E1A" w:rsidRPr="00147A65">
        <w:rPr>
          <w:rFonts w:ascii="Times New Roman" w:eastAsia="Times New Roman" w:hAnsi="Times New Roman" w:cs="Times New Roman"/>
          <w:b/>
          <w:bCs/>
          <w:color w:val="424242"/>
          <w:kern w:val="0"/>
          <w:sz w:val="27"/>
          <w:szCs w:val="27"/>
          <w:lang w:eastAsia="hr-HR"/>
          <w14:ligatures w14:val="none"/>
        </w:rPr>
        <w:t>OPĆI UVJETI PRIHVATLJIVOSTI</w:t>
      </w:r>
      <w:r w:rsidR="005567AE" w:rsidRPr="00147A65">
        <w:rPr>
          <w:rFonts w:ascii="Times New Roman" w:eastAsia="Times New Roman" w:hAnsi="Times New Roman" w:cs="Times New Roman"/>
          <w:b/>
          <w:bCs/>
          <w:color w:val="424242"/>
          <w:kern w:val="0"/>
          <w:sz w:val="27"/>
          <w:szCs w:val="27"/>
          <w:lang w:eastAsia="hr-HR"/>
          <w14:ligatures w14:val="none"/>
        </w:rPr>
        <w:t xml:space="preserve"> </w:t>
      </w:r>
    </w:p>
    <w:p w14:paraId="171BC36A" w14:textId="77777777" w:rsidR="005567AE" w:rsidRDefault="005567AE" w:rsidP="00A800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424242"/>
          <w:kern w:val="0"/>
          <w:sz w:val="24"/>
          <w:szCs w:val="24"/>
          <w:lang w:eastAsia="hr-HR"/>
          <w14:ligatures w14:val="none"/>
        </w:rPr>
      </w:pPr>
    </w:p>
    <w:p w14:paraId="101E3C9E" w14:textId="1817A594" w:rsidR="005567AE" w:rsidRDefault="005567AE" w:rsidP="00B17BF5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24242"/>
          <w:kern w:val="0"/>
          <w:sz w:val="24"/>
          <w:szCs w:val="24"/>
          <w:lang w:eastAsia="hr-HR"/>
          <w14:ligatures w14:val="none"/>
        </w:rPr>
      </w:pPr>
      <w:r w:rsidRPr="00446E1A">
        <w:rPr>
          <w:rFonts w:ascii="Times New Roman" w:eastAsia="Times New Roman" w:hAnsi="Times New Roman" w:cs="Times New Roman"/>
          <w:b/>
          <w:bCs/>
          <w:color w:val="424242"/>
          <w:kern w:val="0"/>
          <w:sz w:val="24"/>
          <w:szCs w:val="24"/>
          <w:lang w:eastAsia="hr-HR"/>
          <w14:ligatures w14:val="none"/>
        </w:rPr>
        <w:t xml:space="preserve"> </w:t>
      </w:r>
      <w:bookmarkStart w:id="5" w:name="_Hlk200359071"/>
      <w:r w:rsidRPr="00446E1A">
        <w:rPr>
          <w:rFonts w:ascii="Times New Roman" w:eastAsia="Times New Roman" w:hAnsi="Times New Roman" w:cs="Times New Roman"/>
          <w:b/>
          <w:bCs/>
          <w:color w:val="424242"/>
          <w:kern w:val="0"/>
          <w:sz w:val="24"/>
          <w:szCs w:val="24"/>
          <w:lang w:eastAsia="hr-HR"/>
          <w14:ligatures w14:val="none"/>
        </w:rPr>
        <w:t>Prihvatljiv</w:t>
      </w:r>
      <w:bookmarkEnd w:id="5"/>
      <w:r w:rsidR="00446E1A">
        <w:rPr>
          <w:rFonts w:ascii="Times New Roman" w:eastAsia="Times New Roman" w:hAnsi="Times New Roman" w:cs="Times New Roman"/>
          <w:b/>
          <w:bCs/>
          <w:color w:val="424242"/>
          <w:kern w:val="0"/>
          <w:sz w:val="24"/>
          <w:szCs w:val="24"/>
          <w:lang w:eastAsia="hr-HR"/>
          <w14:ligatures w14:val="none"/>
        </w:rPr>
        <w:t>ost prijavitelja i geografsko ograničenje</w:t>
      </w:r>
    </w:p>
    <w:p w14:paraId="7ED85E8D" w14:textId="1C08DD0C" w:rsidR="00446E1A" w:rsidRDefault="00446E1A" w:rsidP="00446E1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</w:pPr>
      <w:r w:rsidRPr="00D135B4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Prihvatljivi prijavitelji u sklopu ovog Poziva su javni isporučitelji vodnih usluga u Republici Hrvatskoj, sukladno Zakonu o vodnim uslugama („Narodne novine“, br. 66/19), osnovani te u isključivom vlasništvu jedinica lokalne samouprave. Predmet poslovanja i vlasnička struktura prijavitelja mora biti u skladu s</w:t>
      </w:r>
      <w:r w:rsidR="00E557D7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a</w:t>
      </w:r>
      <w:r w:rsidRPr="00D135B4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 Zakon</w:t>
      </w:r>
      <w:r w:rsidR="00E557D7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om</w:t>
      </w:r>
      <w:r w:rsidRPr="00D135B4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 o vodnim uslugama. </w:t>
      </w:r>
    </w:p>
    <w:p w14:paraId="1BBFBD0A" w14:textId="3FF7FEA3" w:rsidR="00551D72" w:rsidRPr="00A27914" w:rsidRDefault="006F4C69" w:rsidP="00135E7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</w:pPr>
      <w:r w:rsidRPr="00A279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Kako bi se potaknula ravnomjerna obnova i smanjile razvojne razlike </w:t>
      </w:r>
      <w:r w:rsidRPr="00A27914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p</w:t>
      </w:r>
      <w:r w:rsidR="006E6024" w:rsidRPr="00A27914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rihvatljivi prijavitelji u okviru Grupe 1 su isključivo javni isporučitelji vodnih usluga na čijem je uslužnom području nastala najveća šteta uslijed potresa od 28. i 29. prosinca 2020.</w:t>
      </w:r>
      <w:r w:rsidRPr="00A27914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 godine.</w:t>
      </w:r>
      <w:r w:rsidR="00336921" w:rsidRPr="00A27914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 Prihvatljivi prijavitelji su javni isporučitelji vodnih usluga s područja obuhvaćenih Odlukom Vlade Republike Hrvatske o proglašenju katastrofe na </w:t>
      </w:r>
      <w:r w:rsidR="00722CEE" w:rsidRPr="00A27914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području pogođenim potresom </w:t>
      </w:r>
      <w:r w:rsidR="00336921" w:rsidRPr="00A27914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(KLASA: 022-03/21-04/02, UBROJ: 5301-29/09-21-1, od 4. siječnja. 2021.</w:t>
      </w:r>
      <w:r w:rsidR="00722CEE" w:rsidRPr="00A27914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). </w:t>
      </w:r>
      <w:r w:rsidR="00336921" w:rsidRPr="00A27914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Sukladno toj Odluci, riječ je o područjima Sisačko-moslavačke, Zagrebačke i Karlovačke županije.</w:t>
      </w:r>
    </w:p>
    <w:p w14:paraId="75D52D6D" w14:textId="642E43DF" w:rsidR="00D6417B" w:rsidRPr="00E435CF" w:rsidRDefault="00D6417B" w:rsidP="00135E7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</w:pPr>
      <w:r w:rsidRPr="00E435CF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U </w:t>
      </w:r>
      <w:r w:rsidR="007B01AA" w:rsidRPr="00E435CF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Grupi </w:t>
      </w:r>
      <w:r w:rsidRPr="00E435CF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2</w:t>
      </w:r>
      <w:r w:rsidR="002B2C9C" w:rsidRPr="00E435CF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 prihvatljivi su </w:t>
      </w:r>
      <w:r w:rsidR="00F031B9" w:rsidRPr="00E435CF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javni isporučitelji vodnih usluga u čijem </w:t>
      </w:r>
      <w:r w:rsidR="002E06D4" w:rsidRPr="00E435CF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uslužnom području pripadaju otoci i poluotok Pelješac </w:t>
      </w:r>
      <w:r w:rsidR="00356B5D" w:rsidRPr="00E435CF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koji ima status otoka </w:t>
      </w:r>
      <w:r w:rsidR="002E06D4" w:rsidRPr="00E435CF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sukladno </w:t>
      </w:r>
      <w:r w:rsidR="00356B5D" w:rsidRPr="00E435CF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članku 2. </w:t>
      </w:r>
      <w:r w:rsidR="002E06D4" w:rsidRPr="00E435CF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Zakon</w:t>
      </w:r>
      <w:r w:rsidR="00356B5D" w:rsidRPr="00E435CF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a</w:t>
      </w:r>
      <w:r w:rsidR="002E06D4" w:rsidRPr="00E435CF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 o otocima („Narodne novine“, br. 116/18, 73/20, 70/21)</w:t>
      </w:r>
      <w:r w:rsidR="000D18F9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, odnosno geografsko ograničenje ove grupe su otoci i poluotok Pelješac</w:t>
      </w:r>
      <w:r w:rsidR="00456129" w:rsidRPr="00E435CF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.</w:t>
      </w:r>
      <w:r w:rsidR="00356B5D" w:rsidRPr="00E435CF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 </w:t>
      </w:r>
    </w:p>
    <w:p w14:paraId="2D6D5BE4" w14:textId="4DB04673" w:rsidR="00446E1A" w:rsidRPr="00446E1A" w:rsidRDefault="00446E1A" w:rsidP="00446E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</w:pPr>
    </w:p>
    <w:p w14:paraId="3907ED49" w14:textId="7DE41DC1" w:rsidR="00446E1A" w:rsidRDefault="00784DBB" w:rsidP="005567AE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24242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424242"/>
          <w:kern w:val="0"/>
          <w:sz w:val="24"/>
          <w:szCs w:val="24"/>
          <w:lang w:eastAsia="hr-HR"/>
          <w14:ligatures w14:val="none"/>
        </w:rPr>
        <w:t xml:space="preserve"> Prihvatljivost projekta</w:t>
      </w:r>
    </w:p>
    <w:p w14:paraId="30CA5695" w14:textId="420016D7" w:rsidR="00784DBB" w:rsidRPr="0005343F" w:rsidRDefault="0005343F" w:rsidP="0005343F">
      <w:pPr>
        <w:pStyle w:val="NormalWeb"/>
        <w:ind w:firstLine="360"/>
        <w:jc w:val="both"/>
        <w:rPr>
          <w:b/>
          <w:bCs/>
        </w:rPr>
      </w:pPr>
      <w:r w:rsidRPr="0005343F">
        <w:rPr>
          <w:b/>
          <w:bCs/>
        </w:rPr>
        <w:t>P</w:t>
      </w:r>
      <w:r w:rsidR="00784DBB" w:rsidRPr="0005343F">
        <w:rPr>
          <w:b/>
          <w:bCs/>
        </w:rPr>
        <w:t>rihvatljivi su projekti koji:</w:t>
      </w:r>
    </w:p>
    <w:p w14:paraId="5D686EBD" w14:textId="6F1F15CD" w:rsidR="00784DBB" w:rsidRPr="004A2073" w:rsidRDefault="00784DBB" w:rsidP="00784DBB">
      <w:pPr>
        <w:pStyle w:val="NormalWeb"/>
        <w:numPr>
          <w:ilvl w:val="0"/>
          <w:numId w:val="18"/>
        </w:numPr>
        <w:jc w:val="both"/>
      </w:pPr>
      <w:r w:rsidRPr="004A2073">
        <w:t>uključuju aktivnosti</w:t>
      </w:r>
      <w:r>
        <w:t xml:space="preserve"> (izvođenje radova i/ili studijsko/projektna dokumentacija)</w:t>
      </w:r>
      <w:r w:rsidRPr="004A2073">
        <w:t xml:space="preserve"> koje su već djelomično provedene, ali nisu u potpunosti realizirane</w:t>
      </w:r>
    </w:p>
    <w:p w14:paraId="0EB42190" w14:textId="77777777" w:rsidR="000D18F9" w:rsidRDefault="00784DBB" w:rsidP="00D13469">
      <w:pPr>
        <w:pStyle w:val="NormalWeb"/>
        <w:ind w:left="720"/>
        <w:jc w:val="both"/>
      </w:pPr>
      <w:r w:rsidRPr="004A2073">
        <w:t>i</w:t>
      </w:r>
      <w:r w:rsidR="00C40C55">
        <w:t>/ili</w:t>
      </w:r>
      <w:r w:rsidRPr="004A2073">
        <w:t xml:space="preserve"> </w:t>
      </w:r>
    </w:p>
    <w:p w14:paraId="4216B105" w14:textId="3E51B80A" w:rsidR="00722CEE" w:rsidRPr="00722CEE" w:rsidRDefault="00784DBB" w:rsidP="00722CEE">
      <w:pPr>
        <w:pStyle w:val="NormalWeb"/>
        <w:numPr>
          <w:ilvl w:val="0"/>
          <w:numId w:val="18"/>
        </w:numPr>
        <w:jc w:val="both"/>
      </w:pPr>
      <w:r w:rsidRPr="004A2073">
        <w:t>koji obuhvaćaju nove aktivnosti</w:t>
      </w:r>
      <w:r>
        <w:t xml:space="preserve"> </w:t>
      </w:r>
      <w:r w:rsidRPr="00203266">
        <w:t>(izvođenje radova i/ili studijsko/projektna dokumentacija</w:t>
      </w:r>
      <w:r>
        <w:t>)</w:t>
      </w:r>
      <w:r w:rsidRPr="004A2073">
        <w:t xml:space="preserve"> za koje je pripremljena natječajna dokumentacija (postupak javne </w:t>
      </w:r>
      <w:r w:rsidRPr="004A2073">
        <w:lastRenderedPageBreak/>
        <w:t xml:space="preserve">nabave u tijeku ili proveden), a koje su ključne za osiguranje funkcionalnosti sustava javne vodoopskrbe i javne odvodnje otpadnih </w:t>
      </w:r>
      <w:r w:rsidR="00FF09F1">
        <w:t>voda.</w:t>
      </w:r>
    </w:p>
    <w:p w14:paraId="1BE21635" w14:textId="177A0D45" w:rsidR="0082137D" w:rsidRPr="0005343F" w:rsidRDefault="0005343F" w:rsidP="0005343F">
      <w:pPr>
        <w:pStyle w:val="NormalWeb"/>
        <w:ind w:firstLine="360"/>
        <w:jc w:val="both"/>
        <w:rPr>
          <w:b/>
          <w:bCs/>
        </w:rPr>
      </w:pPr>
      <w:r w:rsidRPr="0005343F">
        <w:rPr>
          <w:b/>
          <w:bCs/>
        </w:rPr>
        <w:t xml:space="preserve">Minimalni uvjeti za podnošenje </w:t>
      </w:r>
      <w:r w:rsidR="001E0389">
        <w:rPr>
          <w:b/>
          <w:bCs/>
        </w:rPr>
        <w:t>prijave</w:t>
      </w:r>
      <w:r w:rsidRPr="0005343F">
        <w:rPr>
          <w:b/>
          <w:bCs/>
        </w:rPr>
        <w:t>:</w:t>
      </w:r>
    </w:p>
    <w:p w14:paraId="53D0CD5A" w14:textId="01802265" w:rsidR="0082137D" w:rsidRPr="00DB64D6" w:rsidRDefault="0082137D" w:rsidP="0082137D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</w:pPr>
      <w:r w:rsidRPr="0005343F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Svi prijavljeni projekti moraju biti u cijelosti provedeni u razdoblju </w:t>
      </w:r>
      <w:r w:rsidRPr="00DB64D6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od najviše </w:t>
      </w:r>
      <w:r w:rsidR="00CC7A25" w:rsidRPr="00DB64D6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dv</w:t>
      </w:r>
      <w:r w:rsidRPr="00DB64D6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i</w:t>
      </w:r>
      <w:r w:rsidR="009D720F" w:rsidRPr="00DB64D6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je</w:t>
      </w:r>
      <w:r w:rsidRPr="00DB64D6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 godine od početka provedbe, a najkasnije do 31. </w:t>
      </w:r>
      <w:r w:rsidR="00DB64D6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listopada</w:t>
      </w:r>
      <w:r w:rsidRPr="00DB64D6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 202</w:t>
      </w:r>
      <w:r w:rsidR="00CC7A25" w:rsidRPr="00DB64D6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6</w:t>
      </w:r>
      <w:r w:rsidRPr="00DB64D6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. </w:t>
      </w:r>
      <w:r w:rsidR="00DB64D6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kako bi se do kraja 2026. godine mogla provesti plaćanja</w:t>
      </w:r>
      <w:r w:rsidR="00A43DDD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;</w:t>
      </w:r>
    </w:p>
    <w:p w14:paraId="251A5A6D" w14:textId="2C36F238" w:rsidR="00DB793C" w:rsidRDefault="0082137D" w:rsidP="00C40C55">
      <w:pPr>
        <w:pStyle w:val="NormalWeb"/>
        <w:numPr>
          <w:ilvl w:val="0"/>
          <w:numId w:val="18"/>
        </w:numPr>
        <w:spacing w:before="0" w:beforeAutospacing="0" w:after="0" w:afterAutospacing="0"/>
        <w:ind w:hanging="357"/>
        <w:jc w:val="both"/>
      </w:pPr>
      <w:r w:rsidRPr="00DB793C">
        <w:rPr>
          <w:color w:val="424242"/>
        </w:rPr>
        <w:t>Prijavitelji moraju jasno obrazložiti opravdanost prijavljenih projekata</w:t>
      </w:r>
      <w:r w:rsidR="00DB793C" w:rsidRPr="00DB793C">
        <w:rPr>
          <w:color w:val="424242"/>
        </w:rPr>
        <w:t>:</w:t>
      </w:r>
    </w:p>
    <w:p w14:paraId="2A029229" w14:textId="6B24353E" w:rsidR="00DB793C" w:rsidRDefault="0032044F" w:rsidP="00C40C55">
      <w:pPr>
        <w:pStyle w:val="NormalWeb"/>
        <w:numPr>
          <w:ilvl w:val="0"/>
          <w:numId w:val="26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851" w:hanging="142"/>
        <w:contextualSpacing/>
        <w:jc w:val="both"/>
        <w:rPr>
          <w:color w:val="424242"/>
        </w:rPr>
      </w:pPr>
      <w:r>
        <w:rPr>
          <w:color w:val="424242"/>
        </w:rPr>
        <w:t>u</w:t>
      </w:r>
      <w:r w:rsidR="00C40C55">
        <w:rPr>
          <w:color w:val="424242"/>
        </w:rPr>
        <w:t xml:space="preserve"> </w:t>
      </w:r>
      <w:r w:rsidR="0082137D" w:rsidRPr="00DB793C">
        <w:rPr>
          <w:color w:val="424242"/>
        </w:rPr>
        <w:t xml:space="preserve">slučaju kada se prijavljuju već započete ili planirane aktivnosti na izgradnji/rekonstrukciji, mora biti jasno obrazloženo da su te aktivnosti bile nužne radi uspostave ili očuvanja funkcionalnosti sustava javne vodoopskrbe </w:t>
      </w:r>
      <w:bookmarkStart w:id="6" w:name="_Hlk207183089"/>
      <w:r w:rsidR="0082137D" w:rsidRPr="00DB793C">
        <w:rPr>
          <w:color w:val="424242"/>
        </w:rPr>
        <w:t xml:space="preserve">i/ili </w:t>
      </w:r>
      <w:r w:rsidR="009948E6" w:rsidRPr="00DB793C">
        <w:rPr>
          <w:color w:val="424242"/>
        </w:rPr>
        <w:t xml:space="preserve">javne </w:t>
      </w:r>
      <w:r w:rsidR="0082137D" w:rsidRPr="00DB793C">
        <w:rPr>
          <w:color w:val="424242"/>
        </w:rPr>
        <w:t>odvodnje</w:t>
      </w:r>
      <w:r w:rsidR="00456A88" w:rsidRPr="00DB793C">
        <w:rPr>
          <w:color w:val="424242"/>
        </w:rPr>
        <w:t xml:space="preserve"> </w:t>
      </w:r>
      <w:r w:rsidR="009948E6" w:rsidRPr="00DB793C">
        <w:rPr>
          <w:color w:val="424242"/>
        </w:rPr>
        <w:t>otpadnih voda</w:t>
      </w:r>
      <w:bookmarkEnd w:id="6"/>
    </w:p>
    <w:p w14:paraId="377DFFF9" w14:textId="342F4CEF" w:rsidR="0082137D" w:rsidRPr="00DB793C" w:rsidRDefault="008F474A" w:rsidP="00C40C55">
      <w:pPr>
        <w:pStyle w:val="NormalWeb"/>
        <w:numPr>
          <w:ilvl w:val="0"/>
          <w:numId w:val="26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851" w:hanging="142"/>
        <w:contextualSpacing/>
        <w:jc w:val="both"/>
        <w:rPr>
          <w:color w:val="424242"/>
        </w:rPr>
      </w:pPr>
      <w:r>
        <w:rPr>
          <w:color w:val="424242"/>
        </w:rPr>
        <w:t>u</w:t>
      </w:r>
      <w:r w:rsidRPr="00DB793C">
        <w:rPr>
          <w:color w:val="424242"/>
        </w:rPr>
        <w:t xml:space="preserve"> </w:t>
      </w:r>
      <w:r w:rsidR="0082137D" w:rsidRPr="00DB793C">
        <w:rPr>
          <w:color w:val="424242"/>
        </w:rPr>
        <w:t>slučaju kada se prijavljuje izrada studijsko/projektne dokumentacije, prijavitelj mora obrazložiti da je dokumentacija neophodna kako bi se pokrenuli zahvati nužni za funkcionalnost sustava</w:t>
      </w:r>
    </w:p>
    <w:p w14:paraId="1E9C874C" w14:textId="25A0A8F9" w:rsidR="00784DBB" w:rsidRPr="0005343F" w:rsidRDefault="00784DBB" w:rsidP="00A03598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</w:pPr>
      <w:r w:rsidRPr="0005343F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Ishođene </w:t>
      </w:r>
      <w:r w:rsidR="009F5B2E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sve </w:t>
      </w:r>
      <w:r w:rsidRPr="0005343F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građevinske i lokacijske dozvole, osim u slučajevima </w:t>
      </w:r>
      <w:bookmarkStart w:id="7" w:name="_Hlk207706781"/>
      <w:r w:rsidRPr="0005343F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iz člank</w:t>
      </w:r>
      <w:r w:rsidR="00566C45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a 128. i članka</w:t>
      </w:r>
      <w:r w:rsidRPr="0005343F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 129. Zakona o gradnji (</w:t>
      </w:r>
      <w:r w:rsidR="00566C45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''Narodne novine'', br.</w:t>
      </w:r>
      <w:r w:rsidRPr="0005343F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 153/13, 20/17, 39/19, 125/19, 145/24), kada se radi o </w:t>
      </w:r>
      <w:r w:rsidR="00566C45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jednostavnim građevinama odnosno </w:t>
      </w:r>
      <w:r w:rsidRPr="0005343F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žurnim intervencijama s ciljem sprječavanja ili otklanjanja štetnih posljedica potresa temeljem glavnog projekta</w:t>
      </w:r>
      <w:bookmarkEnd w:id="7"/>
      <w:r w:rsidR="00042036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 </w:t>
      </w:r>
      <w:r w:rsidRPr="0005343F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te u slučaju kada se prijavljuje isključivo izrada studijsko/projektne dokumentacije</w:t>
      </w:r>
      <w:r w:rsidR="009F5B2E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; </w:t>
      </w:r>
    </w:p>
    <w:p w14:paraId="376A13A7" w14:textId="77777777" w:rsidR="004203A4" w:rsidRDefault="004203A4" w:rsidP="004203A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</w:pPr>
      <w:r w:rsidRPr="001C589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Imovinsko-pravni odnosi moraju biti u cijelosti riješeni prije podnošenja zahtjeva za dodjelu sredstava</w:t>
      </w:r>
      <w:r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 (Izjava korisnika);</w:t>
      </w:r>
    </w:p>
    <w:p w14:paraId="75FF3FAE" w14:textId="6E53AF64" w:rsidR="00784DBB" w:rsidRPr="002619ED" w:rsidRDefault="00784DBB" w:rsidP="00784DB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</w:pPr>
      <w:r w:rsidRPr="002619ED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Može se podnijeti samo jedan zahtjev za dodjelu sredstava po javnom isporučitelju vodnih usluga</w:t>
      </w:r>
      <w:r w:rsidR="00E95337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 (prijava može uk</w:t>
      </w:r>
      <w:r w:rsidR="00566C45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lj</w:t>
      </w:r>
      <w:r w:rsidR="00E95337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učivati više projektnih elemenata)</w:t>
      </w:r>
      <w:r w:rsidR="009F5B2E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;</w:t>
      </w:r>
    </w:p>
    <w:p w14:paraId="5A5FF108" w14:textId="19DDBFE7" w:rsidR="00784DBB" w:rsidRDefault="00784DBB" w:rsidP="00784DB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</w:pPr>
      <w:r w:rsidRPr="002619ED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Troškovi koji su već bili predmet financijskih korekcija</w:t>
      </w:r>
      <w:r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 na ranijim projektima</w:t>
      </w:r>
      <w:r w:rsidRPr="002619ED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 nisu prihvatljivi</w:t>
      </w:r>
      <w:r w:rsidR="009F5B2E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;</w:t>
      </w:r>
    </w:p>
    <w:p w14:paraId="570E8C71" w14:textId="40BA97D8" w:rsidR="001E0389" w:rsidRPr="001E0389" w:rsidRDefault="001E0389" w:rsidP="001E0389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</w:pPr>
      <w:r w:rsidRPr="0005343F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Troškovi ne smiju biti predmet dvostrukog financiranja;</w:t>
      </w:r>
    </w:p>
    <w:p w14:paraId="0475FB4B" w14:textId="21DBAAE5" w:rsidR="00784DBB" w:rsidRPr="001E0389" w:rsidRDefault="00784DBB" w:rsidP="001E038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</w:pPr>
      <w:r w:rsidRPr="002619ED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Bankovne naknade i kamate nisu prihvatljivi trošak</w:t>
      </w:r>
      <w:r w:rsidR="009F5B2E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.</w:t>
      </w:r>
    </w:p>
    <w:p w14:paraId="2FE0DDF7" w14:textId="77777777" w:rsidR="00784DBB" w:rsidRDefault="00784DBB" w:rsidP="00784D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424242"/>
          <w:kern w:val="0"/>
          <w:sz w:val="24"/>
          <w:szCs w:val="24"/>
          <w:lang w:eastAsia="hr-HR"/>
          <w14:ligatures w14:val="none"/>
        </w:rPr>
      </w:pPr>
    </w:p>
    <w:p w14:paraId="31325815" w14:textId="0B54EA79" w:rsidR="00784DBB" w:rsidRDefault="009D720F" w:rsidP="00784DBB">
      <w:pPr>
        <w:pStyle w:val="ListParagraph"/>
        <w:numPr>
          <w:ilvl w:val="1"/>
          <w:numId w:val="6"/>
        </w:numPr>
        <w:spacing w:after="0"/>
        <w:jc w:val="both"/>
        <w:rPr>
          <w:rFonts w:ascii="Times New Roman" w:eastAsia="Times New Roman" w:hAnsi="Times New Roman" w:cs="Times New Roman"/>
          <w:b/>
          <w:bCs/>
          <w:color w:val="424242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424242"/>
          <w:kern w:val="0"/>
          <w:sz w:val="24"/>
          <w:szCs w:val="24"/>
          <w:lang w:eastAsia="hr-HR"/>
          <w14:ligatures w14:val="none"/>
        </w:rPr>
        <w:t xml:space="preserve"> </w:t>
      </w:r>
      <w:r w:rsidR="00784DBB" w:rsidRPr="005567AE">
        <w:rPr>
          <w:rFonts w:ascii="Times New Roman" w:eastAsia="Times New Roman" w:hAnsi="Times New Roman" w:cs="Times New Roman"/>
          <w:b/>
          <w:bCs/>
          <w:color w:val="424242"/>
          <w:kern w:val="0"/>
          <w:sz w:val="24"/>
          <w:szCs w:val="24"/>
          <w:lang w:eastAsia="hr-HR"/>
          <w14:ligatures w14:val="none"/>
        </w:rPr>
        <w:t xml:space="preserve">Prihvatljive aktivnosti za grupu </w:t>
      </w:r>
      <w:r w:rsidR="00784DBB">
        <w:rPr>
          <w:rFonts w:ascii="Times New Roman" w:eastAsia="Times New Roman" w:hAnsi="Times New Roman" w:cs="Times New Roman"/>
          <w:b/>
          <w:bCs/>
          <w:color w:val="424242"/>
          <w:kern w:val="0"/>
          <w:sz w:val="24"/>
          <w:szCs w:val="24"/>
          <w:lang w:eastAsia="hr-HR"/>
          <w14:ligatures w14:val="none"/>
        </w:rPr>
        <w:t>1</w:t>
      </w:r>
    </w:p>
    <w:p w14:paraId="696A3BA5" w14:textId="77777777" w:rsidR="002619ED" w:rsidRPr="002619ED" w:rsidRDefault="002619ED" w:rsidP="00784DBB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color w:val="424242"/>
          <w:kern w:val="0"/>
          <w:sz w:val="24"/>
          <w:szCs w:val="24"/>
          <w:lang w:eastAsia="hr-HR"/>
          <w14:ligatures w14:val="none"/>
        </w:rPr>
      </w:pPr>
    </w:p>
    <w:p w14:paraId="7EA99665" w14:textId="3D914724" w:rsidR="00D87663" w:rsidRDefault="002619ED" w:rsidP="00F05F60">
      <w:p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</w:pPr>
      <w:bookmarkStart w:id="8" w:name="_Hlk200359119"/>
      <w:r w:rsidRPr="002619ED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Aktivnosti koje su prihvatljive za financiranje:</w:t>
      </w:r>
    </w:p>
    <w:p w14:paraId="5299B002" w14:textId="3E2C7694" w:rsidR="00A15432" w:rsidRPr="001D1570" w:rsidRDefault="00A15432" w:rsidP="001D1570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</w:pPr>
      <w:r w:rsidRPr="00A15432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Mjere usmjerene na osiguranje dostupnosti i pouzdanosti usluge</w:t>
      </w:r>
      <w:r w:rsidR="00FF09F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 javne</w:t>
      </w:r>
      <w:r w:rsidRPr="00A15432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 vodoopskrbe kroz izgradnju/rekonstrukciju dijelova sustava, s ciljem povećanja broja korisnika priključenih na vodoopskrbnu mrežu</w:t>
      </w:r>
      <w:r w:rsidR="0052014E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 i</w:t>
      </w:r>
      <w:r w:rsidRPr="00A15432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 poboljšanja usluge</w:t>
      </w:r>
      <w:r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 javne vodoopskrbe</w:t>
      </w:r>
      <w:r w:rsidRPr="00A15432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 za postojeće korisnike te osiguranja zdravstveno ispravne vode za ljudsku potrošnju</w:t>
      </w:r>
      <w:r w:rsidR="004A207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;</w:t>
      </w:r>
    </w:p>
    <w:p w14:paraId="4BCDF30B" w14:textId="380C4C59" w:rsidR="002619ED" w:rsidRDefault="003F19C0" w:rsidP="005567AE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</w:pPr>
      <w:bookmarkStart w:id="9" w:name="_Hlk207183332"/>
      <w:r w:rsidRPr="001D1570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Mjere usmjerene na osiguranje dostupnosti i pouzdanosti usluge </w:t>
      </w:r>
      <w:r w:rsidR="00FF09F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javne </w:t>
      </w:r>
      <w:r w:rsidRPr="001D1570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odvodnje </w:t>
      </w:r>
      <w:r w:rsidR="00FF09F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otpadnih voda </w:t>
      </w:r>
      <w:r w:rsidRPr="001D1570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kroz izgradnju/rekonstrukciju dijelova sustava, s ciljem povećanja broja korisnika priključenih na mrežu </w:t>
      </w:r>
      <w:r w:rsidR="00FF09F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javne </w:t>
      </w:r>
      <w:r w:rsidRPr="001D1570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odvodnje</w:t>
      </w:r>
      <w:r w:rsidR="00A15432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 </w:t>
      </w:r>
      <w:r w:rsidR="00FF09F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otpadnih voda </w:t>
      </w:r>
      <w:r w:rsidR="0052014E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i</w:t>
      </w:r>
      <w:r w:rsidR="00A15432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 poboljšanja usluge javne odvodnje </w:t>
      </w:r>
      <w:r w:rsidR="00FF09F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otpadnih voda </w:t>
      </w:r>
      <w:r w:rsidR="00A15432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za postojeće korisnike</w:t>
      </w:r>
      <w:r w:rsidR="00B170E2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;</w:t>
      </w:r>
    </w:p>
    <w:p w14:paraId="5FDC394A" w14:textId="43A21EEA" w:rsidR="00E95337" w:rsidRPr="00E95337" w:rsidRDefault="00E95337" w:rsidP="00E95337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</w:pPr>
      <w:r w:rsidRPr="001D1570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Aktivnosti vezane za pripremu projekta (npr. priprema studijske/projektne dokumentacije potrebne za izgradnju/rekonstrukciju sustava javne vodoopskrbe i javne odvodnje otpadnih voda, uključujući izradu glavnih i izvedbenih projekata, plana sanacije/obnove, geodetskih podloga, elaborata zaštite okoliša, ishođenje potrebnih dozvola te druge srodne aktivnosti koje su nužne za realizaciju projekta);</w:t>
      </w:r>
    </w:p>
    <w:bookmarkEnd w:id="9"/>
    <w:p w14:paraId="72C7E409" w14:textId="392D52B3" w:rsidR="002619ED" w:rsidRDefault="001D3F05" w:rsidP="001D1570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</w:pPr>
      <w:r w:rsidRPr="001D1570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U</w:t>
      </w:r>
      <w:r w:rsidR="002619ED" w:rsidRPr="001D1570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sluga nadzora tijekom provedbe projekta</w:t>
      </w:r>
      <w:r w:rsidR="00C40C55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 koji je predmet prijave</w:t>
      </w:r>
      <w:r w:rsidR="004A207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;</w:t>
      </w:r>
    </w:p>
    <w:p w14:paraId="3FCCE0D5" w14:textId="23650405" w:rsidR="00A1386D" w:rsidRPr="00A1386D" w:rsidRDefault="0001182F" w:rsidP="00037841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</w:pPr>
      <w:r w:rsidRPr="00A1386D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U</w:t>
      </w:r>
      <w:bookmarkEnd w:id="8"/>
      <w:r w:rsidR="00A1386D" w:rsidRPr="00A1386D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pravljanj</w:t>
      </w:r>
      <w:r w:rsidR="00A1386D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e</w:t>
      </w:r>
      <w:r w:rsidR="00A1386D" w:rsidRPr="00A1386D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 projektom</w:t>
      </w:r>
      <w:r w:rsidR="00C40C55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 koji je predmet prijave</w:t>
      </w:r>
      <w:r w:rsidR="00A1386D" w:rsidRPr="00A1386D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 za investicije veće od 1.</w:t>
      </w:r>
      <w:r w:rsidR="00A1386D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330</w:t>
      </w:r>
      <w:r w:rsidR="00A1386D" w:rsidRPr="00A1386D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.000,00 </w:t>
      </w:r>
      <w:r w:rsidR="00A1386D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EUR</w:t>
      </w:r>
      <w:r w:rsidR="00A1386D" w:rsidRPr="00A1386D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 (bez PDV-a)</w:t>
      </w:r>
      <w:r w:rsidR="0003784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 sukladno čl. 38. Zakona o poslovima i djelatnostima prostornog uređenja i gradnje</w:t>
      </w:r>
      <w:r w:rsidR="00437262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.</w:t>
      </w:r>
    </w:p>
    <w:p w14:paraId="2B1B5740" w14:textId="31DA1436" w:rsidR="005567AE" w:rsidRDefault="005567AE" w:rsidP="00A1386D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</w:pPr>
    </w:p>
    <w:p w14:paraId="155B30C1" w14:textId="77777777" w:rsidR="008F2F44" w:rsidRPr="00A1386D" w:rsidRDefault="008F2F44" w:rsidP="00A1386D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</w:pPr>
    </w:p>
    <w:p w14:paraId="349363DA" w14:textId="569C56E7" w:rsidR="005567AE" w:rsidRDefault="005567AE" w:rsidP="005567AE">
      <w:pPr>
        <w:pStyle w:val="ListParagraph"/>
        <w:numPr>
          <w:ilvl w:val="1"/>
          <w:numId w:val="6"/>
        </w:numPr>
        <w:spacing w:after="0"/>
        <w:jc w:val="both"/>
        <w:rPr>
          <w:rFonts w:ascii="Times New Roman" w:eastAsia="Times New Roman" w:hAnsi="Times New Roman" w:cs="Times New Roman"/>
          <w:b/>
          <w:bCs/>
          <w:color w:val="424242"/>
          <w:kern w:val="0"/>
          <w:sz w:val="24"/>
          <w:szCs w:val="24"/>
          <w:lang w:eastAsia="hr-HR"/>
          <w14:ligatures w14:val="none"/>
        </w:rPr>
      </w:pPr>
      <w:bookmarkStart w:id="10" w:name="_Hlk201867528"/>
      <w:r w:rsidRPr="005567AE">
        <w:rPr>
          <w:rFonts w:ascii="Times New Roman" w:eastAsia="Times New Roman" w:hAnsi="Times New Roman" w:cs="Times New Roman"/>
          <w:b/>
          <w:bCs/>
          <w:color w:val="424242"/>
          <w:kern w:val="0"/>
          <w:sz w:val="24"/>
          <w:szCs w:val="24"/>
          <w:lang w:eastAsia="hr-HR"/>
          <w14:ligatures w14:val="none"/>
        </w:rPr>
        <w:t xml:space="preserve"> Prihvatljive aktivnosti za grupu 2</w:t>
      </w:r>
    </w:p>
    <w:bookmarkEnd w:id="10"/>
    <w:p w14:paraId="443CF07C" w14:textId="77777777" w:rsidR="005567AE" w:rsidRDefault="005567AE" w:rsidP="005567AE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color w:val="424242"/>
          <w:kern w:val="0"/>
          <w:sz w:val="24"/>
          <w:szCs w:val="24"/>
          <w:lang w:eastAsia="hr-HR"/>
          <w14:ligatures w14:val="none"/>
        </w:rPr>
      </w:pPr>
    </w:p>
    <w:p w14:paraId="0DF0A95F" w14:textId="77777777" w:rsidR="00125CF8" w:rsidRDefault="00125CF8" w:rsidP="00125CF8">
      <w:p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</w:pPr>
      <w:r w:rsidRPr="002619ED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Aktivnosti koje su prihvatljive za financiranje:</w:t>
      </w:r>
    </w:p>
    <w:p w14:paraId="7F72F69F" w14:textId="1B37AD11" w:rsidR="00125CF8" w:rsidRDefault="004A2073" w:rsidP="004A2073">
      <w:pPr>
        <w:pStyle w:val="ListParagraph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</w:pPr>
      <w:r w:rsidRPr="004A207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Mjere usmjerene na osiguranje dostupnosti i pouzdanosti usluge </w:t>
      </w:r>
      <w:r w:rsidR="00FF09F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javne </w:t>
      </w:r>
      <w:r w:rsidRPr="004A207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vodoopskrbe kroz izgradnju/rekonstrukciju dijelova sustava</w:t>
      </w:r>
      <w:r w:rsidR="00F147E5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 uključujući i </w:t>
      </w:r>
      <w:proofErr w:type="spellStart"/>
      <w:r w:rsidR="00F147E5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des</w:t>
      </w:r>
      <w:r w:rsidR="00704402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a</w:t>
      </w:r>
      <w:r w:rsidR="00F147E5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linizatore</w:t>
      </w:r>
      <w:proofErr w:type="spellEnd"/>
      <w:r w:rsidRPr="004A207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, s ciljem povećanja broja korisnika priključenih na vodoopskrbnu mrežu i poboljšanja usluge javne vodoopskrbe za postojeće korisnike te osiguranja zdravstveno ispravne vode za ljudsku potrošnju</w:t>
      </w:r>
      <w:r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;</w:t>
      </w:r>
    </w:p>
    <w:p w14:paraId="33023351" w14:textId="724379AA" w:rsidR="00DB64D6" w:rsidRDefault="00DB64D6" w:rsidP="00E278CE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</w:pPr>
      <w:r w:rsidRPr="001D1570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Mjere usmjerene na osiguranje dostupnosti i pouzdanosti usluge </w:t>
      </w:r>
      <w:r w:rsidR="00FF09F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javne </w:t>
      </w:r>
      <w:r w:rsidRPr="001D1570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odvodnje</w:t>
      </w:r>
      <w:r w:rsidR="00FF09F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 otpadnih voda</w:t>
      </w:r>
      <w:r w:rsidRPr="001D1570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 kroz izgradnju/rekonstrukciju dijelova sustava, s ciljem povećanja broja korisnika priključenih na mrežu </w:t>
      </w:r>
      <w:r w:rsidR="00FF09F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javne </w:t>
      </w:r>
      <w:r w:rsidRPr="001D1570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odvodnje</w:t>
      </w:r>
      <w:r w:rsidR="00FF09F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 otpadnih voda</w:t>
      </w:r>
      <w:r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 i poboljšanja usluge javne odvodnje </w:t>
      </w:r>
      <w:r w:rsidR="00FF09F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otpadnih voda </w:t>
      </w:r>
      <w:r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za postojeće korisnike;</w:t>
      </w:r>
    </w:p>
    <w:p w14:paraId="4561DF43" w14:textId="00CF07FD" w:rsidR="00E95337" w:rsidRPr="00E95337" w:rsidRDefault="00E95337" w:rsidP="00E95337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</w:pPr>
      <w:r w:rsidRPr="001D1570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Aktivnosti vezane za pripremu projekta (npr. priprema studijske/projektne dokumentacije potrebne za izgradnju/rekonstrukciju sustava javne vodoopskrbe</w:t>
      </w:r>
      <w:r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 </w:t>
      </w:r>
      <w:r w:rsidRPr="001D1570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i javne odvodnje otpadnih voda, uključujući izradu glavnih i izvedbenih projekata, geodetskih podloga, elaborata zaštite okoliša, ishođenje potrebnih dozvola te druge srodne aktivnosti koje su nužne za realizaciju projekta);</w:t>
      </w:r>
    </w:p>
    <w:p w14:paraId="7F9F8824" w14:textId="196EEE65" w:rsidR="00125CF8" w:rsidRDefault="00125CF8" w:rsidP="001D1570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</w:pPr>
      <w:r w:rsidRPr="001D1570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Usluga nadzora tijekom provedbe projekta</w:t>
      </w:r>
      <w:r w:rsidR="00C40C55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 koji je predmet prijave</w:t>
      </w:r>
      <w:r w:rsidR="004A207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;</w:t>
      </w:r>
    </w:p>
    <w:p w14:paraId="385C33D1" w14:textId="40E99BAC" w:rsidR="00A800F8" w:rsidRPr="00A1386D" w:rsidRDefault="00A1386D" w:rsidP="00A1386D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</w:pPr>
      <w:r w:rsidRPr="00A1386D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Upravljanje projektom</w:t>
      </w:r>
      <w:r w:rsidR="00C40C55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 koji je predmet prijave</w:t>
      </w:r>
      <w:r w:rsidRPr="00A1386D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 za investicije veće od 1.330.000,00 EUR (bez PDV-a)</w:t>
      </w:r>
      <w:r w:rsidR="00E95337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 sukladno čl. 38. Zakona o poslovima i djelatnostima prostornog uređenja i gradnje</w:t>
      </w:r>
      <w:r w:rsidR="00437262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.</w:t>
      </w:r>
    </w:p>
    <w:p w14:paraId="4B552576" w14:textId="77777777" w:rsidR="00677CDA" w:rsidRPr="00677CDA" w:rsidRDefault="00677CDA" w:rsidP="00677CDA">
      <w:pPr>
        <w:rPr>
          <w:lang w:eastAsia="hr-HR"/>
        </w:rPr>
      </w:pPr>
    </w:p>
    <w:p w14:paraId="5E017838" w14:textId="25FBE7F3" w:rsidR="002619ED" w:rsidRPr="00147A65" w:rsidRDefault="00147A65" w:rsidP="00A800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424242"/>
          <w:kern w:val="0"/>
          <w:sz w:val="27"/>
          <w:szCs w:val="27"/>
          <w:lang w:eastAsia="hr-HR"/>
          <w14:ligatures w14:val="none"/>
        </w:rPr>
      </w:pPr>
      <w:bookmarkStart w:id="11" w:name="_Hlk187747174"/>
      <w:r w:rsidRPr="00147A65">
        <w:rPr>
          <w:rFonts w:ascii="Times New Roman" w:eastAsia="Times New Roman" w:hAnsi="Times New Roman" w:cs="Times New Roman"/>
          <w:b/>
          <w:bCs/>
          <w:color w:val="424242"/>
          <w:kern w:val="0"/>
          <w:sz w:val="27"/>
          <w:szCs w:val="27"/>
          <w:lang w:eastAsia="hr-HR"/>
          <w14:ligatures w14:val="none"/>
        </w:rPr>
        <w:t>3</w:t>
      </w:r>
      <w:r w:rsidR="00A800F8" w:rsidRPr="00147A65">
        <w:rPr>
          <w:rFonts w:ascii="Times New Roman" w:eastAsia="Times New Roman" w:hAnsi="Times New Roman" w:cs="Times New Roman"/>
          <w:b/>
          <w:bCs/>
          <w:color w:val="424242"/>
          <w:kern w:val="0"/>
          <w:sz w:val="27"/>
          <w:szCs w:val="27"/>
          <w:lang w:eastAsia="hr-HR"/>
          <w14:ligatures w14:val="none"/>
        </w:rPr>
        <w:t xml:space="preserve">. </w:t>
      </w:r>
      <w:r w:rsidR="002619ED" w:rsidRPr="00147A65">
        <w:rPr>
          <w:rFonts w:ascii="Times New Roman" w:eastAsia="Times New Roman" w:hAnsi="Times New Roman" w:cs="Times New Roman"/>
          <w:b/>
          <w:bCs/>
          <w:color w:val="424242"/>
          <w:kern w:val="0"/>
          <w:sz w:val="27"/>
          <w:szCs w:val="27"/>
          <w:lang w:eastAsia="hr-HR"/>
          <w14:ligatures w14:val="none"/>
        </w:rPr>
        <w:t>OSIGURANJE SREDSTAVA</w:t>
      </w:r>
    </w:p>
    <w:bookmarkEnd w:id="11"/>
    <w:p w14:paraId="796DD85A" w14:textId="77777777" w:rsidR="002619ED" w:rsidRPr="002619ED" w:rsidRDefault="002619ED" w:rsidP="002619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</w:pPr>
    </w:p>
    <w:p w14:paraId="3B02064C" w14:textId="0BB3FAE0" w:rsidR="00775FF0" w:rsidRPr="00DF3525" w:rsidRDefault="00775FF0" w:rsidP="00DF35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</w:pPr>
      <w:r w:rsidRPr="00DF3525">
        <w:rPr>
          <w:rFonts w:ascii="Times New Roman" w:hAnsi="Times New Roman" w:cs="Times New Roman"/>
          <w:sz w:val="24"/>
          <w:szCs w:val="24"/>
        </w:rPr>
        <w:t xml:space="preserve">Ukupan raspoloživ iznos sredstava za dodjelu u okviru ovog Poziva iznosi </w:t>
      </w:r>
      <w:r w:rsidR="00A2791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CC7A2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C7A25" w:rsidRPr="00CC7A25">
        <w:rPr>
          <w:rFonts w:ascii="Times New Roman" w:hAnsi="Times New Roman" w:cs="Times New Roman"/>
          <w:b/>
          <w:bCs/>
          <w:sz w:val="24"/>
          <w:szCs w:val="24"/>
        </w:rPr>
        <w:t>000</w:t>
      </w:r>
      <w:r w:rsidRPr="00CC7A25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CC7A25" w:rsidRPr="00CC7A25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CC7A25">
        <w:rPr>
          <w:rFonts w:ascii="Times New Roman" w:hAnsi="Times New Roman" w:cs="Times New Roman"/>
          <w:b/>
          <w:bCs/>
          <w:sz w:val="24"/>
          <w:szCs w:val="24"/>
        </w:rPr>
        <w:t>,00 EUR</w:t>
      </w:r>
      <w:r w:rsidRPr="00CC7A25">
        <w:rPr>
          <w:rFonts w:ascii="Times New Roman" w:hAnsi="Times New Roman" w:cs="Times New Roman"/>
          <w:sz w:val="24"/>
          <w:szCs w:val="24"/>
        </w:rPr>
        <w:t>,</w:t>
      </w:r>
      <w:r w:rsidRPr="00DF3525">
        <w:rPr>
          <w:rFonts w:ascii="Times New Roman" w:hAnsi="Times New Roman" w:cs="Times New Roman"/>
          <w:sz w:val="24"/>
          <w:szCs w:val="24"/>
        </w:rPr>
        <w:t xml:space="preserve"> osiguranih u Državnom proračunu Republike Hrvatske, raspoređenih indikativno na dvije zasebne grupe i po godinama kako slijedi:</w:t>
      </w:r>
    </w:p>
    <w:p w14:paraId="57B86A8C" w14:textId="0A67CB11" w:rsidR="00775FF0" w:rsidRPr="00A800F8" w:rsidRDefault="00775FF0" w:rsidP="00692D54">
      <w:pPr>
        <w:pStyle w:val="NormalWeb"/>
        <w:numPr>
          <w:ilvl w:val="0"/>
          <w:numId w:val="14"/>
        </w:numPr>
        <w:jc w:val="both"/>
      </w:pPr>
      <w:r w:rsidRPr="00A800F8">
        <w:rPr>
          <w:rStyle w:val="Strong"/>
          <w:rFonts w:eastAsiaTheme="majorEastAsia"/>
        </w:rPr>
        <w:t>Grupa 1:</w:t>
      </w:r>
      <w:r w:rsidRPr="00A800F8">
        <w:t xml:space="preserve"> Projekti izgradnje/rekonstrukcije sustava javne vodoopskrbe i </w:t>
      </w:r>
      <w:r w:rsidR="00FF09F1">
        <w:t xml:space="preserve">javne </w:t>
      </w:r>
      <w:r w:rsidRPr="00A800F8">
        <w:t xml:space="preserve">odvodnje </w:t>
      </w:r>
      <w:r w:rsidR="00FF09F1">
        <w:t xml:space="preserve">otpadnih voda </w:t>
      </w:r>
      <w:r w:rsidRPr="00A800F8">
        <w:t>na područjima pogođenim potres</w:t>
      </w:r>
      <w:r w:rsidR="00D63981">
        <w:t>i</w:t>
      </w:r>
      <w:r w:rsidRPr="00A800F8">
        <w:t>m</w:t>
      </w:r>
      <w:r w:rsidR="00D63981">
        <w:t>a</w:t>
      </w:r>
      <w:r w:rsidRPr="00A800F8">
        <w:t xml:space="preserve"> (slabije razvijena područja) – ukupno </w:t>
      </w:r>
      <w:r w:rsidR="00A27914">
        <w:rPr>
          <w:rStyle w:val="Strong"/>
          <w:rFonts w:eastAsiaTheme="majorEastAsia"/>
        </w:rPr>
        <w:t>4</w:t>
      </w:r>
      <w:r w:rsidRPr="00A800F8">
        <w:rPr>
          <w:rStyle w:val="Strong"/>
          <w:rFonts w:eastAsiaTheme="majorEastAsia"/>
        </w:rPr>
        <w:t>.</w:t>
      </w:r>
      <w:r w:rsidR="00A27914">
        <w:rPr>
          <w:rStyle w:val="Strong"/>
          <w:rFonts w:eastAsiaTheme="majorEastAsia"/>
        </w:rPr>
        <w:t>0</w:t>
      </w:r>
      <w:r w:rsidR="00CC7A25">
        <w:rPr>
          <w:rStyle w:val="Strong"/>
          <w:rFonts w:eastAsiaTheme="majorEastAsia"/>
        </w:rPr>
        <w:t>00</w:t>
      </w:r>
      <w:r w:rsidRPr="00A800F8">
        <w:rPr>
          <w:rStyle w:val="Strong"/>
          <w:rFonts w:eastAsiaTheme="majorEastAsia"/>
        </w:rPr>
        <w:t>.</w:t>
      </w:r>
      <w:r w:rsidR="00CC7A25">
        <w:rPr>
          <w:rStyle w:val="Strong"/>
          <w:rFonts w:eastAsiaTheme="majorEastAsia"/>
        </w:rPr>
        <w:t>000</w:t>
      </w:r>
      <w:r w:rsidRPr="00A800F8">
        <w:rPr>
          <w:rStyle w:val="Strong"/>
          <w:rFonts w:eastAsiaTheme="majorEastAsia"/>
        </w:rPr>
        <w:t>,00 EUR</w:t>
      </w:r>
      <w:r w:rsidRPr="00A800F8">
        <w:t xml:space="preserve"> raspoređeno po godinama:</w:t>
      </w:r>
    </w:p>
    <w:p w14:paraId="58DC6E00" w14:textId="33E2E4C5" w:rsidR="00775FF0" w:rsidRPr="00A800F8" w:rsidRDefault="00A27914" w:rsidP="00775FF0">
      <w:pPr>
        <w:pStyle w:val="NormalWeb"/>
        <w:numPr>
          <w:ilvl w:val="1"/>
          <w:numId w:val="15"/>
        </w:numPr>
      </w:pPr>
      <w:r>
        <w:t>2</w:t>
      </w:r>
      <w:r w:rsidR="00775FF0" w:rsidRPr="00A800F8">
        <w:t>.</w:t>
      </w:r>
      <w:r>
        <w:t>0</w:t>
      </w:r>
      <w:r w:rsidR="00CC7A25">
        <w:t>00.000</w:t>
      </w:r>
      <w:r w:rsidR="00775FF0" w:rsidRPr="00A800F8">
        <w:t>,00 EUR za 2025. godinu,</w:t>
      </w:r>
    </w:p>
    <w:p w14:paraId="1B74DA7B" w14:textId="1BB4A550" w:rsidR="00775FF0" w:rsidRPr="00A800F8" w:rsidRDefault="00775FF0" w:rsidP="00775FF0">
      <w:pPr>
        <w:pStyle w:val="NormalWeb"/>
        <w:numPr>
          <w:ilvl w:val="1"/>
          <w:numId w:val="15"/>
        </w:numPr>
      </w:pPr>
      <w:r w:rsidRPr="00A800F8">
        <w:t>2.000.000,00 EUR za 2026. godinu,</w:t>
      </w:r>
    </w:p>
    <w:p w14:paraId="11753429" w14:textId="7D93424E" w:rsidR="00775FF0" w:rsidRPr="00A800F8" w:rsidRDefault="00775FF0" w:rsidP="00692D54">
      <w:pPr>
        <w:pStyle w:val="NormalWeb"/>
        <w:numPr>
          <w:ilvl w:val="0"/>
          <w:numId w:val="14"/>
        </w:numPr>
        <w:jc w:val="both"/>
      </w:pPr>
      <w:r w:rsidRPr="00A800F8">
        <w:rPr>
          <w:rStyle w:val="Strong"/>
          <w:rFonts w:eastAsiaTheme="majorEastAsia"/>
        </w:rPr>
        <w:t>Grupa 2:</w:t>
      </w:r>
      <w:r w:rsidRPr="00A800F8">
        <w:t xml:space="preserve"> Projekti izgradnje/rekonstrukcije sustava javne vodoopskrbe </w:t>
      </w:r>
      <w:r w:rsidR="00DB64D6" w:rsidRPr="00E278CE">
        <w:t>i javne odvodnje otpadnih voda</w:t>
      </w:r>
      <w:r w:rsidR="00DB64D6" w:rsidRPr="006E0BC1">
        <w:rPr>
          <w:b/>
          <w:bCs/>
        </w:rPr>
        <w:t xml:space="preserve"> </w:t>
      </w:r>
      <w:r w:rsidRPr="00A800F8">
        <w:t xml:space="preserve">na otocima – ukupno </w:t>
      </w:r>
      <w:r w:rsidR="00A27914">
        <w:rPr>
          <w:rStyle w:val="Strong"/>
          <w:rFonts w:eastAsiaTheme="majorEastAsia"/>
        </w:rPr>
        <w:t>4</w:t>
      </w:r>
      <w:r w:rsidRPr="00A800F8">
        <w:rPr>
          <w:rStyle w:val="Strong"/>
          <w:rFonts w:eastAsiaTheme="majorEastAsia"/>
        </w:rPr>
        <w:t>.</w:t>
      </w:r>
      <w:r w:rsidR="00A27914">
        <w:rPr>
          <w:rStyle w:val="Strong"/>
          <w:rFonts w:eastAsiaTheme="majorEastAsia"/>
        </w:rPr>
        <w:t>0</w:t>
      </w:r>
      <w:r w:rsidR="00CC7A25">
        <w:rPr>
          <w:rStyle w:val="Strong"/>
          <w:rFonts w:eastAsiaTheme="majorEastAsia"/>
        </w:rPr>
        <w:t>00.000</w:t>
      </w:r>
      <w:r w:rsidRPr="00A800F8">
        <w:rPr>
          <w:rStyle w:val="Strong"/>
          <w:rFonts w:eastAsiaTheme="majorEastAsia"/>
        </w:rPr>
        <w:t>,00 EUR</w:t>
      </w:r>
      <w:r w:rsidRPr="00A800F8">
        <w:t xml:space="preserve"> raspoređeno po godinama:</w:t>
      </w:r>
    </w:p>
    <w:p w14:paraId="585EBFAA" w14:textId="7DE9D0AC" w:rsidR="00775FF0" w:rsidRPr="00A800F8" w:rsidRDefault="00A27914" w:rsidP="00A800F8">
      <w:pPr>
        <w:pStyle w:val="NormalWeb"/>
        <w:numPr>
          <w:ilvl w:val="1"/>
          <w:numId w:val="16"/>
        </w:numPr>
      </w:pPr>
      <w:r>
        <w:t>2</w:t>
      </w:r>
      <w:r w:rsidR="00775FF0" w:rsidRPr="00A800F8">
        <w:t>.</w:t>
      </w:r>
      <w:r>
        <w:t>0</w:t>
      </w:r>
      <w:r w:rsidR="00CC7A25">
        <w:t>00.000</w:t>
      </w:r>
      <w:r w:rsidR="00775FF0" w:rsidRPr="00A800F8">
        <w:t>,00 EUR</w:t>
      </w:r>
      <w:r w:rsidR="00A800F8" w:rsidRPr="00A800F8">
        <w:t xml:space="preserve"> za 2025. godinu,</w:t>
      </w:r>
    </w:p>
    <w:p w14:paraId="45EBD47E" w14:textId="36C305E0" w:rsidR="00775FF0" w:rsidRPr="00A800F8" w:rsidRDefault="00775FF0" w:rsidP="00A800F8">
      <w:pPr>
        <w:pStyle w:val="NormalWeb"/>
        <w:numPr>
          <w:ilvl w:val="1"/>
          <w:numId w:val="16"/>
        </w:numPr>
      </w:pPr>
      <w:r w:rsidRPr="00A800F8">
        <w:t>2.000.000,00 EUR</w:t>
      </w:r>
      <w:r w:rsidR="00A800F8" w:rsidRPr="00A800F8">
        <w:t xml:space="preserve"> za 2026. godinu,</w:t>
      </w:r>
    </w:p>
    <w:p w14:paraId="45AE1B64" w14:textId="04E938C6" w:rsidR="00D31BD1" w:rsidRDefault="00D31BD1" w:rsidP="00D31BD1">
      <w:pPr>
        <w:pStyle w:val="NormalWeb"/>
        <w:jc w:val="both"/>
      </w:pPr>
      <w:r w:rsidRPr="00D31BD1">
        <w:t xml:space="preserve">Sredstva predviđena </w:t>
      </w:r>
      <w:r>
        <w:t xml:space="preserve">po godinama </w:t>
      </w:r>
      <w:r w:rsidRPr="00D31BD1">
        <w:t>za svaku grupu projekata određena su na indikativnoj osnovi. Naručitelj zadržava pravo preraspodjele sredstava između grupa, ovisno o iskazanom interesu i broju prihvatljivih prijava po pojedinoj grupi. U slučaju nedovoljnog interesa za projekte unutar jedne grupe, sredstva se mogu prenamijeniti za financiranje projekata iz druge grupe, s ciljem učinkovitog korištenja ukupno raspoloživih sredstava predviđenih ovim Pozivom.</w:t>
      </w:r>
    </w:p>
    <w:p w14:paraId="64938F17" w14:textId="4098EC4D" w:rsidR="00375F89" w:rsidRPr="00A800F8" w:rsidRDefault="00375F89" w:rsidP="00D31BD1">
      <w:pPr>
        <w:pStyle w:val="NormalWeb"/>
        <w:jc w:val="both"/>
      </w:pPr>
      <w:r w:rsidRPr="00A800F8">
        <w:lastRenderedPageBreak/>
        <w:t xml:space="preserve">Sredstva su namijenjena isključivo za financiranje aktivnosti u godini za koju su osigurana. Ukoliko u pojedinoj godini ne dođe do potpune iskorištenosti sredstava, neutrošena sredstva </w:t>
      </w:r>
      <w:r w:rsidRPr="00BB742D">
        <w:t>ne mogu se prenijeti u sljedeću godinu.</w:t>
      </w:r>
    </w:p>
    <w:p w14:paraId="374981A0" w14:textId="5B82E2D7" w:rsidR="009129C4" w:rsidRPr="001E0389" w:rsidRDefault="009129C4" w:rsidP="009129C4">
      <w:pPr>
        <w:pStyle w:val="NormalWeb"/>
        <w:jc w:val="both"/>
      </w:pPr>
      <w:r w:rsidRPr="001E0389">
        <w:t xml:space="preserve">Postupak dodjele započinje zaprimanjem prvog zahtjeva za dodjelu sredstava, a rok za podnošenje zahtjeva ističe danom odobrenja posljednjeg </w:t>
      </w:r>
      <w:r w:rsidR="007F558D" w:rsidRPr="001E0389">
        <w:t>zahtjeva</w:t>
      </w:r>
      <w:r w:rsidRPr="001E0389">
        <w:t xml:space="preserve"> koji udovolji svim kriterijima utvrđenima za predmetni postupak dodjele, a kojim se iscrpljuju raspoloživa financijska sredstva, odnosno do krajnjeg roka za podnošenje </w:t>
      </w:r>
      <w:r w:rsidR="007F558D" w:rsidRPr="001E0389">
        <w:t>zahtjeva</w:t>
      </w:r>
      <w:r w:rsidRPr="001E0389">
        <w:t xml:space="preserve"> (</w:t>
      </w:r>
      <w:r w:rsidR="009A441E" w:rsidRPr="001E0389">
        <w:t>30</w:t>
      </w:r>
      <w:r w:rsidRPr="001E0389">
        <w:t xml:space="preserve"> dana od dana objave Poziva). Redoslijed pregleda zaprimljenih </w:t>
      </w:r>
      <w:r w:rsidR="007F558D" w:rsidRPr="001E0389">
        <w:t>zahtjeva za dodjelu sredstava</w:t>
      </w:r>
      <w:r w:rsidRPr="001E0389">
        <w:t xml:space="preserve"> vršit će se prema datumu zaprimanja, a u slučaju potrebe za pregovaranje s prijaviteljem te unošenja ispravaka kao novi datum zaprimanja smatrat će se datum dostavljenih ispravaka dokumentacije te će sv</w:t>
      </w:r>
      <w:r w:rsidR="007F558D" w:rsidRPr="001E0389">
        <w:t>i</w:t>
      </w:r>
      <w:r w:rsidRPr="001E0389">
        <w:t xml:space="preserve"> </w:t>
      </w:r>
      <w:r w:rsidR="007F558D" w:rsidRPr="001E0389">
        <w:t xml:space="preserve">zahtjevi </w:t>
      </w:r>
      <w:r w:rsidRPr="001E0389">
        <w:t>koj</w:t>
      </w:r>
      <w:r w:rsidR="007F558D" w:rsidRPr="001E0389">
        <w:t>i</w:t>
      </w:r>
      <w:r w:rsidRPr="001E0389">
        <w:t xml:space="preserve"> su zaprimljen</w:t>
      </w:r>
      <w:r w:rsidR="007F558D" w:rsidRPr="001E0389">
        <w:t>i</w:t>
      </w:r>
      <w:r w:rsidRPr="001E0389">
        <w:t xml:space="preserve"> u međuvremenu (do novog datuma dostave) imati prednost pregleda u odnosu na t</w:t>
      </w:r>
      <w:r w:rsidR="007F558D" w:rsidRPr="001E0389">
        <w:t>aj</w:t>
      </w:r>
      <w:r w:rsidRPr="001E0389">
        <w:t xml:space="preserve"> </w:t>
      </w:r>
      <w:r w:rsidR="007F558D" w:rsidRPr="001E0389">
        <w:t>zahtjev</w:t>
      </w:r>
      <w:r w:rsidRPr="001E0389">
        <w:t xml:space="preserve">. Krajnji rok za dostavu ispravaka istovjetan je krajnjem roku za podnošenje </w:t>
      </w:r>
      <w:r w:rsidR="007F558D" w:rsidRPr="001E0389">
        <w:t>zahtjeva</w:t>
      </w:r>
      <w:r w:rsidRPr="001E0389">
        <w:t xml:space="preserve"> (</w:t>
      </w:r>
      <w:r w:rsidR="009A441E" w:rsidRPr="001E0389">
        <w:t xml:space="preserve">30 </w:t>
      </w:r>
      <w:r w:rsidRPr="001E0389">
        <w:t>dana od dana objave Poziva), odnosno do iscrpljenja raspoloživih financijskih sredstava.</w:t>
      </w:r>
    </w:p>
    <w:p w14:paraId="7D6E0088" w14:textId="2EBE881B" w:rsidR="00CD29D0" w:rsidRDefault="00375F89" w:rsidP="001D1570">
      <w:pPr>
        <w:pStyle w:val="NormalWeb"/>
        <w:jc w:val="both"/>
      </w:pPr>
      <w:r w:rsidRPr="00E224EA">
        <w:t>Sufinanciranje Ministarstva iznosi 70 %, dok je preostalih 30 % obvezan osigurati javni isporučitelj vodnih usluga ili jedinic</w:t>
      </w:r>
      <w:r w:rsidR="009A441E" w:rsidRPr="00E224EA">
        <w:t>e</w:t>
      </w:r>
      <w:r w:rsidRPr="00E224EA">
        <w:t xml:space="preserve"> lokalne samouprave (JLS</w:t>
      </w:r>
      <w:r w:rsidR="00A24C77">
        <w:t>-</w:t>
      </w:r>
      <w:r w:rsidR="009A441E" w:rsidRPr="00E224EA">
        <w:t>ovi</w:t>
      </w:r>
      <w:r w:rsidRPr="00E224EA">
        <w:t>)</w:t>
      </w:r>
      <w:r w:rsidR="009A441E" w:rsidRPr="00E224EA">
        <w:t xml:space="preserve"> na području obuhvata projekta</w:t>
      </w:r>
      <w:r w:rsidRPr="00E224EA">
        <w:t>.</w:t>
      </w:r>
    </w:p>
    <w:p w14:paraId="42631981" w14:textId="77777777" w:rsidR="00DD2328" w:rsidRPr="00DD2328" w:rsidRDefault="00DD2328" w:rsidP="00DD23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424242"/>
          <w:kern w:val="0"/>
          <w:sz w:val="24"/>
          <w:szCs w:val="24"/>
          <w:lang w:eastAsia="hr-HR"/>
          <w14:ligatures w14:val="none"/>
        </w:rPr>
      </w:pPr>
      <w:r w:rsidRPr="00DD2328">
        <w:rPr>
          <w:rFonts w:ascii="Times New Roman" w:eastAsia="Times New Roman" w:hAnsi="Times New Roman" w:cs="Times New Roman"/>
          <w:b/>
          <w:bCs/>
          <w:color w:val="424242"/>
          <w:kern w:val="0"/>
          <w:sz w:val="24"/>
          <w:szCs w:val="24"/>
          <w:lang w:eastAsia="hr-HR"/>
          <w14:ligatures w14:val="none"/>
        </w:rPr>
        <w:t>Posebne napomene:</w:t>
      </w:r>
    </w:p>
    <w:p w14:paraId="4BBCCC28" w14:textId="2A930C64" w:rsidR="002619ED" w:rsidRPr="002619ED" w:rsidRDefault="00DD2328" w:rsidP="002619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</w:pPr>
      <w:r w:rsidRPr="00DD2328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Pod drugim izvorima, odnosno dvostrukim financiranjem </w:t>
      </w:r>
      <w:r w:rsidRPr="00B952A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ne smatraju se troškovi koji su prethodno pokriveni sredstvima JLS-a ili javnog isporučitelja vodnih usluga.</w:t>
      </w:r>
      <w:r w:rsidRPr="00DD2328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 U slučaju da je trošak plaćen od strane </w:t>
      </w:r>
      <w:proofErr w:type="spellStart"/>
      <w:r w:rsidRPr="00DD2328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JLSa</w:t>
      </w:r>
      <w:proofErr w:type="spellEnd"/>
      <w:r w:rsidRPr="00DD2328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 sredstva se trebaju vratiti </w:t>
      </w:r>
      <w:proofErr w:type="spellStart"/>
      <w:r w:rsidRPr="00DD2328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JLSu</w:t>
      </w:r>
      <w:proofErr w:type="spellEnd"/>
      <w:r w:rsidRPr="00DD2328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 uz odgovarajući dokaz koji se dostavlja Ministarstvu.</w:t>
      </w:r>
    </w:p>
    <w:p w14:paraId="24F0EA1B" w14:textId="6D299432" w:rsidR="002619ED" w:rsidRPr="00147A65" w:rsidRDefault="00147A65" w:rsidP="00A800F8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424242"/>
          <w:kern w:val="0"/>
          <w:sz w:val="27"/>
          <w:szCs w:val="27"/>
          <w:lang w:eastAsia="hr-HR"/>
          <w14:ligatures w14:val="none"/>
        </w:rPr>
      </w:pPr>
      <w:r w:rsidRPr="00147A65">
        <w:rPr>
          <w:rFonts w:ascii="Times New Roman" w:eastAsia="Times New Roman" w:hAnsi="Times New Roman" w:cs="Times New Roman"/>
          <w:b/>
          <w:bCs/>
          <w:color w:val="424242"/>
          <w:kern w:val="0"/>
          <w:sz w:val="27"/>
          <w:szCs w:val="27"/>
          <w:lang w:eastAsia="hr-HR"/>
          <w14:ligatures w14:val="none"/>
        </w:rPr>
        <w:t>4</w:t>
      </w:r>
      <w:r w:rsidR="00A800F8" w:rsidRPr="00147A65">
        <w:rPr>
          <w:rFonts w:ascii="Times New Roman" w:eastAsia="Times New Roman" w:hAnsi="Times New Roman" w:cs="Times New Roman"/>
          <w:b/>
          <w:bCs/>
          <w:color w:val="424242"/>
          <w:kern w:val="0"/>
          <w:sz w:val="27"/>
          <w:szCs w:val="27"/>
          <w:lang w:eastAsia="hr-HR"/>
          <w14:ligatures w14:val="none"/>
        </w:rPr>
        <w:t>.</w:t>
      </w:r>
      <w:r w:rsidR="002619ED" w:rsidRPr="00147A65">
        <w:rPr>
          <w:rFonts w:ascii="Times New Roman" w:eastAsia="Times New Roman" w:hAnsi="Times New Roman" w:cs="Times New Roman"/>
          <w:b/>
          <w:bCs/>
          <w:color w:val="424242"/>
          <w:kern w:val="0"/>
          <w:sz w:val="27"/>
          <w:szCs w:val="27"/>
          <w:lang w:eastAsia="hr-HR"/>
          <w14:ligatures w14:val="none"/>
        </w:rPr>
        <w:t> PROCEDURA I DOKUMENTACIJA ZA PODNOŠENJE PRIJAVE</w:t>
      </w:r>
    </w:p>
    <w:p w14:paraId="7B3C2578" w14:textId="77777777" w:rsidR="00A800F8" w:rsidRPr="002619ED" w:rsidRDefault="00A800F8" w:rsidP="00A800F8">
      <w:pPr>
        <w:shd w:val="clear" w:color="auto" w:fill="FFFFFF"/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color w:val="424242"/>
          <w:kern w:val="0"/>
          <w:sz w:val="24"/>
          <w:szCs w:val="24"/>
          <w:lang w:eastAsia="hr-HR"/>
          <w14:ligatures w14:val="none"/>
        </w:rPr>
      </w:pPr>
    </w:p>
    <w:p w14:paraId="4951E3E7" w14:textId="77777777" w:rsidR="002619ED" w:rsidRPr="002619ED" w:rsidRDefault="002619ED" w:rsidP="00A035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619E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Zahtjev za dodjelu sredstava podnosi se putem obrasca iz priloga, s pripadajućom dokumentacijom:</w:t>
      </w:r>
    </w:p>
    <w:p w14:paraId="0B173CC6" w14:textId="2018B160" w:rsidR="000D18F9" w:rsidRPr="00D13469" w:rsidRDefault="002619ED" w:rsidP="00692D5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619E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dostavom poštom na adresu: </w:t>
      </w:r>
      <w:r w:rsidR="00E224E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Ministarstvo zaštite okoliša i zelene tranzicije (</w:t>
      </w:r>
      <w:r w:rsidR="00566C4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</w:t>
      </w:r>
      <w:r w:rsidR="00E224E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prava vodnoga gospodarstva), Radnička</w:t>
      </w:r>
      <w:r w:rsidR="00566C4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cesta</w:t>
      </w:r>
      <w:r w:rsidR="00E224E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80</w:t>
      </w:r>
      <w:r w:rsidR="00E409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10000 Zagreb</w:t>
      </w:r>
      <w:r w:rsidR="000D18F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0D18F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ili putem e-maila: </w:t>
      </w:r>
      <w:hyperlink r:id="rId8" w:history="1">
        <w:r w:rsidR="000D18F9" w:rsidRPr="000D18F9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hr-HR"/>
            <w14:ligatures w14:val="none"/>
          </w:rPr>
          <w:t>Tajnica.UVG@mzozt.hr</w:t>
        </w:r>
      </w:hyperlink>
      <w:r w:rsidR="000D18F9" w:rsidRPr="000D18F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0D18F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(s naznakom:</w:t>
      </w:r>
      <w:r w:rsidR="00437262" w:rsidRPr="000D18F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566C45" w:rsidRPr="000D18F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''</w:t>
      </w:r>
      <w:r w:rsidR="00B2263F" w:rsidRPr="000D18F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Javni poziv za dodjelu sredstava za pokrivanje troškova  izgradnje/rekonstrukcije manjih dijelova sustava javne vodoopskrbe i javne odvodnje otpadnih voda na područjima pogođenim potres</w:t>
      </w:r>
      <w:r w:rsidR="00E224EA" w:rsidRPr="000D18F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ima i otocima'')</w:t>
      </w:r>
    </w:p>
    <w:p w14:paraId="6525A1A4" w14:textId="4E10BF73" w:rsidR="007D151B" w:rsidRPr="00D13469" w:rsidRDefault="00704402" w:rsidP="00692D54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134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Krajnji r</w:t>
      </w:r>
      <w:r w:rsidR="002619ED" w:rsidRPr="00D134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ok za podnošenje </w:t>
      </w:r>
      <w:r w:rsidRPr="00D134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zahtjeva je 30 dana od dana objave Poziva</w:t>
      </w:r>
      <w:r w:rsidR="00456129" w:rsidRPr="00D134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pri čemu </w:t>
      </w:r>
      <w:r w:rsidR="000D18F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će </w:t>
      </w:r>
      <w:r w:rsidR="00456129" w:rsidRPr="00D134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se </w:t>
      </w:r>
      <w:r w:rsidR="00F159E4" w:rsidRPr="00D134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zahtjevi</w:t>
      </w:r>
      <w:r w:rsidR="00456129" w:rsidRPr="00D134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zaprimati najranije </w:t>
      </w:r>
      <w:r w:rsidR="00F159E4" w:rsidRPr="00D134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 ________(datum) u 12:00 h.</w:t>
      </w:r>
      <w:r w:rsidR="00944B2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D13469" w:rsidRPr="00D1346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(</w:t>
      </w:r>
      <w:r w:rsidR="00944B2A" w:rsidRPr="00D1346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minimalno 7 dana od</w:t>
      </w:r>
      <w:r w:rsidR="00944B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objave poziva</w:t>
      </w:r>
      <w:r w:rsidR="00D1346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)</w:t>
      </w:r>
    </w:p>
    <w:p w14:paraId="2CDB6129" w14:textId="50D16105" w:rsidR="00892FE8" w:rsidRPr="00551E99" w:rsidRDefault="002619ED" w:rsidP="00551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619E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Uz prijavni obrazac potrebno je dostaviti sljedeće dokumente:</w:t>
      </w:r>
    </w:p>
    <w:p w14:paraId="450A1DE1" w14:textId="65171311" w:rsidR="00CA7FD8" w:rsidRPr="00EE45E1" w:rsidRDefault="00EE45E1" w:rsidP="00EE45E1">
      <w:pPr>
        <w:pStyle w:val="ListParagraph"/>
        <w:numPr>
          <w:ilvl w:val="1"/>
          <w:numId w:val="23"/>
        </w:numPr>
        <w:ind w:left="709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</w:t>
      </w:r>
      <w:r w:rsidR="00CA7FD8" w:rsidRPr="00EE45E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zvod poslovne banke kojim se potvrđuje nastala transakcija (plaćena situacija)</w:t>
      </w:r>
      <w:r w:rsidR="00E224E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slučaju retroaktivnih </w:t>
      </w:r>
      <w:r w:rsidR="00CA7FD8" w:rsidRPr="00EE45E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6C47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troškova</w:t>
      </w:r>
    </w:p>
    <w:p w14:paraId="4FE2CCA5" w14:textId="6E1AAB93" w:rsidR="00CA7FD8" w:rsidRPr="00EE45E1" w:rsidRDefault="00EE45E1" w:rsidP="00EE45E1">
      <w:pPr>
        <w:pStyle w:val="ListParagraph"/>
        <w:numPr>
          <w:ilvl w:val="1"/>
          <w:numId w:val="23"/>
        </w:numPr>
        <w:ind w:left="709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</w:t>
      </w:r>
      <w:r w:rsidR="00CA7FD8" w:rsidRPr="00EE45E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reslike ugovora</w:t>
      </w:r>
      <w:r w:rsidR="00C40C5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 radovima, uslugama i opremi</w:t>
      </w:r>
      <w:r w:rsidR="00CA7FD8" w:rsidRPr="00EE45E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svih projektnih elemenata (ukoliko je primjenjivo)</w:t>
      </w:r>
    </w:p>
    <w:p w14:paraId="62F7C31D" w14:textId="4786B13F" w:rsidR="00892FE8" w:rsidRPr="00B952A3" w:rsidRDefault="00EE45E1" w:rsidP="00EE45E1">
      <w:pPr>
        <w:pStyle w:val="ListParagraph"/>
        <w:numPr>
          <w:ilvl w:val="1"/>
          <w:numId w:val="23"/>
        </w:numPr>
        <w:ind w:left="709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952A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</w:t>
      </w:r>
      <w:r w:rsidR="00CA7FD8" w:rsidRPr="00B952A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reslik</w:t>
      </w:r>
      <w:r w:rsidR="00892FE8" w:rsidRPr="00B952A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e </w:t>
      </w:r>
      <w:r w:rsidR="00CA7FD8" w:rsidRPr="00B952A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</w:t>
      </w:r>
      <w:r w:rsidR="00892FE8" w:rsidRPr="00B952A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govora </w:t>
      </w:r>
      <w:r w:rsidR="00CA7FD8" w:rsidRPr="00B952A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 sufinanciranju (</w:t>
      </w:r>
      <w:r w:rsidR="00892FE8" w:rsidRPr="00B952A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ukoliko je primjenjivo)</w:t>
      </w:r>
    </w:p>
    <w:p w14:paraId="094EBCA9" w14:textId="675E46C0" w:rsidR="001C49CD" w:rsidRPr="00EE45E1" w:rsidRDefault="00EE45E1" w:rsidP="00EE45E1">
      <w:pPr>
        <w:pStyle w:val="ListParagraph"/>
        <w:numPr>
          <w:ilvl w:val="1"/>
          <w:numId w:val="23"/>
        </w:numPr>
        <w:ind w:left="709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</w:t>
      </w:r>
      <w:r w:rsidR="00CA7FD8" w:rsidRPr="00EE45E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reslike građevinskih i lokacijskih dozvol</w:t>
      </w:r>
      <w:r w:rsidR="00EE03C3" w:rsidRPr="00EE45E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="00CA7FD8" w:rsidRPr="00EE45E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(ukoliko je primjenjivo)</w:t>
      </w:r>
    </w:p>
    <w:p w14:paraId="5DB854EE" w14:textId="3B5F7061" w:rsidR="00BD5AAB" w:rsidRPr="00EE45E1" w:rsidRDefault="00EE45E1" w:rsidP="00EE45E1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</w:t>
      </w:r>
      <w:r w:rsidR="00BD5AAB" w:rsidRPr="00EE45E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ješenje nadležnog ministarstva o provedenom postupku OPUO/PUO (ako je primjenjivo)</w:t>
      </w:r>
    </w:p>
    <w:p w14:paraId="6D2D032E" w14:textId="4773A040" w:rsidR="005A68AD" w:rsidRPr="00EE45E1" w:rsidRDefault="005A68AD" w:rsidP="00EE45E1">
      <w:pPr>
        <w:numPr>
          <w:ilvl w:val="0"/>
          <w:numId w:val="11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E45E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Rješenje</w:t>
      </w:r>
      <w:r w:rsidR="00275D9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iz članka 16. stavka 5. Zakona o vodnim uslugama (</w:t>
      </w:r>
      <w:r w:rsidR="006C47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''Narodne novine'', br. </w:t>
      </w:r>
      <w:r w:rsidR="00275D9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66/1</w:t>
      </w:r>
      <w:r w:rsidR="00E224E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9</w:t>
      </w:r>
      <w:r w:rsidR="00275D9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</w:t>
      </w:r>
    </w:p>
    <w:p w14:paraId="29C1B980" w14:textId="64686D3D" w:rsidR="007E79EF" w:rsidRPr="00EE45E1" w:rsidRDefault="00EE45E1" w:rsidP="00EE45E1">
      <w:pPr>
        <w:numPr>
          <w:ilvl w:val="0"/>
          <w:numId w:val="11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</w:t>
      </w:r>
      <w:r w:rsidR="007E79EF" w:rsidRPr="00EE45E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zjava prijavitelja kojom potvrđuje da su svi imovinsko-pravni odnosi u cijelosti riješeni </w:t>
      </w:r>
    </w:p>
    <w:p w14:paraId="17335166" w14:textId="39D79A15" w:rsidR="002619ED" w:rsidRPr="00EE45E1" w:rsidRDefault="00EE45E1" w:rsidP="00EE45E1">
      <w:pPr>
        <w:numPr>
          <w:ilvl w:val="0"/>
          <w:numId w:val="11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</w:t>
      </w:r>
      <w:r w:rsidR="002619ED" w:rsidRPr="00EE45E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zjava o nepostojanju dvostrukog financiranja (obrazac u prilogu)</w:t>
      </w:r>
    </w:p>
    <w:p w14:paraId="26C67EE3" w14:textId="4563C471" w:rsidR="002619ED" w:rsidRPr="00EE45E1" w:rsidRDefault="00EE45E1" w:rsidP="00EE45E1">
      <w:pPr>
        <w:numPr>
          <w:ilvl w:val="0"/>
          <w:numId w:val="11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</w:t>
      </w:r>
      <w:r w:rsidR="002619ED" w:rsidRPr="00EE45E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zjava o </w:t>
      </w:r>
      <w:r w:rsidR="002619ED" w:rsidRPr="00E224E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osiguranju 30% sredstava od</w:t>
      </w:r>
      <w:r w:rsidR="002619ED" w:rsidRPr="00EE45E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strane korisnika</w:t>
      </w:r>
      <w:r w:rsidR="00551E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2619ED" w:rsidRPr="00EE45E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(obrazac u prilogu)</w:t>
      </w:r>
    </w:p>
    <w:p w14:paraId="27FE9339" w14:textId="77777777" w:rsidR="002619ED" w:rsidRPr="002619ED" w:rsidRDefault="002619ED" w:rsidP="00261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619E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Sva pitanja vezana uz Poziv šalju se isključivo na adresu: </w:t>
      </w:r>
      <w:hyperlink r:id="rId9" w:history="1">
        <w:r w:rsidRPr="002619ED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hr-HR"/>
            <w14:ligatures w14:val="none"/>
          </w:rPr>
          <w:t>Tajnica.UVG@mzozt.hr</w:t>
        </w:r>
      </w:hyperlink>
      <w:r w:rsidRPr="002619E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6C62B37E" w14:textId="3F8D48EF" w:rsidR="002619ED" w:rsidRPr="002619ED" w:rsidRDefault="002619ED" w:rsidP="00261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</w:pPr>
      <w:r w:rsidRPr="002619ED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Odgovori na pojedine upite poslat će se izravno na adrese onih koji su pitanja postavili, te će </w:t>
      </w:r>
      <w:r w:rsidR="00385D8E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pitanja i </w:t>
      </w:r>
      <w:r w:rsidRPr="002619ED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odgovori biti objavljeni na web stranici Ministarstva.</w:t>
      </w:r>
    </w:p>
    <w:p w14:paraId="25BAE92C" w14:textId="77777777" w:rsidR="00ED5AEB" w:rsidRDefault="00ED5AEB" w:rsidP="00261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24242"/>
          <w:kern w:val="0"/>
          <w:sz w:val="24"/>
          <w:szCs w:val="24"/>
          <w:lang w:eastAsia="hr-HR"/>
          <w14:ligatures w14:val="none"/>
        </w:rPr>
      </w:pPr>
    </w:p>
    <w:p w14:paraId="50096D24" w14:textId="77777777" w:rsidR="002956D8" w:rsidRPr="002619ED" w:rsidRDefault="002956D8" w:rsidP="00261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24242"/>
          <w:kern w:val="0"/>
          <w:sz w:val="24"/>
          <w:szCs w:val="24"/>
          <w:lang w:eastAsia="hr-HR"/>
          <w14:ligatures w14:val="none"/>
        </w:rPr>
      </w:pPr>
    </w:p>
    <w:p w14:paraId="54D6E41E" w14:textId="1677A162" w:rsidR="002619ED" w:rsidRPr="00147A65" w:rsidRDefault="00147A65" w:rsidP="00136D9F">
      <w:p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bCs/>
          <w:color w:val="424242"/>
          <w:kern w:val="0"/>
          <w:sz w:val="27"/>
          <w:szCs w:val="27"/>
          <w:lang w:eastAsia="hr-HR"/>
          <w14:ligatures w14:val="none"/>
        </w:rPr>
      </w:pPr>
      <w:r w:rsidRPr="00147A65">
        <w:rPr>
          <w:rFonts w:ascii="Times New Roman" w:eastAsia="Times New Roman" w:hAnsi="Times New Roman" w:cs="Times New Roman"/>
          <w:b/>
          <w:bCs/>
          <w:color w:val="424242"/>
          <w:kern w:val="0"/>
          <w:sz w:val="27"/>
          <w:szCs w:val="27"/>
          <w:lang w:eastAsia="hr-HR"/>
          <w14:ligatures w14:val="none"/>
        </w:rPr>
        <w:t>5</w:t>
      </w:r>
      <w:r w:rsidR="00A800F8" w:rsidRPr="00147A65">
        <w:rPr>
          <w:rFonts w:ascii="Times New Roman" w:eastAsia="Times New Roman" w:hAnsi="Times New Roman" w:cs="Times New Roman"/>
          <w:b/>
          <w:bCs/>
          <w:color w:val="424242"/>
          <w:kern w:val="0"/>
          <w:sz w:val="27"/>
          <w:szCs w:val="27"/>
          <w:lang w:eastAsia="hr-HR"/>
          <w14:ligatures w14:val="none"/>
        </w:rPr>
        <w:t xml:space="preserve">. </w:t>
      </w:r>
      <w:r w:rsidR="002619ED" w:rsidRPr="00147A65">
        <w:rPr>
          <w:rFonts w:ascii="Times New Roman" w:eastAsia="Times New Roman" w:hAnsi="Times New Roman" w:cs="Times New Roman"/>
          <w:b/>
          <w:bCs/>
          <w:color w:val="424242"/>
          <w:kern w:val="0"/>
          <w:sz w:val="27"/>
          <w:szCs w:val="27"/>
          <w:lang w:eastAsia="hr-HR"/>
          <w14:ligatures w14:val="none"/>
        </w:rPr>
        <w:t xml:space="preserve">VREDNOVANJE ZAHTJEVA ZA DOJELU SREDSTAVA </w:t>
      </w:r>
    </w:p>
    <w:p w14:paraId="52FA2C70" w14:textId="77777777" w:rsidR="002619ED" w:rsidRPr="002619ED" w:rsidRDefault="002619ED" w:rsidP="002619ED">
      <w:p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color w:val="424242"/>
          <w:kern w:val="0"/>
          <w:sz w:val="24"/>
          <w:szCs w:val="24"/>
          <w:lang w:eastAsia="hr-HR"/>
          <w14:ligatures w14:val="none"/>
        </w:rPr>
      </w:pPr>
    </w:p>
    <w:p w14:paraId="6287A0D9" w14:textId="77777777" w:rsidR="002619ED" w:rsidRPr="002619ED" w:rsidRDefault="002619ED" w:rsidP="002619E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</w:pPr>
      <w:r w:rsidRPr="002619ED">
        <w:rPr>
          <w:rFonts w:ascii="Times New Roman" w:eastAsia="Times New Roman" w:hAnsi="Times New Roman" w:cs="Times New Roman"/>
          <w:b/>
          <w:bCs/>
          <w:color w:val="424242"/>
          <w:kern w:val="0"/>
          <w:sz w:val="24"/>
          <w:szCs w:val="24"/>
          <w:lang w:eastAsia="hr-HR"/>
          <w14:ligatures w14:val="none"/>
        </w:rPr>
        <w:t>Pregled zahtjeva za dodjelu sredstava u odnosu na propisane uvjete Poziva</w:t>
      </w:r>
      <w:r w:rsidRPr="002619ED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br/>
        <w:t> </w:t>
      </w:r>
    </w:p>
    <w:p w14:paraId="08328EB6" w14:textId="77777777" w:rsidR="002619ED" w:rsidRPr="002619ED" w:rsidRDefault="002619ED" w:rsidP="00261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</w:pPr>
      <w:r w:rsidRPr="002619ED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Ministarstvo će pregledati sve pristigle zahtjeve za dodjelu sredstava te provjeriti</w:t>
      </w:r>
      <w:r w:rsidRPr="002619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njihovu usklađenost s uvjetima Poziva</w:t>
      </w:r>
      <w:r w:rsidRPr="002619ED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. Ministarstvo u slučaju potrebe može zatražiti dodatnu dokumentaciju u svrhu dokaza o ispunjenju uvjeta iz poziva.</w:t>
      </w:r>
    </w:p>
    <w:p w14:paraId="1699827C" w14:textId="77777777" w:rsidR="002619ED" w:rsidRPr="002619ED" w:rsidRDefault="002619ED" w:rsidP="00261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</w:pPr>
    </w:p>
    <w:p w14:paraId="1A2F8286" w14:textId="61B1A151" w:rsidR="002619ED" w:rsidRPr="002619ED" w:rsidRDefault="002619ED" w:rsidP="00261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</w:pPr>
      <w:r w:rsidRPr="00437262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Nakon provedenog pregleda i utvrđivanja prihvatljivosti, Ministarstvo će zatražiti od Hrvatskih voda</w:t>
      </w:r>
      <w:r w:rsidR="006C4707" w:rsidRPr="00437262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 i Uprave za otoke Ministarstva regionalnog</w:t>
      </w:r>
      <w:r w:rsidR="00385D8E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a</w:t>
      </w:r>
      <w:r w:rsidR="006C4707" w:rsidRPr="00437262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 razvoja i fondova EU</w:t>
      </w:r>
      <w:r w:rsidRPr="00437262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, potvrdu da </w:t>
      </w:r>
      <w:r w:rsidR="00C518F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kod</w:t>
      </w:r>
      <w:r w:rsidRPr="00437262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 pristigli</w:t>
      </w:r>
      <w:r w:rsidR="00C518F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h</w:t>
      </w:r>
      <w:r w:rsidRPr="00437262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 zahtjev</w:t>
      </w:r>
      <w:r w:rsidR="00C518F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a</w:t>
      </w:r>
      <w:r w:rsidRPr="00437262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 ne postoji dvostruko financiranje.</w:t>
      </w:r>
      <w:r w:rsidRPr="002619ED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 xml:space="preserve"> </w:t>
      </w:r>
    </w:p>
    <w:p w14:paraId="53857837" w14:textId="77777777" w:rsidR="002619ED" w:rsidRPr="002619ED" w:rsidRDefault="002619ED" w:rsidP="00A035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619E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Popis odobrenih i odbijenih zahtjeva za dodjelu sredstava bit će objavljen na mrežnim stranicama Ministarstva.</w:t>
      </w:r>
    </w:p>
    <w:p w14:paraId="0312A01C" w14:textId="0301D8FA" w:rsidR="002619ED" w:rsidRPr="00D13469" w:rsidRDefault="002619ED" w:rsidP="00261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</w:pPr>
      <w:r w:rsidRPr="002619ED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t> </w:t>
      </w:r>
      <w:r w:rsidRPr="002619ED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hr-HR"/>
          <w14:ligatures w14:val="none"/>
        </w:rPr>
        <w:br/>
      </w:r>
    </w:p>
    <w:p w14:paraId="7C9505CB" w14:textId="00B13015" w:rsidR="002619ED" w:rsidRPr="00DB155D" w:rsidRDefault="002619ED" w:rsidP="002619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A279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KLASA: </w:t>
      </w:r>
      <w:r w:rsidR="00C518F1" w:rsidRPr="00C518F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911-01/25-01/9</w:t>
      </w:r>
    </w:p>
    <w:p w14:paraId="7C0C42B8" w14:textId="4682BE3D" w:rsidR="002619ED" w:rsidRPr="00DB155D" w:rsidRDefault="002619ED" w:rsidP="002619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B15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URBROJ:</w:t>
      </w:r>
      <w:r w:rsidR="00C51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517-05-4-1-2-25-1</w:t>
      </w:r>
    </w:p>
    <w:p w14:paraId="7D687511" w14:textId="59695428" w:rsidR="002619ED" w:rsidRPr="002619ED" w:rsidRDefault="002619ED" w:rsidP="002619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DB15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Zagreb, </w:t>
      </w:r>
      <w:r w:rsidRPr="00DB15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fldChar w:fldCharType="begin">
          <w:ffData>
            <w:name w:val="PismenoDatNastanka"/>
            <w:enabled/>
            <w:calcOnExit w:val="0"/>
            <w:textInput>
              <w:type w:val="date"/>
              <w:format w:val="dd. MMMM yyyy."/>
            </w:textInput>
          </w:ffData>
        </w:fldChar>
      </w:r>
      <w:bookmarkStart w:id="12" w:name="PismenoDatNastanka"/>
      <w:r w:rsidRPr="00DB15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instrText xml:space="preserve"> FORMTEXT </w:instrText>
      </w:r>
      <w:r w:rsidRPr="00DB15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r>
      <w:r w:rsidRPr="00DB15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fldChar w:fldCharType="separate"/>
      </w:r>
      <w:r w:rsidR="00A27914" w:rsidRPr="00DB15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</w:t>
      </w:r>
      <w:r w:rsidR="00C518F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8</w:t>
      </w:r>
      <w:r w:rsidRPr="00DB15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  <w:r w:rsidR="00A27914" w:rsidRPr="00DB15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rujna</w:t>
      </w:r>
      <w:r w:rsidRPr="00DB15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202</w:t>
      </w:r>
      <w:r w:rsidR="00A27914" w:rsidRPr="00DB15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5</w:t>
      </w:r>
      <w:r w:rsidRPr="00DB15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Pr="00DB15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fldChar w:fldCharType="end"/>
      </w:r>
      <w:bookmarkEnd w:id="12"/>
    </w:p>
    <w:p w14:paraId="2B60007E" w14:textId="77777777" w:rsidR="002619ED" w:rsidRPr="002619ED" w:rsidRDefault="002619ED" w:rsidP="002619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CFFAA3B" w14:textId="77777777" w:rsidR="002619ED" w:rsidRPr="002619ED" w:rsidRDefault="002619ED" w:rsidP="002619ED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619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MINISTRICA</w:t>
      </w:r>
    </w:p>
    <w:p w14:paraId="173265B7" w14:textId="77777777" w:rsidR="002619ED" w:rsidRPr="002619ED" w:rsidRDefault="002619ED" w:rsidP="002619ED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374CD83" w14:textId="77777777" w:rsidR="002619ED" w:rsidRPr="002619ED" w:rsidRDefault="002619ED" w:rsidP="002619ED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2FCDEA0" w14:textId="77777777" w:rsidR="002619ED" w:rsidRPr="002619ED" w:rsidRDefault="002619ED" w:rsidP="002619ED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619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Marija Vučković</w:t>
      </w:r>
    </w:p>
    <w:p w14:paraId="29F57745" w14:textId="77777777" w:rsidR="002619ED" w:rsidRPr="002619ED" w:rsidRDefault="002619ED" w:rsidP="002619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7BA2488" w14:textId="77777777" w:rsidR="002619ED" w:rsidRPr="004F539B" w:rsidRDefault="002619ED" w:rsidP="004F5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64429AF" w14:textId="7348BC48" w:rsidR="004F539B" w:rsidRPr="00C40DF6" w:rsidRDefault="00C40DF6">
      <w:pPr>
        <w:rPr>
          <w:rFonts w:ascii="Algerian" w:hAnsi="Algerian"/>
          <w:sz w:val="96"/>
          <w:szCs w:val="96"/>
        </w:rPr>
      </w:pPr>
      <w:r>
        <w:rPr>
          <w:rFonts w:ascii="Algerian" w:hAnsi="Algerian"/>
          <w:sz w:val="96"/>
          <w:szCs w:val="96"/>
        </w:rPr>
        <w:t xml:space="preserve">                    </w:t>
      </w:r>
    </w:p>
    <w:sectPr w:rsidR="004F539B" w:rsidRPr="00C40DF6" w:rsidSect="00A27914">
      <w:footerReference w:type="default" r:id="rId10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82A12" w14:textId="77777777" w:rsidR="006E0650" w:rsidRDefault="006E0650" w:rsidP="00566C45">
      <w:pPr>
        <w:spacing w:after="0" w:line="240" w:lineRule="auto"/>
      </w:pPr>
      <w:r>
        <w:separator/>
      </w:r>
    </w:p>
  </w:endnote>
  <w:endnote w:type="continuationSeparator" w:id="0">
    <w:p w14:paraId="5EACB150" w14:textId="77777777" w:rsidR="006E0650" w:rsidRDefault="006E0650" w:rsidP="00566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130540"/>
      <w:docPartObj>
        <w:docPartGallery w:val="Page Numbers (Bottom of Page)"/>
        <w:docPartUnique/>
      </w:docPartObj>
    </w:sdtPr>
    <w:sdtContent>
      <w:p w14:paraId="07F609B6" w14:textId="017915FC" w:rsidR="00566C45" w:rsidRDefault="00566C4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4D1DE6" w14:textId="77777777" w:rsidR="00566C45" w:rsidRDefault="00566C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0F796" w14:textId="77777777" w:rsidR="006E0650" w:rsidRDefault="006E0650" w:rsidP="00566C45">
      <w:pPr>
        <w:spacing w:after="0" w:line="240" w:lineRule="auto"/>
      </w:pPr>
      <w:r>
        <w:separator/>
      </w:r>
    </w:p>
  </w:footnote>
  <w:footnote w:type="continuationSeparator" w:id="0">
    <w:p w14:paraId="3050DB37" w14:textId="77777777" w:rsidR="006E0650" w:rsidRDefault="006E0650" w:rsidP="00566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EFC"/>
    <w:multiLevelType w:val="multilevel"/>
    <w:tmpl w:val="B8D0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1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16616"/>
    <w:multiLevelType w:val="multilevel"/>
    <w:tmpl w:val="2DE0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146C0"/>
    <w:multiLevelType w:val="multilevel"/>
    <w:tmpl w:val="D9A88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14C77"/>
    <w:multiLevelType w:val="hybridMultilevel"/>
    <w:tmpl w:val="8716F7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92242"/>
    <w:multiLevelType w:val="hybridMultilevel"/>
    <w:tmpl w:val="CDF245D2"/>
    <w:lvl w:ilvl="0" w:tplc="E1AAC480">
      <w:start w:val="1"/>
      <w:numFmt w:val="decimal"/>
      <w:lvlText w:val="%1."/>
      <w:lvlJc w:val="left"/>
      <w:pPr>
        <w:ind w:left="1440" w:hanging="360"/>
      </w:pPr>
    </w:lvl>
    <w:lvl w:ilvl="1" w:tplc="E1761F46">
      <w:start w:val="1"/>
      <w:numFmt w:val="decimal"/>
      <w:lvlText w:val="%2."/>
      <w:lvlJc w:val="left"/>
      <w:pPr>
        <w:ind w:left="1440" w:hanging="360"/>
      </w:pPr>
    </w:lvl>
    <w:lvl w:ilvl="2" w:tplc="02F01E8E">
      <w:start w:val="1"/>
      <w:numFmt w:val="decimal"/>
      <w:lvlText w:val="%3."/>
      <w:lvlJc w:val="left"/>
      <w:pPr>
        <w:ind w:left="1440" w:hanging="360"/>
      </w:pPr>
    </w:lvl>
    <w:lvl w:ilvl="3" w:tplc="AF8E7780">
      <w:start w:val="1"/>
      <w:numFmt w:val="decimal"/>
      <w:lvlText w:val="%4."/>
      <w:lvlJc w:val="left"/>
      <w:pPr>
        <w:ind w:left="1440" w:hanging="360"/>
      </w:pPr>
    </w:lvl>
    <w:lvl w:ilvl="4" w:tplc="0F2E9C86">
      <w:start w:val="1"/>
      <w:numFmt w:val="decimal"/>
      <w:lvlText w:val="%5."/>
      <w:lvlJc w:val="left"/>
      <w:pPr>
        <w:ind w:left="1440" w:hanging="360"/>
      </w:pPr>
    </w:lvl>
    <w:lvl w:ilvl="5" w:tplc="560A4D8C">
      <w:start w:val="1"/>
      <w:numFmt w:val="decimal"/>
      <w:lvlText w:val="%6."/>
      <w:lvlJc w:val="left"/>
      <w:pPr>
        <w:ind w:left="1440" w:hanging="360"/>
      </w:pPr>
    </w:lvl>
    <w:lvl w:ilvl="6" w:tplc="6F822B28">
      <w:start w:val="1"/>
      <w:numFmt w:val="decimal"/>
      <w:lvlText w:val="%7."/>
      <w:lvlJc w:val="left"/>
      <w:pPr>
        <w:ind w:left="1440" w:hanging="360"/>
      </w:pPr>
    </w:lvl>
    <w:lvl w:ilvl="7" w:tplc="247E6CDC">
      <w:start w:val="1"/>
      <w:numFmt w:val="decimal"/>
      <w:lvlText w:val="%8."/>
      <w:lvlJc w:val="left"/>
      <w:pPr>
        <w:ind w:left="1440" w:hanging="360"/>
      </w:pPr>
    </w:lvl>
    <w:lvl w:ilvl="8" w:tplc="B4C69A96">
      <w:start w:val="1"/>
      <w:numFmt w:val="decimal"/>
      <w:lvlText w:val="%9."/>
      <w:lvlJc w:val="left"/>
      <w:pPr>
        <w:ind w:left="1440" w:hanging="360"/>
      </w:pPr>
    </w:lvl>
  </w:abstractNum>
  <w:abstractNum w:abstractNumId="5" w15:restartNumberingAfterBreak="0">
    <w:nsid w:val="13141920"/>
    <w:multiLevelType w:val="hybridMultilevel"/>
    <w:tmpl w:val="C6345C32"/>
    <w:lvl w:ilvl="0" w:tplc="F7204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676E3"/>
    <w:multiLevelType w:val="multilevel"/>
    <w:tmpl w:val="97528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1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EB5D57"/>
    <w:multiLevelType w:val="hybridMultilevel"/>
    <w:tmpl w:val="306AB02C"/>
    <w:lvl w:ilvl="0" w:tplc="21A2B6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517C9"/>
    <w:multiLevelType w:val="multilevel"/>
    <w:tmpl w:val="471A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F354A8"/>
    <w:multiLevelType w:val="multilevel"/>
    <w:tmpl w:val="D6783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B723AE"/>
    <w:multiLevelType w:val="hybridMultilevel"/>
    <w:tmpl w:val="13BC5CF8"/>
    <w:lvl w:ilvl="0" w:tplc="2D8A4E38">
      <w:numFmt w:val="bullet"/>
      <w:lvlText w:val="-"/>
      <w:lvlJc w:val="left"/>
      <w:pPr>
        <w:ind w:left="67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11" w15:restartNumberingAfterBreak="0">
    <w:nsid w:val="389D2304"/>
    <w:multiLevelType w:val="multilevel"/>
    <w:tmpl w:val="364A4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96785B"/>
    <w:multiLevelType w:val="multilevel"/>
    <w:tmpl w:val="385C8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511FC1"/>
    <w:multiLevelType w:val="multilevel"/>
    <w:tmpl w:val="C1789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8B5C93"/>
    <w:multiLevelType w:val="multilevel"/>
    <w:tmpl w:val="0652D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AE4B5B"/>
    <w:multiLevelType w:val="hybridMultilevel"/>
    <w:tmpl w:val="87A66A8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181FB8"/>
    <w:multiLevelType w:val="multilevel"/>
    <w:tmpl w:val="42F87134"/>
    <w:lvl w:ilvl="0">
      <w:start w:val="5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CA5CE2"/>
    <w:multiLevelType w:val="hybridMultilevel"/>
    <w:tmpl w:val="3F2AC3A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41C283B"/>
    <w:multiLevelType w:val="multilevel"/>
    <w:tmpl w:val="1778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C4593B"/>
    <w:multiLevelType w:val="multilevel"/>
    <w:tmpl w:val="E51E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0E36F8"/>
    <w:multiLevelType w:val="hybridMultilevel"/>
    <w:tmpl w:val="08B43BC8"/>
    <w:lvl w:ilvl="0" w:tplc="041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1" w15:restartNumberingAfterBreak="0">
    <w:nsid w:val="5D3632D8"/>
    <w:multiLevelType w:val="multilevel"/>
    <w:tmpl w:val="88B64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4825E2"/>
    <w:multiLevelType w:val="multilevel"/>
    <w:tmpl w:val="BE7AF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BDB65FE"/>
    <w:multiLevelType w:val="hybridMultilevel"/>
    <w:tmpl w:val="BA4439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FE658F"/>
    <w:multiLevelType w:val="multilevel"/>
    <w:tmpl w:val="9A90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FE46B1"/>
    <w:multiLevelType w:val="hybridMultilevel"/>
    <w:tmpl w:val="7D360D5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44324093">
    <w:abstractNumId w:val="19"/>
  </w:num>
  <w:num w:numId="2" w16cid:durableId="1200171319">
    <w:abstractNumId w:val="8"/>
  </w:num>
  <w:num w:numId="3" w16cid:durableId="226696461">
    <w:abstractNumId w:val="21"/>
  </w:num>
  <w:num w:numId="4" w16cid:durableId="296492597">
    <w:abstractNumId w:val="12"/>
  </w:num>
  <w:num w:numId="5" w16cid:durableId="1480003573">
    <w:abstractNumId w:val="23"/>
  </w:num>
  <w:num w:numId="6" w16cid:durableId="297074764">
    <w:abstractNumId w:val="22"/>
  </w:num>
  <w:num w:numId="7" w16cid:durableId="34737674">
    <w:abstractNumId w:val="14"/>
  </w:num>
  <w:num w:numId="8" w16cid:durableId="781151741">
    <w:abstractNumId w:val="20"/>
  </w:num>
  <w:num w:numId="9" w16cid:durableId="338316128">
    <w:abstractNumId w:val="15"/>
  </w:num>
  <w:num w:numId="10" w16cid:durableId="215288913">
    <w:abstractNumId w:val="11"/>
  </w:num>
  <w:num w:numId="11" w16cid:durableId="1834103714">
    <w:abstractNumId w:val="18"/>
  </w:num>
  <w:num w:numId="12" w16cid:durableId="832574526">
    <w:abstractNumId w:val="17"/>
  </w:num>
  <w:num w:numId="13" w16cid:durableId="1870869638">
    <w:abstractNumId w:val="1"/>
  </w:num>
  <w:num w:numId="14" w16cid:durableId="1369338797">
    <w:abstractNumId w:val="13"/>
  </w:num>
  <w:num w:numId="15" w16cid:durableId="1026171854">
    <w:abstractNumId w:val="6"/>
  </w:num>
  <w:num w:numId="16" w16cid:durableId="671378064">
    <w:abstractNumId w:val="0"/>
  </w:num>
  <w:num w:numId="17" w16cid:durableId="863788339">
    <w:abstractNumId w:val="2"/>
  </w:num>
  <w:num w:numId="18" w16cid:durableId="748697417">
    <w:abstractNumId w:val="9"/>
  </w:num>
  <w:num w:numId="19" w16cid:durableId="1843739144">
    <w:abstractNumId w:val="3"/>
  </w:num>
  <w:num w:numId="20" w16cid:durableId="1280377682">
    <w:abstractNumId w:val="7"/>
  </w:num>
  <w:num w:numId="21" w16cid:durableId="2145849841">
    <w:abstractNumId w:val="25"/>
  </w:num>
  <w:num w:numId="22" w16cid:durableId="859130100">
    <w:abstractNumId w:val="5"/>
  </w:num>
  <w:num w:numId="23" w16cid:durableId="1794712412">
    <w:abstractNumId w:val="24"/>
  </w:num>
  <w:num w:numId="24" w16cid:durableId="2015524918">
    <w:abstractNumId w:val="4"/>
  </w:num>
  <w:num w:numId="25" w16cid:durableId="1444569761">
    <w:abstractNumId w:val="10"/>
  </w:num>
  <w:num w:numId="26" w16cid:durableId="21108105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39B"/>
    <w:rsid w:val="000033F0"/>
    <w:rsid w:val="00007B8E"/>
    <w:rsid w:val="0001182F"/>
    <w:rsid w:val="00037841"/>
    <w:rsid w:val="00042036"/>
    <w:rsid w:val="00045F92"/>
    <w:rsid w:val="0005343F"/>
    <w:rsid w:val="0005368F"/>
    <w:rsid w:val="000574A2"/>
    <w:rsid w:val="00065AF7"/>
    <w:rsid w:val="000713A5"/>
    <w:rsid w:val="000757D2"/>
    <w:rsid w:val="00075809"/>
    <w:rsid w:val="00093507"/>
    <w:rsid w:val="000A2279"/>
    <w:rsid w:val="000A7899"/>
    <w:rsid w:val="000B1A65"/>
    <w:rsid w:val="000B2D58"/>
    <w:rsid w:val="000D18F9"/>
    <w:rsid w:val="000F4EE5"/>
    <w:rsid w:val="00112825"/>
    <w:rsid w:val="001257AC"/>
    <w:rsid w:val="0012596B"/>
    <w:rsid w:val="00125CF8"/>
    <w:rsid w:val="00135E74"/>
    <w:rsid w:val="00136D9F"/>
    <w:rsid w:val="00147A65"/>
    <w:rsid w:val="00155A45"/>
    <w:rsid w:val="00176F0D"/>
    <w:rsid w:val="00192178"/>
    <w:rsid w:val="001934A1"/>
    <w:rsid w:val="00193F00"/>
    <w:rsid w:val="00194964"/>
    <w:rsid w:val="001C49CD"/>
    <w:rsid w:val="001C5891"/>
    <w:rsid w:val="001C7370"/>
    <w:rsid w:val="001D1570"/>
    <w:rsid w:val="001D3D90"/>
    <w:rsid w:val="001D3F05"/>
    <w:rsid w:val="001D436F"/>
    <w:rsid w:val="001D4EBC"/>
    <w:rsid w:val="001E0389"/>
    <w:rsid w:val="001E353A"/>
    <w:rsid w:val="001F3BB4"/>
    <w:rsid w:val="00203266"/>
    <w:rsid w:val="0022704E"/>
    <w:rsid w:val="002619ED"/>
    <w:rsid w:val="0026768D"/>
    <w:rsid w:val="00275D9B"/>
    <w:rsid w:val="002811B5"/>
    <w:rsid w:val="00285CC8"/>
    <w:rsid w:val="00286202"/>
    <w:rsid w:val="002956D8"/>
    <w:rsid w:val="00295E90"/>
    <w:rsid w:val="002B2C9C"/>
    <w:rsid w:val="002C79BA"/>
    <w:rsid w:val="002D6D25"/>
    <w:rsid w:val="002E06D4"/>
    <w:rsid w:val="002E4C71"/>
    <w:rsid w:val="002E5411"/>
    <w:rsid w:val="002E62E5"/>
    <w:rsid w:val="003074C7"/>
    <w:rsid w:val="003126F8"/>
    <w:rsid w:val="00316557"/>
    <w:rsid w:val="0032044F"/>
    <w:rsid w:val="00320D19"/>
    <w:rsid w:val="00323F28"/>
    <w:rsid w:val="003339EC"/>
    <w:rsid w:val="00336921"/>
    <w:rsid w:val="00351C99"/>
    <w:rsid w:val="003548BB"/>
    <w:rsid w:val="00356B5D"/>
    <w:rsid w:val="00375F89"/>
    <w:rsid w:val="00382696"/>
    <w:rsid w:val="00385D8E"/>
    <w:rsid w:val="00386023"/>
    <w:rsid w:val="00386DC4"/>
    <w:rsid w:val="003D555D"/>
    <w:rsid w:val="003E4104"/>
    <w:rsid w:val="003F19C0"/>
    <w:rsid w:val="00400B72"/>
    <w:rsid w:val="00404366"/>
    <w:rsid w:val="00411733"/>
    <w:rsid w:val="004152BA"/>
    <w:rsid w:val="004203A4"/>
    <w:rsid w:val="004274D4"/>
    <w:rsid w:val="00432DC8"/>
    <w:rsid w:val="00437262"/>
    <w:rsid w:val="00443E41"/>
    <w:rsid w:val="00446E1A"/>
    <w:rsid w:val="00456129"/>
    <w:rsid w:val="00456A88"/>
    <w:rsid w:val="004748C9"/>
    <w:rsid w:val="00481D38"/>
    <w:rsid w:val="00490C92"/>
    <w:rsid w:val="004A201A"/>
    <w:rsid w:val="004A2073"/>
    <w:rsid w:val="004A35AC"/>
    <w:rsid w:val="004B1215"/>
    <w:rsid w:val="004C44B9"/>
    <w:rsid w:val="004E6121"/>
    <w:rsid w:val="004E6D05"/>
    <w:rsid w:val="004F06F4"/>
    <w:rsid w:val="004F539B"/>
    <w:rsid w:val="00500B23"/>
    <w:rsid w:val="00510D30"/>
    <w:rsid w:val="0051603F"/>
    <w:rsid w:val="0052014E"/>
    <w:rsid w:val="005411E7"/>
    <w:rsid w:val="00551D72"/>
    <w:rsid w:val="00551E99"/>
    <w:rsid w:val="005567AE"/>
    <w:rsid w:val="005603D6"/>
    <w:rsid w:val="00562E80"/>
    <w:rsid w:val="0056423F"/>
    <w:rsid w:val="00566C45"/>
    <w:rsid w:val="00584A70"/>
    <w:rsid w:val="005938DC"/>
    <w:rsid w:val="00597CE6"/>
    <w:rsid w:val="005A02B4"/>
    <w:rsid w:val="005A2F4A"/>
    <w:rsid w:val="005A68AD"/>
    <w:rsid w:val="005A6B1A"/>
    <w:rsid w:val="005B2FDF"/>
    <w:rsid w:val="005B799C"/>
    <w:rsid w:val="005C57E6"/>
    <w:rsid w:val="005D6DC8"/>
    <w:rsid w:val="005D7EBE"/>
    <w:rsid w:val="00607227"/>
    <w:rsid w:val="00612311"/>
    <w:rsid w:val="00634F7A"/>
    <w:rsid w:val="00643445"/>
    <w:rsid w:val="00646A54"/>
    <w:rsid w:val="00653B6D"/>
    <w:rsid w:val="00657C0F"/>
    <w:rsid w:val="00657C9A"/>
    <w:rsid w:val="00671673"/>
    <w:rsid w:val="00674D65"/>
    <w:rsid w:val="006763FF"/>
    <w:rsid w:val="00677CDA"/>
    <w:rsid w:val="00681ACD"/>
    <w:rsid w:val="006925EE"/>
    <w:rsid w:val="00692D54"/>
    <w:rsid w:val="00693B6D"/>
    <w:rsid w:val="00693DF8"/>
    <w:rsid w:val="006A41E6"/>
    <w:rsid w:val="006A7554"/>
    <w:rsid w:val="006B1387"/>
    <w:rsid w:val="006C4707"/>
    <w:rsid w:val="006D3A35"/>
    <w:rsid w:val="006E0650"/>
    <w:rsid w:val="006E0BC1"/>
    <w:rsid w:val="006E6024"/>
    <w:rsid w:val="006F3687"/>
    <w:rsid w:val="006F4C69"/>
    <w:rsid w:val="006F75F9"/>
    <w:rsid w:val="00704402"/>
    <w:rsid w:val="00722CEE"/>
    <w:rsid w:val="0073663A"/>
    <w:rsid w:val="00744AED"/>
    <w:rsid w:val="0075166F"/>
    <w:rsid w:val="00755C12"/>
    <w:rsid w:val="007675DA"/>
    <w:rsid w:val="00774BFA"/>
    <w:rsid w:val="00775778"/>
    <w:rsid w:val="00775FF0"/>
    <w:rsid w:val="0078360C"/>
    <w:rsid w:val="00784DBB"/>
    <w:rsid w:val="00791AAF"/>
    <w:rsid w:val="00797CFA"/>
    <w:rsid w:val="007A2D05"/>
    <w:rsid w:val="007A3142"/>
    <w:rsid w:val="007A501D"/>
    <w:rsid w:val="007B01AA"/>
    <w:rsid w:val="007B597B"/>
    <w:rsid w:val="007D151B"/>
    <w:rsid w:val="007D5CE1"/>
    <w:rsid w:val="007E172C"/>
    <w:rsid w:val="007E2D70"/>
    <w:rsid w:val="007E79EF"/>
    <w:rsid w:val="007F4727"/>
    <w:rsid w:val="007F558D"/>
    <w:rsid w:val="008105AA"/>
    <w:rsid w:val="0082137D"/>
    <w:rsid w:val="008240F0"/>
    <w:rsid w:val="00826882"/>
    <w:rsid w:val="0084089C"/>
    <w:rsid w:val="00843A0A"/>
    <w:rsid w:val="008522CB"/>
    <w:rsid w:val="00855CBC"/>
    <w:rsid w:val="00884254"/>
    <w:rsid w:val="00892FE8"/>
    <w:rsid w:val="008A0244"/>
    <w:rsid w:val="008B44A3"/>
    <w:rsid w:val="008B7503"/>
    <w:rsid w:val="008B7899"/>
    <w:rsid w:val="008C773C"/>
    <w:rsid w:val="008D7F2E"/>
    <w:rsid w:val="008E5689"/>
    <w:rsid w:val="008E764D"/>
    <w:rsid w:val="008F0FFE"/>
    <w:rsid w:val="008F2F44"/>
    <w:rsid w:val="008F35D5"/>
    <w:rsid w:val="008F474A"/>
    <w:rsid w:val="00910853"/>
    <w:rsid w:val="00910C84"/>
    <w:rsid w:val="009129C4"/>
    <w:rsid w:val="00922C1C"/>
    <w:rsid w:val="009434A7"/>
    <w:rsid w:val="00944B2A"/>
    <w:rsid w:val="0095081B"/>
    <w:rsid w:val="009948E6"/>
    <w:rsid w:val="009A441E"/>
    <w:rsid w:val="009C3BAA"/>
    <w:rsid w:val="009D6FD7"/>
    <w:rsid w:val="009D720F"/>
    <w:rsid w:val="009E28D1"/>
    <w:rsid w:val="009E28EF"/>
    <w:rsid w:val="009E4367"/>
    <w:rsid w:val="009F2E71"/>
    <w:rsid w:val="009F5B2E"/>
    <w:rsid w:val="00A03598"/>
    <w:rsid w:val="00A07A25"/>
    <w:rsid w:val="00A1386D"/>
    <w:rsid w:val="00A14695"/>
    <w:rsid w:val="00A15432"/>
    <w:rsid w:val="00A213BE"/>
    <w:rsid w:val="00A24C77"/>
    <w:rsid w:val="00A27914"/>
    <w:rsid w:val="00A407F8"/>
    <w:rsid w:val="00A41729"/>
    <w:rsid w:val="00A42975"/>
    <w:rsid w:val="00A43DDD"/>
    <w:rsid w:val="00A55063"/>
    <w:rsid w:val="00A678CF"/>
    <w:rsid w:val="00A723D8"/>
    <w:rsid w:val="00A800F8"/>
    <w:rsid w:val="00A90983"/>
    <w:rsid w:val="00A90DDC"/>
    <w:rsid w:val="00A91B14"/>
    <w:rsid w:val="00A973BF"/>
    <w:rsid w:val="00AC1F08"/>
    <w:rsid w:val="00AD21BE"/>
    <w:rsid w:val="00AE3FFA"/>
    <w:rsid w:val="00AE4627"/>
    <w:rsid w:val="00B11ACB"/>
    <w:rsid w:val="00B170E2"/>
    <w:rsid w:val="00B2263F"/>
    <w:rsid w:val="00B32ECE"/>
    <w:rsid w:val="00B40FD0"/>
    <w:rsid w:val="00B42504"/>
    <w:rsid w:val="00B4725F"/>
    <w:rsid w:val="00B47EFF"/>
    <w:rsid w:val="00B52997"/>
    <w:rsid w:val="00B64846"/>
    <w:rsid w:val="00B952A3"/>
    <w:rsid w:val="00BA315A"/>
    <w:rsid w:val="00BA37E7"/>
    <w:rsid w:val="00BB742D"/>
    <w:rsid w:val="00BC3D6E"/>
    <w:rsid w:val="00BD5AAB"/>
    <w:rsid w:val="00BD6461"/>
    <w:rsid w:val="00BE4F91"/>
    <w:rsid w:val="00BF3873"/>
    <w:rsid w:val="00C05003"/>
    <w:rsid w:val="00C07005"/>
    <w:rsid w:val="00C13DDA"/>
    <w:rsid w:val="00C150E7"/>
    <w:rsid w:val="00C33B6B"/>
    <w:rsid w:val="00C40C55"/>
    <w:rsid w:val="00C40DF6"/>
    <w:rsid w:val="00C41944"/>
    <w:rsid w:val="00C518F1"/>
    <w:rsid w:val="00CA7FD8"/>
    <w:rsid w:val="00CB4205"/>
    <w:rsid w:val="00CC56C3"/>
    <w:rsid w:val="00CC7A25"/>
    <w:rsid w:val="00CD29D0"/>
    <w:rsid w:val="00CE6A38"/>
    <w:rsid w:val="00CF1D91"/>
    <w:rsid w:val="00CF52A5"/>
    <w:rsid w:val="00CF5EA0"/>
    <w:rsid w:val="00D01C73"/>
    <w:rsid w:val="00D13469"/>
    <w:rsid w:val="00D135B4"/>
    <w:rsid w:val="00D318B8"/>
    <w:rsid w:val="00D31BD1"/>
    <w:rsid w:val="00D4176D"/>
    <w:rsid w:val="00D4243B"/>
    <w:rsid w:val="00D63981"/>
    <w:rsid w:val="00D6417B"/>
    <w:rsid w:val="00D73D4A"/>
    <w:rsid w:val="00D87663"/>
    <w:rsid w:val="00DB155D"/>
    <w:rsid w:val="00DB64D6"/>
    <w:rsid w:val="00DB793C"/>
    <w:rsid w:val="00DC46B3"/>
    <w:rsid w:val="00DD2328"/>
    <w:rsid w:val="00DD3560"/>
    <w:rsid w:val="00DF2BB8"/>
    <w:rsid w:val="00DF3525"/>
    <w:rsid w:val="00E14A31"/>
    <w:rsid w:val="00E17FDC"/>
    <w:rsid w:val="00E20655"/>
    <w:rsid w:val="00E224EA"/>
    <w:rsid w:val="00E278CE"/>
    <w:rsid w:val="00E40944"/>
    <w:rsid w:val="00E435CF"/>
    <w:rsid w:val="00E557D7"/>
    <w:rsid w:val="00E57C94"/>
    <w:rsid w:val="00E95337"/>
    <w:rsid w:val="00EB7F73"/>
    <w:rsid w:val="00ED5AEB"/>
    <w:rsid w:val="00EE018A"/>
    <w:rsid w:val="00EE03C3"/>
    <w:rsid w:val="00EE0CC7"/>
    <w:rsid w:val="00EE2BE2"/>
    <w:rsid w:val="00EE45E1"/>
    <w:rsid w:val="00F00B70"/>
    <w:rsid w:val="00F031B9"/>
    <w:rsid w:val="00F05F60"/>
    <w:rsid w:val="00F12150"/>
    <w:rsid w:val="00F1311E"/>
    <w:rsid w:val="00F147E5"/>
    <w:rsid w:val="00F159E4"/>
    <w:rsid w:val="00F55B51"/>
    <w:rsid w:val="00F7534B"/>
    <w:rsid w:val="00F81571"/>
    <w:rsid w:val="00F84FA0"/>
    <w:rsid w:val="00FB7E24"/>
    <w:rsid w:val="00FE298D"/>
    <w:rsid w:val="00FE32F9"/>
    <w:rsid w:val="00FF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897FE"/>
  <w15:chartTrackingRefBased/>
  <w15:docId w15:val="{1C31E02A-F2C5-48F7-8019-A403D66E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389"/>
  </w:style>
  <w:style w:type="paragraph" w:styleId="Heading1">
    <w:name w:val="heading 1"/>
    <w:basedOn w:val="Normal"/>
    <w:next w:val="Normal"/>
    <w:link w:val="Heading1Char"/>
    <w:uiPriority w:val="9"/>
    <w:qFormat/>
    <w:rsid w:val="004F5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39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3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39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3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3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3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3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39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3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39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39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39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3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3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3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3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3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3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3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3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39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39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39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39B"/>
    <w:rPr>
      <w:b/>
      <w:bCs/>
      <w:smallCaps/>
      <w:color w:val="2E74B5" w:themeColor="accent1" w:themeShade="BF"/>
      <w:spacing w:val="5"/>
    </w:rPr>
  </w:style>
  <w:style w:type="character" w:styleId="CommentReference">
    <w:name w:val="annotation reference"/>
    <w:basedOn w:val="DefaultParagraphFont"/>
    <w:semiHidden/>
    <w:unhideWhenUsed/>
    <w:rsid w:val="004F539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F53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4F539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375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Strong">
    <w:name w:val="Strong"/>
    <w:basedOn w:val="DefaultParagraphFont"/>
    <w:uiPriority w:val="22"/>
    <w:qFormat/>
    <w:rsid w:val="00375F89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58D"/>
    <w:pPr>
      <w:spacing w:after="160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58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A909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6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C45"/>
  </w:style>
  <w:style w:type="paragraph" w:styleId="Footer">
    <w:name w:val="footer"/>
    <w:basedOn w:val="Normal"/>
    <w:link w:val="FooterChar"/>
    <w:uiPriority w:val="99"/>
    <w:unhideWhenUsed/>
    <w:rsid w:val="00566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C45"/>
  </w:style>
  <w:style w:type="character" w:styleId="Hyperlink">
    <w:name w:val="Hyperlink"/>
    <w:basedOn w:val="DefaultParagraphFont"/>
    <w:uiPriority w:val="99"/>
    <w:unhideWhenUsed/>
    <w:rsid w:val="000D18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8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nica.UVG@mzozt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ajnica.UVG@mzoz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7F1DB-D6D8-4C05-9403-A45E203E3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6301</TotalTime>
  <Pages>6</Pages>
  <Words>2283</Words>
  <Characters>13017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MZOZT</dc:creator>
  <cp:keywords/>
  <dc:description/>
  <cp:lastModifiedBy>MZOZT</cp:lastModifiedBy>
  <cp:revision>10</cp:revision>
  <dcterms:created xsi:type="dcterms:W3CDTF">2025-09-08T08:58:00Z</dcterms:created>
  <dcterms:modified xsi:type="dcterms:W3CDTF">2025-09-18T06:59:00Z</dcterms:modified>
</cp:coreProperties>
</file>