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00A" w:rsidRPr="00D11F1B" w:rsidRDefault="003B400A" w:rsidP="00FD5E1F">
      <w:pPr>
        <w:pStyle w:val="box468295"/>
        <w:shd w:val="clear" w:color="auto" w:fill="FFFFFF"/>
        <w:spacing w:before="120" w:beforeAutospacing="0" w:after="120" w:afterAutospacing="0"/>
        <w:ind w:firstLine="408"/>
        <w:jc w:val="both"/>
        <w:textAlignment w:val="baseline"/>
        <w:rPr>
          <w:color w:val="231F20"/>
        </w:rPr>
      </w:pPr>
      <w:r w:rsidRPr="00D11F1B">
        <w:rPr>
          <w:color w:val="231F20"/>
        </w:rPr>
        <w:t>Na temelju članka 1021. stavka 3. alineje 8. Pomorskog zakonika (»Narodne novine«, br. 181/04, 76/07, 146/08, 61/11, 56/13, 26/15 i 17/19) ministar mora, prometa i infrastrukture, donosi</w:t>
      </w:r>
    </w:p>
    <w:p w:rsidR="003B400A" w:rsidRPr="00D11F1B" w:rsidRDefault="003B400A" w:rsidP="00FD5E1F">
      <w:pPr>
        <w:pStyle w:val="box468295"/>
        <w:shd w:val="clear" w:color="auto" w:fill="FFFFFF"/>
        <w:spacing w:before="120" w:beforeAutospacing="0" w:after="120" w:afterAutospacing="0"/>
        <w:jc w:val="center"/>
        <w:textAlignment w:val="baseline"/>
        <w:rPr>
          <w:b/>
          <w:bCs/>
          <w:color w:val="231F20"/>
          <w:sz w:val="38"/>
          <w:szCs w:val="38"/>
        </w:rPr>
      </w:pPr>
      <w:bookmarkStart w:id="0" w:name="_GoBack"/>
      <w:r w:rsidRPr="00D11F1B">
        <w:rPr>
          <w:b/>
          <w:bCs/>
          <w:color w:val="231F20"/>
          <w:sz w:val="38"/>
          <w:szCs w:val="38"/>
        </w:rPr>
        <w:t>PRAVILNIK</w:t>
      </w:r>
    </w:p>
    <w:p w:rsidR="003B400A" w:rsidRPr="00D11F1B" w:rsidRDefault="003B400A" w:rsidP="00FD5E1F">
      <w:pPr>
        <w:pStyle w:val="box468295"/>
        <w:shd w:val="clear" w:color="auto" w:fill="FFFFFF"/>
        <w:spacing w:before="120" w:beforeAutospacing="0" w:after="120" w:afterAutospacing="0"/>
        <w:jc w:val="center"/>
        <w:textAlignment w:val="baseline"/>
        <w:rPr>
          <w:b/>
          <w:bCs/>
          <w:color w:val="231F20"/>
          <w:sz w:val="29"/>
          <w:szCs w:val="29"/>
        </w:rPr>
      </w:pPr>
      <w:r w:rsidRPr="00D11F1B">
        <w:rPr>
          <w:b/>
          <w:bCs/>
          <w:color w:val="231F20"/>
          <w:sz w:val="29"/>
          <w:szCs w:val="29"/>
        </w:rPr>
        <w:t>O IZMJENAMA I DOPUNAMA PRAVILNIKA O ZVANJIMA I SVJEDODŽBAMA O OSPOSOBLJENOSTI POMORACA</w:t>
      </w:r>
    </w:p>
    <w:bookmarkEnd w:id="0"/>
    <w:p w:rsidR="00D11F1B" w:rsidRPr="00D11F1B" w:rsidRDefault="00D11F1B" w:rsidP="00FD5E1F">
      <w:pPr>
        <w:pStyle w:val="box468295"/>
        <w:shd w:val="clear" w:color="auto" w:fill="FFFFFF"/>
        <w:spacing w:before="120" w:beforeAutospacing="0" w:after="120" w:afterAutospacing="0"/>
        <w:jc w:val="both"/>
        <w:textAlignment w:val="baseline"/>
        <w:rPr>
          <w:color w:val="231F20"/>
        </w:rPr>
      </w:pPr>
    </w:p>
    <w:p w:rsidR="003B400A" w:rsidRPr="00D11F1B" w:rsidRDefault="003B400A" w:rsidP="00FD5E1F">
      <w:pPr>
        <w:pStyle w:val="box468295"/>
        <w:shd w:val="clear" w:color="auto" w:fill="FFFFFF"/>
        <w:spacing w:before="120" w:beforeAutospacing="0" w:after="120" w:afterAutospacing="0"/>
        <w:jc w:val="center"/>
        <w:textAlignment w:val="baseline"/>
        <w:rPr>
          <w:color w:val="231F20"/>
        </w:rPr>
      </w:pPr>
      <w:r w:rsidRPr="00D11F1B">
        <w:rPr>
          <w:color w:val="231F20"/>
        </w:rPr>
        <w:t>Članak</w:t>
      </w:r>
      <w:r w:rsidR="00D11F1B">
        <w:rPr>
          <w:color w:val="231F20"/>
        </w:rPr>
        <w:t xml:space="preserve"> 1.</w:t>
      </w:r>
    </w:p>
    <w:p w:rsidR="007413B2" w:rsidRPr="00D11F1B" w:rsidRDefault="007413B2" w:rsidP="00FD5E1F">
      <w:pPr>
        <w:pStyle w:val="box468295"/>
        <w:shd w:val="clear" w:color="auto" w:fill="FFFFFF"/>
        <w:spacing w:before="120" w:beforeAutospacing="0" w:after="120" w:afterAutospacing="0"/>
        <w:jc w:val="both"/>
        <w:textAlignment w:val="baseline"/>
        <w:rPr>
          <w:color w:val="231F20"/>
        </w:rPr>
      </w:pPr>
      <w:r w:rsidRPr="00D11F1B">
        <w:rPr>
          <w:color w:val="231F20"/>
        </w:rPr>
        <w:t>(1) U članku 3., stavku 1. Pravilnika o zvanjima i svjedodžbama o osposobljenosti pomoraca (»Narodne novine«, br. 130/13, 45/14, 124/15, 72/16, 69/18, 77/18-ispravak, 85/21, 77/24) iza podstavka 50. dodaje se novi podstavak 51. koji glasi:</w:t>
      </w:r>
    </w:p>
    <w:p w:rsidR="007413B2" w:rsidRPr="00D11F1B" w:rsidRDefault="007413B2" w:rsidP="00FD5E1F">
      <w:pPr>
        <w:pStyle w:val="box468295"/>
        <w:shd w:val="clear" w:color="auto" w:fill="FFFFFF"/>
        <w:spacing w:before="120" w:beforeAutospacing="0" w:after="120" w:afterAutospacing="0"/>
        <w:ind w:firstLine="708"/>
        <w:jc w:val="both"/>
        <w:textAlignment w:val="baseline"/>
        <w:rPr>
          <w:color w:val="231F20"/>
        </w:rPr>
      </w:pPr>
      <w:r w:rsidRPr="00D11F1B">
        <w:rPr>
          <w:color w:val="231F20"/>
        </w:rPr>
        <w:t>„- Visoki napon znači naizmjenični (AC) ili istosmjerni (DC) napon veći od 1.000 volti“.</w:t>
      </w:r>
    </w:p>
    <w:p w:rsidR="007413B2" w:rsidRPr="00D11F1B" w:rsidRDefault="007413B2" w:rsidP="00FD5E1F">
      <w:pPr>
        <w:pStyle w:val="box468295"/>
        <w:shd w:val="clear" w:color="auto" w:fill="FFFFFF"/>
        <w:spacing w:before="120" w:beforeAutospacing="0" w:after="120" w:afterAutospacing="0"/>
        <w:jc w:val="both"/>
        <w:textAlignment w:val="baseline"/>
        <w:rPr>
          <w:color w:val="231F20"/>
        </w:rPr>
      </w:pPr>
      <w:r w:rsidRPr="00D11F1B">
        <w:rPr>
          <w:color w:val="231F20"/>
        </w:rPr>
        <w:t>(2) Dosadašnji podstavci 51., 52., 53. i 54. postaju podstavci 52., 53., 54. i 55.</w:t>
      </w:r>
    </w:p>
    <w:p w:rsidR="007413B2" w:rsidRDefault="007413B2" w:rsidP="00FD5E1F">
      <w:pPr>
        <w:pStyle w:val="box468295"/>
        <w:shd w:val="clear" w:color="auto" w:fill="FFFFFF"/>
        <w:spacing w:before="120" w:beforeAutospacing="0" w:after="120" w:afterAutospacing="0"/>
        <w:jc w:val="center"/>
        <w:textAlignment w:val="baseline"/>
        <w:rPr>
          <w:color w:val="231F20"/>
        </w:rPr>
      </w:pPr>
    </w:p>
    <w:p w:rsidR="00F66A4D" w:rsidRPr="00D11F1B" w:rsidRDefault="00F66A4D" w:rsidP="00FD5E1F">
      <w:pPr>
        <w:pStyle w:val="box468295"/>
        <w:shd w:val="clear" w:color="auto" w:fill="FFFFFF"/>
        <w:spacing w:before="120" w:beforeAutospacing="0" w:after="120" w:afterAutospacing="0"/>
        <w:jc w:val="center"/>
        <w:textAlignment w:val="baseline"/>
        <w:rPr>
          <w:color w:val="231F20"/>
        </w:rPr>
      </w:pPr>
      <w:r w:rsidRPr="00D11F1B">
        <w:rPr>
          <w:color w:val="231F20"/>
        </w:rPr>
        <w:t xml:space="preserve">Članak </w:t>
      </w:r>
      <w:r w:rsidR="00D11F1B">
        <w:rPr>
          <w:color w:val="231F20"/>
        </w:rPr>
        <w:t>2.</w:t>
      </w:r>
    </w:p>
    <w:p w:rsidR="00F66A4D" w:rsidRPr="00D11F1B" w:rsidRDefault="00F66A4D" w:rsidP="00FD5E1F">
      <w:pPr>
        <w:pStyle w:val="box468295"/>
        <w:shd w:val="clear" w:color="auto" w:fill="FFFFFF"/>
        <w:spacing w:before="120" w:beforeAutospacing="0" w:after="120" w:afterAutospacing="0"/>
        <w:jc w:val="both"/>
        <w:textAlignment w:val="baseline"/>
        <w:rPr>
          <w:color w:val="231F20"/>
        </w:rPr>
      </w:pPr>
      <w:r w:rsidRPr="00D11F1B">
        <w:rPr>
          <w:color w:val="231F20"/>
        </w:rPr>
        <w:t>(1) U članku 40. iza stavka 1. dodaje se novi stavak 2. koji glasi:</w:t>
      </w:r>
    </w:p>
    <w:p w:rsidR="00F66A4D" w:rsidRPr="00D11F1B" w:rsidRDefault="00F66A4D" w:rsidP="00FD5E1F">
      <w:pPr>
        <w:pStyle w:val="box468295"/>
        <w:shd w:val="clear" w:color="auto" w:fill="FFFFFF"/>
        <w:spacing w:before="120" w:beforeAutospacing="0" w:after="120" w:afterAutospacing="0"/>
        <w:ind w:firstLine="708"/>
        <w:jc w:val="both"/>
        <w:textAlignment w:val="baseline"/>
        <w:rPr>
          <w:color w:val="231F20"/>
        </w:rPr>
      </w:pPr>
      <w:r w:rsidRPr="00D11F1B">
        <w:rPr>
          <w:color w:val="231F20"/>
        </w:rPr>
        <w:t>„(2) Visina naknade za obrazac vježbeničkog dnevnika iznosi 20,00 EUR.“</w:t>
      </w:r>
    </w:p>
    <w:p w:rsidR="00F66A4D" w:rsidRPr="00D11F1B" w:rsidRDefault="00F66A4D" w:rsidP="00FD5E1F">
      <w:pPr>
        <w:pStyle w:val="box468295"/>
        <w:shd w:val="clear" w:color="auto" w:fill="FFFFFF"/>
        <w:spacing w:before="120" w:beforeAutospacing="0" w:after="120" w:afterAutospacing="0"/>
        <w:jc w:val="both"/>
        <w:textAlignment w:val="baseline"/>
        <w:rPr>
          <w:color w:val="231F20"/>
        </w:rPr>
      </w:pPr>
      <w:r w:rsidRPr="00D11F1B">
        <w:rPr>
          <w:color w:val="231F20"/>
        </w:rPr>
        <w:t xml:space="preserve">(2) U dosadašnjem stavku 2. koji postaje stavak 3. </w:t>
      </w:r>
      <w:r w:rsidR="003743C1" w:rsidRPr="00D11F1B">
        <w:rPr>
          <w:color w:val="231F20"/>
        </w:rPr>
        <w:t xml:space="preserve">riječi </w:t>
      </w:r>
      <w:r w:rsidR="00BC2D60" w:rsidRPr="00D11F1B">
        <w:rPr>
          <w:color w:val="231F20"/>
        </w:rPr>
        <w:t>„u lučkoj kapetaniji ili ispostavi“ se zamjenjuju riječima „u Ministarstvu ili lučkoj kapetaniji“.</w:t>
      </w:r>
    </w:p>
    <w:p w:rsidR="00BC2D60" w:rsidRPr="00D11F1B" w:rsidRDefault="00BC2D60" w:rsidP="00FD5E1F">
      <w:pPr>
        <w:pStyle w:val="box468295"/>
        <w:shd w:val="clear" w:color="auto" w:fill="FFFFFF"/>
        <w:spacing w:before="120" w:beforeAutospacing="0" w:after="120" w:afterAutospacing="0"/>
        <w:jc w:val="both"/>
        <w:textAlignment w:val="baseline"/>
        <w:rPr>
          <w:color w:val="231F20"/>
        </w:rPr>
      </w:pPr>
      <w:r w:rsidRPr="00D11F1B">
        <w:rPr>
          <w:color w:val="231F20"/>
        </w:rPr>
        <w:t>(3) Iza dosadašnjeg stavka 2. koji postaje stavak 3. dodaje se novi stavak 4. koji glasi:</w:t>
      </w:r>
    </w:p>
    <w:p w:rsidR="00BC2D60" w:rsidRPr="00D11F1B" w:rsidRDefault="00BC2D60" w:rsidP="00FD5E1F">
      <w:pPr>
        <w:pStyle w:val="box468295"/>
        <w:shd w:val="clear" w:color="auto" w:fill="FFFFFF"/>
        <w:spacing w:before="120" w:beforeAutospacing="0" w:after="120" w:afterAutospacing="0"/>
        <w:ind w:firstLine="708"/>
        <w:jc w:val="both"/>
        <w:textAlignment w:val="baseline"/>
        <w:rPr>
          <w:color w:val="231F20"/>
        </w:rPr>
      </w:pPr>
      <w:r w:rsidRPr="00D11F1B">
        <w:rPr>
          <w:color w:val="231F20"/>
        </w:rPr>
        <w:t>„(4) Ministarstvo ili lučka kapetanija će o ovjeri iz stavka 3. odlučiti rješenjem.“</w:t>
      </w:r>
    </w:p>
    <w:p w:rsidR="00BC2D60" w:rsidRPr="00D11F1B" w:rsidRDefault="00BC2D60" w:rsidP="00FD5E1F">
      <w:pPr>
        <w:pStyle w:val="box468295"/>
        <w:shd w:val="clear" w:color="auto" w:fill="FFFFFF"/>
        <w:spacing w:before="120" w:beforeAutospacing="0" w:after="120" w:afterAutospacing="0"/>
        <w:jc w:val="both"/>
        <w:textAlignment w:val="baseline"/>
        <w:rPr>
          <w:color w:val="231F20"/>
        </w:rPr>
      </w:pPr>
      <w:r w:rsidRPr="00D11F1B">
        <w:rPr>
          <w:color w:val="231F20"/>
        </w:rPr>
        <w:t xml:space="preserve">(4) Dosadašnji stavci 3., 4., 5., 6., 7. i 8. postaju stavci 5., 6., 7., 8., 9. i 10. </w:t>
      </w:r>
    </w:p>
    <w:p w:rsidR="00D11F1B" w:rsidRPr="00D11F1B" w:rsidRDefault="00D11F1B" w:rsidP="00FD5E1F">
      <w:pPr>
        <w:pStyle w:val="box468295"/>
        <w:shd w:val="clear" w:color="auto" w:fill="FFFFFF"/>
        <w:spacing w:before="120" w:beforeAutospacing="0" w:after="120" w:afterAutospacing="0"/>
        <w:jc w:val="both"/>
        <w:textAlignment w:val="baseline"/>
        <w:rPr>
          <w:color w:val="231F20"/>
        </w:rPr>
      </w:pPr>
    </w:p>
    <w:p w:rsidR="000C1DDB" w:rsidRPr="00D11F1B" w:rsidRDefault="005319CE" w:rsidP="00FD5E1F">
      <w:pPr>
        <w:pStyle w:val="box468295"/>
        <w:shd w:val="clear" w:color="auto" w:fill="FFFFFF"/>
        <w:spacing w:before="120" w:beforeAutospacing="0" w:after="120" w:afterAutospacing="0"/>
        <w:jc w:val="center"/>
        <w:textAlignment w:val="baseline"/>
        <w:rPr>
          <w:color w:val="231F20"/>
        </w:rPr>
      </w:pPr>
      <w:r w:rsidRPr="00D11F1B">
        <w:rPr>
          <w:color w:val="231F20"/>
        </w:rPr>
        <w:t xml:space="preserve">Članak </w:t>
      </w:r>
      <w:r w:rsidR="00D11F1B">
        <w:rPr>
          <w:color w:val="231F20"/>
        </w:rPr>
        <w:t>3.</w:t>
      </w:r>
    </w:p>
    <w:p w:rsidR="005319CE" w:rsidRPr="00D11F1B" w:rsidRDefault="005319CE" w:rsidP="00FD5E1F">
      <w:pPr>
        <w:pStyle w:val="box468295"/>
        <w:shd w:val="clear" w:color="auto" w:fill="FFFFFF"/>
        <w:spacing w:before="120" w:beforeAutospacing="0" w:after="120" w:afterAutospacing="0"/>
        <w:textAlignment w:val="baseline"/>
        <w:rPr>
          <w:color w:val="231F20"/>
        </w:rPr>
      </w:pPr>
      <w:r w:rsidRPr="00D11F1B">
        <w:rPr>
          <w:color w:val="231F20"/>
        </w:rPr>
        <w:t>Članak 67.b mijenja se i glasi:</w:t>
      </w:r>
    </w:p>
    <w:p w:rsidR="005319CE" w:rsidRDefault="00BE58A5" w:rsidP="00FD5E1F">
      <w:pPr>
        <w:pStyle w:val="box468295"/>
        <w:shd w:val="clear" w:color="auto" w:fill="FFFFFF"/>
        <w:spacing w:before="120" w:beforeAutospacing="0" w:after="120" w:afterAutospacing="0"/>
        <w:jc w:val="center"/>
        <w:textAlignment w:val="baseline"/>
        <w:rPr>
          <w:color w:val="231F20"/>
        </w:rPr>
      </w:pPr>
      <w:r w:rsidRPr="00D11F1B">
        <w:rPr>
          <w:color w:val="231F20"/>
        </w:rPr>
        <w:t>„</w:t>
      </w:r>
      <w:r w:rsidR="005319CE" w:rsidRPr="00D11F1B">
        <w:rPr>
          <w:color w:val="231F20"/>
        </w:rPr>
        <w:t>Članak 67.b</w:t>
      </w:r>
    </w:p>
    <w:p w:rsidR="005319CE" w:rsidRPr="00D11F1B" w:rsidRDefault="005319CE" w:rsidP="00FD5E1F">
      <w:pPr>
        <w:pStyle w:val="box468295"/>
        <w:shd w:val="clear" w:color="auto" w:fill="FFFFFF"/>
        <w:spacing w:before="120" w:beforeAutospacing="0" w:after="120" w:afterAutospacing="0"/>
        <w:jc w:val="both"/>
        <w:textAlignment w:val="baseline"/>
        <w:rPr>
          <w:color w:val="231F20"/>
        </w:rPr>
      </w:pPr>
      <w:r w:rsidRPr="00D11F1B">
        <w:rPr>
          <w:color w:val="231F20"/>
        </w:rPr>
        <w:t>(1) Zapovjednik, časnici stroja i ostale osobe izravno odgovorni za brigu o gorivima i sustavima goriva i njihovom korištenju na brodovima na koje se primjenjuje IGF Pravilnik moraju imati Svjedodžbu o dopunskoj osposobljenosti – Rad na brodovima na koje se primjenjuje IGF Pravilnik – upravljačka razina (STCW V/3).</w:t>
      </w:r>
    </w:p>
    <w:p w:rsidR="005319CE" w:rsidRPr="00D11F1B" w:rsidRDefault="005319CE" w:rsidP="00FD5E1F">
      <w:pPr>
        <w:pStyle w:val="box468295"/>
        <w:shd w:val="clear" w:color="auto" w:fill="FFFFFF"/>
        <w:spacing w:before="120" w:beforeAutospacing="0" w:after="120" w:afterAutospacing="0"/>
        <w:jc w:val="both"/>
        <w:textAlignment w:val="baseline"/>
        <w:rPr>
          <w:color w:val="231F20"/>
        </w:rPr>
      </w:pPr>
      <w:r w:rsidRPr="00D11F1B">
        <w:rPr>
          <w:color w:val="231F20"/>
        </w:rPr>
        <w:t>(2) Svjedodžba iz stavka 1. ovoga članka izdat će se pomorcu koji:</w:t>
      </w:r>
    </w:p>
    <w:p w:rsidR="005319CE" w:rsidRPr="00D11F1B" w:rsidRDefault="005319CE" w:rsidP="00FD5E1F">
      <w:pPr>
        <w:pStyle w:val="box468295"/>
        <w:numPr>
          <w:ilvl w:val="0"/>
          <w:numId w:val="1"/>
        </w:numPr>
        <w:shd w:val="clear" w:color="auto" w:fill="FFFFFF"/>
        <w:spacing w:before="120" w:beforeAutospacing="0" w:after="120" w:afterAutospacing="0"/>
        <w:ind w:left="1134" w:hanging="425"/>
        <w:jc w:val="both"/>
        <w:textAlignment w:val="baseline"/>
        <w:rPr>
          <w:color w:val="231F20"/>
        </w:rPr>
      </w:pPr>
      <w:r w:rsidRPr="00D11F1B">
        <w:rPr>
          <w:color w:val="231F20"/>
        </w:rPr>
        <w:t>posjeduje svjedodžbu iz članka 67.a ov</w:t>
      </w:r>
      <w:r w:rsidR="00F94818" w:rsidRPr="00D11F1B">
        <w:rPr>
          <w:color w:val="231F20"/>
        </w:rPr>
        <w:t>og Pravilnika</w:t>
      </w:r>
    </w:p>
    <w:p w:rsidR="005319CE" w:rsidRPr="00D11F1B" w:rsidRDefault="005319CE" w:rsidP="00FD5E1F">
      <w:pPr>
        <w:pStyle w:val="box468295"/>
        <w:numPr>
          <w:ilvl w:val="0"/>
          <w:numId w:val="1"/>
        </w:numPr>
        <w:shd w:val="clear" w:color="auto" w:fill="FFFFFF"/>
        <w:spacing w:before="120" w:beforeAutospacing="0" w:after="120" w:afterAutospacing="0"/>
        <w:ind w:left="1134" w:hanging="425"/>
        <w:jc w:val="both"/>
        <w:textAlignment w:val="baseline"/>
        <w:rPr>
          <w:color w:val="231F20"/>
        </w:rPr>
      </w:pPr>
      <w:r w:rsidRPr="00D11F1B">
        <w:rPr>
          <w:color w:val="231F20"/>
        </w:rPr>
        <w:t>je završio posebnu izobrazbu iz Priloga D50B ovoga Pravilnika</w:t>
      </w:r>
    </w:p>
    <w:p w:rsidR="005319CE" w:rsidRPr="00D11F1B" w:rsidRDefault="005319CE" w:rsidP="00FD5E1F">
      <w:pPr>
        <w:pStyle w:val="box468295"/>
        <w:numPr>
          <w:ilvl w:val="0"/>
          <w:numId w:val="1"/>
        </w:numPr>
        <w:shd w:val="clear" w:color="auto" w:fill="FFFFFF"/>
        <w:spacing w:before="120" w:beforeAutospacing="0" w:after="120" w:afterAutospacing="0"/>
        <w:ind w:left="1134" w:hanging="425"/>
        <w:jc w:val="both"/>
        <w:textAlignment w:val="baseline"/>
        <w:rPr>
          <w:color w:val="231F20"/>
        </w:rPr>
      </w:pPr>
      <w:r w:rsidRPr="00D11F1B">
        <w:rPr>
          <w:color w:val="231F20"/>
        </w:rPr>
        <w:t xml:space="preserve">položi ispit za stjecanje takve svjedodžbe sukladno programu iz Priloga C51B Pravilnika </w:t>
      </w:r>
    </w:p>
    <w:p w:rsidR="005319CE" w:rsidRPr="00D11F1B" w:rsidRDefault="005319CE" w:rsidP="00FD5E1F">
      <w:pPr>
        <w:pStyle w:val="box468295"/>
        <w:numPr>
          <w:ilvl w:val="0"/>
          <w:numId w:val="1"/>
        </w:numPr>
        <w:shd w:val="clear" w:color="auto" w:fill="FFFFFF"/>
        <w:spacing w:before="120" w:beforeAutospacing="0" w:after="120" w:afterAutospacing="0"/>
        <w:ind w:left="1134" w:hanging="425"/>
        <w:jc w:val="both"/>
        <w:textAlignment w:val="baseline"/>
        <w:rPr>
          <w:color w:val="231F20"/>
        </w:rPr>
      </w:pPr>
      <w:r w:rsidRPr="00D11F1B">
        <w:rPr>
          <w:color w:val="231F20"/>
        </w:rPr>
        <w:t xml:space="preserve">ima najmanje 1 mjesec plovidbene službe koja uključuje najmanje tri ukrcaja goriva na brodove koji prevoze terete na koje se primjenjuje IGF Pravilnik, pri čemu se </w:t>
      </w:r>
      <w:r w:rsidRPr="00D11F1B">
        <w:rPr>
          <w:color w:val="231F20"/>
        </w:rPr>
        <w:lastRenderedPageBreak/>
        <w:t>dva ukrcaja goriva mogu zamijeniti odgovarajućom izobrazbom na simulatoru za ukrcaj goriva kao dijela izobrazbe iz Priloga D50B (dio: Planirati i pratiti sigurnu opskrbu gorivom te skladištenje i osiguranje goriva na brodovima</w:t>
      </w:r>
      <w:r w:rsidR="00D11F1B">
        <w:rPr>
          <w:color w:val="231F20"/>
        </w:rPr>
        <w:t xml:space="preserve"> koji podliježu IGF Pravilniku).</w:t>
      </w:r>
    </w:p>
    <w:p w:rsidR="005319CE" w:rsidRPr="00D11F1B" w:rsidRDefault="005319CE" w:rsidP="00FD5E1F">
      <w:pPr>
        <w:pStyle w:val="box468295"/>
        <w:shd w:val="clear" w:color="auto" w:fill="FFFFFF"/>
        <w:spacing w:before="120" w:beforeAutospacing="0" w:after="120" w:afterAutospacing="0"/>
        <w:textAlignment w:val="baseline"/>
        <w:rPr>
          <w:color w:val="231F20"/>
        </w:rPr>
      </w:pPr>
      <w:r w:rsidRPr="00D11F1B">
        <w:rPr>
          <w:color w:val="231F20"/>
        </w:rPr>
        <w:t>(3) Svjedodžbu iz stavka 1. ovog članka može steći i pomorac koji:</w:t>
      </w:r>
    </w:p>
    <w:p w:rsidR="005319CE" w:rsidRPr="00D11F1B" w:rsidRDefault="005319CE" w:rsidP="00FD5E1F">
      <w:pPr>
        <w:pStyle w:val="box468295"/>
        <w:numPr>
          <w:ilvl w:val="0"/>
          <w:numId w:val="3"/>
        </w:numPr>
        <w:shd w:val="clear" w:color="auto" w:fill="FFFFFF"/>
        <w:spacing w:before="120" w:beforeAutospacing="0" w:after="120" w:afterAutospacing="0"/>
        <w:ind w:left="1134" w:hanging="425"/>
        <w:textAlignment w:val="baseline"/>
        <w:rPr>
          <w:color w:val="231F20"/>
        </w:rPr>
      </w:pPr>
      <w:r w:rsidRPr="00D11F1B">
        <w:rPr>
          <w:color w:val="231F20"/>
        </w:rPr>
        <w:t>posjeduje svjedodžbu iz članka 65. ovo</w:t>
      </w:r>
      <w:r w:rsidR="00450FA0" w:rsidRPr="00D11F1B">
        <w:rPr>
          <w:color w:val="231F20"/>
        </w:rPr>
        <w:t>g Pravilnika</w:t>
      </w:r>
    </w:p>
    <w:p w:rsidR="005319CE" w:rsidRPr="00D11F1B" w:rsidRDefault="005319CE" w:rsidP="00FD5E1F">
      <w:pPr>
        <w:pStyle w:val="box468295"/>
        <w:numPr>
          <w:ilvl w:val="0"/>
          <w:numId w:val="3"/>
        </w:numPr>
        <w:shd w:val="clear" w:color="auto" w:fill="FFFFFF"/>
        <w:spacing w:before="120" w:beforeAutospacing="0" w:after="120" w:afterAutospacing="0"/>
        <w:ind w:left="1134" w:hanging="425"/>
        <w:jc w:val="both"/>
        <w:textAlignment w:val="baseline"/>
        <w:rPr>
          <w:color w:val="231F20"/>
        </w:rPr>
      </w:pPr>
      <w:r w:rsidRPr="00D11F1B">
        <w:rPr>
          <w:color w:val="231F20"/>
        </w:rPr>
        <w:t>ima najmanje 1 mjesec plovidbene službe koja uključuje najmanje tri ukrcaja goriva na brodove koji prevoze terete na koje se primjenjuje IGF Pravilnik, pri čemu se dva ukrcaja goriva mogu zamijeniti odgovarajućom izobrazbom na simulatoru za ukrcaj goriva kao dijela izobrazbe iz Priloga D50B (dio: Planirati i pratiti sigurnu opskrbu gorivom te skladištenje i osiguranje goriva na brodovima koji podliježu IGF Pravilniku) ili je sudjelovao u provedbi najmanje tri operacije prekrcaja tereta na tankerima za ukapljene plinove,</w:t>
      </w:r>
    </w:p>
    <w:p w:rsidR="005319CE" w:rsidRPr="00D11F1B" w:rsidRDefault="005319CE" w:rsidP="00FD5E1F">
      <w:pPr>
        <w:pStyle w:val="box468295"/>
        <w:numPr>
          <w:ilvl w:val="0"/>
          <w:numId w:val="3"/>
        </w:numPr>
        <w:shd w:val="clear" w:color="auto" w:fill="FFFFFF"/>
        <w:spacing w:before="120" w:beforeAutospacing="0" w:after="120" w:afterAutospacing="0"/>
        <w:ind w:left="1134" w:hanging="425"/>
        <w:textAlignment w:val="baseline"/>
        <w:rPr>
          <w:color w:val="231F20"/>
        </w:rPr>
      </w:pPr>
      <w:r w:rsidRPr="00D11F1B">
        <w:rPr>
          <w:color w:val="231F20"/>
        </w:rPr>
        <w:t>ima najmanje tri mjeseca plovidbene službe u posljednjih pet godina na:</w:t>
      </w:r>
    </w:p>
    <w:p w:rsidR="005319CE" w:rsidRPr="00D11F1B" w:rsidRDefault="005319CE" w:rsidP="00FD5E1F">
      <w:pPr>
        <w:pStyle w:val="box468295"/>
        <w:shd w:val="clear" w:color="auto" w:fill="FFFFFF"/>
        <w:spacing w:before="120" w:beforeAutospacing="0" w:after="120" w:afterAutospacing="0"/>
        <w:ind w:left="1134"/>
        <w:textAlignment w:val="baseline"/>
        <w:rPr>
          <w:color w:val="231F20"/>
        </w:rPr>
      </w:pPr>
      <w:r w:rsidRPr="00D11F1B">
        <w:rPr>
          <w:color w:val="231F20"/>
        </w:rPr>
        <w:t>• brodovima na koje se primjenjuje IGF Pravilnik; ili</w:t>
      </w:r>
    </w:p>
    <w:p w:rsidR="005319CE" w:rsidRPr="00D11F1B" w:rsidRDefault="005319CE" w:rsidP="00FD5E1F">
      <w:pPr>
        <w:pStyle w:val="box468295"/>
        <w:shd w:val="clear" w:color="auto" w:fill="FFFFFF"/>
        <w:spacing w:before="120" w:beforeAutospacing="0" w:after="120" w:afterAutospacing="0"/>
        <w:ind w:left="1134"/>
        <w:textAlignment w:val="baseline"/>
        <w:rPr>
          <w:color w:val="231F20"/>
        </w:rPr>
      </w:pPr>
      <w:r w:rsidRPr="00D11F1B">
        <w:rPr>
          <w:color w:val="231F20"/>
        </w:rPr>
        <w:t>• tankerima koji kao teret prevoze goriva na koja se primjenjuje IGF Pravilnik; ili</w:t>
      </w:r>
    </w:p>
    <w:p w:rsidR="005319CE" w:rsidRPr="00D11F1B" w:rsidRDefault="005319CE" w:rsidP="00FD5E1F">
      <w:pPr>
        <w:pStyle w:val="box468295"/>
        <w:shd w:val="clear" w:color="auto" w:fill="FFFFFF"/>
        <w:spacing w:before="120" w:beforeAutospacing="0" w:after="120" w:afterAutospacing="0"/>
        <w:ind w:left="1134"/>
        <w:textAlignment w:val="baseline"/>
        <w:rPr>
          <w:color w:val="231F20"/>
        </w:rPr>
      </w:pPr>
      <w:r w:rsidRPr="00D11F1B">
        <w:rPr>
          <w:color w:val="231F20"/>
        </w:rPr>
        <w:t>• brodovima koji kao gorivo koriste plinove ili goriva sa niskom točkom zapaljivosti.</w:t>
      </w:r>
    </w:p>
    <w:p w:rsidR="005319CE" w:rsidRPr="00D11F1B" w:rsidRDefault="005319CE" w:rsidP="00FD5E1F">
      <w:pPr>
        <w:pStyle w:val="box468295"/>
        <w:shd w:val="clear" w:color="auto" w:fill="FFFFFF"/>
        <w:spacing w:before="120" w:beforeAutospacing="0" w:after="120" w:afterAutospacing="0"/>
        <w:jc w:val="both"/>
        <w:textAlignment w:val="baseline"/>
        <w:rPr>
          <w:color w:val="231F20"/>
        </w:rPr>
      </w:pPr>
      <w:r w:rsidRPr="00D11F1B">
        <w:rPr>
          <w:color w:val="231F20"/>
        </w:rPr>
        <w:t>(4) Sudjelovanje pri ukrcaju ili prekrcaju goriva kako je propisano stavkom 2. i 3. ovog članka dokazuje se potpisanom izjavom od strane zapovjednika broda, brodara, kompanije ili posrednika.</w:t>
      </w:r>
    </w:p>
    <w:p w:rsidR="005319CE" w:rsidRPr="00D11F1B" w:rsidRDefault="005319CE" w:rsidP="00FD5E1F">
      <w:pPr>
        <w:pStyle w:val="box468295"/>
        <w:shd w:val="clear" w:color="auto" w:fill="FFFFFF"/>
        <w:spacing w:before="120" w:beforeAutospacing="0" w:after="120" w:afterAutospacing="0"/>
        <w:jc w:val="both"/>
        <w:textAlignment w:val="baseline"/>
        <w:rPr>
          <w:color w:val="231F20"/>
        </w:rPr>
      </w:pPr>
      <w:r w:rsidRPr="00D11F1B">
        <w:rPr>
          <w:color w:val="231F20"/>
        </w:rPr>
        <w:t>(5) Svjedodžba iz stavka 1. ovoga članka ima valjanost za razdoblje od 5 godina od dana izdavanja.</w:t>
      </w:r>
      <w:r w:rsidR="00BE58A5" w:rsidRPr="00D11F1B">
        <w:rPr>
          <w:color w:val="231F20"/>
        </w:rPr>
        <w:t>“</w:t>
      </w:r>
    </w:p>
    <w:p w:rsidR="00D11F1B" w:rsidRPr="00D11F1B" w:rsidRDefault="00D11F1B" w:rsidP="00FD5E1F">
      <w:pPr>
        <w:pStyle w:val="box468295"/>
        <w:shd w:val="clear" w:color="auto" w:fill="FFFFFF"/>
        <w:spacing w:before="120" w:beforeAutospacing="0" w:after="120" w:afterAutospacing="0"/>
        <w:jc w:val="both"/>
        <w:textAlignment w:val="baseline"/>
        <w:rPr>
          <w:color w:val="231F20"/>
        </w:rPr>
      </w:pPr>
    </w:p>
    <w:p w:rsidR="003B400A" w:rsidRPr="00D11F1B" w:rsidRDefault="003B400A" w:rsidP="00FD5E1F">
      <w:pPr>
        <w:pStyle w:val="box468295"/>
        <w:shd w:val="clear" w:color="auto" w:fill="FFFFFF"/>
        <w:spacing w:before="120" w:beforeAutospacing="0" w:after="120" w:afterAutospacing="0"/>
        <w:jc w:val="center"/>
        <w:textAlignment w:val="baseline"/>
        <w:rPr>
          <w:color w:val="231F20"/>
        </w:rPr>
      </w:pPr>
      <w:r w:rsidRPr="00D11F1B">
        <w:rPr>
          <w:color w:val="231F20"/>
        </w:rPr>
        <w:t>Članak</w:t>
      </w:r>
      <w:r w:rsidR="00D11F1B">
        <w:rPr>
          <w:color w:val="231F20"/>
        </w:rPr>
        <w:t xml:space="preserve"> 4.</w:t>
      </w:r>
    </w:p>
    <w:p w:rsidR="0047044C" w:rsidRPr="00D11F1B" w:rsidRDefault="00943C3E" w:rsidP="00FD5E1F">
      <w:pPr>
        <w:pStyle w:val="box468295"/>
        <w:shd w:val="clear" w:color="auto" w:fill="FFFFFF"/>
        <w:spacing w:before="120" w:beforeAutospacing="0" w:after="120" w:afterAutospacing="0"/>
        <w:jc w:val="both"/>
        <w:textAlignment w:val="baseline"/>
        <w:rPr>
          <w:color w:val="231F20"/>
        </w:rPr>
      </w:pPr>
      <w:r w:rsidRPr="00D11F1B">
        <w:rPr>
          <w:color w:val="231F20"/>
        </w:rPr>
        <w:t xml:space="preserve">(1) </w:t>
      </w:r>
      <w:r w:rsidR="0047044C" w:rsidRPr="00D11F1B">
        <w:rPr>
          <w:color w:val="231F20"/>
        </w:rPr>
        <w:t xml:space="preserve">U članku 114. </w:t>
      </w:r>
      <w:r w:rsidRPr="00D11F1B">
        <w:rPr>
          <w:color w:val="231F20"/>
        </w:rPr>
        <w:t xml:space="preserve">stavku 2. točki a) iza riječi „jahte“ dodaju se riječi „koja udovoljava uvjetima </w:t>
      </w:r>
      <w:r w:rsidR="00BC68C7" w:rsidRPr="00D11F1B">
        <w:rPr>
          <w:color w:val="231F20"/>
        </w:rPr>
        <w:t>za stjecanje odnosne svjedodžbe</w:t>
      </w:r>
      <w:r w:rsidRPr="00D11F1B">
        <w:rPr>
          <w:color w:val="231F20"/>
        </w:rPr>
        <w:t>“.</w:t>
      </w:r>
    </w:p>
    <w:p w:rsidR="00943C3E" w:rsidRPr="00D11F1B" w:rsidRDefault="00943C3E" w:rsidP="00FD5E1F">
      <w:pPr>
        <w:pStyle w:val="box468295"/>
        <w:shd w:val="clear" w:color="auto" w:fill="FFFFFF"/>
        <w:spacing w:before="120" w:beforeAutospacing="0" w:after="120" w:afterAutospacing="0"/>
        <w:jc w:val="both"/>
        <w:textAlignment w:val="baseline"/>
        <w:rPr>
          <w:color w:val="231F20"/>
        </w:rPr>
      </w:pPr>
      <w:r w:rsidRPr="00D11F1B">
        <w:rPr>
          <w:color w:val="231F20"/>
        </w:rPr>
        <w:t>(2) U stavku 2 točki b) iza riječi „jahte“ dodaju se riječi „</w:t>
      </w:r>
      <w:r w:rsidR="00BC68C7" w:rsidRPr="00D11F1B">
        <w:rPr>
          <w:color w:val="231F20"/>
        </w:rPr>
        <w:t>koja udovoljava uvjetima za stjecanje odnosne svjedodžbe</w:t>
      </w:r>
      <w:r w:rsidRPr="00D11F1B">
        <w:rPr>
          <w:color w:val="231F20"/>
        </w:rPr>
        <w:t>“.</w:t>
      </w:r>
    </w:p>
    <w:p w:rsidR="00D11F1B" w:rsidRPr="00D11F1B" w:rsidRDefault="00D11F1B" w:rsidP="00FD5E1F">
      <w:pPr>
        <w:pStyle w:val="box468295"/>
        <w:shd w:val="clear" w:color="auto" w:fill="FFFFFF"/>
        <w:spacing w:before="120" w:beforeAutospacing="0" w:after="120" w:afterAutospacing="0"/>
        <w:jc w:val="both"/>
        <w:textAlignment w:val="baseline"/>
        <w:rPr>
          <w:color w:val="231F20"/>
        </w:rPr>
      </w:pPr>
    </w:p>
    <w:p w:rsidR="00943C3E" w:rsidRPr="00D11F1B" w:rsidRDefault="00943C3E" w:rsidP="00FD5E1F">
      <w:pPr>
        <w:pStyle w:val="box468295"/>
        <w:shd w:val="clear" w:color="auto" w:fill="FFFFFF"/>
        <w:spacing w:before="120" w:beforeAutospacing="0" w:after="120" w:afterAutospacing="0"/>
        <w:jc w:val="center"/>
        <w:textAlignment w:val="baseline"/>
        <w:rPr>
          <w:color w:val="231F20"/>
        </w:rPr>
      </w:pPr>
      <w:r w:rsidRPr="00D11F1B">
        <w:rPr>
          <w:color w:val="231F20"/>
        </w:rPr>
        <w:t>Članak</w:t>
      </w:r>
      <w:r w:rsidR="00D11F1B">
        <w:rPr>
          <w:color w:val="231F20"/>
        </w:rPr>
        <w:t xml:space="preserve"> 5.</w:t>
      </w:r>
    </w:p>
    <w:p w:rsidR="00914D91" w:rsidRPr="00D11F1B" w:rsidRDefault="00914D91" w:rsidP="00FD5E1F">
      <w:pPr>
        <w:pStyle w:val="box468295"/>
        <w:shd w:val="clear" w:color="auto" w:fill="FFFFFF"/>
        <w:spacing w:before="120" w:beforeAutospacing="0" w:after="120" w:afterAutospacing="0"/>
        <w:jc w:val="both"/>
        <w:textAlignment w:val="baseline"/>
        <w:rPr>
          <w:color w:val="231F20"/>
        </w:rPr>
      </w:pPr>
      <w:r w:rsidRPr="00D11F1B">
        <w:rPr>
          <w:color w:val="231F20"/>
        </w:rPr>
        <w:t>Članak 116 mijenja se i glasi:</w:t>
      </w:r>
    </w:p>
    <w:p w:rsidR="00914D91" w:rsidRPr="00D11F1B" w:rsidRDefault="00BE58A5" w:rsidP="00FD5E1F">
      <w:pPr>
        <w:pStyle w:val="box468295"/>
        <w:shd w:val="clear" w:color="auto" w:fill="FFFFFF"/>
        <w:spacing w:before="120" w:beforeAutospacing="0" w:after="120" w:afterAutospacing="0"/>
        <w:jc w:val="center"/>
        <w:textAlignment w:val="baseline"/>
        <w:rPr>
          <w:color w:val="231F20"/>
        </w:rPr>
      </w:pPr>
      <w:r w:rsidRPr="00D11F1B">
        <w:rPr>
          <w:color w:val="231F20"/>
        </w:rPr>
        <w:t>„</w:t>
      </w:r>
      <w:r w:rsidR="00914D91" w:rsidRPr="00D11F1B">
        <w:rPr>
          <w:color w:val="231F20"/>
        </w:rPr>
        <w:t>Članak 116.</w:t>
      </w:r>
    </w:p>
    <w:p w:rsidR="00914D91" w:rsidRPr="00D11F1B" w:rsidRDefault="00914D91" w:rsidP="00FD5E1F">
      <w:pPr>
        <w:spacing w:before="120" w:after="120" w:line="240" w:lineRule="auto"/>
        <w:jc w:val="both"/>
        <w:rPr>
          <w:rFonts w:ascii="Times New Roman" w:hAnsi="Times New Roman" w:cs="Times New Roman"/>
          <w:sz w:val="24"/>
          <w:szCs w:val="24"/>
        </w:rPr>
      </w:pPr>
      <w:r w:rsidRPr="00D11F1B">
        <w:rPr>
          <w:rFonts w:ascii="Times New Roman" w:hAnsi="Times New Roman" w:cs="Times New Roman"/>
          <w:sz w:val="24"/>
          <w:szCs w:val="24"/>
        </w:rPr>
        <w:t>(1) Svjedodžbe o dopunskoj osposobljenosti kojima je valjanost pet godina, osim svjedodžbi iz članka 50., 51., 52., 53., 62., 63., 64., 65., 66., 67.a, 67.b, 67.c i 67.d ovog Pravilnika, obnavljaju se za isto razdoblje, ukoliko naslovnik svjedodžbe dokaže svoju stručnu osposobljenost.</w:t>
      </w:r>
    </w:p>
    <w:p w:rsidR="00914D91" w:rsidRPr="00D11F1B" w:rsidRDefault="00914D91" w:rsidP="00FD5E1F">
      <w:pPr>
        <w:spacing w:before="120" w:after="120" w:line="240" w:lineRule="auto"/>
        <w:jc w:val="both"/>
        <w:rPr>
          <w:rFonts w:ascii="Times New Roman" w:hAnsi="Times New Roman" w:cs="Times New Roman"/>
          <w:sz w:val="24"/>
          <w:szCs w:val="24"/>
        </w:rPr>
      </w:pPr>
      <w:r w:rsidRPr="00D11F1B">
        <w:rPr>
          <w:rFonts w:ascii="Times New Roman" w:hAnsi="Times New Roman" w:cs="Times New Roman"/>
          <w:sz w:val="24"/>
          <w:szCs w:val="24"/>
        </w:rPr>
        <w:t>(2) Stručna osposobljenost iz stavka 1. ovoga članka dokazuje se:</w:t>
      </w:r>
    </w:p>
    <w:p w:rsidR="00914D91" w:rsidRPr="00D11F1B" w:rsidRDefault="00914D91" w:rsidP="00FD5E1F">
      <w:pPr>
        <w:pStyle w:val="ListParagraph"/>
        <w:numPr>
          <w:ilvl w:val="1"/>
          <w:numId w:val="7"/>
        </w:numPr>
        <w:spacing w:before="120" w:after="120" w:line="240" w:lineRule="auto"/>
        <w:ind w:left="1134" w:hanging="425"/>
        <w:jc w:val="both"/>
        <w:rPr>
          <w:rFonts w:ascii="Times New Roman" w:hAnsi="Times New Roman" w:cs="Times New Roman"/>
          <w:sz w:val="24"/>
          <w:szCs w:val="24"/>
        </w:rPr>
      </w:pPr>
      <w:r w:rsidRPr="00D11F1B">
        <w:rPr>
          <w:rFonts w:ascii="Times New Roman" w:hAnsi="Times New Roman" w:cs="Times New Roman"/>
          <w:sz w:val="24"/>
          <w:szCs w:val="24"/>
        </w:rPr>
        <w:t>plovidbenom službom iz točke a) stavka 2. članka 114. ovog Pravilnika, na brodu odnosno jahti</w:t>
      </w:r>
      <w:r w:rsidR="005319CE" w:rsidRPr="00D11F1B">
        <w:rPr>
          <w:rFonts w:ascii="Times New Roman" w:hAnsi="Times New Roman" w:cs="Times New Roman"/>
          <w:sz w:val="24"/>
          <w:szCs w:val="24"/>
        </w:rPr>
        <w:t xml:space="preserve"> koja udovoljava uvjetima za stjecanje odnosne svjedodžbe</w:t>
      </w:r>
      <w:r w:rsidRPr="00D11F1B">
        <w:rPr>
          <w:rFonts w:ascii="Times New Roman" w:hAnsi="Times New Roman" w:cs="Times New Roman"/>
          <w:sz w:val="24"/>
          <w:szCs w:val="24"/>
        </w:rPr>
        <w:t xml:space="preserve"> za kojega se takva svjedodžba o osposobljenosti zahtijeva ili,</w:t>
      </w:r>
    </w:p>
    <w:p w:rsidR="00914D91" w:rsidRPr="00D11F1B" w:rsidRDefault="00914D91" w:rsidP="00FD5E1F">
      <w:pPr>
        <w:pStyle w:val="ListParagraph"/>
        <w:numPr>
          <w:ilvl w:val="1"/>
          <w:numId w:val="7"/>
        </w:numPr>
        <w:spacing w:before="120" w:after="120" w:line="240" w:lineRule="auto"/>
        <w:ind w:left="1134" w:hanging="425"/>
        <w:jc w:val="both"/>
        <w:rPr>
          <w:rFonts w:ascii="Times New Roman" w:hAnsi="Times New Roman" w:cs="Times New Roman"/>
          <w:sz w:val="24"/>
          <w:szCs w:val="24"/>
        </w:rPr>
      </w:pPr>
      <w:r w:rsidRPr="00D11F1B">
        <w:rPr>
          <w:rFonts w:ascii="Times New Roman" w:hAnsi="Times New Roman" w:cs="Times New Roman"/>
          <w:sz w:val="24"/>
          <w:szCs w:val="24"/>
        </w:rPr>
        <w:t>ponovnim polaganjem ispita za stjecanje odnosne svjedodžbe ili,</w:t>
      </w:r>
    </w:p>
    <w:p w:rsidR="00914D91" w:rsidRPr="00D11F1B" w:rsidRDefault="00914D91" w:rsidP="00FD5E1F">
      <w:pPr>
        <w:pStyle w:val="ListParagraph"/>
        <w:numPr>
          <w:ilvl w:val="1"/>
          <w:numId w:val="7"/>
        </w:numPr>
        <w:spacing w:before="120" w:after="120" w:line="240" w:lineRule="auto"/>
        <w:ind w:left="1134" w:hanging="425"/>
        <w:jc w:val="both"/>
        <w:rPr>
          <w:rFonts w:ascii="Times New Roman" w:hAnsi="Times New Roman" w:cs="Times New Roman"/>
          <w:sz w:val="24"/>
          <w:szCs w:val="24"/>
        </w:rPr>
      </w:pPr>
      <w:r w:rsidRPr="00D11F1B">
        <w:rPr>
          <w:rFonts w:ascii="Times New Roman" w:hAnsi="Times New Roman" w:cs="Times New Roman"/>
          <w:sz w:val="24"/>
          <w:szCs w:val="24"/>
        </w:rPr>
        <w:lastRenderedPageBreak/>
        <w:t>ponovno uspješno završenim programom izobrazbe sukladno Prilogu D ovog Pravilnika za stjecanje odnosne svjedodžbe ili,</w:t>
      </w:r>
    </w:p>
    <w:p w:rsidR="00914D91" w:rsidRPr="00D11F1B" w:rsidRDefault="00914D91" w:rsidP="00FD5E1F">
      <w:pPr>
        <w:pStyle w:val="ListParagraph"/>
        <w:numPr>
          <w:ilvl w:val="1"/>
          <w:numId w:val="7"/>
        </w:numPr>
        <w:spacing w:before="120" w:after="120" w:line="240" w:lineRule="auto"/>
        <w:ind w:left="1134" w:hanging="425"/>
        <w:jc w:val="both"/>
        <w:rPr>
          <w:rFonts w:ascii="Times New Roman" w:hAnsi="Times New Roman" w:cs="Times New Roman"/>
          <w:sz w:val="24"/>
          <w:szCs w:val="24"/>
        </w:rPr>
      </w:pPr>
      <w:r w:rsidRPr="00D11F1B">
        <w:rPr>
          <w:rFonts w:ascii="Times New Roman" w:hAnsi="Times New Roman" w:cs="Times New Roman"/>
          <w:sz w:val="24"/>
          <w:szCs w:val="24"/>
        </w:rPr>
        <w:t>obavljanjem onih dužnosti koje se drže jednakima plovidbenoj službi i to: lučkoga kapetana, inspektora sigurnosti plovidbe, djelatnika Ministarstva ili lučke kapetanije koji je rješenjem Ministarstva ovlašten obavljati inspekcijske poslove, djelatnika službe nadzora i upravljanja pomorskim prometom, djelatnika Nacionalne središnjice za traganje i spašavanje na moru, inspektora u brodarskoj kompaniji u nacionalnoj ili međunarodnoj plovidbi, peljara u nacionalnoj ili međunarodnoj plovidbi, člana ispitnoga povjerenstva za stjecanje odnosne svjedodžbe o osposobljenosti ili nastavnika u teoretskom ili praktičnom obrazovanju ili izobrazbi polaznika za stjecanje odnosne svjedodžbe o dopunskoj osposobljenosti i to najmanje u razdoblju od 12 mjeseci tijekom proteklih pet godina.</w:t>
      </w:r>
    </w:p>
    <w:p w:rsidR="00914D91" w:rsidRPr="00D11F1B" w:rsidRDefault="00914D91" w:rsidP="00FD5E1F">
      <w:pPr>
        <w:spacing w:before="120" w:after="120" w:line="240" w:lineRule="auto"/>
        <w:jc w:val="both"/>
        <w:rPr>
          <w:rFonts w:ascii="Times New Roman" w:hAnsi="Times New Roman" w:cs="Times New Roman"/>
          <w:sz w:val="24"/>
          <w:szCs w:val="24"/>
        </w:rPr>
      </w:pPr>
      <w:r w:rsidRPr="00D11F1B">
        <w:rPr>
          <w:rFonts w:ascii="Times New Roman" w:hAnsi="Times New Roman" w:cs="Times New Roman"/>
          <w:sz w:val="24"/>
          <w:szCs w:val="24"/>
        </w:rPr>
        <w:t>(3) Svjedodžba o dopunskoj osposobljenosti – Temeljna sigurnost na brodu (STCW A-VI/1), Svjedodžba o dopunskoj osposobljenosti – Rukovanje brodicom za spašavanje i spasilačkom brodicom osim brze spasilačke brodice (STCW VI/2), Svjedodžba o dopunskoj osposobljenosti – Rukovanje brzom spasilačkom brodicom (STCW VI/2), Svjedodžba o dopunskoj osposobljenosti – Upravljanje gašenjem požara (STCW VI/3) obnavlja se za isto razdoblje na temelju ponovnog uspješno završenog programa izobrazbe sukladno Prilogu D ili ponovnim polaganjem ispita za stjecanje odnosne svjedodžbe.</w:t>
      </w:r>
    </w:p>
    <w:p w:rsidR="00914D91" w:rsidRPr="00D11F1B" w:rsidRDefault="00914D91" w:rsidP="00FD5E1F">
      <w:pPr>
        <w:spacing w:before="120" w:after="120" w:line="240" w:lineRule="auto"/>
        <w:jc w:val="both"/>
        <w:rPr>
          <w:rFonts w:ascii="Times New Roman" w:hAnsi="Times New Roman" w:cs="Times New Roman"/>
          <w:sz w:val="24"/>
          <w:szCs w:val="24"/>
        </w:rPr>
      </w:pPr>
      <w:r w:rsidRPr="00D11F1B">
        <w:rPr>
          <w:rFonts w:ascii="Times New Roman" w:hAnsi="Times New Roman" w:cs="Times New Roman"/>
          <w:sz w:val="24"/>
          <w:szCs w:val="24"/>
        </w:rPr>
        <w:t xml:space="preserve">(4) Svjedodžba o dopunskoj osposobljenosti – Osnovna osposobljenost za rad na tankerima za ulje i kemikalije (STCW V/1-1 st.2.), Svjedodžba o dopunskoj osposobljenosti – Rad na tankerima za ulje (STCW V/1-1 st.4.), Svjedodžba o dopunskoj osposobljenosti – Rad na tankerima za kemikalije (STCW V/1-1 st.6.), Svjedodžba o dopunskoj osposobljenosti Osnovna osposobljenost za rad na tankerima za ukapljene plinove (STCW V/1-2 st.2), Svjedodžba o dopunskoj osposobljenosti – Rad na tankerima za ukapljene plinove (STCW V/1-2 st.4.), Svjedodžba o dopunskoj osposobljenosti – Rad na brodovima na koje se primjenjuje IGF Pravilnik – radna razina (STCW V/3) i Svjedodžba o dopunskoj osposobljenosti – Rad na brodovima na koje se primjenjuje IGF Pravilnik – upravljačka razina (STCW V/3) obnavlja se za isto razdoblje temeljem potvrđene plovidbene službe tijekom koje je pomorac obavljao dužnosti što odgovaraju svjedodžbi koju posjeduje u pogledu tipa broda i to najmanje u razdoblju od ukupno tri mjeseca tijekom proteklih pet godina </w:t>
      </w:r>
      <w:r w:rsidR="005319CE" w:rsidRPr="00D11F1B">
        <w:rPr>
          <w:rFonts w:ascii="Times New Roman" w:hAnsi="Times New Roman" w:cs="Times New Roman"/>
          <w:sz w:val="24"/>
          <w:szCs w:val="24"/>
        </w:rPr>
        <w:t>ili</w:t>
      </w:r>
      <w:r w:rsidRPr="00D11F1B">
        <w:rPr>
          <w:rFonts w:ascii="Times New Roman" w:hAnsi="Times New Roman" w:cs="Times New Roman"/>
          <w:sz w:val="24"/>
          <w:szCs w:val="24"/>
        </w:rPr>
        <w:t xml:space="preserve"> na temelju ponovnog uspješno završenog programa izobrazbe sukladno Prilogu D Pravilnika.</w:t>
      </w:r>
    </w:p>
    <w:p w:rsidR="00914D91" w:rsidRPr="00D11F1B" w:rsidRDefault="00914D91" w:rsidP="00FD5E1F">
      <w:pPr>
        <w:spacing w:before="120" w:after="120" w:line="240" w:lineRule="auto"/>
        <w:jc w:val="both"/>
        <w:rPr>
          <w:rFonts w:ascii="Times New Roman" w:hAnsi="Times New Roman" w:cs="Times New Roman"/>
          <w:sz w:val="24"/>
          <w:szCs w:val="24"/>
        </w:rPr>
      </w:pPr>
      <w:r w:rsidRPr="00D11F1B">
        <w:rPr>
          <w:rFonts w:ascii="Times New Roman" w:hAnsi="Times New Roman" w:cs="Times New Roman"/>
          <w:sz w:val="24"/>
          <w:szCs w:val="24"/>
        </w:rPr>
        <w:t>(5) Svjedodžba o dopunskoj osposobljenosti – Rad na brodovima na koje se primjenjuje Polarni Pravilnik – radna razina (STCW V/4) i Svjedodžba o dopunskoj osposobljenosti – Rad na brodovima na koje se primjenjuje Polarni Pravilnik – upravljačka razina (STCW V/4) obnavlja se za isto razdoblje temeljem potvrđene plovidbene službe tijekom koje je pomorac obavljao dužnosti što odgovaraju svjedodžbi koju posjeduje u pogledu odgovarajućeg područja plovidbe broda i to najmanje u razdoblju od ukupno dva mjeseca tijekom proteklih pet godina odnosno ponovnim polaganjem ispita za stjecanje odnosne svjedodžbe sukladno Prilogu C Pravilnika ili temeljem ponovnog uspješno završenog programa izobrazbe sukladno Prilogu D Pravilnika.</w:t>
      </w:r>
    </w:p>
    <w:p w:rsidR="00914D91" w:rsidRPr="00D11F1B" w:rsidRDefault="00914D91" w:rsidP="00FD5E1F">
      <w:pPr>
        <w:spacing w:before="120" w:after="120" w:line="240" w:lineRule="auto"/>
        <w:jc w:val="both"/>
        <w:rPr>
          <w:rFonts w:ascii="Times New Roman" w:hAnsi="Times New Roman" w:cs="Times New Roman"/>
          <w:color w:val="231F20"/>
          <w:sz w:val="24"/>
          <w:szCs w:val="24"/>
        </w:rPr>
      </w:pPr>
      <w:r w:rsidRPr="00D11F1B">
        <w:rPr>
          <w:rFonts w:ascii="Times New Roman" w:hAnsi="Times New Roman" w:cs="Times New Roman"/>
          <w:sz w:val="24"/>
          <w:szCs w:val="24"/>
        </w:rPr>
        <w:t>(6) Ispunjenje uvjeta iz stavka 5. ovog članka u pogledu obavljanja dužnosti što odgovaraju svjedodžbi koju pomorac posjeduje glede odgovarajućeg područja plovidbe broda, dokazuje se potpisanom izjavom od strane zapovjednika broda, brodara, kompanije ili posrednika ili drugim odgovarajućim dokazom plovidbene službe u polarnom području.</w:t>
      </w:r>
      <w:r w:rsidR="00BE58A5" w:rsidRPr="00D11F1B">
        <w:rPr>
          <w:rFonts w:ascii="Times New Roman" w:hAnsi="Times New Roman" w:cs="Times New Roman"/>
          <w:sz w:val="24"/>
          <w:szCs w:val="24"/>
        </w:rPr>
        <w:t>“</w:t>
      </w:r>
    </w:p>
    <w:p w:rsidR="005B1CA9" w:rsidRDefault="005B1CA9" w:rsidP="00FD5E1F">
      <w:pPr>
        <w:pStyle w:val="box468295"/>
        <w:shd w:val="clear" w:color="auto" w:fill="FFFFFF"/>
        <w:spacing w:before="120" w:beforeAutospacing="0" w:after="120" w:afterAutospacing="0"/>
        <w:jc w:val="both"/>
        <w:textAlignment w:val="baseline"/>
        <w:rPr>
          <w:color w:val="231F20"/>
        </w:rPr>
      </w:pPr>
    </w:p>
    <w:p w:rsidR="00FD5E1F" w:rsidRPr="00D11F1B" w:rsidRDefault="00FD5E1F" w:rsidP="00FD5E1F">
      <w:pPr>
        <w:pStyle w:val="box468295"/>
        <w:shd w:val="clear" w:color="auto" w:fill="FFFFFF"/>
        <w:spacing w:before="120" w:beforeAutospacing="0" w:after="120" w:afterAutospacing="0"/>
        <w:jc w:val="both"/>
        <w:textAlignment w:val="baseline"/>
        <w:rPr>
          <w:color w:val="231F20"/>
        </w:rPr>
      </w:pPr>
    </w:p>
    <w:p w:rsidR="00943C3E" w:rsidRPr="00D11F1B" w:rsidRDefault="00943C3E" w:rsidP="00FD5E1F">
      <w:pPr>
        <w:pStyle w:val="box468295"/>
        <w:shd w:val="clear" w:color="auto" w:fill="FFFFFF"/>
        <w:spacing w:before="120" w:beforeAutospacing="0" w:after="120" w:afterAutospacing="0"/>
        <w:jc w:val="center"/>
        <w:textAlignment w:val="baseline"/>
        <w:rPr>
          <w:color w:val="231F20"/>
        </w:rPr>
      </w:pPr>
      <w:r w:rsidRPr="00D11F1B">
        <w:rPr>
          <w:color w:val="231F20"/>
        </w:rPr>
        <w:lastRenderedPageBreak/>
        <w:t>Članak</w:t>
      </w:r>
      <w:r w:rsidR="005B1CA9">
        <w:rPr>
          <w:color w:val="231F20"/>
        </w:rPr>
        <w:t xml:space="preserve"> 6.</w:t>
      </w:r>
    </w:p>
    <w:p w:rsidR="003B400A" w:rsidRPr="00D11F1B" w:rsidRDefault="003B400A" w:rsidP="00FD5E1F">
      <w:pPr>
        <w:pStyle w:val="box468295"/>
        <w:shd w:val="clear" w:color="auto" w:fill="FFFFFF"/>
        <w:spacing w:before="120" w:beforeAutospacing="0" w:after="120" w:afterAutospacing="0"/>
        <w:jc w:val="both"/>
        <w:textAlignment w:val="baseline"/>
        <w:rPr>
          <w:bCs/>
          <w:color w:val="231F20"/>
        </w:rPr>
      </w:pPr>
      <w:r w:rsidRPr="00D11F1B">
        <w:rPr>
          <w:color w:val="231F20"/>
        </w:rPr>
        <w:t xml:space="preserve">U Prilogu D2, tablica </w:t>
      </w:r>
      <w:bookmarkStart w:id="1" w:name="_Toc369271079"/>
      <w:r w:rsidRPr="00D11F1B">
        <w:rPr>
          <w:bCs/>
          <w:color w:val="231F20"/>
        </w:rPr>
        <w:t>Osobna sigurnost i društvena odgovornost</w:t>
      </w:r>
      <w:bookmarkEnd w:id="1"/>
      <w:r w:rsidRPr="00D11F1B">
        <w:rPr>
          <w:bCs/>
          <w:color w:val="231F20"/>
        </w:rPr>
        <w:t xml:space="preserve"> mijenja se i glasi:</w:t>
      </w:r>
    </w:p>
    <w:p w:rsidR="003B400A" w:rsidRPr="00D11F1B" w:rsidRDefault="003B400A" w:rsidP="00FD5E1F">
      <w:pPr>
        <w:spacing w:before="120" w:after="120"/>
        <w:rPr>
          <w:rFonts w:ascii="Times New Roman" w:hAnsi="Times New Roman" w:cs="Times New Roman"/>
          <w:b/>
          <w:bCs/>
        </w:rPr>
      </w:pPr>
      <w:r w:rsidRPr="00D11F1B">
        <w:rPr>
          <w:rFonts w:ascii="Times New Roman" w:hAnsi="Times New Roman" w:cs="Times New Roman"/>
          <w:b/>
          <w:bCs/>
        </w:rPr>
        <w:t>„Osobna sigurnost i društvena odgovornost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2177"/>
        <w:gridCol w:w="1367"/>
        <w:gridCol w:w="1680"/>
        <w:gridCol w:w="1304"/>
        <w:gridCol w:w="1119"/>
      </w:tblGrid>
      <w:tr w:rsidR="003B400A" w:rsidRPr="00D11F1B" w:rsidTr="003B400A">
        <w:tc>
          <w:tcPr>
            <w:tcW w:w="1413" w:type="dxa"/>
          </w:tcPr>
          <w:p w:rsidR="003B400A" w:rsidRPr="00D11F1B" w:rsidRDefault="003B400A" w:rsidP="00FD5E1F">
            <w:pPr>
              <w:spacing w:before="120" w:after="120"/>
              <w:rPr>
                <w:rFonts w:ascii="Times New Roman" w:hAnsi="Times New Roman" w:cs="Times New Roman"/>
              </w:rPr>
            </w:pPr>
            <w:r w:rsidRPr="00D11F1B">
              <w:rPr>
                <w:rFonts w:ascii="Times New Roman" w:hAnsi="Times New Roman" w:cs="Times New Roman"/>
                <w:b/>
                <w:bCs/>
              </w:rPr>
              <w:t>Stupac 1.</w:t>
            </w:r>
          </w:p>
        </w:tc>
        <w:tc>
          <w:tcPr>
            <w:tcW w:w="2177" w:type="dxa"/>
          </w:tcPr>
          <w:p w:rsidR="003B400A" w:rsidRPr="00D11F1B" w:rsidRDefault="003B400A" w:rsidP="00FD5E1F">
            <w:pPr>
              <w:spacing w:before="120" w:after="120"/>
              <w:rPr>
                <w:rFonts w:ascii="Times New Roman" w:hAnsi="Times New Roman" w:cs="Times New Roman"/>
              </w:rPr>
            </w:pPr>
            <w:r w:rsidRPr="00D11F1B">
              <w:rPr>
                <w:rFonts w:ascii="Times New Roman" w:hAnsi="Times New Roman" w:cs="Times New Roman"/>
                <w:b/>
                <w:bCs/>
              </w:rPr>
              <w:t>Stupac 2.</w:t>
            </w:r>
          </w:p>
        </w:tc>
        <w:tc>
          <w:tcPr>
            <w:tcW w:w="1367" w:type="dxa"/>
          </w:tcPr>
          <w:p w:rsidR="003B400A" w:rsidRPr="00D11F1B" w:rsidRDefault="003B400A" w:rsidP="00FD5E1F">
            <w:pPr>
              <w:spacing w:before="120" w:after="120"/>
              <w:rPr>
                <w:rFonts w:ascii="Times New Roman" w:hAnsi="Times New Roman" w:cs="Times New Roman"/>
              </w:rPr>
            </w:pPr>
            <w:r w:rsidRPr="00D11F1B">
              <w:rPr>
                <w:rFonts w:ascii="Times New Roman" w:hAnsi="Times New Roman" w:cs="Times New Roman"/>
                <w:b/>
                <w:bCs/>
              </w:rPr>
              <w:t>Stupac 3.</w:t>
            </w:r>
          </w:p>
        </w:tc>
        <w:tc>
          <w:tcPr>
            <w:tcW w:w="1680" w:type="dxa"/>
          </w:tcPr>
          <w:p w:rsidR="003B400A" w:rsidRPr="00D11F1B" w:rsidRDefault="003B400A" w:rsidP="00FD5E1F">
            <w:pPr>
              <w:spacing w:before="120" w:after="120"/>
              <w:rPr>
                <w:rFonts w:ascii="Times New Roman" w:hAnsi="Times New Roman" w:cs="Times New Roman"/>
              </w:rPr>
            </w:pPr>
            <w:r w:rsidRPr="00D11F1B">
              <w:rPr>
                <w:rFonts w:ascii="Times New Roman" w:hAnsi="Times New Roman" w:cs="Times New Roman"/>
                <w:b/>
                <w:bCs/>
              </w:rPr>
              <w:t>Stupac 4.</w:t>
            </w:r>
          </w:p>
        </w:tc>
        <w:tc>
          <w:tcPr>
            <w:tcW w:w="2423" w:type="dxa"/>
            <w:gridSpan w:val="2"/>
          </w:tcPr>
          <w:p w:rsidR="003B400A" w:rsidRPr="00D11F1B" w:rsidRDefault="003B400A" w:rsidP="00FD5E1F">
            <w:pPr>
              <w:spacing w:before="120" w:after="120"/>
              <w:rPr>
                <w:rFonts w:ascii="Times New Roman" w:hAnsi="Times New Roman" w:cs="Times New Roman"/>
                <w:b/>
                <w:bCs/>
              </w:rPr>
            </w:pPr>
            <w:r w:rsidRPr="00D11F1B">
              <w:rPr>
                <w:rFonts w:ascii="Times New Roman" w:hAnsi="Times New Roman" w:cs="Times New Roman"/>
                <w:b/>
                <w:bCs/>
              </w:rPr>
              <w:t>Stupac 5</w:t>
            </w:r>
          </w:p>
        </w:tc>
      </w:tr>
      <w:tr w:rsidR="003B400A" w:rsidRPr="00D11F1B" w:rsidTr="003B400A">
        <w:tc>
          <w:tcPr>
            <w:tcW w:w="1413" w:type="dxa"/>
            <w:vMerge w:val="restart"/>
            <w:vAlign w:val="center"/>
          </w:tcPr>
          <w:p w:rsidR="003B400A" w:rsidRPr="00D11F1B" w:rsidRDefault="003B400A" w:rsidP="00FD5E1F">
            <w:pPr>
              <w:spacing w:before="120" w:after="120"/>
              <w:rPr>
                <w:rFonts w:ascii="Times New Roman" w:hAnsi="Times New Roman" w:cs="Times New Roman"/>
              </w:rPr>
            </w:pPr>
            <w:r w:rsidRPr="00D11F1B">
              <w:rPr>
                <w:rFonts w:ascii="Times New Roman" w:hAnsi="Times New Roman" w:cs="Times New Roman"/>
                <w:b/>
                <w:bCs/>
              </w:rPr>
              <w:t>Sposobnost</w:t>
            </w:r>
          </w:p>
        </w:tc>
        <w:tc>
          <w:tcPr>
            <w:tcW w:w="2177" w:type="dxa"/>
            <w:vMerge w:val="restart"/>
            <w:vAlign w:val="center"/>
          </w:tcPr>
          <w:p w:rsidR="003B400A" w:rsidRPr="00D11F1B" w:rsidRDefault="003B400A" w:rsidP="00FD5E1F">
            <w:pPr>
              <w:spacing w:before="120" w:after="120"/>
              <w:rPr>
                <w:rFonts w:ascii="Times New Roman" w:hAnsi="Times New Roman" w:cs="Times New Roman"/>
                <w:b/>
                <w:bCs/>
              </w:rPr>
            </w:pPr>
            <w:r w:rsidRPr="00D11F1B">
              <w:rPr>
                <w:rFonts w:ascii="Times New Roman" w:hAnsi="Times New Roman" w:cs="Times New Roman"/>
                <w:b/>
                <w:bCs/>
              </w:rPr>
              <w:t>Znanje, razumijevanje i vještine</w:t>
            </w:r>
          </w:p>
        </w:tc>
        <w:tc>
          <w:tcPr>
            <w:tcW w:w="1367" w:type="dxa"/>
            <w:vMerge w:val="restart"/>
            <w:vAlign w:val="center"/>
          </w:tcPr>
          <w:p w:rsidR="003B400A" w:rsidRPr="00D11F1B" w:rsidRDefault="003B400A" w:rsidP="00FD5E1F">
            <w:pPr>
              <w:spacing w:before="120" w:after="120"/>
              <w:rPr>
                <w:rFonts w:ascii="Times New Roman" w:hAnsi="Times New Roman" w:cs="Times New Roman"/>
              </w:rPr>
            </w:pPr>
            <w:r w:rsidRPr="00D11F1B">
              <w:rPr>
                <w:rFonts w:ascii="Times New Roman" w:hAnsi="Times New Roman" w:cs="Times New Roman"/>
                <w:b/>
                <w:bCs/>
              </w:rPr>
              <w:t>Način dokazivanja sposobnosti</w:t>
            </w:r>
          </w:p>
        </w:tc>
        <w:tc>
          <w:tcPr>
            <w:tcW w:w="1680" w:type="dxa"/>
            <w:vMerge w:val="restart"/>
            <w:vAlign w:val="center"/>
          </w:tcPr>
          <w:p w:rsidR="003B400A" w:rsidRPr="00D11F1B" w:rsidRDefault="003B400A" w:rsidP="00FD5E1F">
            <w:pPr>
              <w:spacing w:before="120" w:after="120"/>
              <w:rPr>
                <w:rFonts w:ascii="Times New Roman" w:hAnsi="Times New Roman" w:cs="Times New Roman"/>
              </w:rPr>
            </w:pPr>
            <w:r w:rsidRPr="00D11F1B">
              <w:rPr>
                <w:rFonts w:ascii="Times New Roman" w:hAnsi="Times New Roman" w:cs="Times New Roman"/>
                <w:b/>
                <w:bCs/>
              </w:rPr>
              <w:t>Mjerila za ocjenjivanje sposobnosti</w:t>
            </w:r>
          </w:p>
        </w:tc>
        <w:tc>
          <w:tcPr>
            <w:tcW w:w="2423" w:type="dxa"/>
            <w:gridSpan w:val="2"/>
            <w:vAlign w:val="center"/>
          </w:tcPr>
          <w:p w:rsidR="003B400A" w:rsidRPr="00D11F1B" w:rsidRDefault="003B400A" w:rsidP="00FD5E1F">
            <w:pPr>
              <w:spacing w:before="120" w:after="120"/>
              <w:rPr>
                <w:rFonts w:ascii="Times New Roman" w:hAnsi="Times New Roman" w:cs="Times New Roman"/>
                <w:b/>
                <w:bCs/>
              </w:rPr>
            </w:pPr>
            <w:r w:rsidRPr="00D11F1B">
              <w:rPr>
                <w:rFonts w:ascii="Times New Roman" w:hAnsi="Times New Roman" w:cs="Times New Roman"/>
                <w:b/>
                <w:bCs/>
              </w:rPr>
              <w:t>Broj sati</w:t>
            </w:r>
          </w:p>
        </w:tc>
      </w:tr>
      <w:tr w:rsidR="003B400A" w:rsidRPr="00D11F1B" w:rsidTr="003B400A">
        <w:tc>
          <w:tcPr>
            <w:tcW w:w="1413" w:type="dxa"/>
            <w:vMerge/>
            <w:vAlign w:val="center"/>
          </w:tcPr>
          <w:p w:rsidR="003B400A" w:rsidRPr="00D11F1B" w:rsidRDefault="003B400A" w:rsidP="00FD5E1F">
            <w:pPr>
              <w:spacing w:before="120" w:after="120"/>
              <w:rPr>
                <w:rFonts w:ascii="Times New Roman" w:hAnsi="Times New Roman" w:cs="Times New Roman"/>
                <w:b/>
                <w:bCs/>
              </w:rPr>
            </w:pPr>
          </w:p>
        </w:tc>
        <w:tc>
          <w:tcPr>
            <w:tcW w:w="2177" w:type="dxa"/>
            <w:vMerge/>
            <w:vAlign w:val="center"/>
          </w:tcPr>
          <w:p w:rsidR="003B400A" w:rsidRPr="00D11F1B" w:rsidRDefault="003B400A" w:rsidP="00FD5E1F">
            <w:pPr>
              <w:spacing w:before="120" w:after="120"/>
              <w:rPr>
                <w:rFonts w:ascii="Times New Roman" w:hAnsi="Times New Roman" w:cs="Times New Roman"/>
                <w:b/>
                <w:bCs/>
              </w:rPr>
            </w:pPr>
          </w:p>
        </w:tc>
        <w:tc>
          <w:tcPr>
            <w:tcW w:w="1367" w:type="dxa"/>
            <w:vMerge/>
            <w:vAlign w:val="center"/>
          </w:tcPr>
          <w:p w:rsidR="003B400A" w:rsidRPr="00D11F1B" w:rsidRDefault="003B400A" w:rsidP="00FD5E1F">
            <w:pPr>
              <w:spacing w:before="120" w:after="120"/>
              <w:rPr>
                <w:rFonts w:ascii="Times New Roman" w:hAnsi="Times New Roman" w:cs="Times New Roman"/>
                <w:b/>
                <w:bCs/>
              </w:rPr>
            </w:pPr>
          </w:p>
        </w:tc>
        <w:tc>
          <w:tcPr>
            <w:tcW w:w="1680" w:type="dxa"/>
            <w:vMerge/>
            <w:vAlign w:val="center"/>
          </w:tcPr>
          <w:p w:rsidR="003B400A" w:rsidRPr="00D11F1B" w:rsidRDefault="003B400A" w:rsidP="00FD5E1F">
            <w:pPr>
              <w:spacing w:before="120" w:after="120"/>
              <w:rPr>
                <w:rFonts w:ascii="Times New Roman" w:hAnsi="Times New Roman" w:cs="Times New Roman"/>
                <w:b/>
                <w:bCs/>
              </w:rPr>
            </w:pPr>
          </w:p>
        </w:tc>
        <w:tc>
          <w:tcPr>
            <w:tcW w:w="1304" w:type="dxa"/>
            <w:vAlign w:val="center"/>
          </w:tcPr>
          <w:p w:rsidR="003B400A" w:rsidRPr="00D11F1B" w:rsidRDefault="003B400A" w:rsidP="00FD5E1F">
            <w:pPr>
              <w:spacing w:before="120" w:after="120"/>
              <w:rPr>
                <w:rFonts w:ascii="Times New Roman" w:hAnsi="Times New Roman" w:cs="Times New Roman"/>
                <w:b/>
                <w:bCs/>
              </w:rPr>
            </w:pPr>
            <w:r w:rsidRPr="00D11F1B">
              <w:rPr>
                <w:rFonts w:ascii="Times New Roman" w:hAnsi="Times New Roman" w:cs="Times New Roman"/>
                <w:b/>
                <w:bCs/>
              </w:rPr>
              <w:t>Predavanja</w:t>
            </w:r>
          </w:p>
        </w:tc>
        <w:tc>
          <w:tcPr>
            <w:tcW w:w="1119" w:type="dxa"/>
            <w:vAlign w:val="center"/>
          </w:tcPr>
          <w:p w:rsidR="003B400A" w:rsidRPr="00D11F1B" w:rsidRDefault="003B400A" w:rsidP="00FD5E1F">
            <w:pPr>
              <w:spacing w:before="120" w:after="120"/>
              <w:rPr>
                <w:rFonts w:ascii="Times New Roman" w:hAnsi="Times New Roman" w:cs="Times New Roman"/>
                <w:b/>
                <w:bCs/>
              </w:rPr>
            </w:pPr>
            <w:r w:rsidRPr="00D11F1B">
              <w:rPr>
                <w:rFonts w:ascii="Times New Roman" w:hAnsi="Times New Roman" w:cs="Times New Roman"/>
                <w:b/>
                <w:bCs/>
              </w:rPr>
              <w:t>Vježbe</w:t>
            </w:r>
          </w:p>
        </w:tc>
      </w:tr>
      <w:tr w:rsidR="003B400A" w:rsidRPr="00D11F1B" w:rsidTr="003B400A">
        <w:tc>
          <w:tcPr>
            <w:tcW w:w="1413" w:type="dxa"/>
          </w:tcPr>
          <w:p w:rsidR="003B400A" w:rsidRPr="00D11F1B" w:rsidRDefault="003B400A" w:rsidP="00FD5E1F">
            <w:pPr>
              <w:spacing w:before="120" w:after="120"/>
              <w:rPr>
                <w:rFonts w:ascii="Times New Roman" w:hAnsi="Times New Roman" w:cs="Times New Roman"/>
              </w:rPr>
            </w:pPr>
            <w:r w:rsidRPr="00D11F1B">
              <w:rPr>
                <w:rFonts w:ascii="Times New Roman" w:hAnsi="Times New Roman" w:cs="Times New Roman"/>
              </w:rPr>
              <w:t>Udovoljavanje hitnim postupcima</w:t>
            </w:r>
          </w:p>
        </w:tc>
        <w:tc>
          <w:tcPr>
            <w:tcW w:w="2177" w:type="dxa"/>
          </w:tcPr>
          <w:p w:rsidR="003B400A" w:rsidRPr="00D11F1B" w:rsidRDefault="003B400A" w:rsidP="00FD5E1F">
            <w:pPr>
              <w:spacing w:before="120" w:after="120"/>
              <w:rPr>
                <w:rFonts w:ascii="Times New Roman" w:hAnsi="Times New Roman" w:cs="Times New Roman"/>
              </w:rPr>
            </w:pPr>
            <w:r w:rsidRPr="00D11F1B">
              <w:rPr>
                <w:rFonts w:ascii="Times New Roman" w:hAnsi="Times New Roman" w:cs="Times New Roman"/>
              </w:rPr>
              <w:t>Vrste hitnih slučajeva koji se mogu dogoditi, poput sudara, požara, potonuća</w:t>
            </w:r>
          </w:p>
          <w:p w:rsidR="003B400A" w:rsidRPr="00D11F1B" w:rsidRDefault="003B400A" w:rsidP="00FD5E1F">
            <w:pPr>
              <w:spacing w:before="120" w:after="120"/>
              <w:rPr>
                <w:rFonts w:ascii="Times New Roman" w:hAnsi="Times New Roman" w:cs="Times New Roman"/>
              </w:rPr>
            </w:pPr>
            <w:r w:rsidRPr="00D11F1B">
              <w:rPr>
                <w:rFonts w:ascii="Times New Roman" w:hAnsi="Times New Roman" w:cs="Times New Roman"/>
              </w:rPr>
              <w:t>Poznavanje brodskih planova za nepredviđene okolnosti u hitnim slučajevima</w:t>
            </w:r>
          </w:p>
          <w:p w:rsidR="003B400A" w:rsidRPr="00D11F1B" w:rsidRDefault="003B400A" w:rsidP="00FD5E1F">
            <w:pPr>
              <w:spacing w:before="120" w:after="120"/>
              <w:rPr>
                <w:rFonts w:ascii="Times New Roman" w:hAnsi="Times New Roman" w:cs="Times New Roman"/>
              </w:rPr>
            </w:pPr>
            <w:r w:rsidRPr="00D11F1B">
              <w:rPr>
                <w:rFonts w:ascii="Times New Roman" w:hAnsi="Times New Roman" w:cs="Times New Roman"/>
              </w:rPr>
              <w:t>Signali za hitne slučajeve i posebne dužnosti dodijeljene članovima posade u rasporedu za uzbunu; zborna mjesta u slučaju nužde; pravilna upotreba osobne sigurnosne opreme</w:t>
            </w:r>
          </w:p>
          <w:p w:rsidR="003B400A" w:rsidRPr="00D11F1B" w:rsidRDefault="003B400A" w:rsidP="00FD5E1F">
            <w:pPr>
              <w:spacing w:before="120" w:after="120"/>
              <w:rPr>
                <w:rFonts w:ascii="Times New Roman" w:hAnsi="Times New Roman" w:cs="Times New Roman"/>
              </w:rPr>
            </w:pPr>
            <w:r w:rsidRPr="00D11F1B">
              <w:rPr>
                <w:rFonts w:ascii="Times New Roman" w:hAnsi="Times New Roman" w:cs="Times New Roman"/>
              </w:rPr>
              <w:t>Radnje koje treba poduzeti u otkrivanju mogućih hitnih slučajeva, uključujući požare, sudare, potonuća i ulazak vode u brod</w:t>
            </w:r>
          </w:p>
          <w:p w:rsidR="003B400A" w:rsidRPr="00D11F1B" w:rsidRDefault="003B400A" w:rsidP="00FD5E1F">
            <w:pPr>
              <w:spacing w:before="120" w:after="120"/>
              <w:rPr>
                <w:rFonts w:ascii="Times New Roman" w:hAnsi="Times New Roman" w:cs="Times New Roman"/>
              </w:rPr>
            </w:pPr>
            <w:r w:rsidRPr="00D11F1B">
              <w:rPr>
                <w:rFonts w:ascii="Times New Roman" w:hAnsi="Times New Roman" w:cs="Times New Roman"/>
              </w:rPr>
              <w:t xml:space="preserve">Radnje koje treba poduzeti kako bi se čuli alarmni znakovi za hitne slučajeve </w:t>
            </w:r>
          </w:p>
          <w:p w:rsidR="003B400A" w:rsidRPr="00D11F1B" w:rsidRDefault="003B400A" w:rsidP="00FD5E1F">
            <w:pPr>
              <w:spacing w:before="120" w:after="120"/>
              <w:rPr>
                <w:rFonts w:ascii="Times New Roman" w:hAnsi="Times New Roman" w:cs="Times New Roman"/>
              </w:rPr>
            </w:pPr>
            <w:r w:rsidRPr="00D11F1B">
              <w:rPr>
                <w:rFonts w:ascii="Times New Roman" w:hAnsi="Times New Roman" w:cs="Times New Roman"/>
              </w:rPr>
              <w:t>Vrijednost obuke i vježbi</w:t>
            </w:r>
          </w:p>
          <w:p w:rsidR="003B400A" w:rsidRPr="00D11F1B" w:rsidRDefault="003B400A" w:rsidP="00FD5E1F">
            <w:pPr>
              <w:spacing w:before="120" w:after="120"/>
              <w:rPr>
                <w:rFonts w:ascii="Times New Roman" w:hAnsi="Times New Roman" w:cs="Times New Roman"/>
              </w:rPr>
            </w:pPr>
            <w:r w:rsidRPr="00D11F1B">
              <w:rPr>
                <w:rFonts w:ascii="Times New Roman" w:hAnsi="Times New Roman" w:cs="Times New Roman"/>
              </w:rPr>
              <w:t xml:space="preserve">Poznavanje putova za evakuaciju i sustava unutarnje </w:t>
            </w:r>
            <w:r w:rsidRPr="00D11F1B">
              <w:rPr>
                <w:rFonts w:ascii="Times New Roman" w:hAnsi="Times New Roman" w:cs="Times New Roman"/>
              </w:rPr>
              <w:lastRenderedPageBreak/>
              <w:t>komunikacije i alarmnih sustava</w:t>
            </w:r>
          </w:p>
        </w:tc>
        <w:tc>
          <w:tcPr>
            <w:tcW w:w="1367" w:type="dxa"/>
          </w:tcPr>
          <w:p w:rsidR="003B400A" w:rsidRPr="00D11F1B" w:rsidRDefault="003B400A" w:rsidP="00FD5E1F">
            <w:pPr>
              <w:spacing w:before="120" w:after="120"/>
              <w:rPr>
                <w:rFonts w:ascii="Times New Roman" w:hAnsi="Times New Roman" w:cs="Times New Roman"/>
              </w:rPr>
            </w:pPr>
            <w:r w:rsidRPr="00D11F1B">
              <w:rPr>
                <w:rFonts w:ascii="Times New Roman" w:hAnsi="Times New Roman" w:cs="Times New Roman"/>
              </w:rPr>
              <w:lastRenderedPageBreak/>
              <w:t>Ocjenjivanje dokaza dobivenih temeljem potvrđenog programa izobrazbe ili tijekom pohađanja potvrđenog tečaja</w:t>
            </w:r>
          </w:p>
        </w:tc>
        <w:tc>
          <w:tcPr>
            <w:tcW w:w="1680" w:type="dxa"/>
          </w:tcPr>
          <w:p w:rsidR="003B400A" w:rsidRPr="00D11F1B" w:rsidRDefault="003B400A" w:rsidP="00FD5E1F">
            <w:pPr>
              <w:spacing w:before="120" w:after="120"/>
              <w:rPr>
                <w:rFonts w:ascii="Times New Roman" w:hAnsi="Times New Roman" w:cs="Times New Roman"/>
              </w:rPr>
            </w:pPr>
            <w:r w:rsidRPr="00D11F1B">
              <w:rPr>
                <w:rFonts w:ascii="Times New Roman" w:hAnsi="Times New Roman" w:cs="Times New Roman"/>
              </w:rPr>
              <w:t>Početne radnje u primjećivanju hitnih slučajeva su u skladu sa utvrđenim postupcima hitnih intervencija</w:t>
            </w:r>
          </w:p>
          <w:p w:rsidR="003B400A" w:rsidRPr="00D11F1B" w:rsidRDefault="003B400A" w:rsidP="00FD5E1F">
            <w:pPr>
              <w:spacing w:before="120" w:after="120"/>
              <w:rPr>
                <w:rFonts w:ascii="Times New Roman" w:hAnsi="Times New Roman" w:cs="Times New Roman"/>
              </w:rPr>
            </w:pPr>
            <w:r w:rsidRPr="00D11F1B">
              <w:rPr>
                <w:rFonts w:ascii="Times New Roman" w:hAnsi="Times New Roman" w:cs="Times New Roman"/>
              </w:rPr>
              <w:t>Informacije koje se pružaju o pokretanju alarma su brze, točne, potpune i jasne</w:t>
            </w:r>
          </w:p>
        </w:tc>
        <w:tc>
          <w:tcPr>
            <w:tcW w:w="1304" w:type="dxa"/>
          </w:tcPr>
          <w:p w:rsidR="003B400A" w:rsidRPr="00D11F1B" w:rsidRDefault="003B400A" w:rsidP="00FD5E1F">
            <w:pPr>
              <w:spacing w:before="120" w:after="120"/>
              <w:rPr>
                <w:rFonts w:ascii="Times New Roman" w:hAnsi="Times New Roman" w:cs="Times New Roman"/>
                <w:b/>
                <w:bCs/>
              </w:rPr>
            </w:pPr>
          </w:p>
        </w:tc>
        <w:tc>
          <w:tcPr>
            <w:tcW w:w="1119" w:type="dxa"/>
          </w:tcPr>
          <w:p w:rsidR="003B400A" w:rsidRPr="00D11F1B" w:rsidRDefault="003B400A" w:rsidP="00FD5E1F">
            <w:pPr>
              <w:spacing w:before="120" w:after="120"/>
              <w:rPr>
                <w:rFonts w:ascii="Times New Roman" w:hAnsi="Times New Roman" w:cs="Times New Roman"/>
                <w:b/>
                <w:bCs/>
              </w:rPr>
            </w:pPr>
          </w:p>
        </w:tc>
      </w:tr>
      <w:tr w:rsidR="003B400A" w:rsidRPr="00D11F1B" w:rsidTr="003B400A">
        <w:tc>
          <w:tcPr>
            <w:tcW w:w="1413" w:type="dxa"/>
          </w:tcPr>
          <w:p w:rsidR="003B400A" w:rsidRPr="00D11F1B" w:rsidRDefault="003B400A" w:rsidP="00FD5E1F">
            <w:pPr>
              <w:spacing w:before="120" w:after="120"/>
              <w:rPr>
                <w:rFonts w:ascii="Times New Roman" w:hAnsi="Times New Roman" w:cs="Times New Roman"/>
              </w:rPr>
            </w:pPr>
            <w:r w:rsidRPr="00D11F1B">
              <w:rPr>
                <w:rFonts w:ascii="Times New Roman" w:hAnsi="Times New Roman" w:cs="Times New Roman"/>
              </w:rPr>
              <w:t>Poduzimanje mjera opreza za sprječavanje onečišćenja morskog okoliša</w:t>
            </w:r>
          </w:p>
        </w:tc>
        <w:tc>
          <w:tcPr>
            <w:tcW w:w="2177" w:type="dxa"/>
          </w:tcPr>
          <w:p w:rsidR="003B400A" w:rsidRPr="00D11F1B" w:rsidRDefault="003B400A" w:rsidP="00FD5E1F">
            <w:pPr>
              <w:spacing w:before="120" w:after="120"/>
              <w:rPr>
                <w:rFonts w:ascii="Times New Roman" w:hAnsi="Times New Roman" w:cs="Times New Roman"/>
              </w:rPr>
            </w:pPr>
            <w:r w:rsidRPr="00D11F1B">
              <w:rPr>
                <w:rFonts w:ascii="Times New Roman" w:hAnsi="Times New Roman" w:cs="Times New Roman"/>
              </w:rPr>
              <w:t>Osnovno poznavanje utjecaja pomorskog prijevoza na morski okoliš i učinaka operativnog ili iznenadnog zagađenja na njega</w:t>
            </w:r>
          </w:p>
          <w:p w:rsidR="003B400A" w:rsidRPr="00D11F1B" w:rsidRDefault="003B400A" w:rsidP="00FD5E1F">
            <w:pPr>
              <w:spacing w:before="120" w:after="120"/>
              <w:rPr>
                <w:rFonts w:ascii="Times New Roman" w:hAnsi="Times New Roman" w:cs="Times New Roman"/>
              </w:rPr>
            </w:pPr>
            <w:r w:rsidRPr="00D11F1B">
              <w:rPr>
                <w:rFonts w:ascii="Times New Roman" w:hAnsi="Times New Roman" w:cs="Times New Roman"/>
              </w:rPr>
              <w:t>Postupci osnovne zaštite okoliša</w:t>
            </w:r>
          </w:p>
          <w:p w:rsidR="003B400A" w:rsidRPr="00D11F1B" w:rsidRDefault="003B400A" w:rsidP="00FD5E1F">
            <w:pPr>
              <w:spacing w:before="120" w:after="120"/>
              <w:rPr>
                <w:rFonts w:ascii="Times New Roman" w:hAnsi="Times New Roman" w:cs="Times New Roman"/>
              </w:rPr>
            </w:pPr>
            <w:r w:rsidRPr="00D11F1B">
              <w:rPr>
                <w:rFonts w:ascii="Times New Roman" w:hAnsi="Times New Roman" w:cs="Times New Roman"/>
              </w:rPr>
              <w:t>Osnovno poznavanje složenosti i raznolikosti morskog okoliša</w:t>
            </w:r>
          </w:p>
        </w:tc>
        <w:tc>
          <w:tcPr>
            <w:tcW w:w="1367" w:type="dxa"/>
          </w:tcPr>
          <w:p w:rsidR="003B400A" w:rsidRPr="00D11F1B" w:rsidRDefault="003B400A" w:rsidP="00FD5E1F">
            <w:pPr>
              <w:spacing w:before="120" w:after="120"/>
              <w:rPr>
                <w:rFonts w:ascii="Times New Roman" w:hAnsi="Times New Roman" w:cs="Times New Roman"/>
              </w:rPr>
            </w:pPr>
            <w:r w:rsidRPr="00D11F1B">
              <w:rPr>
                <w:rFonts w:ascii="Times New Roman" w:hAnsi="Times New Roman" w:cs="Times New Roman"/>
              </w:rPr>
              <w:t>Ocjenjivanje potvrda dobivenih temeljem potvrđenog programa izobrazbe ili tijekom pohađanja potvrđenog tečaja</w:t>
            </w:r>
          </w:p>
        </w:tc>
        <w:tc>
          <w:tcPr>
            <w:tcW w:w="1680" w:type="dxa"/>
          </w:tcPr>
          <w:p w:rsidR="003B400A" w:rsidRPr="00D11F1B" w:rsidRDefault="003B400A" w:rsidP="00FD5E1F">
            <w:pPr>
              <w:spacing w:before="120" w:after="120"/>
              <w:rPr>
                <w:rFonts w:ascii="Times New Roman" w:hAnsi="Times New Roman" w:cs="Times New Roman"/>
              </w:rPr>
            </w:pPr>
            <w:r w:rsidRPr="00D11F1B">
              <w:rPr>
                <w:rFonts w:ascii="Times New Roman" w:hAnsi="Times New Roman" w:cs="Times New Roman"/>
              </w:rPr>
              <w:t>Organizacijski postupci za zaštitu morskog okoliša poštuju se u svakom trenutku</w:t>
            </w:r>
          </w:p>
        </w:tc>
        <w:tc>
          <w:tcPr>
            <w:tcW w:w="1304" w:type="dxa"/>
          </w:tcPr>
          <w:p w:rsidR="003B400A" w:rsidRPr="00D11F1B" w:rsidRDefault="003B400A" w:rsidP="00FD5E1F">
            <w:pPr>
              <w:spacing w:before="120" w:after="120"/>
              <w:rPr>
                <w:rFonts w:ascii="Times New Roman" w:hAnsi="Times New Roman" w:cs="Times New Roman"/>
                <w:b/>
                <w:bCs/>
              </w:rPr>
            </w:pPr>
          </w:p>
        </w:tc>
        <w:tc>
          <w:tcPr>
            <w:tcW w:w="1119" w:type="dxa"/>
          </w:tcPr>
          <w:p w:rsidR="003B400A" w:rsidRPr="00D11F1B" w:rsidRDefault="003B400A" w:rsidP="00FD5E1F">
            <w:pPr>
              <w:spacing w:before="120" w:after="120"/>
              <w:rPr>
                <w:rFonts w:ascii="Times New Roman" w:hAnsi="Times New Roman" w:cs="Times New Roman"/>
                <w:b/>
                <w:bCs/>
              </w:rPr>
            </w:pPr>
          </w:p>
        </w:tc>
      </w:tr>
      <w:tr w:rsidR="003B400A" w:rsidRPr="00D11F1B" w:rsidTr="003B400A">
        <w:tc>
          <w:tcPr>
            <w:tcW w:w="1413" w:type="dxa"/>
          </w:tcPr>
          <w:p w:rsidR="003B400A" w:rsidRPr="00D11F1B" w:rsidRDefault="003B400A" w:rsidP="00FD5E1F">
            <w:pPr>
              <w:spacing w:before="120" w:after="120"/>
              <w:rPr>
                <w:rFonts w:ascii="Times New Roman" w:hAnsi="Times New Roman" w:cs="Times New Roman"/>
              </w:rPr>
            </w:pPr>
            <w:r w:rsidRPr="00D11F1B">
              <w:rPr>
                <w:rFonts w:ascii="Times New Roman" w:hAnsi="Times New Roman" w:cs="Times New Roman"/>
              </w:rPr>
              <w:t>Pridržavanje sigurnih radnih praksi</w:t>
            </w:r>
          </w:p>
        </w:tc>
        <w:tc>
          <w:tcPr>
            <w:tcW w:w="2177" w:type="dxa"/>
          </w:tcPr>
          <w:p w:rsidR="003B400A" w:rsidRPr="00D11F1B" w:rsidRDefault="003B400A" w:rsidP="00FD5E1F">
            <w:pPr>
              <w:spacing w:before="120" w:after="120"/>
              <w:rPr>
                <w:rFonts w:ascii="Times New Roman" w:hAnsi="Times New Roman" w:cs="Times New Roman"/>
              </w:rPr>
            </w:pPr>
            <w:r w:rsidRPr="00D11F1B">
              <w:rPr>
                <w:rFonts w:ascii="Times New Roman" w:hAnsi="Times New Roman" w:cs="Times New Roman"/>
              </w:rPr>
              <w:t>Važnost pridržavanja sigurnih radnih praksi u svakom trenutku</w:t>
            </w:r>
          </w:p>
          <w:p w:rsidR="003B400A" w:rsidRPr="00D11F1B" w:rsidRDefault="003B400A" w:rsidP="00FD5E1F">
            <w:pPr>
              <w:spacing w:before="120" w:after="120"/>
              <w:rPr>
                <w:rFonts w:ascii="Times New Roman" w:hAnsi="Times New Roman" w:cs="Times New Roman"/>
              </w:rPr>
            </w:pPr>
            <w:r w:rsidRPr="00D11F1B">
              <w:rPr>
                <w:rFonts w:ascii="Times New Roman" w:hAnsi="Times New Roman" w:cs="Times New Roman"/>
              </w:rPr>
              <w:t>Sigurnosni i zaštitni uređaji raspoloživi za zaštitu od potencijalnih rizika na brodu</w:t>
            </w:r>
          </w:p>
          <w:p w:rsidR="003B400A" w:rsidRPr="00D11F1B" w:rsidRDefault="003B400A" w:rsidP="00FD5E1F">
            <w:pPr>
              <w:spacing w:before="120" w:after="120"/>
              <w:rPr>
                <w:rFonts w:ascii="Times New Roman" w:hAnsi="Times New Roman" w:cs="Times New Roman"/>
              </w:rPr>
            </w:pPr>
            <w:r w:rsidRPr="00D11F1B">
              <w:rPr>
                <w:rFonts w:ascii="Times New Roman" w:hAnsi="Times New Roman" w:cs="Times New Roman"/>
              </w:rPr>
              <w:t>Mjere opreza koje treba poduzeti prije ulaska u zatvorene prostore</w:t>
            </w:r>
          </w:p>
          <w:p w:rsidR="003B400A" w:rsidRPr="00D11F1B" w:rsidRDefault="003B400A" w:rsidP="00FD5E1F">
            <w:pPr>
              <w:spacing w:before="120" w:after="120"/>
              <w:rPr>
                <w:rFonts w:ascii="Times New Roman" w:hAnsi="Times New Roman" w:cs="Times New Roman"/>
              </w:rPr>
            </w:pPr>
            <w:r w:rsidRPr="00D11F1B">
              <w:rPr>
                <w:rFonts w:ascii="Times New Roman" w:hAnsi="Times New Roman" w:cs="Times New Roman"/>
              </w:rPr>
              <w:t>Osnovna osposobljenost u međunarodnim mjerama vezanim uz sprječavanje nesreća i zaštitu na radu</w:t>
            </w:r>
            <w:r w:rsidRPr="00D11F1B">
              <w:rPr>
                <w:rFonts w:ascii="Times New Roman" w:hAnsi="Times New Roman" w:cs="Times New Roman"/>
                <w:vertAlign w:val="superscript"/>
              </w:rPr>
              <w:t>*</w:t>
            </w:r>
          </w:p>
        </w:tc>
        <w:tc>
          <w:tcPr>
            <w:tcW w:w="1367" w:type="dxa"/>
          </w:tcPr>
          <w:p w:rsidR="003B400A" w:rsidRPr="00D11F1B" w:rsidRDefault="003B400A" w:rsidP="00FD5E1F">
            <w:pPr>
              <w:spacing w:before="120" w:after="120"/>
              <w:rPr>
                <w:rFonts w:ascii="Times New Roman" w:hAnsi="Times New Roman" w:cs="Times New Roman"/>
              </w:rPr>
            </w:pPr>
            <w:r w:rsidRPr="00D11F1B">
              <w:rPr>
                <w:rFonts w:ascii="Times New Roman" w:hAnsi="Times New Roman" w:cs="Times New Roman"/>
              </w:rPr>
              <w:t>Prosudba dokaza dobivenih temeljem potvrđenog programa izobrazbe ili tijekom pohađanja potvrđenog tečaja</w:t>
            </w:r>
          </w:p>
        </w:tc>
        <w:tc>
          <w:tcPr>
            <w:tcW w:w="1680" w:type="dxa"/>
          </w:tcPr>
          <w:p w:rsidR="003B400A" w:rsidRPr="00D11F1B" w:rsidRDefault="003B400A" w:rsidP="00FD5E1F">
            <w:pPr>
              <w:spacing w:before="120" w:after="120"/>
              <w:rPr>
                <w:rFonts w:ascii="Times New Roman" w:hAnsi="Times New Roman" w:cs="Times New Roman"/>
              </w:rPr>
            </w:pPr>
            <w:r w:rsidRPr="00D11F1B">
              <w:rPr>
                <w:rFonts w:ascii="Times New Roman" w:hAnsi="Times New Roman" w:cs="Times New Roman"/>
              </w:rPr>
              <w:t>Sigurne radne prakse se poštuju i odgovarajuća sigurnosna i zaštitna oprema se pravilno koristi u svakom trenutku</w:t>
            </w:r>
          </w:p>
        </w:tc>
        <w:tc>
          <w:tcPr>
            <w:tcW w:w="1304" w:type="dxa"/>
          </w:tcPr>
          <w:p w:rsidR="003B400A" w:rsidRPr="00D11F1B" w:rsidRDefault="003B400A" w:rsidP="00FD5E1F">
            <w:pPr>
              <w:spacing w:before="120" w:after="120"/>
              <w:rPr>
                <w:rFonts w:ascii="Times New Roman" w:hAnsi="Times New Roman" w:cs="Times New Roman"/>
                <w:b/>
                <w:bCs/>
              </w:rPr>
            </w:pPr>
          </w:p>
        </w:tc>
        <w:tc>
          <w:tcPr>
            <w:tcW w:w="1119" w:type="dxa"/>
          </w:tcPr>
          <w:p w:rsidR="003B400A" w:rsidRPr="00D11F1B" w:rsidRDefault="003B400A" w:rsidP="00FD5E1F">
            <w:pPr>
              <w:spacing w:before="120" w:after="120"/>
              <w:rPr>
                <w:rFonts w:ascii="Times New Roman" w:hAnsi="Times New Roman" w:cs="Times New Roman"/>
                <w:b/>
                <w:bCs/>
              </w:rPr>
            </w:pPr>
          </w:p>
        </w:tc>
      </w:tr>
      <w:tr w:rsidR="003B400A" w:rsidRPr="00D11F1B" w:rsidTr="003B400A">
        <w:tc>
          <w:tcPr>
            <w:tcW w:w="1413" w:type="dxa"/>
          </w:tcPr>
          <w:p w:rsidR="003B400A" w:rsidRPr="00D11F1B" w:rsidRDefault="003B400A" w:rsidP="00FD5E1F">
            <w:pPr>
              <w:spacing w:before="120" w:after="120"/>
              <w:rPr>
                <w:rFonts w:ascii="Times New Roman" w:hAnsi="Times New Roman" w:cs="Times New Roman"/>
              </w:rPr>
            </w:pPr>
            <w:r w:rsidRPr="00D11F1B">
              <w:rPr>
                <w:rFonts w:ascii="Times New Roman" w:hAnsi="Times New Roman" w:cs="Times New Roman"/>
              </w:rPr>
              <w:t>Doprinos učinkovitim komunikacijama na brodu</w:t>
            </w:r>
          </w:p>
        </w:tc>
        <w:tc>
          <w:tcPr>
            <w:tcW w:w="2177" w:type="dxa"/>
          </w:tcPr>
          <w:p w:rsidR="003B400A" w:rsidRPr="00D11F1B" w:rsidRDefault="003B400A" w:rsidP="00FD5E1F">
            <w:pPr>
              <w:spacing w:before="120" w:after="120"/>
              <w:rPr>
                <w:rFonts w:ascii="Times New Roman" w:hAnsi="Times New Roman" w:cs="Times New Roman"/>
              </w:rPr>
            </w:pPr>
            <w:r w:rsidRPr="00D11F1B">
              <w:rPr>
                <w:rFonts w:ascii="Times New Roman" w:hAnsi="Times New Roman" w:cs="Times New Roman"/>
              </w:rPr>
              <w:t>Razumijevanje načela učinkovite komunikacije između pojedinaca i skupina unutar broda i njenih prepreka</w:t>
            </w:r>
          </w:p>
          <w:p w:rsidR="003B400A" w:rsidRPr="00D11F1B" w:rsidRDefault="003B400A" w:rsidP="00FD5E1F">
            <w:pPr>
              <w:spacing w:before="120" w:after="120"/>
              <w:rPr>
                <w:rFonts w:ascii="Times New Roman" w:hAnsi="Times New Roman" w:cs="Times New Roman"/>
              </w:rPr>
            </w:pPr>
            <w:r w:rsidRPr="00D11F1B">
              <w:rPr>
                <w:rFonts w:ascii="Times New Roman" w:hAnsi="Times New Roman" w:cs="Times New Roman"/>
              </w:rPr>
              <w:t>Sposobnost uspostavljanja i održavanja učinkovite komunikacije</w:t>
            </w:r>
          </w:p>
          <w:p w:rsidR="003B400A" w:rsidRPr="00D11F1B" w:rsidRDefault="003B400A" w:rsidP="00FD5E1F">
            <w:pPr>
              <w:spacing w:before="120" w:after="120"/>
              <w:rPr>
                <w:rFonts w:ascii="Times New Roman" w:hAnsi="Times New Roman" w:cs="Times New Roman"/>
              </w:rPr>
            </w:pPr>
            <w:r w:rsidRPr="00D11F1B">
              <w:rPr>
                <w:rFonts w:ascii="Times New Roman" w:hAnsi="Times New Roman" w:cs="Times New Roman"/>
              </w:rPr>
              <w:t xml:space="preserve">Važnost održavanja dobrih međuljudskih i </w:t>
            </w:r>
            <w:r w:rsidRPr="00D11F1B">
              <w:rPr>
                <w:rFonts w:ascii="Times New Roman" w:hAnsi="Times New Roman" w:cs="Times New Roman"/>
              </w:rPr>
              <w:lastRenderedPageBreak/>
              <w:t>radnih odnosa na brodu</w:t>
            </w:r>
          </w:p>
          <w:p w:rsidR="003B400A" w:rsidRPr="00D11F1B" w:rsidRDefault="003B400A" w:rsidP="00FD5E1F">
            <w:pPr>
              <w:spacing w:before="120" w:after="120"/>
              <w:rPr>
                <w:rFonts w:ascii="Times New Roman" w:hAnsi="Times New Roman" w:cs="Times New Roman"/>
              </w:rPr>
            </w:pPr>
            <w:r w:rsidRPr="00D11F1B">
              <w:rPr>
                <w:rFonts w:ascii="Times New Roman" w:hAnsi="Times New Roman" w:cs="Times New Roman"/>
              </w:rPr>
              <w:t>Temeljna načela i prakse timskog rada, uključujući rješavanje sukoba</w:t>
            </w:r>
          </w:p>
          <w:p w:rsidR="003B400A" w:rsidRPr="00D11F1B" w:rsidRDefault="003B400A" w:rsidP="00FD5E1F">
            <w:pPr>
              <w:spacing w:before="120" w:after="120"/>
              <w:rPr>
                <w:rFonts w:ascii="Times New Roman" w:hAnsi="Times New Roman" w:cs="Times New Roman"/>
              </w:rPr>
            </w:pPr>
            <w:r w:rsidRPr="00D11F1B">
              <w:rPr>
                <w:rFonts w:ascii="Times New Roman" w:hAnsi="Times New Roman" w:cs="Times New Roman"/>
              </w:rPr>
              <w:t>Društvene odgovornosti; uvjeti zapošljavanja; osobna prava i obveze; opasnosti zlouporabe droga i alkohola</w:t>
            </w:r>
          </w:p>
        </w:tc>
        <w:tc>
          <w:tcPr>
            <w:tcW w:w="1367" w:type="dxa"/>
          </w:tcPr>
          <w:p w:rsidR="003B400A" w:rsidRPr="00D11F1B" w:rsidRDefault="003B400A" w:rsidP="00FD5E1F">
            <w:pPr>
              <w:spacing w:before="120" w:after="120"/>
              <w:rPr>
                <w:rFonts w:ascii="Times New Roman" w:hAnsi="Times New Roman" w:cs="Times New Roman"/>
              </w:rPr>
            </w:pPr>
            <w:r w:rsidRPr="00D11F1B">
              <w:rPr>
                <w:rFonts w:ascii="Times New Roman" w:hAnsi="Times New Roman" w:cs="Times New Roman"/>
              </w:rPr>
              <w:lastRenderedPageBreak/>
              <w:t>Prosudba dokaza dobivenih temeljem potvrđenog programa izobrazbe ili tijekom pohađanja potvrđenog tečaja</w:t>
            </w:r>
          </w:p>
          <w:p w:rsidR="003B400A" w:rsidRPr="00D11F1B" w:rsidRDefault="003B400A" w:rsidP="00FD5E1F">
            <w:pPr>
              <w:spacing w:before="120" w:after="120"/>
              <w:rPr>
                <w:rFonts w:ascii="Times New Roman" w:hAnsi="Times New Roman" w:cs="Times New Roman"/>
              </w:rPr>
            </w:pPr>
            <w:r w:rsidRPr="00D11F1B">
              <w:rPr>
                <w:rFonts w:ascii="Times New Roman" w:hAnsi="Times New Roman" w:cs="Times New Roman"/>
              </w:rPr>
              <w:lastRenderedPageBreak/>
              <w:t>Ocjenjivanje dokaza dobivenih temeljem potvrđenog programa izobrazbe ili tijekom pohađanja potvrđenog tečaja</w:t>
            </w:r>
          </w:p>
        </w:tc>
        <w:tc>
          <w:tcPr>
            <w:tcW w:w="1680" w:type="dxa"/>
          </w:tcPr>
          <w:p w:rsidR="003B400A" w:rsidRPr="00D11F1B" w:rsidRDefault="003B400A" w:rsidP="00FD5E1F">
            <w:pPr>
              <w:spacing w:before="120" w:after="120"/>
              <w:rPr>
                <w:rFonts w:ascii="Times New Roman" w:hAnsi="Times New Roman" w:cs="Times New Roman"/>
              </w:rPr>
            </w:pPr>
            <w:r w:rsidRPr="00D11F1B">
              <w:rPr>
                <w:rFonts w:ascii="Times New Roman" w:hAnsi="Times New Roman" w:cs="Times New Roman"/>
              </w:rPr>
              <w:lastRenderedPageBreak/>
              <w:t>Komunikacija je jasna i učinkovita u svakom trenutku</w:t>
            </w:r>
          </w:p>
          <w:p w:rsidR="003B400A" w:rsidRPr="00D11F1B" w:rsidRDefault="003B400A" w:rsidP="00FD5E1F">
            <w:pPr>
              <w:spacing w:before="120" w:after="120"/>
              <w:rPr>
                <w:rFonts w:ascii="Times New Roman" w:hAnsi="Times New Roman" w:cs="Times New Roman"/>
              </w:rPr>
            </w:pPr>
            <w:r w:rsidRPr="00D11F1B">
              <w:rPr>
                <w:rFonts w:ascii="Times New Roman" w:hAnsi="Times New Roman" w:cs="Times New Roman"/>
              </w:rPr>
              <w:t>Očekivani standardi rada i ophođenja se poštuju u svakom trenutku</w:t>
            </w:r>
          </w:p>
        </w:tc>
        <w:tc>
          <w:tcPr>
            <w:tcW w:w="1304" w:type="dxa"/>
          </w:tcPr>
          <w:p w:rsidR="003B400A" w:rsidRPr="00D11F1B" w:rsidRDefault="003B400A" w:rsidP="00FD5E1F">
            <w:pPr>
              <w:spacing w:before="120" w:after="120"/>
              <w:rPr>
                <w:rFonts w:ascii="Times New Roman" w:hAnsi="Times New Roman" w:cs="Times New Roman"/>
                <w:b/>
                <w:bCs/>
              </w:rPr>
            </w:pPr>
          </w:p>
        </w:tc>
        <w:tc>
          <w:tcPr>
            <w:tcW w:w="1119" w:type="dxa"/>
          </w:tcPr>
          <w:p w:rsidR="003B400A" w:rsidRPr="00D11F1B" w:rsidRDefault="003B400A" w:rsidP="00FD5E1F">
            <w:pPr>
              <w:spacing w:before="120" w:after="120"/>
              <w:rPr>
                <w:rFonts w:ascii="Times New Roman" w:hAnsi="Times New Roman" w:cs="Times New Roman"/>
                <w:b/>
                <w:bCs/>
              </w:rPr>
            </w:pPr>
          </w:p>
        </w:tc>
      </w:tr>
      <w:tr w:rsidR="003B400A" w:rsidRPr="00D11F1B" w:rsidTr="003B400A">
        <w:tc>
          <w:tcPr>
            <w:tcW w:w="1413" w:type="dxa"/>
          </w:tcPr>
          <w:p w:rsidR="003B400A" w:rsidRPr="00D11F1B" w:rsidRDefault="00180467" w:rsidP="00FD5E1F">
            <w:pPr>
              <w:spacing w:before="120" w:after="120"/>
              <w:rPr>
                <w:rFonts w:ascii="Times New Roman" w:hAnsi="Times New Roman" w:cs="Times New Roman"/>
              </w:rPr>
            </w:pPr>
            <w:r w:rsidRPr="00D11F1B">
              <w:rPr>
                <w:rFonts w:ascii="Times New Roman" w:hAnsi="Times New Roman" w:cs="Times New Roman"/>
              </w:rPr>
              <w:t>Doprinos prevenciji i postupcima u vezi s nasiljem i uznemiravanjem, uključujući seksualno uznemiravanje, maltretiranje i seksualni napad</w:t>
            </w:r>
          </w:p>
        </w:tc>
        <w:tc>
          <w:tcPr>
            <w:tcW w:w="2177" w:type="dxa"/>
          </w:tcPr>
          <w:p w:rsidR="003B400A" w:rsidRPr="00D11F1B" w:rsidRDefault="00180467" w:rsidP="00FD5E1F">
            <w:pPr>
              <w:spacing w:before="120" w:after="120"/>
              <w:rPr>
                <w:rFonts w:ascii="Times New Roman" w:hAnsi="Times New Roman" w:cs="Times New Roman"/>
              </w:rPr>
            </w:pPr>
            <w:r w:rsidRPr="00D11F1B">
              <w:rPr>
                <w:rFonts w:ascii="Times New Roman" w:hAnsi="Times New Roman" w:cs="Times New Roman"/>
              </w:rPr>
              <w:t>Prevencija nasilja i uznemiravanja:</w:t>
            </w:r>
          </w:p>
          <w:p w:rsidR="00180467" w:rsidRPr="00D11F1B" w:rsidRDefault="00180467" w:rsidP="00FD5E1F">
            <w:pPr>
              <w:spacing w:before="120" w:after="120"/>
              <w:rPr>
                <w:rFonts w:ascii="Times New Roman" w:hAnsi="Times New Roman" w:cs="Times New Roman"/>
              </w:rPr>
            </w:pPr>
            <w:r w:rsidRPr="00D11F1B">
              <w:rPr>
                <w:rFonts w:ascii="Times New Roman" w:hAnsi="Times New Roman" w:cs="Times New Roman"/>
              </w:rPr>
              <w:t>Osnovno znanje i razumijevanje nasilja i uznemiravanja, uključujući seksualno uznemiravanje, maltretiranje i seksualni napad, kao i kontinuum štete</w:t>
            </w:r>
          </w:p>
          <w:p w:rsidR="00180467" w:rsidRPr="00D11F1B" w:rsidRDefault="00180467" w:rsidP="00FD5E1F">
            <w:pPr>
              <w:spacing w:before="120" w:after="120"/>
              <w:rPr>
                <w:rFonts w:ascii="Times New Roman" w:hAnsi="Times New Roman" w:cs="Times New Roman"/>
              </w:rPr>
            </w:pPr>
            <w:r w:rsidRPr="00D11F1B">
              <w:rPr>
                <w:rFonts w:ascii="Times New Roman" w:hAnsi="Times New Roman" w:cs="Times New Roman"/>
              </w:rPr>
              <w:t>Osnovno znanje i razumijevanje posljedica nasilja i uznemiravanja, uključujući seksualno uznemiravanje, maltretiranje i seksualni napad, na žrtve, počinitelje, svjedoke i relevantne dionike, te njihov utjecaj na sigurnost, zdravlje i dobrobit</w:t>
            </w:r>
          </w:p>
          <w:p w:rsidR="00180467" w:rsidRPr="00D11F1B" w:rsidRDefault="00180467" w:rsidP="00FD5E1F">
            <w:pPr>
              <w:spacing w:before="120" w:after="120"/>
              <w:rPr>
                <w:rFonts w:ascii="Times New Roman" w:hAnsi="Times New Roman" w:cs="Times New Roman"/>
              </w:rPr>
            </w:pPr>
            <w:r w:rsidRPr="00D11F1B">
              <w:rPr>
                <w:rFonts w:ascii="Times New Roman" w:hAnsi="Times New Roman" w:cs="Times New Roman"/>
              </w:rPr>
              <w:t>Razumjeti da, između ostalog, zloupotreba odnosa moći, diskriminacija, stres, izolacija, umor, droga ili alkohol mogu pridonijeti nasilju i uznemiravanju, uključujući seksualno uznemiravanje, maltretiranje i seksualni napad</w:t>
            </w:r>
          </w:p>
          <w:p w:rsidR="00180467" w:rsidRPr="00D11F1B" w:rsidRDefault="00180467" w:rsidP="00FD5E1F">
            <w:pPr>
              <w:spacing w:before="120" w:after="120"/>
              <w:rPr>
                <w:rFonts w:ascii="Times New Roman" w:hAnsi="Times New Roman" w:cs="Times New Roman"/>
              </w:rPr>
            </w:pPr>
            <w:r w:rsidRPr="00D11F1B">
              <w:rPr>
                <w:rFonts w:ascii="Times New Roman" w:hAnsi="Times New Roman" w:cs="Times New Roman"/>
              </w:rPr>
              <w:lastRenderedPageBreak/>
              <w:t>Postupanje u vezi s nasiljem i uznemiravanjem:</w:t>
            </w:r>
          </w:p>
          <w:p w:rsidR="00180467" w:rsidRPr="00D11F1B" w:rsidRDefault="00180467" w:rsidP="00FD5E1F">
            <w:pPr>
              <w:spacing w:before="120" w:after="120"/>
              <w:rPr>
                <w:rFonts w:ascii="Times New Roman" w:hAnsi="Times New Roman" w:cs="Times New Roman"/>
              </w:rPr>
            </w:pPr>
            <w:r w:rsidRPr="00D11F1B">
              <w:rPr>
                <w:rFonts w:ascii="Times New Roman" w:hAnsi="Times New Roman" w:cs="Times New Roman"/>
              </w:rPr>
              <w:t>Sposobnost prepoznavanja nasilja i uznemiravanja, uključujući seksualno uznemiravanje, maltretiranje i seksualni napad</w:t>
            </w:r>
          </w:p>
          <w:p w:rsidR="00180467" w:rsidRPr="00D11F1B" w:rsidRDefault="00180467" w:rsidP="00FD5E1F">
            <w:pPr>
              <w:spacing w:before="120" w:after="120"/>
              <w:rPr>
                <w:rFonts w:ascii="Times New Roman" w:hAnsi="Times New Roman" w:cs="Times New Roman"/>
              </w:rPr>
            </w:pPr>
            <w:r w:rsidRPr="00D11F1B">
              <w:rPr>
                <w:rFonts w:ascii="Times New Roman" w:hAnsi="Times New Roman" w:cs="Times New Roman"/>
              </w:rPr>
              <w:t>Osnovno znanje o mjerama koje treba poduzeti za interveniranje i prijavu nasilja i uznemiravanja, uključujući seksualno uznemiravanje, maltretiranje i seksualni napad</w:t>
            </w:r>
          </w:p>
          <w:p w:rsidR="00180467" w:rsidRPr="00D11F1B" w:rsidRDefault="00180467" w:rsidP="00FD5E1F">
            <w:pPr>
              <w:spacing w:before="120" w:after="120"/>
              <w:rPr>
                <w:rFonts w:ascii="Times New Roman" w:hAnsi="Times New Roman" w:cs="Times New Roman"/>
              </w:rPr>
            </w:pPr>
            <w:r w:rsidRPr="00D11F1B">
              <w:rPr>
                <w:rFonts w:ascii="Times New Roman" w:hAnsi="Times New Roman" w:cs="Times New Roman"/>
              </w:rPr>
              <w:t>Razumijevanje osnovnih načela odgovora temeljenog na pristupu osjetljivom na traumu i kako pružiti odgovarajuću podršku žrtvi, svjedocima i sebi</w:t>
            </w:r>
          </w:p>
        </w:tc>
        <w:tc>
          <w:tcPr>
            <w:tcW w:w="1367" w:type="dxa"/>
          </w:tcPr>
          <w:p w:rsidR="003B400A" w:rsidRPr="00D11F1B" w:rsidRDefault="00180467" w:rsidP="00FD5E1F">
            <w:pPr>
              <w:spacing w:before="120" w:after="120"/>
              <w:rPr>
                <w:rFonts w:ascii="Times New Roman" w:hAnsi="Times New Roman" w:cs="Times New Roman"/>
              </w:rPr>
            </w:pPr>
            <w:r w:rsidRPr="00D11F1B">
              <w:rPr>
                <w:rFonts w:ascii="Times New Roman" w:hAnsi="Times New Roman" w:cs="Times New Roman"/>
              </w:rPr>
              <w:lastRenderedPageBreak/>
              <w:t>Ocjenjivanje dokaza dobivenih temeljem potvrđenog programa izobrazbe ili tijekom pohađanja potvrđenog tečaja</w:t>
            </w:r>
          </w:p>
        </w:tc>
        <w:tc>
          <w:tcPr>
            <w:tcW w:w="1680" w:type="dxa"/>
          </w:tcPr>
          <w:p w:rsidR="003B400A" w:rsidRPr="00D11F1B" w:rsidRDefault="00180467" w:rsidP="00FD5E1F">
            <w:pPr>
              <w:spacing w:before="120" w:after="120"/>
              <w:rPr>
                <w:rFonts w:ascii="Times New Roman" w:hAnsi="Times New Roman" w:cs="Times New Roman"/>
              </w:rPr>
            </w:pPr>
            <w:r w:rsidRPr="00D11F1B">
              <w:rPr>
                <w:rFonts w:ascii="Times New Roman" w:hAnsi="Times New Roman" w:cs="Times New Roman"/>
              </w:rPr>
              <w:t>Prihvatljive prakse i postupci namijenjeni prevenciji nasilja i uznemiravanja, uključujući seksualno uznemiravanje, maltretiranje i seksualni napad, se poštuju u svakom trenutku</w:t>
            </w:r>
          </w:p>
          <w:p w:rsidR="00180467" w:rsidRPr="00D11F1B" w:rsidRDefault="00180467" w:rsidP="00FD5E1F">
            <w:pPr>
              <w:spacing w:before="120" w:after="120"/>
              <w:rPr>
                <w:rFonts w:ascii="Times New Roman" w:hAnsi="Times New Roman" w:cs="Times New Roman"/>
              </w:rPr>
            </w:pPr>
            <w:r w:rsidRPr="00D11F1B">
              <w:rPr>
                <w:rFonts w:ascii="Times New Roman" w:hAnsi="Times New Roman" w:cs="Times New Roman"/>
              </w:rPr>
              <w:t>Sposobnost prepoznavanja nasilja i uznemiravanja, uključujući seksualno uznemiravanje, maltretiranje i seksualni napad, kao i kontinuum štete i njegove posljedice</w:t>
            </w:r>
          </w:p>
          <w:p w:rsidR="00180467" w:rsidRPr="00D11F1B" w:rsidRDefault="00180467" w:rsidP="00FD5E1F">
            <w:pPr>
              <w:spacing w:before="120" w:after="120"/>
              <w:rPr>
                <w:rFonts w:ascii="Times New Roman" w:hAnsi="Times New Roman" w:cs="Times New Roman"/>
              </w:rPr>
            </w:pPr>
            <w:r w:rsidRPr="00D11F1B">
              <w:rPr>
                <w:rFonts w:ascii="Times New Roman" w:hAnsi="Times New Roman" w:cs="Times New Roman"/>
              </w:rPr>
              <w:t xml:space="preserve">Prihvatljive prakse i postupci namijenjeni intervenciji i prijavi nasilja i uznemiravanja, uključujući seksualno </w:t>
            </w:r>
            <w:r w:rsidRPr="00D11F1B">
              <w:rPr>
                <w:rFonts w:ascii="Times New Roman" w:hAnsi="Times New Roman" w:cs="Times New Roman"/>
              </w:rPr>
              <w:lastRenderedPageBreak/>
              <w:t>uznemiravanje, maltretiranje i seksualni napad, se poštuju u svakom trenutku</w:t>
            </w:r>
          </w:p>
        </w:tc>
        <w:tc>
          <w:tcPr>
            <w:tcW w:w="1304" w:type="dxa"/>
          </w:tcPr>
          <w:p w:rsidR="003B400A" w:rsidRPr="00D11F1B" w:rsidRDefault="003B400A" w:rsidP="00FD5E1F">
            <w:pPr>
              <w:spacing w:before="120" w:after="120"/>
              <w:rPr>
                <w:rFonts w:ascii="Times New Roman" w:hAnsi="Times New Roman" w:cs="Times New Roman"/>
                <w:b/>
                <w:bCs/>
              </w:rPr>
            </w:pPr>
          </w:p>
        </w:tc>
        <w:tc>
          <w:tcPr>
            <w:tcW w:w="1119" w:type="dxa"/>
          </w:tcPr>
          <w:p w:rsidR="003B400A" w:rsidRPr="00D11F1B" w:rsidRDefault="003B400A" w:rsidP="00FD5E1F">
            <w:pPr>
              <w:spacing w:before="120" w:after="120"/>
              <w:rPr>
                <w:rFonts w:ascii="Times New Roman" w:hAnsi="Times New Roman" w:cs="Times New Roman"/>
                <w:b/>
                <w:bCs/>
              </w:rPr>
            </w:pPr>
          </w:p>
        </w:tc>
      </w:tr>
      <w:tr w:rsidR="003B400A" w:rsidRPr="00D11F1B" w:rsidTr="003B400A">
        <w:tc>
          <w:tcPr>
            <w:tcW w:w="1413" w:type="dxa"/>
          </w:tcPr>
          <w:p w:rsidR="003B400A" w:rsidRPr="00D11F1B" w:rsidRDefault="00180467" w:rsidP="00FD5E1F">
            <w:pPr>
              <w:spacing w:before="120" w:after="120"/>
              <w:rPr>
                <w:rFonts w:ascii="Times New Roman" w:hAnsi="Times New Roman" w:cs="Times New Roman"/>
              </w:rPr>
            </w:pPr>
            <w:r w:rsidRPr="00D11F1B">
              <w:rPr>
                <w:rFonts w:ascii="Times New Roman" w:hAnsi="Times New Roman" w:cs="Times New Roman"/>
              </w:rPr>
              <w:t>Razumijevanje i poduzimanje potrebnih radnji u svrhu kontrole umora</w:t>
            </w:r>
          </w:p>
        </w:tc>
        <w:tc>
          <w:tcPr>
            <w:tcW w:w="2177" w:type="dxa"/>
          </w:tcPr>
          <w:p w:rsidR="003B400A" w:rsidRPr="00D11F1B" w:rsidRDefault="00180467" w:rsidP="00FD5E1F">
            <w:pPr>
              <w:spacing w:before="120" w:after="120"/>
              <w:rPr>
                <w:rFonts w:ascii="Times New Roman" w:hAnsi="Times New Roman" w:cs="Times New Roman"/>
              </w:rPr>
            </w:pPr>
            <w:r w:rsidRPr="00D11F1B">
              <w:rPr>
                <w:rFonts w:ascii="Times New Roman" w:hAnsi="Times New Roman" w:cs="Times New Roman"/>
              </w:rPr>
              <w:t>Važnost osiguravanja potrebnog odmora</w:t>
            </w:r>
          </w:p>
          <w:p w:rsidR="00180467" w:rsidRPr="00D11F1B" w:rsidRDefault="00180467" w:rsidP="00FD5E1F">
            <w:pPr>
              <w:spacing w:before="120" w:after="120"/>
              <w:rPr>
                <w:rFonts w:ascii="Times New Roman" w:hAnsi="Times New Roman" w:cs="Times New Roman"/>
              </w:rPr>
            </w:pPr>
            <w:r w:rsidRPr="00D11F1B">
              <w:rPr>
                <w:rFonts w:ascii="Times New Roman" w:hAnsi="Times New Roman" w:cs="Times New Roman"/>
              </w:rPr>
              <w:t xml:space="preserve">Utjecaj sna, radnih rasporeda i </w:t>
            </w:r>
            <w:proofErr w:type="spellStart"/>
            <w:r w:rsidRPr="00277273">
              <w:rPr>
                <w:rFonts w:ascii="Times New Roman" w:hAnsi="Times New Roman" w:cs="Times New Roman"/>
              </w:rPr>
              <w:t>cirkadijalnog</w:t>
            </w:r>
            <w:proofErr w:type="spellEnd"/>
            <w:r w:rsidRPr="00D11F1B">
              <w:rPr>
                <w:rFonts w:ascii="Times New Roman" w:hAnsi="Times New Roman" w:cs="Times New Roman"/>
              </w:rPr>
              <w:t xml:space="preserve"> ritma na umor</w:t>
            </w:r>
          </w:p>
          <w:p w:rsidR="00180467" w:rsidRPr="00D11F1B" w:rsidRDefault="00180467" w:rsidP="00FD5E1F">
            <w:pPr>
              <w:spacing w:before="120" w:after="120"/>
              <w:rPr>
                <w:rFonts w:ascii="Times New Roman" w:hAnsi="Times New Roman" w:cs="Times New Roman"/>
              </w:rPr>
            </w:pPr>
            <w:r w:rsidRPr="00D11F1B">
              <w:rPr>
                <w:rFonts w:ascii="Times New Roman" w:hAnsi="Times New Roman" w:cs="Times New Roman"/>
              </w:rPr>
              <w:t>Utjecaj fizičkih uzročnika stresa na pomorce</w:t>
            </w:r>
          </w:p>
          <w:p w:rsidR="00180467" w:rsidRPr="00D11F1B" w:rsidRDefault="00180467" w:rsidP="00FD5E1F">
            <w:pPr>
              <w:spacing w:before="120" w:after="120"/>
              <w:rPr>
                <w:rFonts w:ascii="Times New Roman" w:hAnsi="Times New Roman" w:cs="Times New Roman"/>
              </w:rPr>
            </w:pPr>
            <w:r w:rsidRPr="00D11F1B">
              <w:rPr>
                <w:rFonts w:ascii="Times New Roman" w:hAnsi="Times New Roman" w:cs="Times New Roman"/>
              </w:rPr>
              <w:t>Utjecaj okolišnih uzročnika stresa unutar i izvan broda te njihov utjecaj na pomorce</w:t>
            </w:r>
          </w:p>
          <w:p w:rsidR="00180467" w:rsidRPr="00D11F1B" w:rsidRDefault="00180467" w:rsidP="00FD5E1F">
            <w:pPr>
              <w:spacing w:before="120" w:after="120"/>
              <w:rPr>
                <w:rFonts w:ascii="Times New Roman" w:hAnsi="Times New Roman" w:cs="Times New Roman"/>
              </w:rPr>
            </w:pPr>
            <w:r w:rsidRPr="00D11F1B">
              <w:rPr>
                <w:rFonts w:ascii="Times New Roman" w:hAnsi="Times New Roman" w:cs="Times New Roman"/>
              </w:rPr>
              <w:t>Utjecaj promjena radnog rasporeda na umor pomorca</w:t>
            </w:r>
          </w:p>
        </w:tc>
        <w:tc>
          <w:tcPr>
            <w:tcW w:w="1367" w:type="dxa"/>
          </w:tcPr>
          <w:p w:rsidR="003B400A" w:rsidRPr="00D11F1B" w:rsidRDefault="00180467" w:rsidP="00FD5E1F">
            <w:pPr>
              <w:spacing w:before="120" w:after="120"/>
              <w:rPr>
                <w:rFonts w:ascii="Times New Roman" w:hAnsi="Times New Roman" w:cs="Times New Roman"/>
              </w:rPr>
            </w:pPr>
            <w:r w:rsidRPr="00D11F1B">
              <w:rPr>
                <w:rFonts w:ascii="Times New Roman" w:hAnsi="Times New Roman" w:cs="Times New Roman"/>
              </w:rPr>
              <w:t>Ocjenjivanje dokaza dobivenih temeljem potvrđenog programa izobrazbe ili tijekom pohađanja potvrđenog tečaja</w:t>
            </w:r>
          </w:p>
        </w:tc>
        <w:tc>
          <w:tcPr>
            <w:tcW w:w="1680" w:type="dxa"/>
          </w:tcPr>
          <w:p w:rsidR="003B400A" w:rsidRPr="00D11F1B" w:rsidRDefault="00180467" w:rsidP="00FD5E1F">
            <w:pPr>
              <w:spacing w:before="120" w:after="120"/>
              <w:rPr>
                <w:rFonts w:ascii="Times New Roman" w:hAnsi="Times New Roman" w:cs="Times New Roman"/>
              </w:rPr>
            </w:pPr>
            <w:r w:rsidRPr="00D11F1B">
              <w:rPr>
                <w:rFonts w:ascii="Times New Roman" w:hAnsi="Times New Roman" w:cs="Times New Roman"/>
              </w:rPr>
              <w:t>Postupci upravljanja umorom se poštuju i uvijek se poduzimaju odgovarajuće mjere</w:t>
            </w:r>
          </w:p>
        </w:tc>
        <w:tc>
          <w:tcPr>
            <w:tcW w:w="1304" w:type="dxa"/>
          </w:tcPr>
          <w:p w:rsidR="003B400A" w:rsidRPr="00D11F1B" w:rsidRDefault="003B400A" w:rsidP="00FD5E1F">
            <w:pPr>
              <w:spacing w:before="120" w:after="120"/>
              <w:rPr>
                <w:rFonts w:ascii="Times New Roman" w:hAnsi="Times New Roman" w:cs="Times New Roman"/>
                <w:b/>
                <w:bCs/>
              </w:rPr>
            </w:pPr>
          </w:p>
        </w:tc>
        <w:tc>
          <w:tcPr>
            <w:tcW w:w="1119" w:type="dxa"/>
          </w:tcPr>
          <w:p w:rsidR="003B400A" w:rsidRPr="00D11F1B" w:rsidRDefault="003B400A" w:rsidP="00FD5E1F">
            <w:pPr>
              <w:spacing w:before="120" w:after="120"/>
              <w:rPr>
                <w:rFonts w:ascii="Times New Roman" w:hAnsi="Times New Roman" w:cs="Times New Roman"/>
                <w:b/>
                <w:bCs/>
              </w:rPr>
            </w:pPr>
          </w:p>
        </w:tc>
      </w:tr>
      <w:tr w:rsidR="003B400A" w:rsidRPr="00D11F1B" w:rsidTr="003B400A">
        <w:tc>
          <w:tcPr>
            <w:tcW w:w="6637" w:type="dxa"/>
            <w:gridSpan w:val="4"/>
          </w:tcPr>
          <w:p w:rsidR="003B400A" w:rsidRPr="00D11F1B" w:rsidRDefault="003B400A" w:rsidP="00FD5E1F">
            <w:pPr>
              <w:spacing w:before="120" w:after="120"/>
              <w:rPr>
                <w:rFonts w:ascii="Times New Roman" w:hAnsi="Times New Roman" w:cs="Times New Roman"/>
              </w:rPr>
            </w:pPr>
            <w:r w:rsidRPr="00D11F1B">
              <w:rPr>
                <w:rFonts w:ascii="Times New Roman" w:hAnsi="Times New Roman" w:cs="Times New Roman"/>
                <w:b/>
                <w:bCs/>
              </w:rPr>
              <w:lastRenderedPageBreak/>
              <w:t>UKUPNO</w:t>
            </w:r>
          </w:p>
        </w:tc>
        <w:tc>
          <w:tcPr>
            <w:tcW w:w="1304" w:type="dxa"/>
          </w:tcPr>
          <w:p w:rsidR="003B400A" w:rsidRPr="00D11F1B" w:rsidRDefault="00180467" w:rsidP="00FD5E1F">
            <w:pPr>
              <w:spacing w:before="120" w:after="120"/>
              <w:rPr>
                <w:rFonts w:ascii="Times New Roman" w:hAnsi="Times New Roman" w:cs="Times New Roman"/>
                <w:b/>
                <w:bCs/>
              </w:rPr>
            </w:pPr>
            <w:r w:rsidRPr="00D11F1B">
              <w:rPr>
                <w:rFonts w:ascii="Times New Roman" w:hAnsi="Times New Roman" w:cs="Times New Roman"/>
                <w:b/>
                <w:bCs/>
              </w:rPr>
              <w:t>10</w:t>
            </w:r>
            <w:r w:rsidR="003B400A" w:rsidRPr="00D11F1B">
              <w:rPr>
                <w:rFonts w:ascii="Times New Roman" w:hAnsi="Times New Roman" w:cs="Times New Roman"/>
                <w:b/>
                <w:bCs/>
              </w:rPr>
              <w:t>,5</w:t>
            </w:r>
          </w:p>
        </w:tc>
        <w:tc>
          <w:tcPr>
            <w:tcW w:w="1119" w:type="dxa"/>
          </w:tcPr>
          <w:p w:rsidR="003B400A" w:rsidRPr="00D11F1B" w:rsidRDefault="00180467" w:rsidP="00FD5E1F">
            <w:pPr>
              <w:spacing w:before="120" w:after="120"/>
              <w:rPr>
                <w:rFonts w:ascii="Times New Roman" w:hAnsi="Times New Roman" w:cs="Times New Roman"/>
                <w:b/>
                <w:bCs/>
              </w:rPr>
            </w:pPr>
            <w:r w:rsidRPr="00D11F1B">
              <w:rPr>
                <w:rFonts w:ascii="Times New Roman" w:hAnsi="Times New Roman" w:cs="Times New Roman"/>
                <w:b/>
                <w:bCs/>
              </w:rPr>
              <w:t>3</w:t>
            </w:r>
            <w:r w:rsidR="003B400A" w:rsidRPr="00D11F1B">
              <w:rPr>
                <w:rFonts w:ascii="Times New Roman" w:hAnsi="Times New Roman" w:cs="Times New Roman"/>
                <w:b/>
                <w:bCs/>
              </w:rPr>
              <w:t>,5</w:t>
            </w:r>
          </w:p>
        </w:tc>
      </w:tr>
      <w:tr w:rsidR="003B400A" w:rsidRPr="00D11F1B" w:rsidTr="003B400A">
        <w:tc>
          <w:tcPr>
            <w:tcW w:w="6637" w:type="dxa"/>
            <w:gridSpan w:val="4"/>
          </w:tcPr>
          <w:p w:rsidR="003B400A" w:rsidRPr="00D11F1B" w:rsidRDefault="003B400A" w:rsidP="00FD5E1F">
            <w:pPr>
              <w:spacing w:before="120" w:after="120"/>
              <w:rPr>
                <w:rFonts w:ascii="Times New Roman" w:hAnsi="Times New Roman" w:cs="Times New Roman"/>
              </w:rPr>
            </w:pPr>
            <w:r w:rsidRPr="00D11F1B">
              <w:rPr>
                <w:rFonts w:ascii="Times New Roman" w:hAnsi="Times New Roman" w:cs="Times New Roman"/>
                <w:b/>
                <w:bCs/>
              </w:rPr>
              <w:t>UKUPNO (</w:t>
            </w:r>
            <w:r w:rsidR="00180467" w:rsidRPr="00D11F1B">
              <w:rPr>
                <w:rFonts w:ascii="Times New Roman" w:hAnsi="Times New Roman" w:cs="Times New Roman"/>
                <w:b/>
                <w:bCs/>
              </w:rPr>
              <w:t>predavanja + vježbe</w:t>
            </w:r>
            <w:r w:rsidRPr="00D11F1B">
              <w:rPr>
                <w:rFonts w:ascii="Times New Roman" w:hAnsi="Times New Roman" w:cs="Times New Roman"/>
                <w:b/>
                <w:bCs/>
              </w:rPr>
              <w:t>)</w:t>
            </w:r>
          </w:p>
        </w:tc>
        <w:tc>
          <w:tcPr>
            <w:tcW w:w="2423" w:type="dxa"/>
            <w:gridSpan w:val="2"/>
          </w:tcPr>
          <w:p w:rsidR="003B400A" w:rsidRPr="00D11F1B" w:rsidRDefault="00180467" w:rsidP="00FD5E1F">
            <w:pPr>
              <w:spacing w:before="120" w:after="120"/>
              <w:rPr>
                <w:rFonts w:ascii="Times New Roman" w:hAnsi="Times New Roman" w:cs="Times New Roman"/>
                <w:b/>
                <w:bCs/>
              </w:rPr>
            </w:pPr>
            <w:r w:rsidRPr="00D11F1B">
              <w:rPr>
                <w:rFonts w:ascii="Times New Roman" w:hAnsi="Times New Roman" w:cs="Times New Roman"/>
                <w:b/>
                <w:bCs/>
              </w:rPr>
              <w:t>14</w:t>
            </w:r>
            <w:r w:rsidR="003B400A" w:rsidRPr="00D11F1B">
              <w:rPr>
                <w:rFonts w:ascii="Times New Roman" w:hAnsi="Times New Roman" w:cs="Times New Roman"/>
                <w:b/>
                <w:bCs/>
              </w:rPr>
              <w:t>,0</w:t>
            </w:r>
          </w:p>
        </w:tc>
      </w:tr>
    </w:tbl>
    <w:p w:rsidR="003B400A" w:rsidRPr="00D11F1B" w:rsidRDefault="003B400A" w:rsidP="00FD5E1F">
      <w:pPr>
        <w:spacing w:before="120" w:after="120"/>
        <w:jc w:val="both"/>
        <w:rPr>
          <w:rFonts w:ascii="Times New Roman" w:hAnsi="Times New Roman" w:cs="Times New Roman"/>
          <w:bCs/>
          <w:i/>
        </w:rPr>
      </w:pPr>
      <w:r w:rsidRPr="00D11F1B">
        <w:rPr>
          <w:rFonts w:ascii="Times New Roman" w:hAnsi="Times New Roman" w:cs="Times New Roman"/>
          <w:bCs/>
          <w:i/>
        </w:rPr>
        <w:t xml:space="preserve">Napomena: Tijekom provođenja program izobrazbe, pomorska učilišta su u mogućnosti koristiti odgovarajuće predloške Međunarodne pomorske organizacije (IMO Model </w:t>
      </w:r>
      <w:proofErr w:type="spellStart"/>
      <w:r w:rsidRPr="00D11F1B">
        <w:rPr>
          <w:rFonts w:ascii="Times New Roman" w:hAnsi="Times New Roman" w:cs="Times New Roman"/>
          <w:bCs/>
          <w:i/>
        </w:rPr>
        <w:t>Course</w:t>
      </w:r>
      <w:proofErr w:type="spellEnd"/>
      <w:r w:rsidRPr="00D11F1B">
        <w:rPr>
          <w:rFonts w:ascii="Times New Roman" w:hAnsi="Times New Roman" w:cs="Times New Roman"/>
          <w:bCs/>
          <w:i/>
        </w:rPr>
        <w:t>)“</w:t>
      </w:r>
    </w:p>
    <w:p w:rsidR="005B1CA9" w:rsidRPr="00D11F1B" w:rsidRDefault="005B1CA9" w:rsidP="00FD5E1F">
      <w:pPr>
        <w:pStyle w:val="box468295"/>
        <w:shd w:val="clear" w:color="auto" w:fill="FFFFFF"/>
        <w:spacing w:before="120" w:beforeAutospacing="0" w:after="120" w:afterAutospacing="0"/>
        <w:jc w:val="center"/>
        <w:textAlignment w:val="baseline"/>
        <w:rPr>
          <w:color w:val="231F20"/>
        </w:rPr>
      </w:pPr>
    </w:p>
    <w:p w:rsidR="003B400A" w:rsidRPr="00D11F1B" w:rsidRDefault="003B400A" w:rsidP="00FD5E1F">
      <w:pPr>
        <w:pStyle w:val="box468295"/>
        <w:shd w:val="clear" w:color="auto" w:fill="FFFFFF"/>
        <w:spacing w:before="120" w:beforeAutospacing="0" w:after="120" w:afterAutospacing="0"/>
        <w:jc w:val="center"/>
        <w:textAlignment w:val="baseline"/>
        <w:rPr>
          <w:color w:val="231F20"/>
        </w:rPr>
      </w:pPr>
      <w:r w:rsidRPr="00D11F1B">
        <w:rPr>
          <w:color w:val="231F20"/>
        </w:rPr>
        <w:t>Članak</w:t>
      </w:r>
      <w:r w:rsidR="005B1CA9">
        <w:rPr>
          <w:color w:val="231F20"/>
        </w:rPr>
        <w:t xml:space="preserve"> 7. </w:t>
      </w:r>
    </w:p>
    <w:p w:rsidR="00180467" w:rsidRPr="00D11F1B" w:rsidRDefault="00180467" w:rsidP="00FD5E1F">
      <w:pPr>
        <w:pStyle w:val="box468295"/>
        <w:spacing w:before="120" w:beforeAutospacing="0" w:after="120" w:afterAutospacing="0"/>
        <w:jc w:val="both"/>
        <w:rPr>
          <w:color w:val="231F20"/>
        </w:rPr>
      </w:pPr>
      <w:r w:rsidRPr="00D11F1B">
        <w:rPr>
          <w:color w:val="231F20"/>
        </w:rPr>
        <w:t xml:space="preserve">Od </w:t>
      </w:r>
      <w:r w:rsidR="00D56D11" w:rsidRPr="00D11F1B">
        <w:rPr>
          <w:color w:val="231F20"/>
        </w:rPr>
        <w:t>1. siječnja 202</w:t>
      </w:r>
      <w:r w:rsidR="003133A6" w:rsidRPr="00D11F1B">
        <w:rPr>
          <w:color w:val="231F20"/>
        </w:rPr>
        <w:t>6</w:t>
      </w:r>
      <w:r w:rsidR="00D56D11" w:rsidRPr="00D11F1B">
        <w:rPr>
          <w:color w:val="231F20"/>
        </w:rPr>
        <w:t>. godine,</w:t>
      </w:r>
      <w:r w:rsidRPr="00D11F1B">
        <w:rPr>
          <w:color w:val="231F20"/>
        </w:rPr>
        <w:t xml:space="preserve"> pomorska učilišta ovlaštena za provedbu programa izobrazbe iz članka 50. Pravilnika, dužna su isti program izobrazbe provoditi u sadržaju i obujmu kako je utvrđeno ovim Pravilnikom.</w:t>
      </w:r>
    </w:p>
    <w:p w:rsidR="005B1CA9" w:rsidRPr="00D11F1B" w:rsidRDefault="005B1CA9" w:rsidP="00FD5E1F">
      <w:pPr>
        <w:pStyle w:val="box468295"/>
        <w:spacing w:before="120" w:beforeAutospacing="0" w:after="120" w:afterAutospacing="0"/>
        <w:jc w:val="both"/>
        <w:rPr>
          <w:color w:val="231F20"/>
        </w:rPr>
      </w:pPr>
    </w:p>
    <w:p w:rsidR="00D11F1B" w:rsidRPr="00D11F1B" w:rsidRDefault="00D11F1B" w:rsidP="00FD5E1F">
      <w:pPr>
        <w:pStyle w:val="box468295"/>
        <w:spacing w:before="120" w:beforeAutospacing="0" w:after="120" w:afterAutospacing="0"/>
        <w:jc w:val="center"/>
        <w:rPr>
          <w:color w:val="231F20"/>
        </w:rPr>
      </w:pPr>
      <w:r w:rsidRPr="00D11F1B">
        <w:rPr>
          <w:color w:val="231F20"/>
        </w:rPr>
        <w:t>Članak</w:t>
      </w:r>
      <w:r w:rsidR="005B1CA9">
        <w:rPr>
          <w:color w:val="231F20"/>
        </w:rPr>
        <w:t xml:space="preserve"> 8.</w:t>
      </w:r>
    </w:p>
    <w:p w:rsidR="00D11F1B" w:rsidRPr="00D11F1B" w:rsidRDefault="00D11F1B" w:rsidP="00FD5E1F">
      <w:pPr>
        <w:pStyle w:val="box468295"/>
        <w:spacing w:before="120" w:beforeAutospacing="0" w:after="120" w:afterAutospacing="0"/>
        <w:jc w:val="both"/>
        <w:rPr>
          <w:color w:val="231F20"/>
        </w:rPr>
      </w:pPr>
      <w:r w:rsidRPr="00D11F1B">
        <w:rPr>
          <w:color w:val="231F20"/>
        </w:rPr>
        <w:t xml:space="preserve">Stupanjem na snagu ovog Pravilnika prestaje važiti članak 1. stavak 1. točka 1. Naredbe o </w:t>
      </w:r>
      <w:r w:rsidRPr="00D11F1B">
        <w:rPr>
          <w:bCs/>
          <w:color w:val="231F20"/>
        </w:rPr>
        <w:t xml:space="preserve">visini naknade za isprave i knjige koje izdaju lučke kapetanije </w:t>
      </w:r>
      <w:r w:rsidRPr="00D11F1B">
        <w:rPr>
          <w:color w:val="231F20"/>
        </w:rPr>
        <w:t>(»Narodne novine« br. 5/2017).</w:t>
      </w:r>
    </w:p>
    <w:p w:rsidR="005B1CA9" w:rsidRPr="00D11F1B" w:rsidRDefault="005B1CA9" w:rsidP="00FD5E1F">
      <w:pPr>
        <w:pStyle w:val="box468295"/>
        <w:spacing w:before="120" w:beforeAutospacing="0" w:after="120" w:afterAutospacing="0"/>
        <w:jc w:val="center"/>
        <w:rPr>
          <w:color w:val="231F20"/>
        </w:rPr>
      </w:pPr>
    </w:p>
    <w:p w:rsidR="00180467" w:rsidRPr="00D11F1B" w:rsidRDefault="00180467" w:rsidP="00FD5E1F">
      <w:pPr>
        <w:pStyle w:val="box468295"/>
        <w:spacing w:before="120" w:beforeAutospacing="0" w:after="120" w:afterAutospacing="0"/>
        <w:jc w:val="center"/>
        <w:rPr>
          <w:color w:val="231F20"/>
        </w:rPr>
      </w:pPr>
      <w:r w:rsidRPr="00D11F1B">
        <w:rPr>
          <w:color w:val="231F20"/>
        </w:rPr>
        <w:t>Članak</w:t>
      </w:r>
      <w:r w:rsidR="005B1CA9">
        <w:rPr>
          <w:color w:val="231F20"/>
        </w:rPr>
        <w:t xml:space="preserve"> 9.</w:t>
      </w:r>
    </w:p>
    <w:p w:rsidR="00180467" w:rsidRPr="00D11F1B" w:rsidRDefault="00180467" w:rsidP="00FD5E1F">
      <w:pPr>
        <w:pStyle w:val="box468295"/>
        <w:spacing w:before="120" w:beforeAutospacing="0" w:after="120" w:afterAutospacing="0"/>
        <w:jc w:val="both"/>
        <w:rPr>
          <w:color w:val="231F20"/>
        </w:rPr>
      </w:pPr>
      <w:r w:rsidRPr="00D11F1B">
        <w:rPr>
          <w:color w:val="231F20"/>
        </w:rPr>
        <w:t>Ovaj Pravilnik stupa na snagu osmoga dana od dana objave u »Narodnim novinama«</w:t>
      </w:r>
      <w:r w:rsidR="003133A6" w:rsidRPr="00D11F1B">
        <w:rPr>
          <w:color w:val="231F20"/>
        </w:rPr>
        <w:t xml:space="preserve">, osim odredbe članaka </w:t>
      </w:r>
      <w:r w:rsidR="005B1CA9">
        <w:rPr>
          <w:color w:val="231F20"/>
        </w:rPr>
        <w:t>6. i 7. ovog Pravilnika koje</w:t>
      </w:r>
      <w:r w:rsidR="003133A6" w:rsidRPr="00D11F1B">
        <w:rPr>
          <w:color w:val="231F20"/>
        </w:rPr>
        <w:t xml:space="preserve"> stupaju na snagu od 1. siječnja 2026. godine</w:t>
      </w:r>
      <w:r w:rsidRPr="00D11F1B">
        <w:rPr>
          <w:color w:val="231F20"/>
        </w:rPr>
        <w:t>.</w:t>
      </w:r>
    </w:p>
    <w:p w:rsidR="007C5CC2" w:rsidRPr="00D11F1B" w:rsidRDefault="00FD5E1F" w:rsidP="00FD5E1F">
      <w:pPr>
        <w:spacing w:before="120" w:after="120"/>
        <w:jc w:val="both"/>
        <w:rPr>
          <w:rFonts w:ascii="Times New Roman" w:hAnsi="Times New Roman" w:cs="Times New Roman"/>
        </w:rPr>
      </w:pPr>
    </w:p>
    <w:p w:rsidR="00180467" w:rsidRPr="00D11F1B" w:rsidRDefault="00180467" w:rsidP="00FD5E1F">
      <w:pPr>
        <w:spacing w:before="120" w:after="120"/>
        <w:jc w:val="both"/>
        <w:rPr>
          <w:rFonts w:ascii="Times New Roman" w:hAnsi="Times New Roman" w:cs="Times New Roman"/>
        </w:rPr>
      </w:pPr>
    </w:p>
    <w:p w:rsidR="00180467" w:rsidRPr="00D11F1B" w:rsidRDefault="00180467" w:rsidP="00FD5E1F">
      <w:pPr>
        <w:spacing w:before="120" w:after="120"/>
        <w:jc w:val="both"/>
        <w:rPr>
          <w:rFonts w:ascii="Times New Roman" w:hAnsi="Times New Roman" w:cs="Times New Roman"/>
        </w:rPr>
      </w:pPr>
      <w:r w:rsidRPr="00D11F1B">
        <w:rPr>
          <w:rFonts w:ascii="Times New Roman" w:hAnsi="Times New Roman" w:cs="Times New Roman"/>
        </w:rPr>
        <w:t>KLASA:</w:t>
      </w:r>
    </w:p>
    <w:p w:rsidR="00180467" w:rsidRPr="00D11F1B" w:rsidRDefault="00180467" w:rsidP="00FD5E1F">
      <w:pPr>
        <w:spacing w:before="120" w:after="120"/>
        <w:jc w:val="both"/>
        <w:rPr>
          <w:rFonts w:ascii="Times New Roman" w:hAnsi="Times New Roman" w:cs="Times New Roman"/>
        </w:rPr>
      </w:pPr>
      <w:r w:rsidRPr="00D11F1B">
        <w:rPr>
          <w:rFonts w:ascii="Times New Roman" w:hAnsi="Times New Roman" w:cs="Times New Roman"/>
        </w:rPr>
        <w:t>URBROJ:</w:t>
      </w:r>
    </w:p>
    <w:p w:rsidR="00180467" w:rsidRPr="00D11F1B" w:rsidRDefault="00180467" w:rsidP="00FD5E1F">
      <w:pPr>
        <w:spacing w:before="120" w:after="120"/>
        <w:jc w:val="both"/>
        <w:rPr>
          <w:rFonts w:ascii="Times New Roman" w:hAnsi="Times New Roman" w:cs="Times New Roman"/>
        </w:rPr>
      </w:pPr>
      <w:r w:rsidRPr="00D11F1B">
        <w:rPr>
          <w:rFonts w:ascii="Times New Roman" w:hAnsi="Times New Roman" w:cs="Times New Roman"/>
        </w:rPr>
        <w:t>Zagreb,</w:t>
      </w:r>
    </w:p>
    <w:p w:rsidR="00180467" w:rsidRPr="00D11F1B" w:rsidRDefault="00180467" w:rsidP="00FD5E1F">
      <w:pPr>
        <w:spacing w:before="120" w:after="120"/>
        <w:jc w:val="both"/>
        <w:rPr>
          <w:rFonts w:ascii="Times New Roman" w:hAnsi="Times New Roman" w:cs="Times New Roman"/>
        </w:rPr>
      </w:pPr>
    </w:p>
    <w:p w:rsidR="00180467" w:rsidRPr="00D11F1B" w:rsidRDefault="00180467" w:rsidP="00FD5E1F">
      <w:pPr>
        <w:spacing w:before="120" w:after="120"/>
        <w:jc w:val="both"/>
        <w:rPr>
          <w:rFonts w:ascii="Times New Roman" w:hAnsi="Times New Roman" w:cs="Times New Roman"/>
        </w:rPr>
      </w:pPr>
    </w:p>
    <w:p w:rsidR="00180467" w:rsidRPr="00D11F1B" w:rsidRDefault="00180467" w:rsidP="00FD5E1F">
      <w:pPr>
        <w:spacing w:before="120" w:after="120"/>
        <w:ind w:left="5664"/>
        <w:jc w:val="center"/>
        <w:rPr>
          <w:rFonts w:ascii="Times New Roman" w:hAnsi="Times New Roman" w:cs="Times New Roman"/>
          <w:b/>
        </w:rPr>
      </w:pPr>
      <w:r w:rsidRPr="00D11F1B">
        <w:rPr>
          <w:rFonts w:ascii="Times New Roman" w:hAnsi="Times New Roman" w:cs="Times New Roman"/>
          <w:b/>
        </w:rPr>
        <w:t>M i n i s t a r</w:t>
      </w:r>
    </w:p>
    <w:p w:rsidR="00180467" w:rsidRPr="00D11F1B" w:rsidRDefault="00180467" w:rsidP="00FD5E1F">
      <w:pPr>
        <w:spacing w:before="120" w:after="120"/>
        <w:ind w:left="5664"/>
        <w:jc w:val="center"/>
        <w:rPr>
          <w:rFonts w:ascii="Times New Roman" w:hAnsi="Times New Roman" w:cs="Times New Roman"/>
          <w:b/>
        </w:rPr>
      </w:pPr>
    </w:p>
    <w:p w:rsidR="00180467" w:rsidRPr="00180467" w:rsidRDefault="00180467" w:rsidP="00FD5E1F">
      <w:pPr>
        <w:spacing w:before="120" w:after="120"/>
        <w:ind w:left="5664"/>
        <w:jc w:val="center"/>
        <w:rPr>
          <w:rFonts w:ascii="Times New Roman" w:hAnsi="Times New Roman" w:cs="Times New Roman"/>
          <w:b/>
        </w:rPr>
      </w:pPr>
      <w:r w:rsidRPr="00D11F1B">
        <w:rPr>
          <w:rFonts w:ascii="Times New Roman" w:hAnsi="Times New Roman" w:cs="Times New Roman"/>
          <w:b/>
        </w:rPr>
        <w:t>Oleg Butković, v.r.</w:t>
      </w:r>
    </w:p>
    <w:sectPr w:rsidR="00180467" w:rsidRPr="00180467" w:rsidSect="003B400A">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802F2"/>
    <w:multiLevelType w:val="hybridMultilevel"/>
    <w:tmpl w:val="8180909E"/>
    <w:lvl w:ilvl="0" w:tplc="DD4671D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FE6118"/>
    <w:multiLevelType w:val="hybridMultilevel"/>
    <w:tmpl w:val="3D185144"/>
    <w:lvl w:ilvl="0" w:tplc="E0082C9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60A2DD1"/>
    <w:multiLevelType w:val="hybridMultilevel"/>
    <w:tmpl w:val="C9846084"/>
    <w:lvl w:ilvl="0" w:tplc="5C0E14AC">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2AD5B0F"/>
    <w:multiLevelType w:val="hybridMultilevel"/>
    <w:tmpl w:val="9C16697A"/>
    <w:lvl w:ilvl="0" w:tplc="E4B804E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53BA4648"/>
    <w:multiLevelType w:val="hybridMultilevel"/>
    <w:tmpl w:val="E3A81EBA"/>
    <w:lvl w:ilvl="0" w:tplc="5C0E14AC">
      <w:start w:val="1"/>
      <w:numFmt w:val="bullet"/>
      <w:lvlText w:val=""/>
      <w:lvlJc w:val="left"/>
      <w:pPr>
        <w:ind w:left="720" w:hanging="360"/>
      </w:pPr>
      <w:rPr>
        <w:rFonts w:ascii="Symbol" w:hAnsi="Symbol" w:hint="default"/>
      </w:rPr>
    </w:lvl>
    <w:lvl w:ilvl="1" w:tplc="5C0E14AC">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59137E21"/>
    <w:multiLevelType w:val="hybridMultilevel"/>
    <w:tmpl w:val="FE103CE2"/>
    <w:lvl w:ilvl="0" w:tplc="E0082C9E">
      <w:start w:val="1"/>
      <w:numFmt w:val="bullet"/>
      <w:lvlText w:val=""/>
      <w:lvlJc w:val="left"/>
      <w:pPr>
        <w:ind w:left="720" w:hanging="360"/>
      </w:pPr>
      <w:rPr>
        <w:rFonts w:ascii="Symbol" w:hAnsi="Symbol" w:hint="default"/>
      </w:rPr>
    </w:lvl>
    <w:lvl w:ilvl="1" w:tplc="131EA3F2">
      <w:numFmt w:val="bullet"/>
      <w:lvlText w:val="–"/>
      <w:lvlJc w:val="left"/>
      <w:pPr>
        <w:ind w:left="1440" w:hanging="360"/>
      </w:pPr>
      <w:rPr>
        <w:rFonts w:ascii="Times New Roman" w:eastAsiaTheme="minorHAnsi"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67AF68F9"/>
    <w:multiLevelType w:val="hybridMultilevel"/>
    <w:tmpl w:val="AA6C8252"/>
    <w:lvl w:ilvl="0" w:tplc="5C0E14AC">
      <w:start w:val="1"/>
      <w:numFmt w:val="bullet"/>
      <w:lvlText w:val=""/>
      <w:lvlJc w:val="left"/>
      <w:pPr>
        <w:ind w:left="720" w:hanging="360"/>
      </w:pPr>
      <w:rPr>
        <w:rFonts w:ascii="Symbol" w:hAnsi="Symbol" w:hint="default"/>
      </w:rPr>
    </w:lvl>
    <w:lvl w:ilvl="1" w:tplc="E0082C9E">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0"/>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00A"/>
    <w:rsid w:val="000C1DDB"/>
    <w:rsid w:val="00180467"/>
    <w:rsid w:val="001C4FB7"/>
    <w:rsid w:val="00277273"/>
    <w:rsid w:val="002E7B21"/>
    <w:rsid w:val="003133A6"/>
    <w:rsid w:val="00355CCF"/>
    <w:rsid w:val="003743C1"/>
    <w:rsid w:val="003B400A"/>
    <w:rsid w:val="003E76A3"/>
    <w:rsid w:val="00450FA0"/>
    <w:rsid w:val="0047044C"/>
    <w:rsid w:val="005319CE"/>
    <w:rsid w:val="005B1CA9"/>
    <w:rsid w:val="006919F7"/>
    <w:rsid w:val="006951FF"/>
    <w:rsid w:val="006B4A11"/>
    <w:rsid w:val="007413B2"/>
    <w:rsid w:val="007C0B06"/>
    <w:rsid w:val="00914D91"/>
    <w:rsid w:val="00943C3E"/>
    <w:rsid w:val="00951900"/>
    <w:rsid w:val="009D32EE"/>
    <w:rsid w:val="00A02C0F"/>
    <w:rsid w:val="00A8772C"/>
    <w:rsid w:val="00BC2D60"/>
    <w:rsid w:val="00BC68C7"/>
    <w:rsid w:val="00BE58A5"/>
    <w:rsid w:val="00CB12C6"/>
    <w:rsid w:val="00CC7D1C"/>
    <w:rsid w:val="00CE36D2"/>
    <w:rsid w:val="00D11F1B"/>
    <w:rsid w:val="00D56D11"/>
    <w:rsid w:val="00D75CD6"/>
    <w:rsid w:val="00DA6197"/>
    <w:rsid w:val="00F66A4D"/>
    <w:rsid w:val="00F94818"/>
    <w:rsid w:val="00FD0B52"/>
    <w:rsid w:val="00FD5E1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89624"/>
  <w15:chartTrackingRefBased/>
  <w15:docId w15:val="{B4B49D41-D679-4591-9C37-52703418A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468295">
    <w:name w:val="box_468295"/>
    <w:basedOn w:val="Normal"/>
    <w:rsid w:val="003B400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CommentReference">
    <w:name w:val="annotation reference"/>
    <w:semiHidden/>
    <w:rsid w:val="000C1DDB"/>
    <w:rPr>
      <w:rFonts w:cs="Times New Roman"/>
      <w:sz w:val="16"/>
    </w:rPr>
  </w:style>
  <w:style w:type="paragraph" w:styleId="CommentText">
    <w:name w:val="annotation text"/>
    <w:basedOn w:val="Normal"/>
    <w:link w:val="CommentTextChar"/>
    <w:semiHidden/>
    <w:rsid w:val="000C1DDB"/>
    <w:pPr>
      <w:spacing w:after="0" w:line="240" w:lineRule="auto"/>
      <w:ind w:left="720" w:hanging="720"/>
    </w:pPr>
    <w:rPr>
      <w:rFonts w:ascii="Arial Narrow" w:eastAsia="Times New Roman" w:hAnsi="Arial Narrow" w:cs="Arial"/>
      <w:sz w:val="20"/>
      <w:szCs w:val="20"/>
      <w:lang w:eastAsia="hr-HR"/>
    </w:rPr>
  </w:style>
  <w:style w:type="character" w:customStyle="1" w:styleId="CommentTextChar">
    <w:name w:val="Comment Text Char"/>
    <w:basedOn w:val="DefaultParagraphFont"/>
    <w:link w:val="CommentText"/>
    <w:semiHidden/>
    <w:rsid w:val="000C1DDB"/>
    <w:rPr>
      <w:rFonts w:ascii="Arial Narrow" w:eastAsia="Times New Roman" w:hAnsi="Arial Narrow" w:cs="Arial"/>
      <w:sz w:val="20"/>
      <w:szCs w:val="20"/>
      <w:lang w:eastAsia="hr-HR"/>
    </w:rPr>
  </w:style>
  <w:style w:type="paragraph" w:styleId="BalloonText">
    <w:name w:val="Balloon Text"/>
    <w:basedOn w:val="Normal"/>
    <w:link w:val="BalloonTextChar"/>
    <w:uiPriority w:val="99"/>
    <w:semiHidden/>
    <w:unhideWhenUsed/>
    <w:rsid w:val="000C1D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1DD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55CCF"/>
    <w:pPr>
      <w:spacing w:after="160"/>
      <w:ind w:left="0" w:firstLine="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355CCF"/>
    <w:rPr>
      <w:rFonts w:ascii="Arial Narrow" w:eastAsia="Times New Roman" w:hAnsi="Arial Narrow" w:cs="Arial"/>
      <w:b/>
      <w:bCs/>
      <w:sz w:val="20"/>
      <w:szCs w:val="20"/>
      <w:lang w:eastAsia="hr-HR"/>
    </w:rPr>
  </w:style>
  <w:style w:type="paragraph" w:styleId="ListParagraph">
    <w:name w:val="List Paragraph"/>
    <w:basedOn w:val="Normal"/>
    <w:uiPriority w:val="34"/>
    <w:qFormat/>
    <w:rsid w:val="00D11F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221077">
      <w:bodyDiv w:val="1"/>
      <w:marLeft w:val="0"/>
      <w:marRight w:val="0"/>
      <w:marTop w:val="0"/>
      <w:marBottom w:val="0"/>
      <w:divBdr>
        <w:top w:val="none" w:sz="0" w:space="0" w:color="auto"/>
        <w:left w:val="none" w:sz="0" w:space="0" w:color="auto"/>
        <w:bottom w:val="none" w:sz="0" w:space="0" w:color="auto"/>
        <w:right w:val="none" w:sz="0" w:space="0" w:color="auto"/>
      </w:divBdr>
    </w:div>
    <w:div w:id="834535592">
      <w:bodyDiv w:val="1"/>
      <w:marLeft w:val="0"/>
      <w:marRight w:val="0"/>
      <w:marTop w:val="0"/>
      <w:marBottom w:val="0"/>
      <w:divBdr>
        <w:top w:val="none" w:sz="0" w:space="0" w:color="auto"/>
        <w:left w:val="none" w:sz="0" w:space="0" w:color="auto"/>
        <w:bottom w:val="none" w:sz="0" w:space="0" w:color="auto"/>
        <w:right w:val="none" w:sz="0" w:space="0" w:color="auto"/>
      </w:divBdr>
    </w:div>
    <w:div w:id="844637310">
      <w:bodyDiv w:val="1"/>
      <w:marLeft w:val="0"/>
      <w:marRight w:val="0"/>
      <w:marTop w:val="0"/>
      <w:marBottom w:val="0"/>
      <w:divBdr>
        <w:top w:val="none" w:sz="0" w:space="0" w:color="auto"/>
        <w:left w:val="none" w:sz="0" w:space="0" w:color="auto"/>
        <w:bottom w:val="none" w:sz="0" w:space="0" w:color="auto"/>
        <w:right w:val="none" w:sz="0" w:space="0" w:color="auto"/>
      </w:divBdr>
    </w:div>
    <w:div w:id="860893303">
      <w:bodyDiv w:val="1"/>
      <w:marLeft w:val="0"/>
      <w:marRight w:val="0"/>
      <w:marTop w:val="0"/>
      <w:marBottom w:val="0"/>
      <w:divBdr>
        <w:top w:val="none" w:sz="0" w:space="0" w:color="auto"/>
        <w:left w:val="none" w:sz="0" w:space="0" w:color="auto"/>
        <w:bottom w:val="none" w:sz="0" w:space="0" w:color="auto"/>
        <w:right w:val="none" w:sz="0" w:space="0" w:color="auto"/>
      </w:divBdr>
    </w:div>
    <w:div w:id="1066803610">
      <w:bodyDiv w:val="1"/>
      <w:marLeft w:val="0"/>
      <w:marRight w:val="0"/>
      <w:marTop w:val="0"/>
      <w:marBottom w:val="0"/>
      <w:divBdr>
        <w:top w:val="none" w:sz="0" w:space="0" w:color="auto"/>
        <w:left w:val="none" w:sz="0" w:space="0" w:color="auto"/>
        <w:bottom w:val="none" w:sz="0" w:space="0" w:color="auto"/>
        <w:right w:val="none" w:sz="0" w:space="0" w:color="auto"/>
      </w:divBdr>
    </w:div>
    <w:div w:id="1183283413">
      <w:bodyDiv w:val="1"/>
      <w:marLeft w:val="0"/>
      <w:marRight w:val="0"/>
      <w:marTop w:val="0"/>
      <w:marBottom w:val="0"/>
      <w:divBdr>
        <w:top w:val="none" w:sz="0" w:space="0" w:color="auto"/>
        <w:left w:val="none" w:sz="0" w:space="0" w:color="auto"/>
        <w:bottom w:val="none" w:sz="0" w:space="0" w:color="auto"/>
        <w:right w:val="none" w:sz="0" w:space="0" w:color="auto"/>
      </w:divBdr>
    </w:div>
    <w:div w:id="148473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2186</Words>
  <Characters>12462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Ana-Marija Batinović</dc:creator>
  <cp:keywords/>
  <dc:description/>
  <cp:lastModifiedBy>Ana-Marija Batinović</cp:lastModifiedBy>
  <cp:revision>2</cp:revision>
  <dcterms:created xsi:type="dcterms:W3CDTF">2025-09-04T11:46:00Z</dcterms:created>
  <dcterms:modified xsi:type="dcterms:W3CDTF">2025-09-04T11:46:00Z</dcterms:modified>
</cp:coreProperties>
</file>