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52903" w14:textId="77777777" w:rsidR="00750790" w:rsidRPr="00750790" w:rsidRDefault="00750790" w:rsidP="00750790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24"/>
          <w:szCs w:val="24"/>
          <w:u w:val="single"/>
          <w:lang w:eastAsia="hr-HR"/>
          <w14:ligatures w14:val="none"/>
        </w:rPr>
      </w:pPr>
      <w:r w:rsidRPr="00750790"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24"/>
          <w:szCs w:val="24"/>
          <w:u w:val="single"/>
          <w:lang w:eastAsia="hr-HR"/>
          <w14:ligatures w14:val="none"/>
        </w:rPr>
        <w:t>MINISTARSTVO MORA, PROMETA I INFRASTRUKTURE</w:t>
      </w:r>
    </w:p>
    <w:p w14:paraId="3127E7EC" w14:textId="32A32CE9" w:rsidR="00F01BE6" w:rsidRPr="00ED1FAC" w:rsidRDefault="00F01BE6" w:rsidP="00750790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AF140D" w14:textId="4D48607A" w:rsidR="00E03B26" w:rsidRPr="00ED1FAC" w:rsidRDefault="00E03B26" w:rsidP="00F539C6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236. stavka </w:t>
      </w:r>
      <w:r w:rsid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i članka 281. stavka 4. Zakona o </w:t>
      </w:r>
      <w:r w:rsidR="007507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sigurnosti prometa na cestama („Narodne novine“</w:t>
      </w: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br. 67/08, 48/10, 74/11, 80/13, 158/13, 92/14, 64/15, 108/17, 70/19, 42/20, 85/22, 114/22, 133/23 i 145/24 )</w:t>
      </w:r>
      <w:r w:rsid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ministar mora, prometa i infrastrukture uz suglasnost ministra nadležnog za unutarnje poslove i ministra nadležnog za gospodarstvo, donosi</w:t>
      </w:r>
    </w:p>
    <w:p w14:paraId="55A0E6FA" w14:textId="77777777" w:rsidR="00E03B26" w:rsidRPr="003E09A3" w:rsidRDefault="00E03B26" w:rsidP="00E03B26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E09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PRAVILNIK</w:t>
      </w:r>
    </w:p>
    <w:p w14:paraId="18C9DDC3" w14:textId="5EDED310" w:rsidR="00E03B26" w:rsidRPr="00ED1FAC" w:rsidRDefault="00E03B26" w:rsidP="00E03B26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hr-HR"/>
          <w14:ligatures w14:val="none"/>
        </w:rPr>
      </w:pPr>
      <w:r w:rsidRPr="003E09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 IZMJEN</w:t>
      </w:r>
      <w:r w:rsidR="009A60EF" w:rsidRPr="003E09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AMA I DOPUNAMA</w:t>
      </w:r>
      <w:r w:rsidRPr="003E09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PRAVILNIKA O UREĐAJIMA, OPREMI I SUSTAVIMA ZA POGON MOTORNIH VOZILA PLINOM</w:t>
      </w:r>
    </w:p>
    <w:p w14:paraId="566462DD" w14:textId="77777777" w:rsidR="00EA3615" w:rsidRPr="00ED1FAC" w:rsidRDefault="00EA3615" w:rsidP="00E03B2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4D4C9F" w14:textId="6F94803E" w:rsidR="00E03B26" w:rsidRDefault="00E03B26" w:rsidP="00E03B2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1.</w:t>
      </w:r>
    </w:p>
    <w:p w14:paraId="2F08C2C9" w14:textId="77777777" w:rsidR="0042786A" w:rsidRPr="00ED1FAC" w:rsidRDefault="0042786A" w:rsidP="00E03B2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3E6DF3" w14:textId="2BD6289F" w:rsidR="002A4C2C" w:rsidRPr="002A4C2C" w:rsidRDefault="00E03B26" w:rsidP="00F01BE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Pravilniku o uređajima, opremi i sustavima za pogon motornih vozila plinom (»Narodne novine«, broj 78/14</w:t>
      </w:r>
      <w:r w:rsidR="001250EB"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97/14</w:t>
      </w:r>
      <w:r w:rsidR="001250EB"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62/18</w:t>
      </w:r>
      <w:r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članku </w:t>
      </w:r>
      <w:r w:rsidR="00FF1BFD"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113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stavku 1. točka 1. </w:t>
      </w:r>
      <w:r w:rsidR="002A4C2C"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mijenja se </w:t>
      </w:r>
      <w:r w:rsidR="00113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</w:t>
      </w:r>
      <w:r w:rsidR="002A4C2C"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glasi:</w:t>
      </w:r>
    </w:p>
    <w:p w14:paraId="17812DE1" w14:textId="3C514CCA" w:rsidR="00E03B26" w:rsidRDefault="00113CC8" w:rsidP="00F01BE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2A4C2C" w:rsidRPr="002A4C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1. </w:t>
      </w:r>
      <w:r w:rsidR="002A4C2C" w:rsidRPr="00700E00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="002A4C2C" w:rsidRPr="0070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plin</w:t>
      </w:r>
      <w:r w:rsidR="002A4C2C" w:rsidRPr="00700E00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="002A4C2C" w:rsidRPr="0070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ukapljeni naftni plin UN oznake 1965 smjese propana i butana, (u daljnjem tekstu: UNP)</w:t>
      </w:r>
      <w:r w:rsidR="00061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A4C2C" w:rsidRPr="0070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stla</w:t>
      </w:r>
      <w:r w:rsidR="002A4C2C" w:rsidRPr="00700E00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č</w:t>
      </w:r>
      <w:r w:rsidR="002A4C2C" w:rsidRPr="0070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eni prirodni plin UN oznake 1971 </w:t>
      </w:r>
      <w:r w:rsidR="002A4C2C" w:rsidRPr="00700E00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č</w:t>
      </w:r>
      <w:r w:rsidR="002A4C2C" w:rsidRPr="0070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iji radni tlak ne prelazi 22 </w:t>
      </w:r>
      <w:proofErr w:type="spellStart"/>
      <w:r w:rsidR="002A4C2C" w:rsidRPr="0070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MPa</w:t>
      </w:r>
      <w:proofErr w:type="spellEnd"/>
      <w:r w:rsidR="002A4C2C" w:rsidRPr="0070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(220 bar), (u daljnjem tekstu: metan)</w:t>
      </w:r>
      <w:r w:rsidR="009A6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kao </w:t>
      </w:r>
      <w:r w:rsidR="00F02704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ukapljeni prirodni plin UN oznake 1972 duboko ohlađen (u daljnjem tekstu: UPP)</w:t>
      </w:r>
      <w:r w:rsidR="00EA3615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F01B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7FF97D70" w14:textId="7E664D5B" w:rsidR="0033475B" w:rsidRPr="00ED1FAC" w:rsidRDefault="009A60EF" w:rsidP="00F01BE6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točki 3. </w:t>
      </w:r>
      <w:r w:rsidR="00113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iza riječi „metan“</w:t>
      </w:r>
      <w:r w:rsidR="0033475B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dodaj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se riječi</w:t>
      </w:r>
      <w:r w:rsidR="00113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</w:t>
      </w:r>
      <w:r w:rsidR="0033475B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UPP u plinovitom stanju</w:t>
      </w:r>
      <w:r w:rsidR="00113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15B184D" w14:textId="77777777" w:rsidR="0033475B" w:rsidRPr="00ED1FAC" w:rsidRDefault="0033475B" w:rsidP="00F01BE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B8EB7E" w14:textId="5BC9AF88" w:rsidR="002F5C6D" w:rsidRDefault="0033475B" w:rsidP="00F01BE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Članak </w:t>
      </w:r>
      <w:r w:rsidR="002F5C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35FDC54" w14:textId="77777777" w:rsidR="0042786A" w:rsidRPr="00ED1FAC" w:rsidRDefault="0042786A" w:rsidP="00F01BE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8BE978" w14:textId="7FF9B71C" w:rsidR="00F1679E" w:rsidRPr="00ED1FAC" w:rsidRDefault="0033475B" w:rsidP="00F01BE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članku 8. iza stavka </w:t>
      </w:r>
      <w:r w:rsidR="00F1679E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F1679E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dodaje se novi stavak 5. koji glasi:</w:t>
      </w:r>
    </w:p>
    <w:p w14:paraId="11026C1F" w14:textId="614966EF" w:rsidR="0033475B" w:rsidRPr="00ED1FAC" w:rsidRDefault="00F01BE6" w:rsidP="00F01BE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F1679E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Spremnik plina za UPP smije biti u uporabi najdulje 20 godina</w:t>
      </w:r>
      <w:r w:rsidR="007D617F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1679E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računajući od datuma proizvodnje</w:t>
      </w:r>
      <w:r w:rsidR="009E2E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9E2E5C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osim </w:t>
      </w:r>
      <w:r w:rsidR="009E2E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ukoliko drugačije ne proizlazi iz specifikacija</w:t>
      </w:r>
      <w:r w:rsidR="009E2E5C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proizvođač</w:t>
      </w:r>
      <w:r w:rsidR="009E2E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9E2E5C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spremnika</w:t>
      </w:r>
      <w:r w:rsidR="00F1679E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Periodični pregled obvezan je </w:t>
      </w:r>
      <w:r w:rsidR="00ED1FAC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najkasnije </w:t>
      </w:r>
      <w:r w:rsidR="00F1679E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deset godina od datuma proizvodnje ili se spremnik zamjenjuje novim spremnikom.</w:t>
      </w:r>
      <w:r w:rsidR="009E2E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C0D2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="007D617F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ljedeći periodični pregled obvezan je najkasnije nakon isteka roka od </w:t>
      </w:r>
      <w:r w:rsidR="00A3180F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deset</w:t>
      </w:r>
      <w:r w:rsidR="007D617F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godina</w:t>
      </w:r>
      <w:r w:rsidR="005A3B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prethodnog periodičnog pregleda</w:t>
      </w:r>
      <w:r w:rsidR="007D617F"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7677CCEB" w14:textId="47A4903F" w:rsidR="008F7C3C" w:rsidRDefault="00F1679E" w:rsidP="00F01BE6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Dosadašnji stavak 5. postaje stavak 6.</w:t>
      </w:r>
    </w:p>
    <w:p w14:paraId="6896DD43" w14:textId="77777777" w:rsidR="008F7C3C" w:rsidRDefault="008F7C3C" w:rsidP="00F01BE6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8D35A2" w14:textId="7E256106" w:rsidR="005728C0" w:rsidRDefault="005728C0" w:rsidP="00AB729A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Članak </w:t>
      </w:r>
      <w:r w:rsidR="00FC19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B08125F" w14:textId="77777777" w:rsidR="0042786A" w:rsidRDefault="0042786A" w:rsidP="00AB729A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D71754" w14:textId="754AA65B" w:rsidR="005728C0" w:rsidRPr="00AA5A6B" w:rsidRDefault="0042786A" w:rsidP="00F01BE6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članku 33. stavku 1. točki</w:t>
      </w:r>
      <w:r w:rsidR="005728C0" w:rsidRPr="00AA5A6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6.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iza riječi „Pravilnika“ dodaju se riječi „</w:t>
      </w:r>
      <w:r w:rsidRPr="004278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za opremu, uređaje i sustave za pogon motornih vozila plinom iz članka 60</w:t>
      </w:r>
      <w:r w:rsidR="00B722D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4278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ovog Pravilnika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.“.</w:t>
      </w:r>
    </w:p>
    <w:p w14:paraId="43F10623" w14:textId="77777777" w:rsidR="00FC1919" w:rsidRDefault="00FC1919" w:rsidP="00F01BE6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50ADE2" w14:textId="77777777" w:rsidR="00FC1919" w:rsidRDefault="00FC1919" w:rsidP="00F01BE6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3EEE41" w14:textId="7DDC8064" w:rsidR="00FC1919" w:rsidRDefault="00FC1919" w:rsidP="0042786A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4.</w:t>
      </w:r>
    </w:p>
    <w:p w14:paraId="2120FC6E" w14:textId="07B8C59E" w:rsidR="00FC1919" w:rsidRDefault="00FC1919" w:rsidP="00F01BE6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Iza članka </w:t>
      </w:r>
      <w:r w:rsidR="00B722D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60.</w:t>
      </w:r>
      <w:r w:rsidR="004278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dodaje </w:t>
      </w:r>
      <w:r w:rsidR="00B722D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 novi članak 60.</w:t>
      </w:r>
      <w:r w:rsidR="004278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glasi:</w:t>
      </w:r>
    </w:p>
    <w:p w14:paraId="78BDFC12" w14:textId="133EB404" w:rsidR="00FC1919" w:rsidRDefault="00FC1919" w:rsidP="00F01BE6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7C39F3" w14:textId="4A4A1CA5" w:rsidR="00FC1919" w:rsidRPr="00ED1FAC" w:rsidRDefault="00750790" w:rsidP="0042786A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„</w:t>
      </w:r>
      <w:r w:rsidR="00B722D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60.</w:t>
      </w:r>
      <w:r w:rsidR="00AB72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</w:p>
    <w:p w14:paraId="57C7D90C" w14:textId="2576E90F" w:rsidR="00FC1919" w:rsidRDefault="00FC1919" w:rsidP="00F01BE6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Oprema, uređaji i sustavi za UPP, uključujući i sigurnosne uređaje na spremniku plina, moraju biti homologirani i ugrađeni sukladno Pravilniku ECE R110 te se na iste ne primjenjuju </w:t>
      </w:r>
      <w:r w:rsidR="007507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odredbe članka 3.-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7., članka 9.- 32. i članka 36.-</w:t>
      </w:r>
      <w:r w:rsidR="007507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60. ovog Pravilnika.</w:t>
      </w:r>
      <w:r w:rsidR="00F57C2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5D3B2A0C" w14:textId="77777777" w:rsidR="004006A6" w:rsidRDefault="004006A6" w:rsidP="00F01BE6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C8FA31" w14:textId="79F0E959" w:rsidR="00764031" w:rsidRDefault="00764031" w:rsidP="0042786A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Članak </w:t>
      </w:r>
      <w:r w:rsidR="004006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85AFE00" w14:textId="3821594F" w:rsidR="004C60AD" w:rsidRDefault="00750790" w:rsidP="00F01BE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Prilog 1.</w:t>
      </w:r>
      <w:r w:rsidR="0076403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zamjenjuje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se </w:t>
      </w:r>
      <w:r w:rsidR="0076403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novim Prilogom 1. koji čini sastavni dio ovog Pravilnika.</w:t>
      </w:r>
      <w:bookmarkStart w:id="0" w:name="_Hlk194651438"/>
    </w:p>
    <w:p w14:paraId="726C0862" w14:textId="77777777" w:rsidR="00162835" w:rsidRPr="00ED1FAC" w:rsidRDefault="00162835" w:rsidP="00F01BE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0"/>
    <w:p w14:paraId="51C9DA78" w14:textId="5177CA32" w:rsidR="00E03B26" w:rsidRPr="00ED1FAC" w:rsidRDefault="00E03B26" w:rsidP="0042786A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Članak </w:t>
      </w:r>
      <w:r w:rsidR="004006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7CEFD3E" w14:textId="0A73491F" w:rsidR="00E03B26" w:rsidRPr="00ED1FAC" w:rsidRDefault="00E03B26" w:rsidP="00F01BE6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Pravilnik stupa na snag</w:t>
      </w:r>
      <w:r w:rsidR="007507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osmoga dana od dana objave u „</w:t>
      </w: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Narodnim novinama</w:t>
      </w:r>
      <w:r w:rsidR="007507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Pr="00ED1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26BDB36" w14:textId="77777777" w:rsidR="00FF1BFD" w:rsidRPr="00ED1FAC" w:rsidRDefault="00FF1BFD" w:rsidP="00F01BE6">
      <w:pPr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3F6A45" w14:textId="77777777" w:rsidR="00FF1BFD" w:rsidRPr="00ED1FAC" w:rsidRDefault="00FF1BFD" w:rsidP="00F01BE6">
      <w:pPr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7DAED3" w14:textId="77777777" w:rsidR="00FF1BFD" w:rsidRPr="00ED1FAC" w:rsidRDefault="00FF1BFD" w:rsidP="00E03B26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A559F0" w14:textId="0954BC22" w:rsidR="00750790" w:rsidRPr="00750790" w:rsidRDefault="00750790" w:rsidP="007507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5079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KLASA: </w:t>
      </w:r>
    </w:p>
    <w:p w14:paraId="16781BEA" w14:textId="12C2265E" w:rsidR="00750790" w:rsidRPr="00750790" w:rsidRDefault="00750790" w:rsidP="007507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5079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URBROJ: </w:t>
      </w:r>
    </w:p>
    <w:p w14:paraId="18D39DAD" w14:textId="1CC83513" w:rsidR="00750790" w:rsidRPr="00750790" w:rsidRDefault="00750790" w:rsidP="007507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5079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Zagreb, </w:t>
      </w:r>
      <w:r w:rsidR="009A5A3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kolovoz 2025</w:t>
      </w:r>
    </w:p>
    <w:p w14:paraId="1A934FD4" w14:textId="2423949C" w:rsidR="00750790" w:rsidRDefault="00750790" w:rsidP="00E03B26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08DC0C" w14:textId="62EE74C0" w:rsidR="00947E75" w:rsidRDefault="00947E75" w:rsidP="00E03B26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01D306" w14:textId="6E096EE2" w:rsidR="00947E75" w:rsidRDefault="00947E75" w:rsidP="00E03B26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EFCEE8" w14:textId="5CE18F65" w:rsidR="00947E75" w:rsidRDefault="00947E75" w:rsidP="00E03B26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46EBEF" w14:textId="3FD60C49" w:rsidR="00947E75" w:rsidRDefault="00947E75" w:rsidP="00E03B26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A22BE8" w14:textId="157B1F87" w:rsidR="00947E75" w:rsidRDefault="00947E75" w:rsidP="00E03B26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753305" w14:textId="77777777" w:rsidR="00947E75" w:rsidRDefault="00947E75" w:rsidP="00E03B26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E1C69B" w14:textId="77777777" w:rsidR="00750790" w:rsidRPr="00ED1FAC" w:rsidRDefault="00750790" w:rsidP="00E03B26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D64B75" w14:textId="4E67C5D5" w:rsidR="00750790" w:rsidRPr="00750790" w:rsidRDefault="00750790" w:rsidP="007507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323130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bookmarkStart w:id="1" w:name="_GoBack"/>
      <w:bookmarkEnd w:id="1"/>
      <w:r w:rsidRPr="00750790">
        <w:rPr>
          <w:rFonts w:ascii="Times New Roman" w:eastAsia="Times New Roman" w:hAnsi="Times New Roman" w:cs="Times New Roman"/>
          <w:b/>
          <w:color w:val="323130"/>
          <w:kern w:val="0"/>
          <w:sz w:val="24"/>
          <w:szCs w:val="24"/>
          <w:shd w:val="clear" w:color="auto" w:fill="FFFFFF"/>
          <w:lang w:eastAsia="hr-HR"/>
          <w14:ligatures w14:val="none"/>
        </w:rPr>
        <w:t>MINISTAR</w:t>
      </w:r>
    </w:p>
    <w:p w14:paraId="6719C070" w14:textId="77777777" w:rsidR="00750790" w:rsidRPr="00750790" w:rsidRDefault="00750790" w:rsidP="007507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1F8691E" w14:textId="77777777" w:rsidR="00750790" w:rsidRPr="00750790" w:rsidRDefault="00750790" w:rsidP="007507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1E59B56" w14:textId="77777777" w:rsidR="00750790" w:rsidRPr="00750790" w:rsidRDefault="00750790" w:rsidP="007507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084FA40" w14:textId="77777777" w:rsidR="00750790" w:rsidRPr="00750790" w:rsidRDefault="00750790" w:rsidP="007507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7507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Oleg Butković</w:t>
      </w:r>
    </w:p>
    <w:p w14:paraId="78813214" w14:textId="77777777" w:rsidR="00750790" w:rsidRPr="00750790" w:rsidRDefault="00750790" w:rsidP="007507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3F34326" w14:textId="77777777" w:rsidR="00FE05D8" w:rsidRPr="00ED1FAC" w:rsidRDefault="00FE05D8" w:rsidP="00862CC1">
      <w:pPr>
        <w:pStyle w:val="prilog"/>
        <w:jc w:val="center"/>
        <w:rPr>
          <w:b/>
          <w:bCs/>
        </w:rPr>
      </w:pPr>
    </w:p>
    <w:p w14:paraId="6950C587" w14:textId="77777777" w:rsidR="00224B00" w:rsidRDefault="00224B00" w:rsidP="00862CC1">
      <w:pPr>
        <w:pStyle w:val="prilog"/>
        <w:jc w:val="center"/>
        <w:rPr>
          <w:b/>
          <w:bCs/>
        </w:rPr>
      </w:pPr>
    </w:p>
    <w:p w14:paraId="31A6BFFB" w14:textId="77777777" w:rsidR="00224B00" w:rsidRDefault="00224B00" w:rsidP="00862CC1">
      <w:pPr>
        <w:pStyle w:val="prilog"/>
        <w:jc w:val="center"/>
        <w:rPr>
          <w:b/>
          <w:bCs/>
        </w:rPr>
      </w:pPr>
    </w:p>
    <w:p w14:paraId="12F5FE9A" w14:textId="77777777" w:rsidR="00224B00" w:rsidRDefault="00224B00" w:rsidP="00862CC1">
      <w:pPr>
        <w:pStyle w:val="prilog"/>
        <w:jc w:val="center"/>
        <w:rPr>
          <w:b/>
          <w:bCs/>
        </w:rPr>
      </w:pPr>
    </w:p>
    <w:p w14:paraId="4C026F5C" w14:textId="77777777" w:rsidR="00224B00" w:rsidRDefault="00224B00" w:rsidP="00862CC1">
      <w:pPr>
        <w:pStyle w:val="prilog"/>
        <w:jc w:val="center"/>
        <w:rPr>
          <w:b/>
          <w:bCs/>
        </w:rPr>
      </w:pPr>
    </w:p>
    <w:p w14:paraId="30CA086D" w14:textId="77777777" w:rsidR="00224B00" w:rsidRDefault="00224B00" w:rsidP="00862CC1">
      <w:pPr>
        <w:pStyle w:val="prilog"/>
        <w:jc w:val="center"/>
        <w:rPr>
          <w:b/>
          <w:bCs/>
        </w:rPr>
      </w:pPr>
    </w:p>
    <w:p w14:paraId="3399AAA5" w14:textId="77777777" w:rsidR="00224B00" w:rsidRDefault="00224B00" w:rsidP="00862CC1">
      <w:pPr>
        <w:pStyle w:val="prilog"/>
        <w:jc w:val="center"/>
        <w:rPr>
          <w:b/>
          <w:bCs/>
        </w:rPr>
      </w:pPr>
    </w:p>
    <w:p w14:paraId="53761D3F" w14:textId="77777777" w:rsidR="00224B00" w:rsidRDefault="00224B00" w:rsidP="00862CC1">
      <w:pPr>
        <w:pStyle w:val="prilog"/>
        <w:jc w:val="center"/>
        <w:rPr>
          <w:b/>
          <w:bCs/>
        </w:rPr>
      </w:pPr>
    </w:p>
    <w:p w14:paraId="26A9D2E7" w14:textId="4722E51D" w:rsidR="00224B00" w:rsidRDefault="00224B00" w:rsidP="00947E75">
      <w:pPr>
        <w:pStyle w:val="prilog"/>
        <w:rPr>
          <w:b/>
          <w:bCs/>
        </w:rPr>
      </w:pPr>
    </w:p>
    <w:p w14:paraId="2377A2AF" w14:textId="6FCD00EF" w:rsidR="00862CC1" w:rsidRDefault="00862CC1" w:rsidP="00862CC1">
      <w:pPr>
        <w:pStyle w:val="prilog"/>
        <w:jc w:val="center"/>
        <w:rPr>
          <w:b/>
          <w:bCs/>
        </w:rPr>
      </w:pPr>
      <w:r w:rsidRPr="00ED1FAC">
        <w:rPr>
          <w:b/>
          <w:bCs/>
        </w:rPr>
        <w:t>PRILOG 1.</w:t>
      </w:r>
    </w:p>
    <w:p w14:paraId="6566E42A" w14:textId="77777777" w:rsidR="00375AC2" w:rsidRDefault="00375AC2" w:rsidP="00862CC1">
      <w:pPr>
        <w:pStyle w:val="prilog"/>
        <w:jc w:val="center"/>
        <w:rPr>
          <w:b/>
          <w:bCs/>
        </w:rPr>
      </w:pPr>
    </w:p>
    <w:p w14:paraId="36EA2657" w14:textId="5328AF97" w:rsidR="00375AC2" w:rsidRDefault="00375AC2" w:rsidP="00700E00">
      <w:pPr>
        <w:pStyle w:val="prilog"/>
        <w:rPr>
          <w:b/>
          <w:bCs/>
        </w:rPr>
      </w:pPr>
      <w:r w:rsidRPr="00375AC2">
        <w:rPr>
          <w:b/>
          <w:bCs/>
          <w:noProof/>
        </w:rPr>
        <w:drawing>
          <wp:inline distT="0" distB="0" distL="0" distR="0" wp14:anchorId="5AE50BF8" wp14:editId="6AAE100F">
            <wp:extent cx="6147879" cy="6191250"/>
            <wp:effectExtent l="0" t="0" r="5715" b="0"/>
            <wp:docPr id="866149684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49684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0868" cy="619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C7C36" w14:textId="77777777" w:rsidR="00375AC2" w:rsidRPr="00ED1FAC" w:rsidRDefault="00375AC2" w:rsidP="00862CC1">
      <w:pPr>
        <w:pStyle w:val="prilog"/>
        <w:jc w:val="center"/>
        <w:rPr>
          <w:b/>
          <w:bCs/>
        </w:rPr>
      </w:pPr>
    </w:p>
    <w:p w14:paraId="6C952DA2" w14:textId="77777777" w:rsidR="00224B00" w:rsidRDefault="00224B00" w:rsidP="00862CC1">
      <w:pPr>
        <w:pStyle w:val="t-12-9-sred"/>
        <w:jc w:val="center"/>
        <w:rPr>
          <w:sz w:val="28"/>
          <w:szCs w:val="28"/>
        </w:rPr>
      </w:pPr>
    </w:p>
    <w:p w14:paraId="7626CEB6" w14:textId="77777777" w:rsidR="00224B00" w:rsidRDefault="00224B00" w:rsidP="00862CC1">
      <w:pPr>
        <w:pStyle w:val="t-12-9-sred"/>
        <w:jc w:val="center"/>
        <w:rPr>
          <w:sz w:val="28"/>
          <w:szCs w:val="28"/>
        </w:rPr>
      </w:pPr>
    </w:p>
    <w:p w14:paraId="0C2E4FAF" w14:textId="77777777" w:rsidR="00224B00" w:rsidRDefault="00224B00" w:rsidP="00862CC1">
      <w:pPr>
        <w:pStyle w:val="t-12-9-sred"/>
        <w:jc w:val="center"/>
        <w:rPr>
          <w:sz w:val="28"/>
          <w:szCs w:val="28"/>
        </w:rPr>
      </w:pPr>
    </w:p>
    <w:p w14:paraId="2EBD42F1" w14:textId="49D50504" w:rsidR="002F199B" w:rsidRPr="00ED1FAC" w:rsidRDefault="00862CC1" w:rsidP="00862CC1">
      <w:pPr>
        <w:pStyle w:val="t-12-9-sred"/>
        <w:jc w:val="center"/>
        <w:rPr>
          <w:sz w:val="28"/>
          <w:szCs w:val="28"/>
        </w:rPr>
      </w:pPr>
      <w:r w:rsidRPr="00ED1FAC">
        <w:rPr>
          <w:sz w:val="28"/>
          <w:szCs w:val="28"/>
        </w:rPr>
        <w:lastRenderedPageBreak/>
        <w:t xml:space="preserve">NALJEPNICA ZA OZNAČAVANJE VOZILA S POGONOM NA UKAPLJENI </w:t>
      </w:r>
      <w:r w:rsidR="001034A6" w:rsidRPr="00ED1FAC">
        <w:rPr>
          <w:sz w:val="28"/>
          <w:szCs w:val="28"/>
        </w:rPr>
        <w:t>PRIRODNI PLIN</w:t>
      </w:r>
      <w:r w:rsidRPr="00ED1FAC">
        <w:rPr>
          <w:sz w:val="28"/>
          <w:szCs w:val="28"/>
        </w:rPr>
        <w:t xml:space="preserve"> (</w:t>
      </w:r>
      <w:r w:rsidR="001034A6" w:rsidRPr="00ED1FAC">
        <w:rPr>
          <w:sz w:val="28"/>
          <w:szCs w:val="28"/>
        </w:rPr>
        <w:t>UPP</w:t>
      </w:r>
      <w:r w:rsidRPr="00ED1FAC">
        <w:rPr>
          <w:sz w:val="28"/>
          <w:szCs w:val="28"/>
        </w:rPr>
        <w:t>; L</w:t>
      </w:r>
      <w:r w:rsidR="001034A6" w:rsidRPr="00ED1FAC">
        <w:rPr>
          <w:sz w:val="28"/>
          <w:szCs w:val="28"/>
        </w:rPr>
        <w:t>NG</w:t>
      </w:r>
      <w:r w:rsidRPr="00ED1FAC">
        <w:rPr>
          <w:sz w:val="28"/>
          <w:szCs w:val="28"/>
        </w:rPr>
        <w:t>)</w:t>
      </w:r>
      <w:r w:rsidR="00185D53" w:rsidRPr="00ED1FAC">
        <w:rPr>
          <w:sz w:val="28"/>
          <w:szCs w:val="28"/>
        </w:rPr>
        <w:t xml:space="preserve"> ZA VOZILA KATEGORIJA M2 I M3, N2 I N3</w:t>
      </w:r>
    </w:p>
    <w:p w14:paraId="63DFE415" w14:textId="6A0167D3" w:rsidR="00FE05D8" w:rsidRPr="00ED1FAC" w:rsidRDefault="00185D53" w:rsidP="00862CC1">
      <w:pPr>
        <w:pStyle w:val="t-12-9-sred"/>
        <w:jc w:val="center"/>
        <w:rPr>
          <w:b/>
          <w:bCs/>
          <w:sz w:val="28"/>
          <w:szCs w:val="28"/>
        </w:rPr>
      </w:pPr>
      <w:r w:rsidRPr="00ED1FAC"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52F8F6D2" wp14:editId="08E3B78E">
            <wp:extent cx="2417342" cy="1386908"/>
            <wp:effectExtent l="0" t="0" r="2540" b="3810"/>
            <wp:docPr id="685918521" name="Picture 1" descr="A green diamond shaped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18521" name="Picture 1" descr="A green diamond shaped sig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506" cy="139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EED7" w14:textId="77777777" w:rsidR="00FE05D8" w:rsidRPr="00ED1FAC" w:rsidRDefault="00FE05D8" w:rsidP="00862CC1">
      <w:pPr>
        <w:pStyle w:val="t-12-9-sred"/>
        <w:jc w:val="center"/>
        <w:rPr>
          <w:b/>
          <w:bCs/>
          <w:sz w:val="28"/>
          <w:szCs w:val="28"/>
        </w:rPr>
      </w:pPr>
    </w:p>
    <w:p w14:paraId="29FBB845" w14:textId="77777777" w:rsidR="00FE05D8" w:rsidRPr="00ED1FAC" w:rsidRDefault="00FE05D8" w:rsidP="00FE05D8">
      <w:pPr>
        <w:pStyle w:val="t-9-8"/>
        <w:jc w:val="both"/>
      </w:pPr>
      <w:r w:rsidRPr="00ED1FAC">
        <w:t>Znak se sastoji od naljepnice koja mora biti otporna na vremenske uvjete.</w:t>
      </w:r>
    </w:p>
    <w:p w14:paraId="44031EC0" w14:textId="77777777" w:rsidR="00FE05D8" w:rsidRPr="00ED1FAC" w:rsidRDefault="00FE05D8" w:rsidP="00FE05D8">
      <w:pPr>
        <w:pStyle w:val="t-9-8"/>
        <w:jc w:val="both"/>
      </w:pPr>
      <w:r w:rsidRPr="00ED1FAC">
        <w:t>Boje i mjere naljepnice moraju ispunjavati sljedeće zahtjeve:</w:t>
      </w:r>
    </w:p>
    <w:p w14:paraId="44B36910" w14:textId="77777777" w:rsidR="00FE05D8" w:rsidRPr="00ED1FAC" w:rsidRDefault="00FE05D8" w:rsidP="00FE05D8">
      <w:pPr>
        <w:pStyle w:val="t-9-8"/>
        <w:jc w:val="both"/>
      </w:pPr>
      <w:r w:rsidRPr="00ED1FAC">
        <w:t>Boje:</w:t>
      </w:r>
    </w:p>
    <w:p w14:paraId="29836E15" w14:textId="77777777" w:rsidR="00FE05D8" w:rsidRPr="00ED1FAC" w:rsidRDefault="00FE05D8" w:rsidP="00FE05D8">
      <w:pPr>
        <w:pStyle w:val="t-9-8"/>
        <w:jc w:val="both"/>
      </w:pPr>
      <w:r w:rsidRPr="00ED1FAC">
        <w:t>Pozadina: zelena</w:t>
      </w:r>
    </w:p>
    <w:p w14:paraId="1937D235" w14:textId="77777777" w:rsidR="00FE05D8" w:rsidRPr="00ED1FAC" w:rsidRDefault="00FE05D8" w:rsidP="00FE05D8">
      <w:pPr>
        <w:pStyle w:val="t-9-8"/>
        <w:jc w:val="both"/>
      </w:pPr>
      <w:r w:rsidRPr="00ED1FAC">
        <w:t>Rub: bijela ili reflektirajuće bijela</w:t>
      </w:r>
    </w:p>
    <w:p w14:paraId="7532342D" w14:textId="77777777" w:rsidR="00FE05D8" w:rsidRPr="00ED1FAC" w:rsidRDefault="00FE05D8" w:rsidP="00FE05D8">
      <w:pPr>
        <w:pStyle w:val="t-9-8"/>
        <w:jc w:val="both"/>
      </w:pPr>
      <w:r w:rsidRPr="00ED1FAC">
        <w:t>Slova: bijela ili reflektirajuće bijela</w:t>
      </w:r>
    </w:p>
    <w:p w14:paraId="6B10569E" w14:textId="77777777" w:rsidR="00FE05D8" w:rsidRPr="00ED1FAC" w:rsidRDefault="00FE05D8" w:rsidP="00FE05D8">
      <w:pPr>
        <w:pStyle w:val="t-9-8"/>
        <w:jc w:val="both"/>
      </w:pPr>
      <w:r w:rsidRPr="00ED1FAC">
        <w:t>Mjere:</w:t>
      </w:r>
    </w:p>
    <w:p w14:paraId="1C710F31" w14:textId="77777777" w:rsidR="00FE05D8" w:rsidRPr="00ED1FAC" w:rsidRDefault="00FE05D8" w:rsidP="00FE05D8">
      <w:pPr>
        <w:pStyle w:val="t-9-8"/>
        <w:jc w:val="both"/>
      </w:pPr>
      <w:r w:rsidRPr="00ED1FAC">
        <w:t>Širina ruba: 4–6 mm</w:t>
      </w:r>
    </w:p>
    <w:p w14:paraId="55129EC3" w14:textId="77777777" w:rsidR="00FE05D8" w:rsidRPr="00ED1FAC" w:rsidRDefault="00FE05D8" w:rsidP="00FE05D8">
      <w:pPr>
        <w:pStyle w:val="t-9-8"/>
        <w:jc w:val="both"/>
      </w:pPr>
      <w:r w:rsidRPr="00ED1FAC">
        <w:t>Visina znaka: ≥ 25 mm</w:t>
      </w:r>
    </w:p>
    <w:p w14:paraId="2F0A2C28" w14:textId="77777777" w:rsidR="00FE05D8" w:rsidRPr="00ED1FAC" w:rsidRDefault="00FE05D8" w:rsidP="00FE05D8">
      <w:pPr>
        <w:pStyle w:val="t-9-8"/>
        <w:jc w:val="both"/>
      </w:pPr>
      <w:r w:rsidRPr="00ED1FAC">
        <w:t>Debljina znaka: ≥ 4 mm</w:t>
      </w:r>
    </w:p>
    <w:p w14:paraId="0259CCB4" w14:textId="77777777" w:rsidR="00FE05D8" w:rsidRPr="00ED1FAC" w:rsidRDefault="00FE05D8" w:rsidP="00FE05D8">
      <w:pPr>
        <w:pStyle w:val="t-9-8"/>
        <w:jc w:val="both"/>
      </w:pPr>
      <w:r w:rsidRPr="00ED1FAC">
        <w:t>Širina naljepnice: 110–150 mm</w:t>
      </w:r>
    </w:p>
    <w:p w14:paraId="43D32D9A" w14:textId="77777777" w:rsidR="00FE05D8" w:rsidRPr="00ED1FAC" w:rsidRDefault="00FE05D8" w:rsidP="00FE05D8">
      <w:pPr>
        <w:pStyle w:val="t-9-8"/>
        <w:jc w:val="both"/>
      </w:pPr>
      <w:r w:rsidRPr="00ED1FAC">
        <w:t>Visina naljepnice: 80–110 mm</w:t>
      </w:r>
    </w:p>
    <w:p w14:paraId="30B2A939" w14:textId="0A9B702B" w:rsidR="00FE05D8" w:rsidRPr="00ED1FAC" w:rsidRDefault="00FE05D8" w:rsidP="00FE05D8">
      <w:pPr>
        <w:pStyle w:val="t-9-8"/>
        <w:jc w:val="both"/>
      </w:pPr>
      <w:r w:rsidRPr="00ED1FAC">
        <w:t>Riječ „LNG” mora biti smještena na sredini naljepnice.</w:t>
      </w:r>
    </w:p>
    <w:p w14:paraId="50DC9182" w14:textId="063EA3E1" w:rsidR="00ED1FAC" w:rsidRPr="00ED1FAC" w:rsidRDefault="00ED1FAC" w:rsidP="00FE05D8">
      <w:pPr>
        <w:pStyle w:val="t-9-8"/>
        <w:jc w:val="both"/>
      </w:pPr>
      <w:r w:rsidRPr="00ED1FAC">
        <w:t>Sadržaj naljepnice može odgovarati i obliku sukladno zahtjevima za ugradnju prema Pravilniku ECE R110 i njegovim dopunama koje su bile važeće u trenutku odobravanja vozila.</w:t>
      </w:r>
    </w:p>
    <w:p w14:paraId="544A2564" w14:textId="77777777" w:rsidR="00FE05D8" w:rsidRPr="00ED1FAC" w:rsidRDefault="00FE05D8" w:rsidP="00862CC1">
      <w:pPr>
        <w:pStyle w:val="t-12-9-sred"/>
        <w:jc w:val="center"/>
        <w:rPr>
          <w:sz w:val="28"/>
          <w:szCs w:val="28"/>
        </w:rPr>
      </w:pPr>
    </w:p>
    <w:sectPr w:rsidR="00FE05D8" w:rsidRPr="00ED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B56C1"/>
    <w:multiLevelType w:val="hybridMultilevel"/>
    <w:tmpl w:val="959281D6"/>
    <w:lvl w:ilvl="0" w:tplc="1BEC97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AE"/>
    <w:rsid w:val="00000D4B"/>
    <w:rsid w:val="00061533"/>
    <w:rsid w:val="000C4B63"/>
    <w:rsid w:val="001034A6"/>
    <w:rsid w:val="00113CC8"/>
    <w:rsid w:val="001250EB"/>
    <w:rsid w:val="00130E24"/>
    <w:rsid w:val="001310D1"/>
    <w:rsid w:val="00162835"/>
    <w:rsid w:val="00185D53"/>
    <w:rsid w:val="00192CF6"/>
    <w:rsid w:val="00224B00"/>
    <w:rsid w:val="002A4C2C"/>
    <w:rsid w:val="002C7009"/>
    <w:rsid w:val="002E4151"/>
    <w:rsid w:val="002F199B"/>
    <w:rsid w:val="002F5C6D"/>
    <w:rsid w:val="0033475B"/>
    <w:rsid w:val="00361C31"/>
    <w:rsid w:val="00373D60"/>
    <w:rsid w:val="00375AC2"/>
    <w:rsid w:val="003E09A3"/>
    <w:rsid w:val="004006A6"/>
    <w:rsid w:val="0042786A"/>
    <w:rsid w:val="00432041"/>
    <w:rsid w:val="004C60AD"/>
    <w:rsid w:val="00553BE5"/>
    <w:rsid w:val="00572891"/>
    <w:rsid w:val="005728C0"/>
    <w:rsid w:val="00574EF2"/>
    <w:rsid w:val="005A3B83"/>
    <w:rsid w:val="005C0D21"/>
    <w:rsid w:val="00660C52"/>
    <w:rsid w:val="006937A8"/>
    <w:rsid w:val="00700E00"/>
    <w:rsid w:val="00706035"/>
    <w:rsid w:val="00750790"/>
    <w:rsid w:val="00764031"/>
    <w:rsid w:val="00782F07"/>
    <w:rsid w:val="007D617F"/>
    <w:rsid w:val="00862CC1"/>
    <w:rsid w:val="00871279"/>
    <w:rsid w:val="008A708E"/>
    <w:rsid w:val="008D60FD"/>
    <w:rsid w:val="008F7C3C"/>
    <w:rsid w:val="00947E75"/>
    <w:rsid w:val="0097605E"/>
    <w:rsid w:val="00983DD8"/>
    <w:rsid w:val="009A5A38"/>
    <w:rsid w:val="009A60EF"/>
    <w:rsid w:val="009E2E5C"/>
    <w:rsid w:val="00A27C68"/>
    <w:rsid w:val="00A3180F"/>
    <w:rsid w:val="00AA5A6B"/>
    <w:rsid w:val="00AB729A"/>
    <w:rsid w:val="00AC06A1"/>
    <w:rsid w:val="00B14E7D"/>
    <w:rsid w:val="00B27E17"/>
    <w:rsid w:val="00B44F30"/>
    <w:rsid w:val="00B722DE"/>
    <w:rsid w:val="00BD68AE"/>
    <w:rsid w:val="00C64498"/>
    <w:rsid w:val="00CD64C6"/>
    <w:rsid w:val="00CF6946"/>
    <w:rsid w:val="00D24688"/>
    <w:rsid w:val="00D41FB1"/>
    <w:rsid w:val="00DA3285"/>
    <w:rsid w:val="00DC0332"/>
    <w:rsid w:val="00E03B26"/>
    <w:rsid w:val="00E45A8C"/>
    <w:rsid w:val="00E52B75"/>
    <w:rsid w:val="00E56E91"/>
    <w:rsid w:val="00E61CBF"/>
    <w:rsid w:val="00E724E7"/>
    <w:rsid w:val="00E96618"/>
    <w:rsid w:val="00EA3615"/>
    <w:rsid w:val="00EC7E3B"/>
    <w:rsid w:val="00ED1FAC"/>
    <w:rsid w:val="00F01BE6"/>
    <w:rsid w:val="00F02704"/>
    <w:rsid w:val="00F1679E"/>
    <w:rsid w:val="00F539C6"/>
    <w:rsid w:val="00F57C28"/>
    <w:rsid w:val="00F63D33"/>
    <w:rsid w:val="00FC1919"/>
    <w:rsid w:val="00FD4195"/>
    <w:rsid w:val="00FD5054"/>
    <w:rsid w:val="00FE05D8"/>
    <w:rsid w:val="00FE187A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A1EF"/>
  <w15:chartTrackingRefBased/>
  <w15:docId w15:val="{8FEBAA02-0A8E-4295-AE04-40FA8804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6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6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6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6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6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6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6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6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6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6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6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68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68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68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68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68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68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6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6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68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68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68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6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68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68AE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FD419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D419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D419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419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4195"/>
    <w:rPr>
      <w:b/>
      <w:bCs/>
      <w:sz w:val="20"/>
      <w:szCs w:val="20"/>
    </w:rPr>
  </w:style>
  <w:style w:type="paragraph" w:customStyle="1" w:styleId="prilog">
    <w:name w:val="prilog"/>
    <w:basedOn w:val="Normal"/>
    <w:rsid w:val="0086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t-12-9-sred">
    <w:name w:val="t-12-9-sred"/>
    <w:basedOn w:val="Normal"/>
    <w:rsid w:val="0086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t-9-8">
    <w:name w:val="t-9-8"/>
    <w:basedOn w:val="Normal"/>
    <w:rsid w:val="00FE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Revizija">
    <w:name w:val="Revision"/>
    <w:hidden/>
    <w:uiPriority w:val="99"/>
    <w:semiHidden/>
    <w:rsid w:val="0087127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5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Marjanović</dc:creator>
  <cp:keywords/>
  <dc:description/>
  <cp:lastModifiedBy>Saša Vlakić</cp:lastModifiedBy>
  <cp:revision>4</cp:revision>
  <cp:lastPrinted>2025-06-12T08:06:00Z</cp:lastPrinted>
  <dcterms:created xsi:type="dcterms:W3CDTF">2025-08-27T07:09:00Z</dcterms:created>
  <dcterms:modified xsi:type="dcterms:W3CDTF">2025-09-04T06:59:00Z</dcterms:modified>
</cp:coreProperties>
</file>