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94" w:rsidRPr="007939FC" w:rsidRDefault="002B2694" w:rsidP="009372F4">
      <w:pPr>
        <w:spacing w:before="100" w:beforeAutospacing="1" w:after="100" w:afterAutospacing="1" w:line="240" w:lineRule="auto"/>
        <w:jc w:val="center"/>
        <w:rPr>
          <w:rFonts w:ascii="Times New Roman" w:hAnsi="Times New Roman"/>
          <w:color w:val="000000"/>
          <w:sz w:val="24"/>
          <w:szCs w:val="24"/>
          <w:lang w:eastAsia="hr-HR"/>
        </w:rPr>
      </w:pPr>
      <w:r w:rsidRPr="007939FC">
        <w:rPr>
          <w:rFonts w:ascii="Times New Roman" w:hAnsi="Times New Roman"/>
          <w:color w:val="000000"/>
          <w:sz w:val="24"/>
          <w:szCs w:val="24"/>
          <w:lang w:eastAsia="hr-HR"/>
        </w:rPr>
        <w:t>OBRAZAC</w:t>
      </w:r>
      <w:r w:rsidR="005B6212" w:rsidRPr="007939FC">
        <w:rPr>
          <w:rFonts w:ascii="Times New Roman" w:hAnsi="Times New Roman"/>
          <w:color w:val="000000"/>
          <w:sz w:val="24"/>
          <w:szCs w:val="24"/>
          <w:lang w:eastAsia="hr-HR"/>
        </w:rPr>
        <w:t xml:space="preserve"> NACRTA PRIJEDLOGA</w:t>
      </w:r>
      <w:r w:rsidRPr="007939FC">
        <w:rPr>
          <w:rFonts w:ascii="Times New Roman" w:hAnsi="Times New Roman"/>
          <w:color w:val="000000"/>
          <w:sz w:val="24"/>
          <w:szCs w:val="24"/>
          <w:lang w:eastAsia="hr-HR"/>
        </w:rPr>
        <w:t xml:space="preserve"> ISKAZA O PROCJENI UČINAKA PROPISA</w:t>
      </w:r>
    </w:p>
    <w:p w:rsidR="002B2694" w:rsidRPr="007939FC" w:rsidRDefault="002B2694" w:rsidP="00A96B62">
      <w:pPr>
        <w:spacing w:before="100" w:beforeAutospacing="1" w:after="100" w:afterAutospacing="1" w:line="240" w:lineRule="auto"/>
        <w:jc w:val="center"/>
        <w:rPr>
          <w:rFonts w:ascii="Times New Roman" w:hAnsi="Times New Roman"/>
          <w:color w:val="000000"/>
          <w:sz w:val="24"/>
          <w:szCs w:val="24"/>
          <w:lang w:eastAsia="hr-HR"/>
        </w:rPr>
      </w:pPr>
      <w:r w:rsidRPr="007939FC">
        <w:rPr>
          <w:rFonts w:ascii="Times New Roman" w:hAnsi="Times New Roman"/>
          <w:color w:val="000000"/>
          <w:sz w:val="24"/>
          <w:szCs w:val="24"/>
          <w:lang w:eastAsia="hr-HR"/>
        </w:rPr>
        <w:t>MINISTARSTVO ZAŠTITE OKOLIŠA I PRIRODE</w:t>
      </w:r>
    </w:p>
    <w:p w:rsidR="002B2694" w:rsidRPr="007939FC" w:rsidRDefault="002B2694" w:rsidP="00554568">
      <w:pPr>
        <w:spacing w:after="0" w:line="240" w:lineRule="auto"/>
        <w:jc w:val="both"/>
        <w:rPr>
          <w:rFonts w:ascii="Times New Roman" w:hAnsi="Times New Roman"/>
          <w:b/>
          <w:color w:val="000000"/>
          <w:sz w:val="24"/>
          <w:szCs w:val="24"/>
          <w:lang w:eastAsia="hr-HR"/>
        </w:rPr>
      </w:pPr>
    </w:p>
    <w:p w:rsidR="002B2694" w:rsidRPr="007939FC" w:rsidRDefault="002B2694" w:rsidP="00554568">
      <w:pPr>
        <w:spacing w:after="0" w:line="240" w:lineRule="auto"/>
        <w:jc w:val="both"/>
        <w:rPr>
          <w:rFonts w:ascii="Times New Roman" w:hAnsi="Times New Roman"/>
          <w:b/>
          <w:color w:val="000000"/>
          <w:sz w:val="24"/>
          <w:szCs w:val="24"/>
          <w:lang w:eastAsia="hr-HR"/>
        </w:rPr>
      </w:pPr>
      <w:r w:rsidRPr="007939FC">
        <w:rPr>
          <w:rFonts w:ascii="Times New Roman" w:hAnsi="Times New Roman"/>
          <w:b/>
          <w:color w:val="000000"/>
          <w:sz w:val="24"/>
          <w:szCs w:val="24"/>
          <w:lang w:eastAsia="hr-HR"/>
        </w:rPr>
        <w:t>KLASA: 351-01/15-04/</w:t>
      </w:r>
      <w:r w:rsidR="00825709" w:rsidRPr="007939FC">
        <w:rPr>
          <w:rFonts w:ascii="Times New Roman" w:hAnsi="Times New Roman"/>
          <w:b/>
          <w:color w:val="000000"/>
          <w:sz w:val="24"/>
          <w:szCs w:val="24"/>
          <w:lang w:eastAsia="hr-HR"/>
        </w:rPr>
        <w:t>23</w:t>
      </w:r>
    </w:p>
    <w:p w:rsidR="002B2694" w:rsidRPr="007939FC" w:rsidRDefault="002B2694" w:rsidP="00554568">
      <w:pPr>
        <w:spacing w:after="0" w:line="240" w:lineRule="auto"/>
        <w:jc w:val="both"/>
        <w:rPr>
          <w:rFonts w:ascii="Times New Roman" w:hAnsi="Times New Roman"/>
          <w:b/>
          <w:color w:val="000000"/>
          <w:sz w:val="24"/>
          <w:szCs w:val="24"/>
          <w:lang w:eastAsia="hr-HR"/>
        </w:rPr>
      </w:pPr>
      <w:r w:rsidRPr="007939FC">
        <w:rPr>
          <w:rFonts w:ascii="Times New Roman" w:hAnsi="Times New Roman"/>
          <w:b/>
          <w:color w:val="000000"/>
          <w:sz w:val="24"/>
          <w:szCs w:val="24"/>
          <w:lang w:eastAsia="hr-HR"/>
        </w:rPr>
        <w:t xml:space="preserve">URBROJ: </w:t>
      </w:r>
      <w:r w:rsidR="007A4E4F" w:rsidRPr="007939FC">
        <w:rPr>
          <w:rFonts w:ascii="Times New Roman" w:hAnsi="Times New Roman"/>
          <w:b/>
          <w:sz w:val="24"/>
          <w:szCs w:val="24"/>
          <w:lang w:eastAsia="hr-HR"/>
        </w:rPr>
        <w:t>517-06-1-2-1-16</w:t>
      </w:r>
      <w:r w:rsidR="00E62832" w:rsidRPr="007939FC">
        <w:rPr>
          <w:rFonts w:ascii="Times New Roman" w:hAnsi="Times New Roman"/>
          <w:b/>
          <w:sz w:val="24"/>
          <w:szCs w:val="24"/>
          <w:lang w:eastAsia="hr-HR"/>
        </w:rPr>
        <w:t>-1</w:t>
      </w:r>
      <w:r w:rsidR="007939FC" w:rsidRPr="007939FC">
        <w:rPr>
          <w:rFonts w:ascii="Times New Roman" w:hAnsi="Times New Roman"/>
          <w:b/>
          <w:sz w:val="24"/>
          <w:szCs w:val="24"/>
          <w:lang w:eastAsia="hr-HR"/>
        </w:rPr>
        <w:t>1</w:t>
      </w:r>
    </w:p>
    <w:p w:rsidR="002B2694" w:rsidRPr="007939FC" w:rsidRDefault="002B2694" w:rsidP="00554568">
      <w:pPr>
        <w:spacing w:after="0" w:line="240" w:lineRule="auto"/>
        <w:jc w:val="both"/>
        <w:rPr>
          <w:rFonts w:ascii="Times New Roman" w:hAnsi="Times New Roman"/>
          <w:b/>
          <w:color w:val="000000"/>
          <w:sz w:val="24"/>
          <w:szCs w:val="24"/>
          <w:lang w:eastAsia="hr-HR"/>
        </w:rPr>
      </w:pPr>
      <w:r w:rsidRPr="007939FC">
        <w:rPr>
          <w:rFonts w:ascii="Times New Roman" w:hAnsi="Times New Roman"/>
          <w:b/>
          <w:color w:val="000000"/>
          <w:sz w:val="24"/>
          <w:szCs w:val="24"/>
          <w:lang w:eastAsia="hr-HR"/>
        </w:rPr>
        <w:t xml:space="preserve">Zagreb, </w:t>
      </w:r>
      <w:r w:rsidR="00331864" w:rsidRPr="007939FC">
        <w:rPr>
          <w:rFonts w:ascii="Times New Roman" w:hAnsi="Times New Roman"/>
          <w:b/>
          <w:color w:val="000000"/>
          <w:sz w:val="24"/>
          <w:szCs w:val="24"/>
          <w:lang w:eastAsia="hr-HR"/>
        </w:rPr>
        <w:t>svib</w:t>
      </w:r>
      <w:r w:rsidR="007939FC">
        <w:rPr>
          <w:rFonts w:ascii="Times New Roman" w:hAnsi="Times New Roman"/>
          <w:b/>
          <w:color w:val="000000"/>
          <w:sz w:val="24"/>
          <w:szCs w:val="24"/>
          <w:lang w:eastAsia="hr-HR"/>
        </w:rPr>
        <w:t>anj</w:t>
      </w:r>
      <w:r w:rsidR="00BE74BC" w:rsidRPr="007939FC">
        <w:rPr>
          <w:rFonts w:ascii="Times New Roman" w:hAnsi="Times New Roman"/>
          <w:b/>
          <w:color w:val="000000"/>
          <w:sz w:val="24"/>
          <w:szCs w:val="24"/>
          <w:lang w:eastAsia="hr-HR"/>
        </w:rPr>
        <w:t xml:space="preserve"> </w:t>
      </w:r>
      <w:r w:rsidR="007A4E4F" w:rsidRPr="007939FC">
        <w:rPr>
          <w:rFonts w:ascii="Times New Roman" w:hAnsi="Times New Roman"/>
          <w:b/>
          <w:color w:val="000000"/>
          <w:sz w:val="24"/>
          <w:szCs w:val="24"/>
          <w:lang w:eastAsia="hr-HR"/>
        </w:rPr>
        <w:t>2016</w:t>
      </w:r>
      <w:r w:rsidRPr="007939FC">
        <w:rPr>
          <w:rFonts w:ascii="Times New Roman" w:hAnsi="Times New Roman"/>
          <w:b/>
          <w:color w:val="000000"/>
          <w:sz w:val="24"/>
          <w:szCs w:val="24"/>
          <w:lang w:eastAsia="hr-HR"/>
        </w:rPr>
        <w:t>.</w:t>
      </w:r>
    </w:p>
    <w:p w:rsidR="002B2694" w:rsidRPr="007939FC" w:rsidRDefault="002B2694" w:rsidP="00485DA2">
      <w:pPr>
        <w:spacing w:after="0" w:line="240" w:lineRule="auto"/>
        <w:jc w:val="center"/>
        <w:rPr>
          <w:rFonts w:ascii="Times New Roman" w:hAnsi="Times New Roman"/>
          <w:b/>
          <w:color w:val="000000"/>
          <w:sz w:val="26"/>
          <w:szCs w:val="26"/>
          <w:lang w:eastAsia="hr-HR"/>
        </w:rPr>
      </w:pPr>
    </w:p>
    <w:p w:rsidR="002B2694" w:rsidRPr="007939FC" w:rsidRDefault="002B2694" w:rsidP="00485DA2">
      <w:pPr>
        <w:spacing w:after="0" w:line="240" w:lineRule="auto"/>
        <w:jc w:val="center"/>
        <w:rPr>
          <w:rFonts w:ascii="Times New Roman" w:hAnsi="Times New Roman"/>
          <w:b/>
          <w:color w:val="000000"/>
          <w:sz w:val="26"/>
          <w:szCs w:val="26"/>
          <w:lang w:eastAsia="hr-HR"/>
        </w:rPr>
      </w:pPr>
    </w:p>
    <w:p w:rsidR="002B2694" w:rsidRPr="007939FC" w:rsidRDefault="005B6212" w:rsidP="005B6212">
      <w:pPr>
        <w:spacing w:after="0" w:line="240" w:lineRule="auto"/>
        <w:ind w:firstLine="708"/>
        <w:jc w:val="center"/>
        <w:rPr>
          <w:rFonts w:ascii="Times New Roman" w:hAnsi="Times New Roman"/>
          <w:b/>
          <w:sz w:val="26"/>
          <w:szCs w:val="26"/>
          <w:lang w:eastAsia="hr-HR"/>
        </w:rPr>
      </w:pPr>
      <w:r w:rsidRPr="007939FC">
        <w:rPr>
          <w:rFonts w:ascii="Times New Roman" w:hAnsi="Times New Roman"/>
          <w:b/>
          <w:color w:val="000000"/>
          <w:sz w:val="26"/>
          <w:szCs w:val="26"/>
          <w:lang w:eastAsia="hr-HR"/>
        </w:rPr>
        <w:t xml:space="preserve">NACRT PRIJEDLOGA </w:t>
      </w:r>
      <w:r w:rsidR="002B2694" w:rsidRPr="007939FC">
        <w:rPr>
          <w:rFonts w:ascii="Times New Roman" w:hAnsi="Times New Roman"/>
          <w:b/>
          <w:color w:val="000000"/>
          <w:sz w:val="26"/>
          <w:szCs w:val="26"/>
          <w:lang w:eastAsia="hr-HR"/>
        </w:rPr>
        <w:t>ISKAZ</w:t>
      </w:r>
      <w:r w:rsidRPr="007939FC">
        <w:rPr>
          <w:rFonts w:ascii="Times New Roman" w:hAnsi="Times New Roman"/>
          <w:b/>
          <w:color w:val="000000"/>
          <w:sz w:val="26"/>
          <w:szCs w:val="26"/>
          <w:lang w:eastAsia="hr-HR"/>
        </w:rPr>
        <w:t>A</w:t>
      </w:r>
      <w:r w:rsidR="002B2694" w:rsidRPr="007939FC">
        <w:rPr>
          <w:rFonts w:ascii="Times New Roman" w:hAnsi="Times New Roman"/>
          <w:b/>
          <w:color w:val="000000"/>
          <w:sz w:val="26"/>
          <w:szCs w:val="26"/>
          <w:lang w:eastAsia="hr-HR"/>
        </w:rPr>
        <w:t xml:space="preserve"> O PROCJENI UČINAKA </w:t>
      </w:r>
      <w:r w:rsidR="002B2694" w:rsidRPr="007939FC">
        <w:rPr>
          <w:rFonts w:ascii="Times New Roman" w:hAnsi="Times New Roman"/>
          <w:b/>
          <w:sz w:val="26"/>
          <w:szCs w:val="26"/>
          <w:lang w:eastAsia="hr-HR"/>
        </w:rPr>
        <w:t>PROPISA</w:t>
      </w:r>
      <w:r w:rsidR="002B2694" w:rsidRPr="007939FC">
        <w:rPr>
          <w:rFonts w:ascii="Times New Roman" w:hAnsi="Times New Roman"/>
          <w:sz w:val="26"/>
          <w:szCs w:val="26"/>
          <w:lang w:eastAsia="hr-HR"/>
        </w:rPr>
        <w:t xml:space="preserve"> </w:t>
      </w:r>
      <w:r w:rsidR="002B2694" w:rsidRPr="007939FC">
        <w:rPr>
          <w:rFonts w:ascii="Times New Roman" w:hAnsi="Times New Roman"/>
          <w:b/>
          <w:sz w:val="26"/>
          <w:szCs w:val="26"/>
          <w:lang w:eastAsia="hr-HR"/>
        </w:rPr>
        <w:t>ZA</w:t>
      </w:r>
    </w:p>
    <w:p w:rsidR="00825709" w:rsidRPr="007939FC" w:rsidRDefault="000A19B1" w:rsidP="00644173">
      <w:pPr>
        <w:pStyle w:val="Default"/>
        <w:ind w:left="993" w:hanging="993"/>
        <w:jc w:val="center"/>
        <w:rPr>
          <w:rFonts w:ascii="Times New Roman" w:hAnsi="Times New Roman" w:cs="Times New Roman"/>
          <w:b/>
          <w:bCs/>
        </w:rPr>
      </w:pPr>
      <w:r w:rsidRPr="007939FC">
        <w:rPr>
          <w:rFonts w:ascii="Times New Roman" w:hAnsi="Times New Roman" w:cs="Times New Roman"/>
          <w:b/>
          <w:bCs/>
        </w:rPr>
        <w:t>ZAKON</w:t>
      </w:r>
      <w:r w:rsidR="00825709" w:rsidRPr="007939FC">
        <w:rPr>
          <w:rFonts w:ascii="Times New Roman" w:hAnsi="Times New Roman" w:cs="Times New Roman"/>
          <w:b/>
          <w:bCs/>
        </w:rPr>
        <w:t xml:space="preserve"> O PROVEDBI UREDBE (EU) 2015/757 EUROPSKOG PARLAMENTA I VIJEĆA OD 29. TRAVNJA 2015. O PRAĆENJU EMISIJA UGLJIKOVA DIOKSIDA IZ POMORSKOG PROMETA, IZVJEŠĆIVANJU O NJIMA I NJIHOVOJ VERIFIKACIJI TE O IZMJENI DIREKTIVE 2009/16/EZ</w:t>
      </w:r>
      <w:r w:rsidR="00520726" w:rsidRPr="007939FC">
        <w:t xml:space="preserve"> </w:t>
      </w:r>
      <w:r w:rsidR="00520726" w:rsidRPr="007939FC">
        <w:rPr>
          <w:rFonts w:ascii="Times New Roman" w:hAnsi="Times New Roman" w:cs="Times New Roman"/>
          <w:b/>
          <w:bCs/>
        </w:rPr>
        <w:t>S NACRTOM KONAČNOG PRIJEDLOGA ZAKONA</w:t>
      </w:r>
    </w:p>
    <w:p w:rsidR="002B2694" w:rsidRPr="007939FC" w:rsidRDefault="002B2694" w:rsidP="00485DA2">
      <w:pPr>
        <w:spacing w:after="0" w:line="240" w:lineRule="auto"/>
        <w:jc w:val="center"/>
        <w:rPr>
          <w:rFonts w:ascii="Times New Roman" w:hAnsi="Times New Roman"/>
          <w:color w:val="000000"/>
          <w:sz w:val="26"/>
          <w:szCs w:val="26"/>
          <w:lang w:eastAsia="hr-HR"/>
        </w:rPr>
      </w:pPr>
    </w:p>
    <w:p w:rsidR="002B2694" w:rsidRPr="007939FC" w:rsidRDefault="002B2694" w:rsidP="00485DA2">
      <w:pPr>
        <w:spacing w:after="0" w:line="240" w:lineRule="auto"/>
        <w:jc w:val="center"/>
        <w:rPr>
          <w:rFonts w:ascii="Times New Roman" w:hAnsi="Times New Roman"/>
          <w:color w:val="000000"/>
          <w:sz w:val="26"/>
          <w:szCs w:val="26"/>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1. PROBLEM</w:t>
            </w:r>
          </w:p>
        </w:tc>
      </w:tr>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7575F1" w:rsidRPr="007939FC" w:rsidRDefault="007575F1" w:rsidP="007575F1">
            <w:pPr>
              <w:pStyle w:val="Odlomakpopisa"/>
              <w:ind w:left="0"/>
              <w:jc w:val="both"/>
              <w:rPr>
                <w:rFonts w:ascii="Times New Roman" w:hAnsi="Times New Roman"/>
                <w:sz w:val="24"/>
                <w:szCs w:val="24"/>
              </w:rPr>
            </w:pPr>
            <w:r w:rsidRPr="007939FC">
              <w:rPr>
                <w:rFonts w:ascii="Times New Roman" w:hAnsi="Times New Roman"/>
                <w:sz w:val="24"/>
                <w:szCs w:val="24"/>
              </w:rPr>
              <w:t>Međunarodni pomorski promet ostaje jedina vrsta prijevoza koja nije obuhvaćena obvezom Unije za smanjenje emisije stakleničkih plinova.</w:t>
            </w:r>
          </w:p>
          <w:p w:rsidR="007575F1" w:rsidRPr="007939FC" w:rsidRDefault="007575F1" w:rsidP="000D6E83">
            <w:pPr>
              <w:pStyle w:val="Odlomakpopisa"/>
              <w:ind w:left="0"/>
              <w:jc w:val="both"/>
              <w:rPr>
                <w:rFonts w:ascii="Times New Roman" w:hAnsi="Times New Roman"/>
                <w:sz w:val="24"/>
                <w:szCs w:val="24"/>
              </w:rPr>
            </w:pPr>
            <w:r w:rsidRPr="007939FC">
              <w:rPr>
                <w:rFonts w:ascii="Times New Roman" w:hAnsi="Times New Roman"/>
                <w:sz w:val="24"/>
                <w:szCs w:val="24"/>
              </w:rPr>
              <w:t>Emisije CO</w:t>
            </w:r>
            <w:r w:rsidRPr="007939FC">
              <w:rPr>
                <w:rFonts w:ascii="Times New Roman" w:hAnsi="Times New Roman"/>
                <w:sz w:val="24"/>
                <w:szCs w:val="24"/>
                <w:vertAlign w:val="subscript"/>
              </w:rPr>
              <w:t>2</w:t>
            </w:r>
            <w:r w:rsidRPr="007939FC">
              <w:rPr>
                <w:rFonts w:ascii="Times New Roman" w:hAnsi="Times New Roman"/>
                <w:sz w:val="24"/>
                <w:szCs w:val="24"/>
              </w:rPr>
              <w:t xml:space="preserve"> iz međunarodnog pomorskog prometa povezane s Unijom od 1990. do 2007. povećale su se za 48 % stoga je potrebno smanjiti navedene emisije sukladno Rezoluciji Europskog parlamenta od 5. veljače 2014. o okviru klimatske i energetske politike do 2030. Europsko vijeće u svojim je zaključcima od 23. i 24. listopada 2014. </w:t>
            </w:r>
            <w:r w:rsidR="00BC098A" w:rsidRPr="007939FC">
              <w:rPr>
                <w:rFonts w:ascii="Times New Roman" w:hAnsi="Times New Roman"/>
                <w:sz w:val="24"/>
                <w:szCs w:val="24"/>
              </w:rPr>
              <w:t xml:space="preserve">godine </w:t>
            </w:r>
            <w:r w:rsidR="007939FC" w:rsidRPr="007939FC">
              <w:rPr>
                <w:rFonts w:ascii="Times New Roman" w:hAnsi="Times New Roman"/>
                <w:sz w:val="24"/>
                <w:szCs w:val="24"/>
              </w:rPr>
              <w:t>podržalo</w:t>
            </w:r>
            <w:r w:rsidRPr="007939FC">
              <w:rPr>
                <w:rFonts w:ascii="Times New Roman" w:hAnsi="Times New Roman"/>
                <w:sz w:val="24"/>
                <w:szCs w:val="24"/>
              </w:rPr>
              <w:t xml:space="preserve"> obvezujući cilj EU-a u smislu domaćeg smanjenja emisije stakleničkih plinova za najmanje 40 % do 2030. u odnosu na 1990.</w:t>
            </w:r>
            <w:r w:rsidR="00BC098A" w:rsidRPr="007939FC">
              <w:rPr>
                <w:rFonts w:ascii="Times New Roman" w:hAnsi="Times New Roman"/>
                <w:sz w:val="24"/>
                <w:szCs w:val="24"/>
              </w:rPr>
              <w:t xml:space="preserve"> godinu.</w:t>
            </w:r>
            <w:r w:rsidRPr="007939FC">
              <w:rPr>
                <w:rFonts w:ascii="Times New Roman" w:hAnsi="Times New Roman"/>
                <w:sz w:val="24"/>
                <w:szCs w:val="24"/>
              </w:rPr>
              <w:t xml:space="preserve"> Europsko vijeće također je naglasilo važnost smanjenja emisija stakleničkih plinova i rizika povezanih s ovisnosti o fosilnom gorivu u sektoru prometa te je pozvalo Komisiju da dodatno ispita instrumente i mjere za sveobuhvatan i tehnološki neutralan pristup, među ostalim, radi promicanja smanjenja emisija i energetske učinkovitosti u prometu.</w:t>
            </w:r>
          </w:p>
          <w:p w:rsidR="00A16EC0" w:rsidRPr="007939FC" w:rsidRDefault="00A16EC0" w:rsidP="000D6E83">
            <w:pPr>
              <w:pStyle w:val="Odlomakpopisa"/>
              <w:ind w:left="0"/>
              <w:jc w:val="both"/>
              <w:rPr>
                <w:rFonts w:ascii="Times New Roman" w:hAnsi="Times New Roman"/>
                <w:sz w:val="24"/>
                <w:szCs w:val="24"/>
              </w:rPr>
            </w:pPr>
          </w:p>
          <w:p w:rsidR="007575F1" w:rsidRPr="007939FC" w:rsidRDefault="007575F1" w:rsidP="000D6E83">
            <w:pPr>
              <w:pStyle w:val="Odlomakpopisa"/>
              <w:ind w:left="0"/>
              <w:jc w:val="both"/>
              <w:rPr>
                <w:rFonts w:ascii="Times New Roman" w:hAnsi="Times New Roman"/>
                <w:sz w:val="24"/>
                <w:szCs w:val="24"/>
              </w:rPr>
            </w:pPr>
            <w:r w:rsidRPr="007939FC">
              <w:rPr>
                <w:rFonts w:ascii="Times New Roman" w:hAnsi="Times New Roman"/>
                <w:sz w:val="24"/>
                <w:szCs w:val="24"/>
              </w:rPr>
              <w:t>U srpnju 2011. Međunarodna pomorska organizacija (</w:t>
            </w:r>
            <w:proofErr w:type="spellStart"/>
            <w:r w:rsidR="00A15F7D" w:rsidRPr="007939FC">
              <w:rPr>
                <w:rFonts w:ascii="Times New Roman" w:hAnsi="Times New Roman"/>
                <w:i/>
                <w:sz w:val="24"/>
                <w:szCs w:val="24"/>
              </w:rPr>
              <w:t>International</w:t>
            </w:r>
            <w:proofErr w:type="spellEnd"/>
            <w:r w:rsidR="00A15F7D" w:rsidRPr="007939FC">
              <w:rPr>
                <w:rFonts w:ascii="Times New Roman" w:hAnsi="Times New Roman"/>
                <w:i/>
                <w:sz w:val="24"/>
                <w:szCs w:val="24"/>
              </w:rPr>
              <w:t xml:space="preserve"> </w:t>
            </w:r>
            <w:proofErr w:type="spellStart"/>
            <w:r w:rsidR="00A15F7D" w:rsidRPr="007939FC">
              <w:rPr>
                <w:rFonts w:ascii="Times New Roman" w:hAnsi="Times New Roman"/>
                <w:i/>
                <w:sz w:val="24"/>
                <w:szCs w:val="24"/>
              </w:rPr>
              <w:t>Maritime</w:t>
            </w:r>
            <w:proofErr w:type="spellEnd"/>
            <w:r w:rsidR="00A15F7D" w:rsidRPr="007939FC">
              <w:rPr>
                <w:rFonts w:ascii="Times New Roman" w:hAnsi="Times New Roman"/>
                <w:i/>
                <w:sz w:val="24"/>
                <w:szCs w:val="24"/>
              </w:rPr>
              <w:t xml:space="preserve"> </w:t>
            </w:r>
            <w:proofErr w:type="spellStart"/>
            <w:r w:rsidR="00A15F7D" w:rsidRPr="007939FC">
              <w:rPr>
                <w:rFonts w:ascii="Times New Roman" w:hAnsi="Times New Roman"/>
                <w:i/>
                <w:sz w:val="24"/>
                <w:szCs w:val="24"/>
              </w:rPr>
              <w:t>O</w:t>
            </w:r>
            <w:r w:rsidRPr="007939FC">
              <w:rPr>
                <w:rFonts w:ascii="Times New Roman" w:hAnsi="Times New Roman"/>
                <w:i/>
                <w:sz w:val="24"/>
                <w:szCs w:val="24"/>
              </w:rPr>
              <w:t>rganisation</w:t>
            </w:r>
            <w:proofErr w:type="spellEnd"/>
            <w:r w:rsidRPr="007939FC">
              <w:rPr>
                <w:rFonts w:ascii="Times New Roman" w:hAnsi="Times New Roman"/>
                <w:sz w:val="24"/>
                <w:szCs w:val="24"/>
              </w:rPr>
              <w:t>,  IMO) je usvojila tehničke i operativne mjere, posebno indeks energetske učinkovitosti za nove brodove i plan za upravljanje energetskom učinkovitosti broda, koje će dovesti do poboljšanja u vezi sa smanjenjem očekivanog porasta emisija stakleničkih plinova, ali same ne mogu dovesti do potpunog smanjenja emisija stakleničkih plinova u međunarodnom pomorskom prometu radi postizanja globalnog cilja da se povećanje glob</w:t>
            </w:r>
            <w:r w:rsidR="00B01B7E" w:rsidRPr="007939FC">
              <w:rPr>
                <w:rFonts w:ascii="Times New Roman" w:hAnsi="Times New Roman"/>
                <w:sz w:val="24"/>
                <w:szCs w:val="24"/>
              </w:rPr>
              <w:t>alnih temperatura ograniči na 2</w:t>
            </w:r>
            <w:r w:rsidRPr="007939FC">
              <w:rPr>
                <w:rFonts w:ascii="Times New Roman" w:hAnsi="Times New Roman"/>
                <w:sz w:val="24"/>
                <w:szCs w:val="24"/>
              </w:rPr>
              <w:t>°C. U skladu s podacima IMO-a, primjenom operativnih mjera i postojećih tehnologija posebna potrošnja energije i emisije CO</w:t>
            </w:r>
            <w:r w:rsidRPr="007939FC">
              <w:rPr>
                <w:rFonts w:ascii="Times New Roman" w:hAnsi="Times New Roman"/>
                <w:sz w:val="24"/>
                <w:szCs w:val="24"/>
                <w:vertAlign w:val="subscript"/>
              </w:rPr>
              <w:t>2</w:t>
            </w:r>
            <w:r w:rsidRPr="007939FC">
              <w:rPr>
                <w:rFonts w:ascii="Times New Roman" w:hAnsi="Times New Roman"/>
                <w:sz w:val="24"/>
                <w:szCs w:val="24"/>
              </w:rPr>
              <w:t xml:space="preserve"> brodo</w:t>
            </w:r>
            <w:r w:rsidR="00B01B7E" w:rsidRPr="007939FC">
              <w:rPr>
                <w:rFonts w:ascii="Times New Roman" w:hAnsi="Times New Roman"/>
                <w:sz w:val="24"/>
                <w:szCs w:val="24"/>
              </w:rPr>
              <w:t xml:space="preserve">va mogle bi se smanjiti do 75 %, a </w:t>
            </w:r>
            <w:r w:rsidRPr="007939FC">
              <w:rPr>
                <w:rFonts w:ascii="Times New Roman" w:hAnsi="Times New Roman"/>
                <w:sz w:val="24"/>
                <w:szCs w:val="24"/>
              </w:rPr>
              <w:t xml:space="preserve"> za znatan dio tih mjera može se smatrati da su isplative i da bi kao takve mogle donijeti neto korist sektoru jer se zbog smanjenih troškova za gorivo osigurava povrat svih operativnih troškova ili troškova ulaganja.</w:t>
            </w:r>
          </w:p>
          <w:p w:rsidR="00B01B7E" w:rsidRPr="007939FC" w:rsidRDefault="00B01B7E" w:rsidP="000D6E83">
            <w:pPr>
              <w:pStyle w:val="Odlomakpopisa"/>
              <w:ind w:left="0"/>
              <w:jc w:val="both"/>
              <w:rPr>
                <w:rFonts w:ascii="Times New Roman" w:hAnsi="Times New Roman"/>
                <w:sz w:val="24"/>
                <w:szCs w:val="24"/>
              </w:rPr>
            </w:pPr>
          </w:p>
          <w:p w:rsidR="00B01B7E" w:rsidRPr="007939FC" w:rsidRDefault="00B01B7E" w:rsidP="000D6E83">
            <w:pPr>
              <w:pStyle w:val="Odlomakpopisa"/>
              <w:ind w:left="0"/>
              <w:jc w:val="both"/>
              <w:rPr>
                <w:rFonts w:ascii="Times New Roman" w:hAnsi="Times New Roman"/>
                <w:sz w:val="24"/>
                <w:szCs w:val="24"/>
              </w:rPr>
            </w:pPr>
            <w:r w:rsidRPr="007939FC">
              <w:rPr>
                <w:rFonts w:ascii="Times New Roman" w:hAnsi="Times New Roman"/>
                <w:sz w:val="24"/>
                <w:szCs w:val="24"/>
              </w:rPr>
              <w:t xml:space="preserve">Usvajanje mjera za smanjenje emisija stakleničkih plinova i potrošnje goriva sprečavaju </w:t>
            </w:r>
            <w:r w:rsidRPr="007939FC">
              <w:rPr>
                <w:rFonts w:ascii="Times New Roman" w:hAnsi="Times New Roman"/>
                <w:sz w:val="24"/>
                <w:szCs w:val="24"/>
              </w:rPr>
              <w:lastRenderedPageBreak/>
              <w:t>tržišna ograničenja kao što su nedostatak pouzdanih informacija o učinkovitosti potrošnje goriva na brodovima ili dostupnih tehnologija za nadogradnju brodova, nedostupnost sredstava za ulaganje u učinkovitost brodova i neusklađeni poticaji jer brodovlasnici ne bi imali koristi od svojih ulaganja u učinkovitost broda ako račune za gorivo plaćaju brodari.</w:t>
            </w:r>
          </w:p>
          <w:p w:rsidR="00B01B7E" w:rsidRPr="007939FC" w:rsidRDefault="00B01B7E" w:rsidP="000D6E83">
            <w:pPr>
              <w:pStyle w:val="Odlomakpopisa"/>
              <w:ind w:left="0"/>
              <w:jc w:val="both"/>
              <w:rPr>
                <w:rFonts w:ascii="Times New Roman" w:hAnsi="Times New Roman"/>
                <w:sz w:val="24"/>
                <w:szCs w:val="24"/>
              </w:rPr>
            </w:pPr>
          </w:p>
          <w:p w:rsidR="000D6E83" w:rsidRPr="007939FC" w:rsidRDefault="000D6E83" w:rsidP="000D6E83">
            <w:pPr>
              <w:pStyle w:val="Odlomakpopisa"/>
              <w:ind w:left="0"/>
              <w:jc w:val="both"/>
              <w:rPr>
                <w:rFonts w:ascii="Times New Roman" w:hAnsi="Times New Roman"/>
                <w:sz w:val="24"/>
                <w:szCs w:val="24"/>
              </w:rPr>
            </w:pPr>
            <w:r w:rsidRPr="007939FC">
              <w:rPr>
                <w:rFonts w:ascii="Times New Roman" w:hAnsi="Times New Roman"/>
                <w:sz w:val="24"/>
                <w:szCs w:val="24"/>
              </w:rPr>
              <w:t>Kako bi se</w:t>
            </w:r>
            <w:r w:rsidR="007575F1" w:rsidRPr="007939FC">
              <w:rPr>
                <w:rFonts w:ascii="Times New Roman" w:hAnsi="Times New Roman"/>
                <w:sz w:val="24"/>
                <w:szCs w:val="24"/>
              </w:rPr>
              <w:t xml:space="preserve"> u budućnosti</w:t>
            </w:r>
            <w:r w:rsidRPr="007939FC">
              <w:rPr>
                <w:rFonts w:ascii="Times New Roman" w:hAnsi="Times New Roman"/>
                <w:sz w:val="24"/>
                <w:szCs w:val="24"/>
              </w:rPr>
              <w:t xml:space="preserve"> smanjile emisije CO</w:t>
            </w:r>
            <w:r w:rsidRPr="007939FC">
              <w:rPr>
                <w:rFonts w:ascii="Times New Roman" w:hAnsi="Times New Roman"/>
                <w:sz w:val="24"/>
                <w:szCs w:val="24"/>
                <w:vertAlign w:val="subscript"/>
              </w:rPr>
              <w:t>2</w:t>
            </w:r>
            <w:r w:rsidRPr="007939FC">
              <w:rPr>
                <w:rFonts w:ascii="Times New Roman" w:hAnsi="Times New Roman"/>
                <w:sz w:val="24"/>
                <w:szCs w:val="24"/>
              </w:rPr>
              <w:t xml:space="preserve"> iz pomorskog prometa na razini Unije, </w:t>
            </w:r>
            <w:r w:rsidR="007575F1" w:rsidRPr="007939FC">
              <w:rPr>
                <w:rFonts w:ascii="Times New Roman" w:hAnsi="Times New Roman"/>
                <w:sz w:val="24"/>
                <w:szCs w:val="24"/>
              </w:rPr>
              <w:t xml:space="preserve">kao jedan od preduvjeta, </w:t>
            </w:r>
            <w:r w:rsidR="00934763" w:rsidRPr="007939FC">
              <w:rPr>
                <w:rFonts w:ascii="Times New Roman" w:hAnsi="Times New Roman"/>
                <w:sz w:val="24"/>
                <w:szCs w:val="24"/>
              </w:rPr>
              <w:t>uspostavlja se sustav</w:t>
            </w:r>
            <w:r w:rsidRPr="007939FC">
              <w:rPr>
                <w:rFonts w:ascii="Times New Roman" w:hAnsi="Times New Roman"/>
                <w:sz w:val="24"/>
                <w:szCs w:val="24"/>
              </w:rPr>
              <w:t xml:space="preserve"> za praćenje emisija CO</w:t>
            </w:r>
            <w:r w:rsidRPr="007939FC">
              <w:rPr>
                <w:rFonts w:ascii="Times New Roman" w:hAnsi="Times New Roman"/>
                <w:sz w:val="24"/>
                <w:szCs w:val="24"/>
                <w:vertAlign w:val="subscript"/>
              </w:rPr>
              <w:t>2</w:t>
            </w:r>
            <w:r w:rsidRPr="007939FC">
              <w:rPr>
                <w:rFonts w:ascii="Times New Roman" w:hAnsi="Times New Roman"/>
                <w:sz w:val="24"/>
                <w:szCs w:val="24"/>
              </w:rPr>
              <w:t>, izvješćivanje o njima i njihovu verifikaciju (sustav MRV</w:t>
            </w:r>
            <w:r w:rsidR="00D667F3" w:rsidRPr="007939FC">
              <w:rPr>
                <w:rFonts w:ascii="Times New Roman" w:hAnsi="Times New Roman"/>
                <w:sz w:val="24"/>
                <w:szCs w:val="24"/>
              </w:rPr>
              <w:t xml:space="preserve">; </w:t>
            </w:r>
            <w:proofErr w:type="spellStart"/>
            <w:r w:rsidR="00D667F3" w:rsidRPr="007939FC">
              <w:rPr>
                <w:rFonts w:ascii="Times New Roman" w:hAnsi="Times New Roman"/>
                <w:i/>
                <w:sz w:val="24"/>
                <w:szCs w:val="24"/>
              </w:rPr>
              <w:t>Monitoring</w:t>
            </w:r>
            <w:proofErr w:type="spellEnd"/>
            <w:r w:rsidR="00D667F3" w:rsidRPr="007939FC">
              <w:rPr>
                <w:rFonts w:ascii="Times New Roman" w:hAnsi="Times New Roman"/>
                <w:i/>
                <w:sz w:val="24"/>
                <w:szCs w:val="24"/>
              </w:rPr>
              <w:t xml:space="preserve"> </w:t>
            </w:r>
            <w:proofErr w:type="spellStart"/>
            <w:r w:rsidR="00D667F3" w:rsidRPr="007939FC">
              <w:rPr>
                <w:rFonts w:ascii="Times New Roman" w:hAnsi="Times New Roman"/>
                <w:i/>
                <w:sz w:val="24"/>
                <w:szCs w:val="24"/>
              </w:rPr>
              <w:t>Reporting</w:t>
            </w:r>
            <w:proofErr w:type="spellEnd"/>
            <w:r w:rsidR="00D667F3" w:rsidRPr="007939FC">
              <w:rPr>
                <w:rFonts w:ascii="Times New Roman" w:hAnsi="Times New Roman"/>
                <w:i/>
                <w:sz w:val="24"/>
                <w:szCs w:val="24"/>
              </w:rPr>
              <w:t xml:space="preserve"> </w:t>
            </w:r>
            <w:proofErr w:type="spellStart"/>
            <w:r w:rsidR="00D667F3" w:rsidRPr="007939FC">
              <w:rPr>
                <w:rFonts w:ascii="Times New Roman" w:hAnsi="Times New Roman"/>
                <w:i/>
                <w:sz w:val="24"/>
                <w:szCs w:val="24"/>
              </w:rPr>
              <w:t>Verification</w:t>
            </w:r>
            <w:proofErr w:type="spellEnd"/>
            <w:r w:rsidRPr="007939FC">
              <w:rPr>
                <w:rFonts w:ascii="Times New Roman" w:hAnsi="Times New Roman"/>
                <w:sz w:val="24"/>
                <w:szCs w:val="24"/>
              </w:rPr>
              <w:t>) na temelju potrošnje goriva brodova kao prvog koraka u sklopu postupnog uključivanja emisija iz pomorskog prometa u obvezu Unije za smanjenje emisija stakleničkih plinova uz emisije iz drugih sektora koje su već uključene u tu obvezu</w:t>
            </w:r>
            <w:r w:rsidR="003442B3" w:rsidRPr="007939FC">
              <w:rPr>
                <w:rFonts w:ascii="Times New Roman" w:hAnsi="Times New Roman"/>
                <w:sz w:val="24"/>
                <w:szCs w:val="24"/>
              </w:rPr>
              <w:t>.</w:t>
            </w:r>
            <w:r w:rsidRPr="007939FC">
              <w:rPr>
                <w:rFonts w:ascii="Times New Roman" w:hAnsi="Times New Roman"/>
                <w:sz w:val="24"/>
                <w:szCs w:val="24"/>
              </w:rPr>
              <w:t xml:space="preserve"> </w:t>
            </w:r>
          </w:p>
          <w:p w:rsidR="007575F1" w:rsidRPr="007939FC" w:rsidRDefault="007575F1" w:rsidP="004732CC">
            <w:pPr>
              <w:pStyle w:val="Odlomakpopisa"/>
              <w:ind w:left="0"/>
              <w:rPr>
                <w:sz w:val="19"/>
                <w:szCs w:val="19"/>
              </w:rPr>
            </w:pPr>
          </w:p>
          <w:p w:rsidR="002B2694" w:rsidRPr="007939FC" w:rsidRDefault="007575F1" w:rsidP="00B01B7E">
            <w:pPr>
              <w:pStyle w:val="Odlomakpopisa"/>
              <w:ind w:left="0"/>
              <w:jc w:val="both"/>
            </w:pPr>
            <w:r w:rsidRPr="007939FC">
              <w:rPr>
                <w:rFonts w:ascii="Times New Roman" w:hAnsi="Times New Roman"/>
                <w:sz w:val="24"/>
                <w:szCs w:val="24"/>
              </w:rPr>
              <w:t>U Republici Hrvatskoj, članici Europske unije</w:t>
            </w:r>
            <w:r w:rsidR="002B2694" w:rsidRPr="007939FC">
              <w:rPr>
                <w:rFonts w:ascii="Times New Roman" w:hAnsi="Times New Roman"/>
                <w:sz w:val="24"/>
                <w:szCs w:val="24"/>
              </w:rPr>
              <w:t xml:space="preserve"> nužno </w:t>
            </w:r>
            <w:r w:rsidR="003442B3" w:rsidRPr="007939FC">
              <w:rPr>
                <w:rFonts w:ascii="Times New Roman" w:hAnsi="Times New Roman"/>
                <w:sz w:val="24"/>
                <w:szCs w:val="24"/>
              </w:rPr>
              <w:t>je osigurati direktnu provedbu U</w:t>
            </w:r>
            <w:r w:rsidR="002B2694" w:rsidRPr="007939FC">
              <w:rPr>
                <w:rFonts w:ascii="Times New Roman" w:hAnsi="Times New Roman"/>
                <w:sz w:val="24"/>
                <w:szCs w:val="24"/>
              </w:rPr>
              <w:t xml:space="preserve">redbi EU donošenjem Zakona o provedbi Uredbe EU br. </w:t>
            </w:r>
            <w:r w:rsidR="006415AA" w:rsidRPr="007939FC">
              <w:rPr>
                <w:rFonts w:ascii="Times New Roman" w:hAnsi="Times New Roman"/>
                <w:sz w:val="24"/>
                <w:szCs w:val="24"/>
              </w:rPr>
              <w:t xml:space="preserve">2015/757 </w:t>
            </w:r>
            <w:r w:rsidR="002B2694" w:rsidRPr="007939FC">
              <w:rPr>
                <w:rFonts w:ascii="Times New Roman" w:hAnsi="Times New Roman"/>
                <w:sz w:val="24"/>
                <w:szCs w:val="24"/>
              </w:rPr>
              <w:t xml:space="preserve">Europskog parlamenta i vijeća </w:t>
            </w:r>
            <w:r w:rsidR="006415AA" w:rsidRPr="007939FC">
              <w:rPr>
                <w:rFonts w:ascii="Times New Roman" w:hAnsi="Times New Roman"/>
                <w:sz w:val="24"/>
                <w:szCs w:val="24"/>
              </w:rPr>
              <w:t xml:space="preserve">od 29. travnja 2015. </w:t>
            </w:r>
            <w:r w:rsidR="002B2694" w:rsidRPr="007939FC">
              <w:rPr>
                <w:rFonts w:ascii="Times New Roman" w:hAnsi="Times New Roman"/>
                <w:sz w:val="24"/>
                <w:szCs w:val="24"/>
              </w:rPr>
              <w:t xml:space="preserve">o </w:t>
            </w:r>
            <w:r w:rsidR="0055357C" w:rsidRPr="007939FC">
              <w:rPr>
                <w:rFonts w:ascii="Times New Roman" w:hAnsi="Times New Roman"/>
                <w:sz w:val="24"/>
                <w:szCs w:val="24"/>
              </w:rPr>
              <w:t>praćenje emisija CO</w:t>
            </w:r>
            <w:r w:rsidR="0055357C" w:rsidRPr="007939FC">
              <w:rPr>
                <w:rFonts w:ascii="Times New Roman" w:hAnsi="Times New Roman"/>
                <w:sz w:val="24"/>
                <w:szCs w:val="24"/>
                <w:vertAlign w:val="subscript"/>
              </w:rPr>
              <w:t>2</w:t>
            </w:r>
            <w:r w:rsidR="0055357C" w:rsidRPr="007939FC">
              <w:rPr>
                <w:rFonts w:ascii="Times New Roman" w:hAnsi="Times New Roman"/>
                <w:sz w:val="24"/>
                <w:szCs w:val="24"/>
              </w:rPr>
              <w:t xml:space="preserve"> iz pomorskog prometa, izvješćivanje o njima i njihovu verifikaciju</w:t>
            </w:r>
            <w:r w:rsidR="00D667F3" w:rsidRPr="007939FC">
              <w:rPr>
                <w:rFonts w:ascii="Times New Roman" w:hAnsi="Times New Roman"/>
                <w:sz w:val="24"/>
                <w:szCs w:val="24"/>
              </w:rPr>
              <w:t xml:space="preserve"> (u daljnjem tekstu: Uredba EU br. 2015/757)</w:t>
            </w:r>
            <w:r w:rsidR="0055357C" w:rsidRPr="007939FC">
              <w:rPr>
                <w:rFonts w:ascii="Times New Roman" w:hAnsi="Times New Roman"/>
                <w:sz w:val="24"/>
                <w:szCs w:val="24"/>
              </w:rPr>
              <w:t>.</w:t>
            </w:r>
          </w:p>
        </w:tc>
      </w:tr>
    </w:tbl>
    <w:p w:rsidR="002B2694" w:rsidRPr="007939FC" w:rsidRDefault="002B2694" w:rsidP="009372F4">
      <w:pPr>
        <w:spacing w:line="240" w:lineRule="auto"/>
        <w:jc w:val="both"/>
        <w:rPr>
          <w:rFonts w:ascii="Times New Roman" w:hAnsi="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2. CILJEVI</w:t>
            </w:r>
          </w:p>
        </w:tc>
      </w:tr>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4732CC">
            <w:pPr>
              <w:pStyle w:val="Odlomakpopisa"/>
              <w:ind w:left="0"/>
              <w:jc w:val="both"/>
              <w:rPr>
                <w:rFonts w:ascii="Times New Roman" w:hAnsi="Times New Roman"/>
                <w:sz w:val="24"/>
                <w:szCs w:val="24"/>
              </w:rPr>
            </w:pPr>
            <w:r w:rsidRPr="007939FC">
              <w:rPr>
                <w:rFonts w:ascii="Times New Roman" w:hAnsi="Times New Roman"/>
                <w:sz w:val="24"/>
                <w:szCs w:val="24"/>
              </w:rPr>
              <w:t xml:space="preserve">Zakonom o provedbi </w:t>
            </w:r>
            <w:r w:rsidR="000D6E83" w:rsidRPr="007939FC">
              <w:rPr>
                <w:rFonts w:ascii="Times New Roman" w:hAnsi="Times New Roman"/>
                <w:sz w:val="24"/>
                <w:szCs w:val="24"/>
              </w:rPr>
              <w:t>Uredbe</w:t>
            </w:r>
            <w:r w:rsidR="00D667F3" w:rsidRPr="007939FC">
              <w:rPr>
                <w:rFonts w:ascii="Times New Roman" w:hAnsi="Times New Roman"/>
                <w:sz w:val="24"/>
                <w:szCs w:val="24"/>
              </w:rPr>
              <w:t xml:space="preserve"> EU</w:t>
            </w:r>
            <w:r w:rsidR="000D6E83" w:rsidRPr="007939FC">
              <w:rPr>
                <w:rFonts w:ascii="Times New Roman" w:hAnsi="Times New Roman"/>
                <w:sz w:val="24"/>
                <w:szCs w:val="24"/>
              </w:rPr>
              <w:t xml:space="preserve"> </w:t>
            </w:r>
            <w:r w:rsidR="00D667F3" w:rsidRPr="007939FC">
              <w:rPr>
                <w:rFonts w:ascii="Times New Roman" w:hAnsi="Times New Roman"/>
                <w:sz w:val="24"/>
                <w:szCs w:val="24"/>
              </w:rPr>
              <w:t xml:space="preserve">br. </w:t>
            </w:r>
            <w:r w:rsidR="0055357C" w:rsidRPr="007939FC">
              <w:rPr>
                <w:rFonts w:ascii="Times New Roman" w:hAnsi="Times New Roman"/>
                <w:sz w:val="24"/>
                <w:szCs w:val="24"/>
              </w:rPr>
              <w:t xml:space="preserve">2015/757 </w:t>
            </w:r>
            <w:r w:rsidR="000D6E83" w:rsidRPr="007939FC">
              <w:rPr>
                <w:rFonts w:ascii="Times New Roman" w:hAnsi="Times New Roman"/>
                <w:sz w:val="24"/>
                <w:szCs w:val="24"/>
              </w:rPr>
              <w:t>omogućit</w:t>
            </w:r>
            <w:r w:rsidR="00D667F3" w:rsidRPr="007939FC">
              <w:rPr>
                <w:rFonts w:ascii="Times New Roman" w:hAnsi="Times New Roman"/>
                <w:sz w:val="24"/>
                <w:szCs w:val="24"/>
              </w:rPr>
              <w:t>i</w:t>
            </w:r>
            <w:r w:rsidR="000D6E83" w:rsidRPr="007939FC">
              <w:rPr>
                <w:rFonts w:ascii="Times New Roman" w:hAnsi="Times New Roman"/>
                <w:sz w:val="24"/>
                <w:szCs w:val="24"/>
              </w:rPr>
              <w:t xml:space="preserve"> </w:t>
            </w:r>
            <w:r w:rsidRPr="007939FC">
              <w:rPr>
                <w:rFonts w:ascii="Times New Roman" w:hAnsi="Times New Roman"/>
                <w:sz w:val="24"/>
                <w:szCs w:val="24"/>
              </w:rPr>
              <w:t xml:space="preserve">će se direktna primjena odredbi navedene Uredbe. </w:t>
            </w:r>
          </w:p>
          <w:p w:rsidR="00B01B7E" w:rsidRPr="007939FC" w:rsidRDefault="00B01B7E" w:rsidP="004732CC">
            <w:pPr>
              <w:pStyle w:val="Odlomakpopisa"/>
              <w:ind w:left="0"/>
              <w:jc w:val="both"/>
              <w:rPr>
                <w:rFonts w:ascii="Times New Roman" w:hAnsi="Times New Roman"/>
                <w:sz w:val="24"/>
                <w:szCs w:val="24"/>
              </w:rPr>
            </w:pPr>
          </w:p>
          <w:p w:rsidR="00B01B7E" w:rsidRPr="007939FC" w:rsidRDefault="00D667F3" w:rsidP="004732CC">
            <w:pPr>
              <w:pStyle w:val="Odlomakpopisa"/>
              <w:ind w:left="0"/>
              <w:jc w:val="both"/>
              <w:rPr>
                <w:rFonts w:ascii="Times New Roman" w:hAnsi="Times New Roman"/>
                <w:sz w:val="24"/>
                <w:szCs w:val="24"/>
              </w:rPr>
            </w:pPr>
            <w:r w:rsidRPr="007939FC">
              <w:rPr>
                <w:rFonts w:ascii="Times New Roman" w:hAnsi="Times New Roman"/>
                <w:sz w:val="24"/>
                <w:szCs w:val="24"/>
              </w:rPr>
              <w:t>Zakonom o provedbi Uredbe EU br.</w:t>
            </w:r>
            <w:r w:rsidR="00B01B7E" w:rsidRPr="007939FC">
              <w:rPr>
                <w:rFonts w:ascii="Times New Roman" w:hAnsi="Times New Roman"/>
                <w:sz w:val="24"/>
                <w:szCs w:val="24"/>
              </w:rPr>
              <w:t xml:space="preserve"> 2015/757 utvrđuju se pravila za točno praćenje emisija ugljikova dioksida (CO</w:t>
            </w:r>
            <w:r w:rsidR="00B01B7E" w:rsidRPr="007939FC">
              <w:rPr>
                <w:rFonts w:ascii="Times New Roman" w:hAnsi="Times New Roman"/>
                <w:sz w:val="24"/>
                <w:szCs w:val="24"/>
                <w:vertAlign w:val="subscript"/>
              </w:rPr>
              <w:t>2</w:t>
            </w:r>
            <w:r w:rsidR="00B01B7E" w:rsidRPr="007939FC">
              <w:rPr>
                <w:rFonts w:ascii="Times New Roman" w:hAnsi="Times New Roman"/>
                <w:sz w:val="24"/>
                <w:szCs w:val="24"/>
              </w:rPr>
              <w:t>) i drugih relevantnih informacija o brodovima većim od 5 000 bruto tonaže (BT), koji dolaze u luke pod nadležnošću države članice, polaze iz tih luka ili se u njima nalaze te za izvješćivanje o njima i njihovu verifikaciju radi promicanja smanjenja emisija CO</w:t>
            </w:r>
            <w:r w:rsidR="00B01B7E" w:rsidRPr="007939FC">
              <w:rPr>
                <w:rFonts w:ascii="Times New Roman" w:hAnsi="Times New Roman"/>
                <w:sz w:val="24"/>
                <w:szCs w:val="24"/>
                <w:vertAlign w:val="subscript"/>
              </w:rPr>
              <w:t>2</w:t>
            </w:r>
            <w:r w:rsidR="00B01B7E" w:rsidRPr="007939FC">
              <w:rPr>
                <w:rFonts w:ascii="Times New Roman" w:hAnsi="Times New Roman"/>
                <w:sz w:val="24"/>
                <w:szCs w:val="24"/>
              </w:rPr>
              <w:t xml:space="preserve"> iz pomorskog prometa na troškovno učinkovit način. Brodovi iznad 5 000 BT čine oko 55 % brodova koji pristaju u luke Unije i odgovorni su za oko 90 % povezanih emisija CO</w:t>
            </w:r>
            <w:r w:rsidR="00B01B7E" w:rsidRPr="00DF2CA2">
              <w:rPr>
                <w:rFonts w:ascii="Times New Roman" w:hAnsi="Times New Roman"/>
                <w:sz w:val="24"/>
                <w:szCs w:val="24"/>
                <w:vertAlign w:val="subscript"/>
              </w:rPr>
              <w:t>2</w:t>
            </w:r>
            <w:r w:rsidR="00B01B7E" w:rsidRPr="007939FC">
              <w:rPr>
                <w:rFonts w:ascii="Times New Roman" w:hAnsi="Times New Roman"/>
                <w:sz w:val="24"/>
                <w:szCs w:val="24"/>
              </w:rPr>
              <w:t xml:space="preserve">. Uredba zahvaća brodare (kompanije) i akreditirane verifikatore. </w:t>
            </w:r>
          </w:p>
          <w:p w:rsidR="00B01B7E" w:rsidRPr="007939FC" w:rsidRDefault="00B01B7E" w:rsidP="004732CC">
            <w:pPr>
              <w:pStyle w:val="Odlomakpopisa"/>
              <w:ind w:left="0"/>
              <w:jc w:val="both"/>
              <w:rPr>
                <w:rFonts w:ascii="Times New Roman" w:hAnsi="Times New Roman"/>
                <w:sz w:val="24"/>
                <w:szCs w:val="24"/>
              </w:rPr>
            </w:pPr>
          </w:p>
          <w:p w:rsidR="00B01B7E" w:rsidRPr="007939FC" w:rsidRDefault="00B01B7E" w:rsidP="00B01B7E">
            <w:pPr>
              <w:pStyle w:val="Odlomakpopisa"/>
              <w:ind w:left="0"/>
              <w:jc w:val="both"/>
              <w:rPr>
                <w:rFonts w:ascii="Times New Roman" w:hAnsi="Times New Roman"/>
                <w:sz w:val="24"/>
                <w:szCs w:val="24"/>
              </w:rPr>
            </w:pPr>
            <w:r w:rsidRPr="007939FC">
              <w:rPr>
                <w:rFonts w:ascii="Times New Roman" w:hAnsi="Times New Roman"/>
                <w:sz w:val="24"/>
                <w:szCs w:val="24"/>
              </w:rPr>
              <w:t>Normativnim rješenjem odredit će se tijela nadležna za provedbu i nadzor provedbe naprijed navedene Uredbe, zadaće nadležnih tijela, utvrđuju se pravila za točno praćenje emisija ugljikova dioksida (CO</w:t>
            </w:r>
            <w:r w:rsidRPr="00DF2CA2">
              <w:rPr>
                <w:rFonts w:ascii="Times New Roman" w:hAnsi="Times New Roman"/>
                <w:sz w:val="24"/>
                <w:szCs w:val="24"/>
                <w:vertAlign w:val="subscript"/>
              </w:rPr>
              <w:t>2</w:t>
            </w:r>
            <w:r w:rsidRPr="007939FC">
              <w:rPr>
                <w:rFonts w:ascii="Times New Roman" w:hAnsi="Times New Roman"/>
                <w:sz w:val="24"/>
                <w:szCs w:val="24"/>
              </w:rPr>
              <w:t>), uloga verifikatora, akreditacija verifikatora, inspekcijski nadzor te prekršajne odredbe.</w:t>
            </w:r>
          </w:p>
          <w:p w:rsidR="00B01B7E" w:rsidRPr="007939FC" w:rsidRDefault="00B01B7E" w:rsidP="004732CC">
            <w:pPr>
              <w:pStyle w:val="Odlomakpopisa"/>
              <w:ind w:left="0"/>
              <w:jc w:val="both"/>
              <w:rPr>
                <w:rFonts w:ascii="Times New Roman" w:hAnsi="Times New Roman"/>
                <w:sz w:val="24"/>
                <w:szCs w:val="24"/>
              </w:rPr>
            </w:pPr>
          </w:p>
          <w:p w:rsidR="00B01B7E" w:rsidRPr="007939FC" w:rsidRDefault="00B01B7E" w:rsidP="004732CC">
            <w:pPr>
              <w:pStyle w:val="Odlomakpopisa"/>
              <w:ind w:left="0"/>
              <w:jc w:val="both"/>
              <w:rPr>
                <w:rFonts w:ascii="Times New Roman" w:hAnsi="Times New Roman"/>
                <w:sz w:val="24"/>
                <w:szCs w:val="24"/>
              </w:rPr>
            </w:pPr>
            <w:r w:rsidRPr="007939FC">
              <w:rPr>
                <w:rFonts w:ascii="Times New Roman" w:hAnsi="Times New Roman"/>
                <w:sz w:val="24"/>
                <w:szCs w:val="24"/>
              </w:rPr>
              <w:t xml:space="preserve">Očekuje se da će uvođenje sustava MRV </w:t>
            </w:r>
            <w:r w:rsidR="00BC098A" w:rsidRPr="007939FC">
              <w:rPr>
                <w:rFonts w:ascii="Times New Roman" w:hAnsi="Times New Roman"/>
                <w:sz w:val="24"/>
                <w:szCs w:val="24"/>
              </w:rPr>
              <w:t>Europske u</w:t>
            </w:r>
            <w:r w:rsidRPr="007939FC">
              <w:rPr>
                <w:rFonts w:ascii="Times New Roman" w:hAnsi="Times New Roman"/>
                <w:sz w:val="24"/>
                <w:szCs w:val="24"/>
              </w:rPr>
              <w:t xml:space="preserve">nije potaknuti smanjenje emisija do 2 % u usporedbi s uobičajenim poslovanjem i ukupnim smanjenjem neto troškova do 1,2 milijarde EUR do 2030. jer bi se time moglo doprinijeti uklanjanju tržišnih prepreka, posebno onih u vezi s nedostatkom informacija o učinkovitosti brodova, pružanjem usporedivih i pouzdanih informacija relevantnim tržištima o potrošnji goriva i energetskoj učinkovitosti. </w:t>
            </w:r>
          </w:p>
          <w:p w:rsidR="00B01B7E" w:rsidRPr="007939FC" w:rsidRDefault="00B01B7E" w:rsidP="004732CC">
            <w:pPr>
              <w:pStyle w:val="Odlomakpopisa"/>
              <w:ind w:left="0"/>
              <w:jc w:val="both"/>
              <w:rPr>
                <w:rFonts w:ascii="Times New Roman" w:hAnsi="Times New Roman"/>
                <w:sz w:val="24"/>
                <w:szCs w:val="24"/>
              </w:rPr>
            </w:pPr>
          </w:p>
          <w:p w:rsidR="002B2694" w:rsidRPr="007939FC" w:rsidRDefault="00B01B7E" w:rsidP="00B01B7E">
            <w:pPr>
              <w:pStyle w:val="Odlomakpopisa"/>
              <w:ind w:left="0"/>
              <w:jc w:val="both"/>
              <w:rPr>
                <w:rFonts w:ascii="Times New Roman" w:hAnsi="Times New Roman"/>
                <w:sz w:val="24"/>
                <w:szCs w:val="24"/>
              </w:rPr>
            </w:pPr>
            <w:r w:rsidRPr="007939FC">
              <w:rPr>
                <w:rFonts w:ascii="Times New Roman" w:hAnsi="Times New Roman"/>
                <w:sz w:val="24"/>
                <w:szCs w:val="24"/>
              </w:rPr>
              <w:t xml:space="preserve">To smanjenje troškova prijevoza trebalo bi potaknuti međunarodnu trgovinu. Nadalje, stabilan </w:t>
            </w:r>
            <w:r w:rsidRPr="007939FC">
              <w:rPr>
                <w:rFonts w:ascii="Times New Roman" w:hAnsi="Times New Roman"/>
                <w:sz w:val="24"/>
                <w:szCs w:val="24"/>
              </w:rPr>
              <w:lastRenderedPageBreak/>
              <w:t xml:space="preserve">sustav MRV preduvjet je za svaku mjeru utemeljenu na tržištu, standard učinkovitosti ili drugu mjeru, bilo da se primjenjuje na razini </w:t>
            </w:r>
            <w:r w:rsidR="00BC098A" w:rsidRPr="007939FC">
              <w:rPr>
                <w:rFonts w:ascii="Times New Roman" w:hAnsi="Times New Roman"/>
                <w:sz w:val="24"/>
                <w:szCs w:val="24"/>
              </w:rPr>
              <w:t>Europske u</w:t>
            </w:r>
            <w:r w:rsidRPr="007939FC">
              <w:rPr>
                <w:rFonts w:ascii="Times New Roman" w:hAnsi="Times New Roman"/>
                <w:sz w:val="24"/>
                <w:szCs w:val="24"/>
              </w:rPr>
              <w:t xml:space="preserve">nije ili u svijetu. Njime se također osiguravaju pouzdani podaci za postavljanje točnih ciljeva za smanjenje emisija i ocjenu napretka u doprinosu pomorskog prometa postizanju </w:t>
            </w:r>
            <w:proofErr w:type="spellStart"/>
            <w:r w:rsidRPr="007939FC">
              <w:rPr>
                <w:rFonts w:ascii="Times New Roman" w:hAnsi="Times New Roman"/>
                <w:sz w:val="24"/>
                <w:szCs w:val="24"/>
              </w:rPr>
              <w:t>niskougljičnog</w:t>
            </w:r>
            <w:proofErr w:type="spellEnd"/>
            <w:r w:rsidRPr="007939FC">
              <w:rPr>
                <w:rFonts w:ascii="Times New Roman" w:hAnsi="Times New Roman"/>
                <w:sz w:val="24"/>
                <w:szCs w:val="24"/>
              </w:rPr>
              <w:t xml:space="preserve"> gospodarstva. S obzirom na međunarodnu narav pomorskog prometa najbolja i najučinkovitija metoda smanjivanja emisija stakleničkih plinova u međunarodnom brodskom prometu bilo bi usklađeno postupanje na svjetskoj razini.</w:t>
            </w:r>
          </w:p>
        </w:tc>
      </w:tr>
    </w:tbl>
    <w:p w:rsidR="002B2694" w:rsidRPr="007939FC" w:rsidRDefault="002B2694" w:rsidP="009372F4">
      <w:pPr>
        <w:spacing w:line="240" w:lineRule="auto"/>
        <w:jc w:val="both"/>
        <w:rPr>
          <w:rFonts w:ascii="Times New Roman" w:hAnsi="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 xml:space="preserve">3. MOGUĆE OPCIJE </w:t>
            </w:r>
          </w:p>
        </w:tc>
      </w:tr>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iCs/>
                <w:sz w:val="24"/>
                <w:szCs w:val="24"/>
                <w:lang w:eastAsia="hr-HR"/>
              </w:rPr>
            </w:pPr>
            <w:r w:rsidRPr="007939FC">
              <w:rPr>
                <w:rFonts w:ascii="Times New Roman" w:hAnsi="Times New Roman"/>
                <w:b/>
                <w:iCs/>
                <w:color w:val="000000"/>
                <w:sz w:val="24"/>
                <w:szCs w:val="24"/>
                <w:lang w:eastAsia="hr-HR"/>
              </w:rPr>
              <w:t xml:space="preserve">Opcija 1 - </w:t>
            </w:r>
            <w:r w:rsidRPr="007939FC">
              <w:rPr>
                <w:rFonts w:ascii="Times New Roman" w:hAnsi="Times New Roman"/>
                <w:iCs/>
                <w:color w:val="000000"/>
                <w:sz w:val="24"/>
                <w:szCs w:val="24"/>
                <w:lang w:eastAsia="hr-HR"/>
              </w:rPr>
              <w:t>ne poduzimati ništa</w:t>
            </w:r>
            <w:r w:rsidRPr="007939FC">
              <w:rPr>
                <w:rFonts w:ascii="Times New Roman" w:hAnsi="Times New Roman"/>
                <w:b/>
                <w:iCs/>
                <w:color w:val="000000"/>
                <w:sz w:val="24"/>
                <w:szCs w:val="24"/>
                <w:lang w:eastAsia="hr-HR"/>
              </w:rPr>
              <w:t xml:space="preserve"> </w:t>
            </w:r>
            <w:r w:rsidRPr="007939FC">
              <w:rPr>
                <w:rFonts w:ascii="Times New Roman" w:hAnsi="Times New Roman"/>
                <w:iCs/>
                <w:sz w:val="24"/>
                <w:szCs w:val="24"/>
                <w:lang w:eastAsia="hr-HR"/>
              </w:rPr>
              <w:t>(</w:t>
            </w:r>
            <w:proofErr w:type="spellStart"/>
            <w:r w:rsidRPr="007939FC">
              <w:rPr>
                <w:rFonts w:ascii="Times New Roman" w:hAnsi="Times New Roman"/>
                <w:iCs/>
                <w:sz w:val="24"/>
                <w:szCs w:val="24"/>
                <w:lang w:eastAsia="hr-HR"/>
              </w:rPr>
              <w:t>nenormativno</w:t>
            </w:r>
            <w:proofErr w:type="spellEnd"/>
            <w:r w:rsidRPr="007939FC">
              <w:rPr>
                <w:rFonts w:ascii="Times New Roman" w:hAnsi="Times New Roman"/>
                <w:iCs/>
                <w:sz w:val="24"/>
                <w:szCs w:val="24"/>
                <w:lang w:eastAsia="hr-HR"/>
              </w:rPr>
              <w:t xml:space="preserve"> rješenje)</w:t>
            </w:r>
          </w:p>
          <w:p w:rsidR="002B2694" w:rsidRPr="007939FC" w:rsidRDefault="002B2694" w:rsidP="009372F4">
            <w:pPr>
              <w:spacing w:before="100" w:beforeAutospacing="1" w:after="100" w:afterAutospacing="1" w:line="240" w:lineRule="auto"/>
              <w:jc w:val="both"/>
              <w:rPr>
                <w:rFonts w:ascii="Times New Roman" w:hAnsi="Times New Roman"/>
                <w:iCs/>
                <w:color w:val="000000"/>
                <w:sz w:val="24"/>
                <w:szCs w:val="24"/>
                <w:lang w:eastAsia="hr-HR"/>
              </w:rPr>
            </w:pPr>
            <w:r w:rsidRPr="007939FC">
              <w:rPr>
                <w:rFonts w:ascii="Times New Roman" w:hAnsi="Times New Roman"/>
                <w:b/>
                <w:iCs/>
                <w:color w:val="000000"/>
                <w:sz w:val="24"/>
                <w:szCs w:val="24"/>
                <w:lang w:eastAsia="hr-HR"/>
              </w:rPr>
              <w:t xml:space="preserve">Opcija 2 </w:t>
            </w:r>
            <w:r w:rsidRPr="007939FC">
              <w:rPr>
                <w:rFonts w:ascii="Times New Roman" w:hAnsi="Times New Roman"/>
                <w:iCs/>
                <w:color w:val="000000"/>
                <w:sz w:val="24"/>
                <w:szCs w:val="24"/>
                <w:lang w:eastAsia="hr-HR"/>
              </w:rPr>
              <w:t>(</w:t>
            </w:r>
            <w:proofErr w:type="spellStart"/>
            <w:r w:rsidRPr="007939FC">
              <w:rPr>
                <w:rFonts w:ascii="Times New Roman" w:hAnsi="Times New Roman"/>
                <w:iCs/>
                <w:color w:val="000000"/>
                <w:sz w:val="24"/>
                <w:szCs w:val="24"/>
                <w:lang w:eastAsia="hr-HR"/>
              </w:rPr>
              <w:t>nenormativno</w:t>
            </w:r>
            <w:proofErr w:type="spellEnd"/>
            <w:r w:rsidRPr="007939FC">
              <w:rPr>
                <w:rFonts w:ascii="Times New Roman" w:hAnsi="Times New Roman"/>
                <w:iCs/>
                <w:color w:val="000000"/>
                <w:sz w:val="24"/>
                <w:szCs w:val="24"/>
                <w:lang w:eastAsia="hr-HR"/>
              </w:rPr>
              <w:t xml:space="preserve"> rješenje)</w:t>
            </w:r>
          </w:p>
          <w:p w:rsidR="002B2694" w:rsidRPr="007939FC" w:rsidRDefault="00A15F7D" w:rsidP="009372F4">
            <w:pPr>
              <w:spacing w:before="100" w:beforeAutospacing="1" w:after="100" w:afterAutospacing="1" w:line="240" w:lineRule="auto"/>
              <w:jc w:val="both"/>
              <w:rPr>
                <w:rFonts w:ascii="Times New Roman" w:hAnsi="Times New Roman"/>
                <w:iCs/>
                <w:color w:val="000000"/>
                <w:sz w:val="24"/>
                <w:szCs w:val="24"/>
                <w:lang w:eastAsia="hr-HR"/>
              </w:rPr>
            </w:pPr>
            <w:r w:rsidRPr="007939FC">
              <w:rPr>
                <w:rFonts w:ascii="Times New Roman" w:hAnsi="Times New Roman"/>
                <w:iCs/>
                <w:color w:val="000000"/>
                <w:sz w:val="24"/>
                <w:szCs w:val="24"/>
                <w:lang w:eastAsia="hr-HR"/>
              </w:rPr>
              <w:t>Opcija</w:t>
            </w:r>
            <w:r w:rsidR="002B2694" w:rsidRPr="007939FC">
              <w:rPr>
                <w:rFonts w:ascii="Times New Roman" w:hAnsi="Times New Roman"/>
                <w:iCs/>
                <w:color w:val="000000"/>
                <w:sz w:val="24"/>
                <w:szCs w:val="24"/>
                <w:lang w:eastAsia="hr-HR"/>
              </w:rPr>
              <w:t xml:space="preserve"> 1 i </w:t>
            </w:r>
            <w:r w:rsidRPr="007939FC">
              <w:rPr>
                <w:rFonts w:ascii="Times New Roman" w:hAnsi="Times New Roman"/>
                <w:iCs/>
                <w:color w:val="000000"/>
                <w:sz w:val="24"/>
                <w:szCs w:val="24"/>
                <w:lang w:eastAsia="hr-HR"/>
              </w:rPr>
              <w:t xml:space="preserve">Opcija </w:t>
            </w:r>
            <w:r w:rsidR="002B2694" w:rsidRPr="007939FC">
              <w:rPr>
                <w:rFonts w:ascii="Times New Roman" w:hAnsi="Times New Roman"/>
                <w:iCs/>
                <w:color w:val="000000"/>
                <w:sz w:val="24"/>
                <w:szCs w:val="24"/>
                <w:lang w:eastAsia="hr-HR"/>
              </w:rPr>
              <w:t xml:space="preserve">2 </w:t>
            </w:r>
            <w:r w:rsidR="002C06AB" w:rsidRPr="007939FC">
              <w:rPr>
                <w:rFonts w:ascii="Times New Roman" w:hAnsi="Times New Roman"/>
                <w:iCs/>
                <w:color w:val="000000"/>
                <w:sz w:val="24"/>
                <w:szCs w:val="24"/>
                <w:lang w:eastAsia="hr-HR"/>
              </w:rPr>
              <w:t xml:space="preserve">(opcija rješavanja problema bez donošenja novog ili izmjene postojećeg zakonodavstva) </w:t>
            </w:r>
            <w:r w:rsidR="002B2694" w:rsidRPr="007939FC">
              <w:rPr>
                <w:rFonts w:ascii="Times New Roman" w:hAnsi="Times New Roman"/>
                <w:iCs/>
                <w:color w:val="000000"/>
                <w:sz w:val="24"/>
                <w:szCs w:val="24"/>
                <w:lang w:eastAsia="hr-HR"/>
              </w:rPr>
              <w:t xml:space="preserve">koje se odnose na </w:t>
            </w:r>
            <w:proofErr w:type="spellStart"/>
            <w:r w:rsidR="002B2694" w:rsidRPr="007939FC">
              <w:rPr>
                <w:rFonts w:ascii="Times New Roman" w:hAnsi="Times New Roman"/>
                <w:iCs/>
                <w:color w:val="000000"/>
                <w:sz w:val="24"/>
                <w:szCs w:val="24"/>
                <w:lang w:eastAsia="hr-HR"/>
              </w:rPr>
              <w:t>nenormativno</w:t>
            </w:r>
            <w:proofErr w:type="spellEnd"/>
            <w:r w:rsidR="002B2694" w:rsidRPr="007939FC">
              <w:rPr>
                <w:rFonts w:ascii="Times New Roman" w:hAnsi="Times New Roman"/>
                <w:iCs/>
                <w:color w:val="000000"/>
                <w:sz w:val="24"/>
                <w:szCs w:val="24"/>
                <w:lang w:eastAsia="hr-HR"/>
              </w:rPr>
              <w:t xml:space="preserve"> rješenje</w:t>
            </w:r>
            <w:r w:rsidR="002C06AB" w:rsidRPr="007939FC">
              <w:rPr>
                <w:rFonts w:ascii="Times New Roman" w:hAnsi="Times New Roman"/>
                <w:iCs/>
                <w:color w:val="000000"/>
                <w:sz w:val="24"/>
                <w:szCs w:val="24"/>
                <w:lang w:eastAsia="hr-HR"/>
              </w:rPr>
              <w:t>,</w:t>
            </w:r>
            <w:r w:rsidR="002B2694" w:rsidRPr="007939FC">
              <w:rPr>
                <w:rFonts w:ascii="Times New Roman" w:hAnsi="Times New Roman"/>
                <w:iCs/>
                <w:color w:val="000000"/>
                <w:sz w:val="24"/>
                <w:szCs w:val="24"/>
                <w:lang w:eastAsia="hr-HR"/>
              </w:rPr>
              <w:t xml:space="preserve"> nisu moguće</w:t>
            </w:r>
            <w:r w:rsidR="000D273C" w:rsidRPr="007939FC">
              <w:rPr>
                <w:rFonts w:ascii="Times New Roman" w:hAnsi="Times New Roman"/>
                <w:iCs/>
                <w:color w:val="000000"/>
                <w:sz w:val="24"/>
                <w:szCs w:val="24"/>
                <w:lang w:eastAsia="hr-HR"/>
              </w:rPr>
              <w:t xml:space="preserve">. </w:t>
            </w:r>
            <w:r w:rsidR="002B2694" w:rsidRPr="007939FC">
              <w:rPr>
                <w:rFonts w:ascii="Times New Roman" w:hAnsi="Times New Roman"/>
                <w:iCs/>
                <w:color w:val="000000"/>
                <w:sz w:val="24"/>
                <w:szCs w:val="24"/>
                <w:lang w:eastAsia="hr-HR"/>
              </w:rPr>
              <w:t xml:space="preserve">Republika Hrvatska mora osigurati direktnu primjenu odredbi Uredbi EU </w:t>
            </w:r>
            <w:r w:rsidR="000D273C" w:rsidRPr="007939FC">
              <w:rPr>
                <w:rFonts w:ascii="Times New Roman" w:hAnsi="Times New Roman"/>
                <w:iCs/>
                <w:color w:val="000000"/>
                <w:sz w:val="24"/>
                <w:szCs w:val="24"/>
                <w:lang w:eastAsia="hr-HR"/>
              </w:rPr>
              <w:t>u Republici Hrvatskoj te s tim u vezi započeti s praćenjem emisija stakleničkih plinova iz pomorskog prometa s ciljem budućeg uključenja ovog sektora u mjere smanjenja em</w:t>
            </w:r>
            <w:r w:rsidR="005735A5" w:rsidRPr="007939FC">
              <w:rPr>
                <w:rFonts w:ascii="Times New Roman" w:hAnsi="Times New Roman"/>
                <w:iCs/>
                <w:color w:val="000000"/>
                <w:sz w:val="24"/>
                <w:szCs w:val="24"/>
                <w:lang w:eastAsia="hr-HR"/>
              </w:rPr>
              <w:t>i</w:t>
            </w:r>
            <w:r w:rsidR="000D273C" w:rsidRPr="007939FC">
              <w:rPr>
                <w:rFonts w:ascii="Times New Roman" w:hAnsi="Times New Roman"/>
                <w:iCs/>
                <w:color w:val="000000"/>
                <w:sz w:val="24"/>
                <w:szCs w:val="24"/>
                <w:lang w:eastAsia="hr-HR"/>
              </w:rPr>
              <w:t>sija.</w:t>
            </w:r>
          </w:p>
          <w:p w:rsidR="002B2694" w:rsidRPr="007939FC" w:rsidRDefault="002B2694" w:rsidP="009372F4">
            <w:pPr>
              <w:spacing w:before="100" w:beforeAutospacing="1" w:after="100" w:afterAutospacing="1" w:line="240" w:lineRule="auto"/>
              <w:jc w:val="both"/>
              <w:rPr>
                <w:rFonts w:ascii="Times New Roman" w:hAnsi="Times New Roman"/>
                <w:iCs/>
                <w:color w:val="000000"/>
                <w:sz w:val="24"/>
                <w:szCs w:val="24"/>
                <w:lang w:eastAsia="hr-HR"/>
              </w:rPr>
            </w:pPr>
            <w:r w:rsidRPr="007939FC">
              <w:rPr>
                <w:rFonts w:ascii="Times New Roman" w:hAnsi="Times New Roman"/>
                <w:b/>
                <w:iCs/>
                <w:color w:val="000000"/>
                <w:sz w:val="24"/>
                <w:szCs w:val="24"/>
                <w:lang w:eastAsia="hr-HR"/>
              </w:rPr>
              <w:t>O</w:t>
            </w:r>
            <w:r w:rsidR="00370FC3" w:rsidRPr="007939FC">
              <w:rPr>
                <w:rFonts w:ascii="Times New Roman" w:hAnsi="Times New Roman"/>
                <w:b/>
                <w:iCs/>
                <w:color w:val="000000"/>
                <w:sz w:val="24"/>
                <w:szCs w:val="24"/>
                <w:lang w:eastAsia="hr-HR"/>
              </w:rPr>
              <w:t>pcija 3 (normativno rješenje)</w:t>
            </w:r>
          </w:p>
          <w:p w:rsidR="002B2694" w:rsidRPr="007939FC" w:rsidRDefault="002B2694" w:rsidP="009372F4">
            <w:pPr>
              <w:spacing w:before="100" w:beforeAutospacing="1" w:after="100" w:afterAutospacing="1" w:line="240" w:lineRule="auto"/>
              <w:jc w:val="both"/>
              <w:rPr>
                <w:rFonts w:ascii="Times New Roman" w:hAnsi="Times New Roman"/>
                <w:iCs/>
                <w:color w:val="000000"/>
                <w:sz w:val="24"/>
                <w:szCs w:val="24"/>
                <w:lang w:eastAsia="hr-HR"/>
              </w:rPr>
            </w:pPr>
            <w:proofErr w:type="spellStart"/>
            <w:r w:rsidRPr="007939FC">
              <w:rPr>
                <w:rFonts w:ascii="Times New Roman" w:hAnsi="Times New Roman"/>
                <w:iCs/>
                <w:color w:val="000000"/>
                <w:sz w:val="24"/>
                <w:szCs w:val="24"/>
                <w:lang w:eastAsia="hr-HR"/>
              </w:rPr>
              <w:t>Podzakonskim</w:t>
            </w:r>
            <w:proofErr w:type="spellEnd"/>
            <w:r w:rsidRPr="007939FC">
              <w:rPr>
                <w:rFonts w:ascii="Times New Roman" w:hAnsi="Times New Roman"/>
                <w:iCs/>
                <w:color w:val="000000"/>
                <w:sz w:val="24"/>
                <w:szCs w:val="24"/>
                <w:lang w:eastAsia="hr-HR"/>
              </w:rPr>
              <w:t xml:space="preserve"> aktom nije mogu</w:t>
            </w:r>
            <w:r w:rsidR="00CB2FCA" w:rsidRPr="007939FC">
              <w:rPr>
                <w:rFonts w:ascii="Times New Roman" w:hAnsi="Times New Roman"/>
                <w:iCs/>
                <w:color w:val="000000"/>
                <w:sz w:val="24"/>
                <w:szCs w:val="24"/>
                <w:lang w:eastAsia="hr-HR"/>
              </w:rPr>
              <w:t>će</w:t>
            </w:r>
            <w:r w:rsidR="005735A5" w:rsidRPr="007939FC">
              <w:rPr>
                <w:rFonts w:ascii="Times New Roman" w:hAnsi="Times New Roman"/>
                <w:iCs/>
                <w:color w:val="000000"/>
                <w:sz w:val="24"/>
                <w:szCs w:val="24"/>
                <w:lang w:eastAsia="hr-HR"/>
              </w:rPr>
              <w:t xml:space="preserve"> uspostaviti pravni i institucionalni okvir za primjenu</w:t>
            </w:r>
            <w:r w:rsidR="005735A5" w:rsidRPr="007939FC">
              <w:t xml:space="preserve"> </w:t>
            </w:r>
            <w:r w:rsidR="005735A5" w:rsidRPr="007939FC">
              <w:rPr>
                <w:rFonts w:ascii="Times New Roman" w:hAnsi="Times New Roman"/>
                <w:iCs/>
                <w:color w:val="000000"/>
                <w:sz w:val="24"/>
                <w:szCs w:val="24"/>
                <w:lang w:eastAsia="hr-HR"/>
              </w:rPr>
              <w:t xml:space="preserve">Uredba EU br. 2015/757 , jer njime nije moguće </w:t>
            </w:r>
            <w:r w:rsidR="00CB2FCA" w:rsidRPr="007939FC">
              <w:rPr>
                <w:rFonts w:ascii="Times New Roman" w:hAnsi="Times New Roman"/>
                <w:iCs/>
                <w:color w:val="000000"/>
                <w:sz w:val="24"/>
                <w:szCs w:val="24"/>
                <w:lang w:eastAsia="hr-HR"/>
              </w:rPr>
              <w:t>propisati prekršajne odredbe, a Uredba EU br. 2015/757 propisuje da države članice trebaju uspostaviti sustav sankcija u slučaju neusklađenosti s obvezama praćenja i izvješćivanja te poduzeti sve potrebne mjere kako bi osigurale nametanje tih sankcija.</w:t>
            </w:r>
          </w:p>
          <w:p w:rsidR="002B2694" w:rsidRPr="007939FC" w:rsidRDefault="002B2694" w:rsidP="009372F4">
            <w:pPr>
              <w:spacing w:before="100" w:beforeAutospacing="1" w:after="100" w:afterAutospacing="1" w:line="240" w:lineRule="auto"/>
              <w:jc w:val="both"/>
              <w:rPr>
                <w:rFonts w:ascii="Times New Roman" w:hAnsi="Times New Roman"/>
                <w:b/>
                <w:iCs/>
                <w:color w:val="000000"/>
                <w:sz w:val="24"/>
                <w:szCs w:val="24"/>
                <w:lang w:eastAsia="hr-HR"/>
              </w:rPr>
            </w:pPr>
            <w:r w:rsidRPr="007939FC">
              <w:rPr>
                <w:rFonts w:ascii="Times New Roman" w:hAnsi="Times New Roman"/>
                <w:b/>
                <w:iCs/>
                <w:color w:val="000000"/>
                <w:sz w:val="24"/>
                <w:szCs w:val="24"/>
                <w:lang w:eastAsia="hr-HR"/>
              </w:rPr>
              <w:t xml:space="preserve">Opcija 4 (normativno rješenje): </w:t>
            </w:r>
          </w:p>
          <w:p w:rsidR="002B2694" w:rsidRPr="007939FC" w:rsidRDefault="002B2694" w:rsidP="005A4F8C">
            <w:pPr>
              <w:jc w:val="both"/>
              <w:rPr>
                <w:rFonts w:ascii="Times New Roman" w:hAnsi="Times New Roman"/>
                <w:sz w:val="24"/>
                <w:szCs w:val="24"/>
              </w:rPr>
            </w:pPr>
            <w:r w:rsidRPr="007939FC">
              <w:rPr>
                <w:rFonts w:ascii="Times New Roman" w:hAnsi="Times New Roman"/>
                <w:iCs/>
                <w:color w:val="000000"/>
                <w:sz w:val="24"/>
                <w:szCs w:val="24"/>
                <w:lang w:eastAsia="hr-HR"/>
              </w:rPr>
              <w:t xml:space="preserve">Ova opcija odnosi se na donošenje Zakona o </w:t>
            </w:r>
            <w:r w:rsidR="0055357C" w:rsidRPr="007939FC">
              <w:rPr>
                <w:rFonts w:ascii="Times New Roman" w:hAnsi="Times New Roman"/>
                <w:sz w:val="24"/>
                <w:szCs w:val="24"/>
              </w:rPr>
              <w:t xml:space="preserve">provedbi Uredbe </w:t>
            </w:r>
            <w:r w:rsidR="00D667F3" w:rsidRPr="007939FC">
              <w:rPr>
                <w:rFonts w:ascii="Times New Roman" w:hAnsi="Times New Roman"/>
                <w:sz w:val="24"/>
                <w:szCs w:val="24"/>
              </w:rPr>
              <w:t>EU br. 2015/757</w:t>
            </w:r>
            <w:r w:rsidRPr="007939FC">
              <w:rPr>
                <w:rFonts w:ascii="Times New Roman" w:hAnsi="Times New Roman"/>
                <w:sz w:val="24"/>
                <w:szCs w:val="24"/>
              </w:rPr>
              <w:t xml:space="preserve">. Na taj način Republika Hrvatska </w:t>
            </w:r>
            <w:r w:rsidR="00BC098A" w:rsidRPr="007939FC">
              <w:rPr>
                <w:rFonts w:ascii="Times New Roman" w:hAnsi="Times New Roman"/>
                <w:sz w:val="24"/>
                <w:szCs w:val="24"/>
              </w:rPr>
              <w:t xml:space="preserve">bi </w:t>
            </w:r>
            <w:r w:rsidRPr="007939FC">
              <w:rPr>
                <w:rFonts w:ascii="Times New Roman" w:hAnsi="Times New Roman"/>
                <w:sz w:val="24"/>
                <w:szCs w:val="24"/>
              </w:rPr>
              <w:t>ispunila svoju obvezu koja se odnosi na sv</w:t>
            </w:r>
            <w:r w:rsidR="00BC098A" w:rsidRPr="007939FC">
              <w:rPr>
                <w:rFonts w:ascii="Times New Roman" w:hAnsi="Times New Roman"/>
                <w:sz w:val="24"/>
                <w:szCs w:val="24"/>
              </w:rPr>
              <w:t>e države članice Europske unije. P</w:t>
            </w:r>
            <w:r w:rsidRPr="007939FC">
              <w:rPr>
                <w:rFonts w:ascii="Times New Roman" w:hAnsi="Times New Roman"/>
                <w:sz w:val="24"/>
                <w:szCs w:val="24"/>
              </w:rPr>
              <w:t xml:space="preserve">rimjenjujući direktno Uredbu omogućit će se primjena odredbi navedene Uredbe </w:t>
            </w:r>
            <w:r w:rsidR="00D667F3" w:rsidRPr="007939FC">
              <w:rPr>
                <w:rFonts w:ascii="Times New Roman" w:hAnsi="Times New Roman"/>
                <w:sz w:val="24"/>
                <w:szCs w:val="24"/>
              </w:rPr>
              <w:t>EU br. 2015/757</w:t>
            </w:r>
            <w:r w:rsidRPr="007939FC">
              <w:rPr>
                <w:rFonts w:ascii="Times New Roman" w:hAnsi="Times New Roman"/>
                <w:sz w:val="24"/>
                <w:szCs w:val="24"/>
              </w:rPr>
              <w:t>. Smatramo da je normativnim rješenjem jedino moguće</w:t>
            </w:r>
            <w:r w:rsidR="00FE0572" w:rsidRPr="007939FC">
              <w:rPr>
                <w:rFonts w:ascii="Times New Roman" w:hAnsi="Times New Roman"/>
                <w:sz w:val="24"/>
                <w:szCs w:val="24"/>
              </w:rPr>
              <w:t xml:space="preserve"> u budućnosti</w:t>
            </w:r>
            <w:r w:rsidRPr="007939FC">
              <w:rPr>
                <w:rFonts w:ascii="Times New Roman" w:hAnsi="Times New Roman"/>
                <w:sz w:val="24"/>
                <w:szCs w:val="24"/>
              </w:rPr>
              <w:t xml:space="preserve"> postići smanjenje </w:t>
            </w:r>
            <w:r w:rsidR="0055357C" w:rsidRPr="007939FC">
              <w:rPr>
                <w:rFonts w:ascii="Times New Roman" w:hAnsi="Times New Roman"/>
                <w:sz w:val="24"/>
                <w:szCs w:val="24"/>
              </w:rPr>
              <w:t>emisije stakleničkih plinova iz pomorskog prometa</w:t>
            </w:r>
            <w:r w:rsidR="00FE0572" w:rsidRPr="007939FC">
              <w:rPr>
                <w:rFonts w:ascii="Times New Roman" w:hAnsi="Times New Roman"/>
                <w:sz w:val="24"/>
                <w:szCs w:val="24"/>
              </w:rPr>
              <w:t>, najprije uspostavom učinkovitog sustava praćenja emisija iz ovog sektora i propisivanjem</w:t>
            </w:r>
            <w:r w:rsidR="0055357C" w:rsidRPr="007939FC">
              <w:rPr>
                <w:rFonts w:ascii="Times New Roman" w:hAnsi="Times New Roman"/>
                <w:sz w:val="24"/>
                <w:szCs w:val="24"/>
              </w:rPr>
              <w:t xml:space="preserve"> odr</w:t>
            </w:r>
            <w:r w:rsidR="00FE0572" w:rsidRPr="007939FC">
              <w:rPr>
                <w:rFonts w:ascii="Times New Roman" w:hAnsi="Times New Roman"/>
                <w:sz w:val="24"/>
                <w:szCs w:val="24"/>
              </w:rPr>
              <w:t>eđenih rokova</w:t>
            </w:r>
            <w:r w:rsidR="0055357C" w:rsidRPr="007939FC">
              <w:rPr>
                <w:rFonts w:ascii="Times New Roman" w:hAnsi="Times New Roman"/>
                <w:sz w:val="24"/>
                <w:szCs w:val="24"/>
              </w:rPr>
              <w:t xml:space="preserve"> </w:t>
            </w:r>
            <w:r w:rsidR="0055357C" w:rsidRPr="007939FC">
              <w:rPr>
                <w:rFonts w:ascii="Times New Roman" w:eastAsia="Times New Roman" w:hAnsi="Times New Roman"/>
                <w:sz w:val="24"/>
                <w:szCs w:val="24"/>
                <w:lang w:eastAsia="hr-HR"/>
              </w:rPr>
              <w:t>kako bi se brodari (kompanije</w:t>
            </w:r>
            <w:r w:rsidR="00927315" w:rsidRPr="007939FC">
              <w:rPr>
                <w:rFonts w:ascii="Times New Roman" w:eastAsia="Times New Roman" w:hAnsi="Times New Roman"/>
                <w:sz w:val="24"/>
                <w:szCs w:val="24"/>
                <w:lang w:eastAsia="hr-HR"/>
              </w:rPr>
              <w:t>), verifikatori i Hrvatska akreditacijska agencija mogla</w:t>
            </w:r>
            <w:r w:rsidR="0055357C" w:rsidRPr="007939FC">
              <w:rPr>
                <w:rFonts w:ascii="Times New Roman" w:eastAsia="Times New Roman" w:hAnsi="Times New Roman"/>
                <w:sz w:val="24"/>
                <w:szCs w:val="24"/>
                <w:lang w:eastAsia="hr-HR"/>
              </w:rPr>
              <w:t xml:space="preserve"> pripremiti za provedbu navedene Uredbe. </w:t>
            </w:r>
            <w:r w:rsidRPr="007939FC">
              <w:rPr>
                <w:rFonts w:ascii="Times New Roman" w:hAnsi="Times New Roman"/>
                <w:sz w:val="24"/>
                <w:szCs w:val="24"/>
              </w:rPr>
              <w:t>Normativnim rješenjem propisati će se određene prekršajne kazne za nepoštivanje odredbi propisanih ovom EU uredbom</w:t>
            </w:r>
            <w:r w:rsidR="00FE0572" w:rsidRPr="007939FC">
              <w:rPr>
                <w:rFonts w:ascii="Times New Roman" w:hAnsi="Times New Roman"/>
                <w:sz w:val="24"/>
                <w:szCs w:val="24"/>
              </w:rPr>
              <w:t>,</w:t>
            </w:r>
            <w:r w:rsidRPr="007939FC">
              <w:rPr>
                <w:rFonts w:ascii="Times New Roman" w:hAnsi="Times New Roman"/>
                <w:sz w:val="24"/>
                <w:szCs w:val="24"/>
              </w:rPr>
              <w:t xml:space="preserve"> </w:t>
            </w:r>
            <w:r w:rsidR="00FE0572" w:rsidRPr="007939FC">
              <w:rPr>
                <w:rFonts w:ascii="Times New Roman" w:hAnsi="Times New Roman"/>
                <w:sz w:val="24"/>
                <w:szCs w:val="24"/>
              </w:rPr>
              <w:t>za primjenu koje</w:t>
            </w:r>
            <w:r w:rsidRPr="007939FC">
              <w:rPr>
                <w:rFonts w:ascii="Times New Roman" w:hAnsi="Times New Roman"/>
                <w:sz w:val="24"/>
                <w:szCs w:val="24"/>
              </w:rPr>
              <w:t xml:space="preserve"> se</w:t>
            </w:r>
            <w:r w:rsidR="00FE0572" w:rsidRPr="007939FC">
              <w:rPr>
                <w:rFonts w:ascii="Times New Roman" w:hAnsi="Times New Roman"/>
                <w:sz w:val="24"/>
                <w:szCs w:val="24"/>
              </w:rPr>
              <w:t>,</w:t>
            </w:r>
            <w:r w:rsidRPr="007939FC">
              <w:rPr>
                <w:rFonts w:ascii="Times New Roman" w:hAnsi="Times New Roman"/>
                <w:sz w:val="24"/>
                <w:szCs w:val="24"/>
              </w:rPr>
              <w:t xml:space="preserve"> ovim </w:t>
            </w:r>
            <w:r w:rsidR="00FE0572" w:rsidRPr="007939FC">
              <w:rPr>
                <w:rFonts w:ascii="Times New Roman" w:hAnsi="Times New Roman"/>
                <w:sz w:val="24"/>
                <w:szCs w:val="24"/>
              </w:rPr>
              <w:t>Prijedlog</w:t>
            </w:r>
            <w:r w:rsidR="00BC098A" w:rsidRPr="007939FC">
              <w:rPr>
                <w:rFonts w:ascii="Times New Roman" w:hAnsi="Times New Roman"/>
                <w:sz w:val="24"/>
                <w:szCs w:val="24"/>
              </w:rPr>
              <w:t>om</w:t>
            </w:r>
            <w:r w:rsidR="00FE0572" w:rsidRPr="007939FC">
              <w:rPr>
                <w:rFonts w:ascii="Times New Roman" w:hAnsi="Times New Roman"/>
                <w:sz w:val="24"/>
                <w:szCs w:val="24"/>
              </w:rPr>
              <w:t xml:space="preserve"> zakona</w:t>
            </w:r>
            <w:r w:rsidRPr="007939FC">
              <w:rPr>
                <w:rFonts w:ascii="Times New Roman" w:hAnsi="Times New Roman"/>
                <w:sz w:val="24"/>
                <w:szCs w:val="24"/>
              </w:rPr>
              <w:t xml:space="preserve"> </w:t>
            </w:r>
            <w:r w:rsidR="00FE0572" w:rsidRPr="007939FC">
              <w:rPr>
                <w:rFonts w:ascii="Times New Roman" w:hAnsi="Times New Roman"/>
                <w:sz w:val="24"/>
                <w:szCs w:val="24"/>
              </w:rPr>
              <w:t>uspostavlja pravni i institucionalni okvir u</w:t>
            </w:r>
            <w:r w:rsidRPr="007939FC">
              <w:rPr>
                <w:rFonts w:ascii="Times New Roman" w:hAnsi="Times New Roman"/>
                <w:sz w:val="24"/>
                <w:szCs w:val="24"/>
              </w:rPr>
              <w:t xml:space="preserve"> </w:t>
            </w:r>
            <w:r w:rsidR="00C4321E" w:rsidRPr="007939FC">
              <w:rPr>
                <w:rFonts w:ascii="Times New Roman" w:hAnsi="Times New Roman"/>
                <w:iCs/>
                <w:color w:val="000000"/>
                <w:sz w:val="24"/>
                <w:szCs w:val="24"/>
                <w:lang w:eastAsia="hr-HR"/>
              </w:rPr>
              <w:t>Republici Hrvatskoj</w:t>
            </w:r>
            <w:r w:rsidRPr="007939FC">
              <w:rPr>
                <w:rFonts w:ascii="Times New Roman" w:hAnsi="Times New Roman"/>
                <w:sz w:val="24"/>
                <w:szCs w:val="24"/>
              </w:rPr>
              <w:t>.</w:t>
            </w:r>
          </w:p>
          <w:p w:rsidR="002B2694" w:rsidRPr="007939FC" w:rsidRDefault="002B2694" w:rsidP="00BE74BC">
            <w:pPr>
              <w:pStyle w:val="Default"/>
              <w:spacing w:line="276" w:lineRule="auto"/>
              <w:jc w:val="both"/>
              <w:rPr>
                <w:rFonts w:ascii="Times New Roman" w:eastAsia="Calibri" w:hAnsi="Times New Roman" w:cs="Times New Roman"/>
                <w:color w:val="auto"/>
                <w:lang w:eastAsia="en-US"/>
              </w:rPr>
            </w:pPr>
          </w:p>
        </w:tc>
      </w:tr>
    </w:tbl>
    <w:p w:rsidR="002B2694" w:rsidRDefault="002B2694" w:rsidP="009372F4">
      <w:pPr>
        <w:spacing w:line="240" w:lineRule="auto"/>
        <w:jc w:val="both"/>
        <w:rPr>
          <w:rFonts w:ascii="Times New Roman" w:hAnsi="Times New Roman"/>
          <w:vanish/>
          <w:color w:val="000000"/>
          <w:sz w:val="24"/>
          <w:szCs w:val="24"/>
          <w:lang w:eastAsia="hr-HR"/>
        </w:rPr>
      </w:pPr>
    </w:p>
    <w:p w:rsidR="007939FC" w:rsidRPr="007939FC" w:rsidRDefault="007939FC" w:rsidP="009372F4">
      <w:pPr>
        <w:spacing w:line="240" w:lineRule="auto"/>
        <w:jc w:val="both"/>
        <w:rPr>
          <w:rFonts w:ascii="Times New Roman" w:hAnsi="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lastRenderedPageBreak/>
              <w:t>4. USPOREDBA OPCIJA</w:t>
            </w:r>
          </w:p>
        </w:tc>
      </w:tr>
      <w:tr w:rsidR="002B2694" w:rsidRPr="007939FC" w:rsidTr="00937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iCs/>
                <w:color w:val="000000"/>
                <w:sz w:val="24"/>
                <w:szCs w:val="24"/>
                <w:lang w:eastAsia="hr-HR"/>
              </w:rPr>
            </w:pPr>
            <w:r w:rsidRPr="007939FC">
              <w:rPr>
                <w:rFonts w:ascii="Times New Roman" w:hAnsi="Times New Roman"/>
                <w:iCs/>
                <w:color w:val="000000"/>
                <w:sz w:val="24"/>
                <w:szCs w:val="24"/>
                <w:lang w:eastAsia="hr-HR"/>
              </w:rPr>
              <w:t>Obzirom da je moguća jedino Opcija 4 (normativno rješenje) temeljem izrađenih teza propisa, detaljno je opisana ta opcija.</w:t>
            </w:r>
          </w:p>
          <w:tbl>
            <w:tblPr>
              <w:tblW w:w="9064" w:type="dxa"/>
              <w:tblCellSpacing w:w="15" w:type="dxa"/>
              <w:tblCellMar>
                <w:top w:w="15" w:type="dxa"/>
                <w:left w:w="15" w:type="dxa"/>
                <w:bottom w:w="15" w:type="dxa"/>
                <w:right w:w="15" w:type="dxa"/>
              </w:tblCellMar>
              <w:tblLook w:val="00A0" w:firstRow="1" w:lastRow="0" w:firstColumn="1" w:lastColumn="0" w:noHBand="0" w:noVBand="0"/>
            </w:tblPr>
            <w:tblGrid>
              <w:gridCol w:w="3478"/>
              <w:gridCol w:w="2610"/>
              <w:gridCol w:w="2976"/>
            </w:tblGrid>
            <w:tr w:rsidR="002B2694" w:rsidRPr="007939FC" w:rsidTr="001A7B8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Opcije</w:t>
                  </w:r>
                </w:p>
              </w:tc>
              <w:tc>
                <w:tcPr>
                  <w:tcW w:w="258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Koristi</w:t>
                  </w:r>
                </w:p>
              </w:tc>
              <w:tc>
                <w:tcPr>
                  <w:tcW w:w="293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Troškovi</w:t>
                  </w:r>
                </w:p>
              </w:tc>
            </w:tr>
            <w:tr w:rsidR="002B2694" w:rsidRPr="007939FC" w:rsidTr="001A7B8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Opcija 1:</w:t>
                  </w:r>
                  <w:r w:rsidRPr="007939FC">
                    <w:rPr>
                      <w:rFonts w:ascii="Times New Roman" w:hAnsi="Times New Roman"/>
                      <w:color w:val="000000"/>
                      <w:sz w:val="24"/>
                      <w:szCs w:val="24"/>
                      <w:lang w:eastAsia="hr-HR"/>
                    </w:rPr>
                    <w:t xml:space="preserve"> ne poduzimati ništa</w:t>
                  </w:r>
                </w:p>
              </w:tc>
              <w:tc>
                <w:tcPr>
                  <w:tcW w:w="258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after="0" w:line="240" w:lineRule="auto"/>
                    <w:jc w:val="both"/>
                    <w:rPr>
                      <w:rFonts w:ascii="Times New Roman" w:hAnsi="Times New Roman"/>
                      <w:color w:val="000000"/>
                      <w:sz w:val="24"/>
                      <w:szCs w:val="24"/>
                      <w:lang w:eastAsia="hr-HR"/>
                    </w:rPr>
                  </w:pPr>
                  <w:r w:rsidRPr="007939FC">
                    <w:rPr>
                      <w:rFonts w:ascii="Times New Roman" w:hAnsi="Times New Roman"/>
                      <w:color w:val="000000"/>
                      <w:sz w:val="24"/>
                      <w:szCs w:val="24"/>
                      <w:lang w:eastAsia="hr-HR"/>
                    </w:rPr>
                    <w:t xml:space="preserve">Ne razmatra se </w:t>
                  </w:r>
                </w:p>
              </w:tc>
              <w:tc>
                <w:tcPr>
                  <w:tcW w:w="293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after="0" w:line="240" w:lineRule="auto"/>
                    <w:jc w:val="both"/>
                    <w:rPr>
                      <w:rFonts w:ascii="Times New Roman" w:hAnsi="Times New Roman"/>
                      <w:color w:val="000000"/>
                      <w:sz w:val="24"/>
                      <w:szCs w:val="24"/>
                      <w:lang w:eastAsia="hr-HR"/>
                    </w:rPr>
                  </w:pPr>
                  <w:r w:rsidRPr="007939FC">
                    <w:rPr>
                      <w:rFonts w:ascii="Times New Roman" w:hAnsi="Times New Roman"/>
                      <w:color w:val="000000"/>
                      <w:sz w:val="24"/>
                      <w:szCs w:val="24"/>
                      <w:lang w:eastAsia="hr-HR"/>
                    </w:rPr>
                    <w:t>Ne razmatra se</w:t>
                  </w:r>
                </w:p>
              </w:tc>
            </w:tr>
            <w:tr w:rsidR="002B2694" w:rsidRPr="007939FC" w:rsidTr="001A7B8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Opcija 2:</w:t>
                  </w:r>
                  <w:r w:rsidRPr="007939FC">
                    <w:rPr>
                      <w:rFonts w:ascii="Times New Roman" w:hAnsi="Times New Roman"/>
                      <w:color w:val="000000"/>
                      <w:sz w:val="24"/>
                      <w:szCs w:val="24"/>
                      <w:lang w:eastAsia="hr-HR"/>
                    </w:rPr>
                    <w:t xml:space="preserve"> (</w:t>
                  </w:r>
                  <w:proofErr w:type="spellStart"/>
                  <w:r w:rsidRPr="007939FC">
                    <w:rPr>
                      <w:rFonts w:ascii="Times New Roman" w:hAnsi="Times New Roman"/>
                      <w:color w:val="000000"/>
                      <w:sz w:val="24"/>
                      <w:szCs w:val="24"/>
                      <w:lang w:eastAsia="hr-HR"/>
                    </w:rPr>
                    <w:t>nenormativno</w:t>
                  </w:r>
                  <w:proofErr w:type="spellEnd"/>
                  <w:r w:rsidRPr="007939FC">
                    <w:rPr>
                      <w:rFonts w:ascii="Times New Roman" w:hAnsi="Times New Roman"/>
                      <w:color w:val="000000"/>
                      <w:sz w:val="24"/>
                      <w:szCs w:val="24"/>
                      <w:lang w:eastAsia="hr-HR"/>
                    </w:rPr>
                    <w:t xml:space="preserve"> rješenje)</w:t>
                  </w:r>
                </w:p>
              </w:tc>
              <w:tc>
                <w:tcPr>
                  <w:tcW w:w="258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after="0" w:line="240" w:lineRule="auto"/>
                    <w:jc w:val="both"/>
                    <w:rPr>
                      <w:rFonts w:ascii="Times New Roman" w:hAnsi="Times New Roman"/>
                      <w:color w:val="000000"/>
                      <w:sz w:val="24"/>
                      <w:szCs w:val="24"/>
                      <w:lang w:eastAsia="hr-HR"/>
                    </w:rPr>
                  </w:pPr>
                  <w:r w:rsidRPr="007939FC">
                    <w:rPr>
                      <w:rFonts w:ascii="Times New Roman" w:hAnsi="Times New Roman"/>
                      <w:color w:val="000000"/>
                      <w:sz w:val="24"/>
                      <w:szCs w:val="24"/>
                      <w:lang w:eastAsia="hr-HR"/>
                    </w:rPr>
                    <w:t>Ne razmatra se</w:t>
                  </w:r>
                </w:p>
              </w:tc>
              <w:tc>
                <w:tcPr>
                  <w:tcW w:w="293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after="0" w:line="240" w:lineRule="auto"/>
                    <w:jc w:val="both"/>
                    <w:rPr>
                      <w:rFonts w:ascii="Times New Roman" w:hAnsi="Times New Roman"/>
                      <w:color w:val="000000"/>
                      <w:sz w:val="24"/>
                      <w:szCs w:val="24"/>
                      <w:lang w:eastAsia="hr-HR"/>
                    </w:rPr>
                  </w:pPr>
                  <w:r w:rsidRPr="007939FC">
                    <w:rPr>
                      <w:rFonts w:ascii="Times New Roman" w:hAnsi="Times New Roman"/>
                      <w:color w:val="000000"/>
                      <w:sz w:val="24"/>
                      <w:szCs w:val="24"/>
                      <w:lang w:eastAsia="hr-HR"/>
                    </w:rPr>
                    <w:t>Ne razmatra se</w:t>
                  </w:r>
                </w:p>
              </w:tc>
            </w:tr>
            <w:tr w:rsidR="002B2694" w:rsidRPr="007939FC" w:rsidTr="001A7B8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Opcija 3:</w:t>
                  </w:r>
                  <w:r w:rsidRPr="007939FC">
                    <w:rPr>
                      <w:rFonts w:ascii="Times New Roman" w:hAnsi="Times New Roman"/>
                      <w:color w:val="000000"/>
                      <w:sz w:val="24"/>
                      <w:szCs w:val="24"/>
                      <w:lang w:eastAsia="hr-HR"/>
                    </w:rPr>
                    <w:t xml:space="preserve"> (normativno rješenje)</w:t>
                  </w:r>
                </w:p>
              </w:tc>
              <w:tc>
                <w:tcPr>
                  <w:tcW w:w="258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6F5D19">
                  <w:pPr>
                    <w:spacing w:after="0" w:line="240" w:lineRule="auto"/>
                    <w:jc w:val="both"/>
                    <w:rPr>
                      <w:rFonts w:ascii="Times New Roman" w:hAnsi="Times New Roman"/>
                      <w:color w:val="000000"/>
                      <w:sz w:val="24"/>
                      <w:szCs w:val="24"/>
                      <w:lang w:eastAsia="hr-HR"/>
                    </w:rPr>
                  </w:pPr>
                </w:p>
                <w:p w:rsidR="002B2694" w:rsidRPr="007939FC" w:rsidRDefault="002B2694" w:rsidP="006F5D19">
                  <w:pPr>
                    <w:spacing w:after="0" w:line="240" w:lineRule="auto"/>
                    <w:jc w:val="both"/>
                    <w:rPr>
                      <w:rFonts w:ascii="Times New Roman" w:hAnsi="Times New Roman"/>
                      <w:color w:val="000000"/>
                      <w:sz w:val="24"/>
                      <w:szCs w:val="24"/>
                      <w:lang w:eastAsia="hr-HR"/>
                    </w:rPr>
                  </w:pPr>
                  <w:r w:rsidRPr="007939FC">
                    <w:rPr>
                      <w:rFonts w:ascii="Times New Roman" w:hAnsi="Times New Roman"/>
                      <w:color w:val="000000"/>
                      <w:sz w:val="24"/>
                      <w:szCs w:val="24"/>
                      <w:lang w:eastAsia="hr-HR"/>
                    </w:rPr>
                    <w:t>Ne razmatra se</w:t>
                  </w:r>
                </w:p>
                <w:p w:rsidR="002B2694" w:rsidRPr="007939FC" w:rsidRDefault="002B2694" w:rsidP="00EC5EF0">
                  <w:pPr>
                    <w:spacing w:after="0" w:line="240" w:lineRule="auto"/>
                    <w:jc w:val="both"/>
                    <w:rPr>
                      <w:rFonts w:ascii="Times New Roman" w:hAnsi="Times New Roman"/>
                      <w:color w:val="000000"/>
                      <w:sz w:val="24"/>
                      <w:szCs w:val="24"/>
                      <w:lang w:eastAsia="hr-HR"/>
                    </w:rPr>
                  </w:pPr>
                </w:p>
              </w:tc>
              <w:tc>
                <w:tcPr>
                  <w:tcW w:w="293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after="0" w:line="240" w:lineRule="auto"/>
                    <w:jc w:val="both"/>
                    <w:rPr>
                      <w:rFonts w:ascii="Times New Roman" w:hAnsi="Times New Roman"/>
                      <w:color w:val="000000"/>
                      <w:sz w:val="24"/>
                      <w:szCs w:val="24"/>
                      <w:lang w:eastAsia="hr-HR"/>
                    </w:rPr>
                  </w:pPr>
                </w:p>
                <w:p w:rsidR="002B2694" w:rsidRPr="007939FC" w:rsidRDefault="002B2694" w:rsidP="009372F4">
                  <w:pPr>
                    <w:spacing w:after="0" w:line="240" w:lineRule="auto"/>
                    <w:jc w:val="both"/>
                    <w:rPr>
                      <w:rFonts w:ascii="Times New Roman" w:hAnsi="Times New Roman"/>
                      <w:color w:val="000000"/>
                      <w:sz w:val="24"/>
                      <w:szCs w:val="24"/>
                      <w:lang w:eastAsia="hr-HR"/>
                    </w:rPr>
                  </w:pPr>
                  <w:r w:rsidRPr="007939FC">
                    <w:rPr>
                      <w:rFonts w:ascii="Times New Roman" w:hAnsi="Times New Roman"/>
                      <w:color w:val="000000"/>
                      <w:sz w:val="24"/>
                      <w:szCs w:val="24"/>
                      <w:lang w:eastAsia="hr-HR"/>
                    </w:rPr>
                    <w:t>Ne razmatra se</w:t>
                  </w:r>
                </w:p>
                <w:p w:rsidR="002B2694" w:rsidRPr="007939FC" w:rsidRDefault="002B2694" w:rsidP="009372F4">
                  <w:pPr>
                    <w:spacing w:after="0" w:line="240" w:lineRule="auto"/>
                    <w:jc w:val="both"/>
                    <w:rPr>
                      <w:rFonts w:ascii="Times New Roman" w:hAnsi="Times New Roman"/>
                      <w:color w:val="000000"/>
                      <w:sz w:val="24"/>
                      <w:szCs w:val="24"/>
                      <w:lang w:eastAsia="hr-HR"/>
                    </w:rPr>
                  </w:pPr>
                </w:p>
                <w:p w:rsidR="002B2694" w:rsidRPr="007939FC" w:rsidRDefault="002B2694" w:rsidP="009372F4">
                  <w:pPr>
                    <w:spacing w:after="0" w:line="240" w:lineRule="auto"/>
                    <w:jc w:val="both"/>
                    <w:rPr>
                      <w:rFonts w:ascii="Times New Roman" w:hAnsi="Times New Roman"/>
                      <w:color w:val="000000"/>
                      <w:sz w:val="24"/>
                      <w:szCs w:val="24"/>
                      <w:lang w:eastAsia="hr-HR"/>
                    </w:rPr>
                  </w:pPr>
                </w:p>
              </w:tc>
            </w:tr>
            <w:tr w:rsidR="002B2694" w:rsidRPr="007939FC" w:rsidTr="001A7B8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Opcija 4:</w:t>
                  </w:r>
                  <w:r w:rsidRPr="007939FC">
                    <w:rPr>
                      <w:rFonts w:ascii="Times New Roman" w:hAnsi="Times New Roman"/>
                      <w:color w:val="000000"/>
                      <w:sz w:val="24"/>
                      <w:szCs w:val="24"/>
                      <w:lang w:eastAsia="hr-HR"/>
                    </w:rPr>
                    <w:t xml:space="preserve"> (normativno rješenje)</w:t>
                  </w:r>
                </w:p>
              </w:tc>
              <w:tc>
                <w:tcPr>
                  <w:tcW w:w="258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CD4DC0">
                  <w:pPr>
                    <w:spacing w:after="0" w:line="240" w:lineRule="auto"/>
                    <w:rPr>
                      <w:rFonts w:ascii="Times New Roman" w:hAnsi="Times New Roman"/>
                      <w:color w:val="000000"/>
                      <w:sz w:val="24"/>
                      <w:szCs w:val="24"/>
                      <w:lang w:eastAsia="hr-HR"/>
                    </w:rPr>
                  </w:pPr>
                  <w:r w:rsidRPr="007939FC">
                    <w:rPr>
                      <w:rFonts w:ascii="Times New Roman" w:hAnsi="Times New Roman"/>
                      <w:color w:val="000000"/>
                      <w:sz w:val="24"/>
                      <w:szCs w:val="24"/>
                      <w:lang w:eastAsia="hr-HR"/>
                    </w:rPr>
                    <w:t>Normativno rješenje zahtijeva donošenje Zakona kojim će se omogućiti provedba Uredbe Europske unije.</w:t>
                  </w:r>
                </w:p>
                <w:p w:rsidR="002B2694" w:rsidRPr="007939FC" w:rsidRDefault="002B2694" w:rsidP="00D667F3">
                  <w:pPr>
                    <w:spacing w:after="0" w:line="240" w:lineRule="auto"/>
                    <w:rPr>
                      <w:rFonts w:ascii="Times New Roman" w:hAnsi="Times New Roman"/>
                      <w:color w:val="000000"/>
                      <w:sz w:val="24"/>
                      <w:szCs w:val="24"/>
                      <w:vertAlign w:val="subscript"/>
                      <w:lang w:eastAsia="hr-HR"/>
                    </w:rPr>
                  </w:pPr>
                  <w:r w:rsidRPr="007939FC">
                    <w:rPr>
                      <w:rFonts w:ascii="Times New Roman" w:hAnsi="Times New Roman"/>
                      <w:color w:val="000000"/>
                      <w:sz w:val="24"/>
                      <w:szCs w:val="24"/>
                      <w:lang w:eastAsia="hr-HR"/>
                    </w:rPr>
                    <w:t xml:space="preserve">Normativno rješenje će </w:t>
                  </w:r>
                  <w:r w:rsidR="00FE0572" w:rsidRPr="007939FC">
                    <w:rPr>
                      <w:rFonts w:ascii="Times New Roman" w:hAnsi="Times New Roman"/>
                      <w:color w:val="000000"/>
                      <w:sz w:val="24"/>
                      <w:szCs w:val="24"/>
                      <w:lang w:eastAsia="hr-HR"/>
                    </w:rPr>
                    <w:t xml:space="preserve"> uspostaviti </w:t>
                  </w:r>
                  <w:r w:rsidR="00D667F3" w:rsidRPr="007939FC">
                    <w:rPr>
                      <w:rFonts w:ascii="Times New Roman" w:hAnsi="Times New Roman"/>
                      <w:color w:val="000000"/>
                      <w:sz w:val="24"/>
                      <w:szCs w:val="24"/>
                      <w:lang w:eastAsia="hr-HR"/>
                    </w:rPr>
                    <w:t>učinkovit sustav praćenja i izvješćivanja</w:t>
                  </w:r>
                  <w:r w:rsidR="00FE0572" w:rsidRPr="007939FC">
                    <w:rPr>
                      <w:rFonts w:ascii="Times New Roman" w:hAnsi="Times New Roman"/>
                      <w:color w:val="000000"/>
                      <w:sz w:val="24"/>
                      <w:szCs w:val="24"/>
                      <w:lang w:eastAsia="hr-HR"/>
                    </w:rPr>
                    <w:t xml:space="preserve"> o emisijama CO</w:t>
                  </w:r>
                  <w:r w:rsidR="00FE0572" w:rsidRPr="007939FC">
                    <w:rPr>
                      <w:rFonts w:ascii="Times New Roman" w:hAnsi="Times New Roman"/>
                      <w:color w:val="000000"/>
                      <w:sz w:val="24"/>
                      <w:szCs w:val="24"/>
                      <w:vertAlign w:val="subscript"/>
                      <w:lang w:eastAsia="hr-HR"/>
                    </w:rPr>
                    <w:t>2</w:t>
                  </w:r>
                  <w:r w:rsidR="00D667F3" w:rsidRPr="007939FC">
                    <w:rPr>
                      <w:rFonts w:ascii="Times New Roman" w:hAnsi="Times New Roman"/>
                      <w:color w:val="000000"/>
                      <w:sz w:val="24"/>
                      <w:szCs w:val="24"/>
                      <w:lang w:eastAsia="hr-HR"/>
                    </w:rPr>
                    <w:t xml:space="preserve"> iz pomorskog prometa.</w:t>
                  </w:r>
                </w:p>
              </w:tc>
              <w:tc>
                <w:tcPr>
                  <w:tcW w:w="293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0B4948" w:rsidRPr="007939FC" w:rsidRDefault="000B4948" w:rsidP="00934763">
                  <w:pPr>
                    <w:pStyle w:val="StandardWeb"/>
                  </w:pPr>
                  <w:r w:rsidRPr="007939FC">
                    <w:t xml:space="preserve">Očekuje se da će uvođenje sustava praćenja, izvješćivanja i verifikacije potaknuti smanjenje emisija do 2 % u usporedbi s uobičajenim poslovanjem i ukupnim smanjenjem neto troškova do 1,2 milijarde EUR do 2030. godine jer bi se time moglo doprinijeti uklanjanju tržišnih prepreka, posebno onih u vezi s nedostatkom informacija o učinkovitosti brodova, pružanjem usporedivih i pouzdanih informacija relevantnim tržištima o potrošnji goriva i energetskoj učinkovitosti. </w:t>
                  </w:r>
                </w:p>
                <w:p w:rsidR="002B2694" w:rsidRPr="007939FC" w:rsidRDefault="002B2694" w:rsidP="00EC5EF0">
                  <w:pPr>
                    <w:spacing w:after="0" w:line="240" w:lineRule="auto"/>
                    <w:rPr>
                      <w:rFonts w:ascii="Times New Roman" w:hAnsi="Times New Roman"/>
                      <w:color w:val="000000"/>
                      <w:sz w:val="24"/>
                      <w:szCs w:val="24"/>
                      <w:lang w:eastAsia="hr-HR"/>
                    </w:rPr>
                  </w:pPr>
                </w:p>
              </w:tc>
            </w:tr>
          </w:tbl>
          <w:p w:rsidR="002B2694" w:rsidRPr="007939FC" w:rsidRDefault="002B2694" w:rsidP="009372F4">
            <w:pPr>
              <w:spacing w:after="0" w:line="240" w:lineRule="auto"/>
              <w:jc w:val="both"/>
              <w:rPr>
                <w:rFonts w:ascii="Times New Roman" w:hAnsi="Times New Roman"/>
                <w:color w:val="000000"/>
                <w:sz w:val="24"/>
                <w:szCs w:val="24"/>
                <w:lang w:eastAsia="hr-HR"/>
              </w:rPr>
            </w:pPr>
          </w:p>
        </w:tc>
      </w:tr>
    </w:tbl>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UPUTA: Ovaj dio Iskaza popunjava se pri ažuriranju Nacrta prijedloga iskaza, a nakon provedenog savjetovanja i ponovno se ažurira nakon javne rasprave kod izrade Prijedloga iskaza</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162"/>
      </w:tblGrid>
      <w:tr w:rsidR="002B2694" w:rsidRPr="007939FC" w:rsidTr="00854A9B">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5. SAVJETOVANJE</w:t>
            </w:r>
          </w:p>
        </w:tc>
      </w:tr>
      <w:tr w:rsidR="002B2694" w:rsidRPr="007939FC" w:rsidTr="00854A9B">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331864" w:rsidRPr="007939FC" w:rsidRDefault="00331864" w:rsidP="00331864">
            <w:pPr>
              <w:spacing w:after="0" w:line="240" w:lineRule="auto"/>
              <w:jc w:val="both"/>
              <w:rPr>
                <w:rFonts w:ascii="Times New Roman" w:hAnsi="Times New Roman"/>
                <w:sz w:val="24"/>
                <w:szCs w:val="24"/>
                <w:lang w:eastAsia="hr-HR"/>
              </w:rPr>
            </w:pPr>
            <w:r w:rsidRPr="007939FC">
              <w:rPr>
                <w:rFonts w:ascii="Times New Roman" w:hAnsi="Times New Roman"/>
                <w:iCs/>
                <w:color w:val="000000"/>
                <w:sz w:val="24"/>
                <w:szCs w:val="24"/>
                <w:lang w:eastAsia="hr-HR"/>
              </w:rPr>
              <w:t xml:space="preserve">Tijekom razdoblja od 15. ožujka do 15. travnja 2016. godine Nacrt prijedloga </w:t>
            </w:r>
            <w:r w:rsidRPr="007939FC">
              <w:rPr>
                <w:rFonts w:ascii="Times New Roman" w:hAnsi="Times New Roman"/>
                <w:color w:val="000000"/>
                <w:sz w:val="24"/>
                <w:szCs w:val="24"/>
                <w:lang w:eastAsia="hr-HR"/>
              </w:rPr>
              <w:t xml:space="preserve">iskaza o procjeni učinaka </w:t>
            </w:r>
            <w:r w:rsidRPr="007939FC">
              <w:rPr>
                <w:rFonts w:ascii="Times New Roman" w:hAnsi="Times New Roman"/>
                <w:sz w:val="24"/>
                <w:szCs w:val="24"/>
                <w:lang w:eastAsia="hr-HR"/>
              </w:rPr>
              <w:t xml:space="preserve">propisa za Nacrt prijedloga </w:t>
            </w:r>
            <w:r w:rsidRPr="007939FC">
              <w:rPr>
                <w:rFonts w:ascii="Times New Roman" w:hAnsi="Times New Roman"/>
              </w:rPr>
              <w:t xml:space="preserve">Uredbe </w:t>
            </w:r>
            <w:r w:rsidRPr="007939FC">
              <w:rPr>
                <w:rFonts w:ascii="Times New Roman" w:hAnsi="Times New Roman"/>
                <w:bCs/>
              </w:rPr>
              <w:t xml:space="preserve">(EU) br. </w:t>
            </w:r>
            <w:r w:rsidRPr="007939FC">
              <w:rPr>
                <w:rFonts w:ascii="Times New Roman" w:hAnsi="Times New Roman"/>
              </w:rPr>
              <w:t xml:space="preserve">2015/757 Europskog parlamenta i Vijeća od 29. travnja 2015. o praćenju emisija ugljikova dioksida iz pomorskog prometa, izvješćivanju o njima i njihovoj verifikaciji te o izmjeni Direktive 2009/16/EZ </w:t>
            </w:r>
            <w:r w:rsidRPr="007939FC">
              <w:rPr>
                <w:rFonts w:ascii="Times New Roman" w:hAnsi="Times New Roman"/>
                <w:sz w:val="24"/>
                <w:szCs w:val="24"/>
                <w:lang w:eastAsia="hr-HR"/>
              </w:rPr>
              <w:t xml:space="preserve">bio je javno dostupan na internetskim stranicama e- savjetovanje te je bio dostavljen i na mišljenje središnjim tijelima državne uprave nadležnim za poslove </w:t>
            </w:r>
            <w:r w:rsidR="00277F65" w:rsidRPr="007939FC">
              <w:rPr>
                <w:rFonts w:ascii="Times New Roman" w:hAnsi="Times New Roman"/>
                <w:sz w:val="24"/>
                <w:szCs w:val="24"/>
                <w:lang w:eastAsia="hr-HR"/>
              </w:rPr>
              <w:t xml:space="preserve">pomorstva, prometa i infrastrukture </w:t>
            </w:r>
            <w:r w:rsidRPr="007939FC">
              <w:rPr>
                <w:rFonts w:ascii="Times New Roman" w:hAnsi="Times New Roman"/>
                <w:sz w:val="24"/>
                <w:szCs w:val="24"/>
                <w:lang w:eastAsia="hr-HR"/>
              </w:rPr>
              <w:t>gospodarstva, zdravlja, socijalne skrbi, financija, Hrvatskoj udruzi poslodavaca, Hrvatsk</w:t>
            </w:r>
            <w:r w:rsidR="00277F65" w:rsidRPr="007939FC">
              <w:rPr>
                <w:rFonts w:ascii="Times New Roman" w:hAnsi="Times New Roman"/>
                <w:sz w:val="24"/>
                <w:szCs w:val="24"/>
                <w:lang w:eastAsia="hr-HR"/>
              </w:rPr>
              <w:t xml:space="preserve">oj </w:t>
            </w:r>
            <w:r w:rsidR="00277F65" w:rsidRPr="007939FC">
              <w:rPr>
                <w:rFonts w:ascii="Times New Roman" w:hAnsi="Times New Roman"/>
                <w:sz w:val="24"/>
                <w:szCs w:val="24"/>
                <w:lang w:eastAsia="hr-HR"/>
              </w:rPr>
              <w:lastRenderedPageBreak/>
              <w:t>agenciji za okoliš i prirodu i</w:t>
            </w:r>
            <w:r w:rsidRPr="007939FC">
              <w:rPr>
                <w:rFonts w:ascii="Times New Roman" w:hAnsi="Times New Roman"/>
                <w:sz w:val="24"/>
                <w:szCs w:val="24"/>
                <w:lang w:eastAsia="hr-HR"/>
              </w:rPr>
              <w:t xml:space="preserve"> Agenciji za zaštitu tržišnog natjecanja.</w:t>
            </w:r>
          </w:p>
          <w:p w:rsidR="00277F65" w:rsidRPr="007939FC" w:rsidRDefault="00277F65" w:rsidP="00277F65">
            <w:pPr>
              <w:spacing w:before="100" w:beforeAutospacing="1" w:after="100" w:afterAutospacing="1" w:line="240" w:lineRule="auto"/>
              <w:jc w:val="both"/>
              <w:rPr>
                <w:rFonts w:ascii="Times New Roman" w:hAnsi="Times New Roman"/>
                <w:iCs/>
                <w:color w:val="000000"/>
                <w:sz w:val="24"/>
                <w:szCs w:val="24"/>
                <w:lang w:eastAsia="hr-HR"/>
              </w:rPr>
            </w:pPr>
            <w:r w:rsidRPr="007939FC">
              <w:rPr>
                <w:rFonts w:ascii="Times New Roman" w:hAnsi="Times New Roman"/>
                <w:sz w:val="24"/>
                <w:szCs w:val="24"/>
                <w:lang w:eastAsia="hr-HR"/>
              </w:rPr>
              <w:t>P</w:t>
            </w:r>
            <w:r w:rsidRPr="007939FC">
              <w:rPr>
                <w:rFonts w:ascii="Times New Roman" w:hAnsi="Times New Roman"/>
                <w:iCs/>
                <w:color w:val="000000"/>
                <w:sz w:val="24"/>
                <w:szCs w:val="24"/>
                <w:lang w:eastAsia="hr-HR"/>
              </w:rPr>
              <w:t>rimjedbi na Nacrt iskaza nije bilo.</w:t>
            </w:r>
          </w:p>
          <w:p w:rsidR="002B2694" w:rsidRPr="007939FC" w:rsidRDefault="00277F65" w:rsidP="00277F65">
            <w:pPr>
              <w:spacing w:after="0" w:line="240" w:lineRule="auto"/>
              <w:jc w:val="both"/>
              <w:rPr>
                <w:rFonts w:ascii="Times New Roman" w:hAnsi="Times New Roman"/>
                <w:sz w:val="24"/>
                <w:szCs w:val="24"/>
                <w:lang w:eastAsia="hr-HR"/>
              </w:rPr>
            </w:pPr>
            <w:r w:rsidRPr="007939FC">
              <w:rPr>
                <w:rFonts w:ascii="Times New Roman" w:hAnsi="Times New Roman"/>
                <w:iCs/>
                <w:color w:val="000000"/>
                <w:sz w:val="24"/>
                <w:szCs w:val="24"/>
                <w:lang w:eastAsia="hr-HR"/>
              </w:rPr>
              <w:t>Nakon provedenog savjetovanja odlučeno je da se izabere opcija normativnog rješenja kojom se krenulo u izradu Nacrta prijedloga Zakona</w:t>
            </w:r>
          </w:p>
        </w:tc>
      </w:tr>
    </w:tbl>
    <w:p w:rsidR="002B2694" w:rsidRPr="007939FC" w:rsidRDefault="002B2694" w:rsidP="009372F4">
      <w:pPr>
        <w:spacing w:line="240" w:lineRule="auto"/>
        <w:jc w:val="both"/>
        <w:rPr>
          <w:rFonts w:ascii="Times New Roman" w:hAnsi="Times New Roman"/>
          <w:vanish/>
          <w:color w:val="000000"/>
          <w:sz w:val="24"/>
          <w:szCs w:val="24"/>
          <w:lang w:eastAsia="hr-HR"/>
        </w:rPr>
      </w:pPr>
    </w:p>
    <w:p w:rsidR="00BE74BC" w:rsidRPr="007939FC" w:rsidRDefault="00BE74BC" w:rsidP="009372F4">
      <w:pPr>
        <w:spacing w:line="240" w:lineRule="auto"/>
        <w:jc w:val="both"/>
        <w:rPr>
          <w:rFonts w:ascii="Times New Roman" w:hAnsi="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162"/>
      </w:tblGrid>
      <w:tr w:rsidR="002B2694" w:rsidRPr="007939FC" w:rsidTr="00854A9B">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6. PREPORUČENA OPCIJA</w:t>
            </w:r>
          </w:p>
        </w:tc>
      </w:tr>
      <w:tr w:rsidR="002B2694" w:rsidRPr="007939FC" w:rsidTr="00854A9B">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7F65" w:rsidRPr="007939FC" w:rsidRDefault="00277F65" w:rsidP="00277F65">
            <w:pPr>
              <w:spacing w:before="100" w:beforeAutospacing="1" w:after="100" w:afterAutospacing="1" w:line="240" w:lineRule="auto"/>
              <w:jc w:val="both"/>
              <w:rPr>
                <w:rFonts w:ascii="Times New Roman" w:hAnsi="Times New Roman"/>
                <w:iCs/>
                <w:color w:val="000000"/>
                <w:sz w:val="24"/>
                <w:szCs w:val="24"/>
                <w:lang w:eastAsia="hr-HR"/>
              </w:rPr>
            </w:pPr>
            <w:r w:rsidRPr="007939FC">
              <w:rPr>
                <w:rFonts w:ascii="Times New Roman" w:hAnsi="Times New Roman"/>
                <w:iCs/>
                <w:color w:val="000000"/>
                <w:sz w:val="24"/>
                <w:szCs w:val="24"/>
                <w:lang w:eastAsia="hr-HR"/>
              </w:rPr>
              <w:t>Nakon provedenog savjetovanja odlučeno je da se izabere opcija normativnog rješenja. Ministarstvo zaštite okoliša i prirode je kao stručni nositelj izradilo Nacrt prijedloga Zakona.</w:t>
            </w:r>
          </w:p>
          <w:p w:rsidR="00277F65" w:rsidRPr="007939FC" w:rsidRDefault="00277F65" w:rsidP="00277F65">
            <w:pPr>
              <w:spacing w:after="0" w:line="240" w:lineRule="auto"/>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Opcija 4:</w:t>
            </w:r>
            <w:r w:rsidRPr="007939FC">
              <w:rPr>
                <w:rFonts w:ascii="Times New Roman" w:hAnsi="Times New Roman"/>
                <w:color w:val="000000"/>
                <w:sz w:val="24"/>
                <w:szCs w:val="24"/>
                <w:lang w:eastAsia="hr-HR"/>
              </w:rPr>
              <w:t xml:space="preserve"> Normativno rješenje zahtijeva donošenje Zakona kojim će se omogućiti provedba Uredbe Europske unije.</w:t>
            </w:r>
          </w:p>
          <w:p w:rsidR="002B2694" w:rsidRPr="007939FC" w:rsidRDefault="00277F65" w:rsidP="009372F4">
            <w:pPr>
              <w:spacing w:before="100" w:beforeAutospacing="1" w:after="100" w:afterAutospacing="1" w:line="240" w:lineRule="auto"/>
              <w:jc w:val="both"/>
              <w:rPr>
                <w:rFonts w:ascii="Times New Roman" w:hAnsi="Times New Roman"/>
                <w:iCs/>
                <w:color w:val="000000"/>
                <w:sz w:val="24"/>
                <w:szCs w:val="24"/>
                <w:lang w:eastAsia="hr-HR"/>
              </w:rPr>
            </w:pPr>
            <w:r w:rsidRPr="007939FC">
              <w:rPr>
                <w:rFonts w:ascii="Times New Roman" w:hAnsi="Times New Roman"/>
                <w:color w:val="000000"/>
                <w:sz w:val="24"/>
                <w:szCs w:val="24"/>
                <w:lang w:eastAsia="hr-HR"/>
              </w:rPr>
              <w:t>Normativno rješenje neće imati dodatni financijski učinak na državni proračun.</w:t>
            </w:r>
          </w:p>
        </w:tc>
      </w:tr>
    </w:tbl>
    <w:p w:rsidR="002B2694" w:rsidRPr="007939FC" w:rsidRDefault="002B2694" w:rsidP="009372F4">
      <w:pPr>
        <w:spacing w:line="240" w:lineRule="auto"/>
        <w:jc w:val="both"/>
        <w:rPr>
          <w:rFonts w:ascii="Times New Roman" w:hAnsi="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162"/>
      </w:tblGrid>
      <w:tr w:rsidR="002B2694" w:rsidRPr="007939FC" w:rsidTr="00803C40">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7. PRAĆENJE PROVEDBE I EVALUACIJA</w:t>
            </w:r>
          </w:p>
        </w:tc>
      </w:tr>
      <w:tr w:rsidR="002B2694" w:rsidRPr="007939FC" w:rsidTr="00803C40">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77F65" w:rsidP="00277F65">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color w:val="000000"/>
                <w:sz w:val="24"/>
                <w:szCs w:val="24"/>
                <w:lang w:eastAsia="hr-HR"/>
              </w:rPr>
              <w:t>Nacrtom prijedloga Zakona propisano je Ministarstvo zaštite okoliša i prirode i Ministarstvo pomorstva, prometa i infrastrukture kao nadležna tijela državne uprave za provedbu i nadzor provedbe uredbe Europske unije. za područje zaštite, Hrvatska akreditacijska agencija Hrvatska agencija za okoliš i prirodu). Nacrtom prijedloga Zakona definirane su i nadležnosti Hrvatske akreditacijske agencije i Hrvatske agencije za okoliš i prirodu.</w:t>
            </w:r>
          </w:p>
        </w:tc>
      </w:tr>
    </w:tbl>
    <w:p w:rsidR="002B2694" w:rsidRPr="007939FC" w:rsidRDefault="002B2694" w:rsidP="009372F4">
      <w:pPr>
        <w:spacing w:line="240" w:lineRule="auto"/>
        <w:jc w:val="both"/>
        <w:rPr>
          <w:rFonts w:ascii="Times New Roman" w:hAnsi="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162"/>
      </w:tblGrid>
      <w:tr w:rsidR="002B2694" w:rsidRPr="007939FC" w:rsidTr="00803C40">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2B2694" w:rsidP="009372F4">
            <w:pPr>
              <w:spacing w:before="100" w:beforeAutospacing="1" w:after="100" w:afterAutospacing="1" w:line="240" w:lineRule="auto"/>
              <w:jc w:val="both"/>
              <w:rPr>
                <w:rFonts w:ascii="Times New Roman" w:hAnsi="Times New Roman"/>
                <w:color w:val="000000"/>
                <w:sz w:val="24"/>
                <w:szCs w:val="24"/>
                <w:lang w:eastAsia="hr-HR"/>
              </w:rPr>
            </w:pPr>
            <w:r w:rsidRPr="007939FC">
              <w:rPr>
                <w:rFonts w:ascii="Times New Roman" w:hAnsi="Times New Roman"/>
                <w:b/>
                <w:bCs/>
                <w:color w:val="000000"/>
                <w:sz w:val="24"/>
                <w:szCs w:val="24"/>
                <w:lang w:eastAsia="hr-HR"/>
              </w:rPr>
              <w:t xml:space="preserve">8. PRILOZI </w:t>
            </w:r>
          </w:p>
        </w:tc>
      </w:tr>
      <w:tr w:rsidR="002B2694" w:rsidRPr="007939FC" w:rsidTr="00803C40">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B2694" w:rsidRPr="007939FC" w:rsidRDefault="00B548F9" w:rsidP="00721246">
            <w:pPr>
              <w:pStyle w:val="Odlomakpopisa"/>
              <w:ind w:left="0"/>
              <w:jc w:val="both"/>
              <w:rPr>
                <w:rFonts w:ascii="Times New Roman" w:hAnsi="Times New Roman"/>
                <w:sz w:val="24"/>
                <w:szCs w:val="24"/>
              </w:rPr>
            </w:pPr>
            <w:r w:rsidRPr="007939FC">
              <w:rPr>
                <w:rFonts w:ascii="Times New Roman" w:hAnsi="Times New Roman"/>
                <w:iCs/>
                <w:color w:val="000000"/>
                <w:sz w:val="24"/>
                <w:szCs w:val="24"/>
                <w:lang w:eastAsia="hr-HR"/>
              </w:rPr>
              <w:t xml:space="preserve">TEZE O SADRŽAJU PROPISA za </w:t>
            </w:r>
            <w:r w:rsidRPr="007939FC">
              <w:rPr>
                <w:rFonts w:ascii="Times New Roman" w:hAnsi="Times New Roman"/>
                <w:sz w:val="24"/>
                <w:szCs w:val="24"/>
              </w:rPr>
              <w:t>Zakon o provedbi Uredbe EU br</w:t>
            </w:r>
            <w:r w:rsidRPr="007939FC">
              <w:rPr>
                <w:rFonts w:ascii="Times New Roman" w:hAnsi="Times New Roman"/>
                <w:iCs/>
                <w:color w:val="000000"/>
                <w:sz w:val="24"/>
                <w:szCs w:val="24"/>
                <w:lang w:eastAsia="hr-HR"/>
              </w:rPr>
              <w:t>.</w:t>
            </w:r>
            <w:r w:rsidRPr="007939FC">
              <w:rPr>
                <w:rFonts w:ascii="Times New Roman" w:hAnsi="Times New Roman"/>
                <w:sz w:val="24"/>
                <w:szCs w:val="24"/>
              </w:rPr>
              <w:t xml:space="preserve"> (EU) 2015/757 Europskog parlamenta i vijeća od 29. travnja 2015. o praćenju emisija ugljikova dioksida iz pomorskog prometa, izvješćivanju o njima i njihovoj verifikaciji te o izmjeni direktive 2009/16/EZ.</w:t>
            </w:r>
          </w:p>
        </w:tc>
      </w:tr>
      <w:tr w:rsidR="00D33097" w:rsidRPr="007939FC" w:rsidTr="00803C40">
        <w:trPr>
          <w:tblCellSpacing w:w="15" w:type="dxa"/>
        </w:trPr>
        <w:tc>
          <w:tcPr>
            <w:tcW w:w="910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D33097" w:rsidRPr="007939FC" w:rsidRDefault="00D33097" w:rsidP="00B548F9">
            <w:pPr>
              <w:pStyle w:val="Odlomakpopisa"/>
              <w:ind w:left="0"/>
              <w:jc w:val="both"/>
              <w:rPr>
                <w:rFonts w:ascii="Times New Roman" w:hAnsi="Times New Roman"/>
                <w:iCs/>
                <w:color w:val="000000"/>
                <w:sz w:val="24"/>
                <w:szCs w:val="24"/>
                <w:lang w:eastAsia="hr-HR"/>
              </w:rPr>
            </w:pPr>
          </w:p>
        </w:tc>
      </w:tr>
    </w:tbl>
    <w:p w:rsidR="007939FC" w:rsidRPr="00DF2CA2" w:rsidRDefault="007939FC" w:rsidP="007939FC">
      <w:pPr>
        <w:jc w:val="center"/>
        <w:rPr>
          <w:rFonts w:ascii="Times New Roman" w:hAnsi="Times New Roman"/>
          <w:sz w:val="24"/>
        </w:rPr>
      </w:pPr>
      <w:r w:rsidRPr="00DF2CA2">
        <w:rPr>
          <w:rFonts w:ascii="Times New Roman" w:hAnsi="Times New Roman"/>
          <w:sz w:val="24"/>
        </w:rPr>
        <w:t>TEZE O SADRŽAJU PROPISA</w:t>
      </w:r>
    </w:p>
    <w:p w:rsidR="007939FC" w:rsidRPr="00D7327D" w:rsidRDefault="007939FC" w:rsidP="007939FC">
      <w:pPr>
        <w:pStyle w:val="Default"/>
        <w:jc w:val="center"/>
        <w:rPr>
          <w:rFonts w:ascii="Times New Roman" w:hAnsi="Times New Roman" w:cs="Times New Roman"/>
          <w:b/>
        </w:rPr>
      </w:pPr>
      <w:r w:rsidRPr="00D7327D">
        <w:rPr>
          <w:rFonts w:ascii="Times New Roman" w:hAnsi="Times New Roman" w:cs="Times New Roman"/>
          <w:b/>
          <w:bCs/>
        </w:rPr>
        <w:t>za Nacrt prijedloga zakona o provedbi Uredbe (EU) 2015/757 Europskog parlamenta i Vijeća od 29. travnja 2015. o praćenju emisija ugljikova dioksida iz pomorskog prometa, izvješćivanju o njima i njihovoj verifikaciji te o izmjeni Direktive 2009/16/EZ</w:t>
      </w:r>
    </w:p>
    <w:p w:rsidR="007939FC" w:rsidRPr="007D76FD" w:rsidRDefault="007939FC" w:rsidP="007939FC">
      <w:pPr>
        <w:jc w:val="center"/>
        <w:rPr>
          <w:b/>
        </w:rPr>
      </w:pPr>
    </w:p>
    <w:p w:rsidR="007939FC" w:rsidRPr="00DF2CA2" w:rsidRDefault="007939FC" w:rsidP="007939FC">
      <w:pPr>
        <w:jc w:val="both"/>
        <w:rPr>
          <w:rFonts w:ascii="Times New Roman" w:hAnsi="Times New Roman"/>
        </w:rPr>
      </w:pPr>
      <w:r w:rsidRPr="00DF2CA2">
        <w:rPr>
          <w:rFonts w:ascii="Times New Roman" w:hAnsi="Times New Roman"/>
        </w:rPr>
        <w:t>Na globalnoj razini, emisije iz brodova su vrlo veliki, a ujedno i rastući izvor stakleničkih plinova (većim dijelom CO</w:t>
      </w:r>
      <w:r w:rsidRPr="00DF2CA2">
        <w:rPr>
          <w:rFonts w:ascii="Times New Roman" w:hAnsi="Times New Roman"/>
          <w:vertAlign w:val="subscript"/>
        </w:rPr>
        <w:t>2</w:t>
      </w:r>
      <w:r w:rsidRPr="00DF2CA2">
        <w:rPr>
          <w:rFonts w:ascii="Times New Roman" w:hAnsi="Times New Roman"/>
        </w:rPr>
        <w:t xml:space="preserve">) koji uzrokuju klimatske promjene. Europsko vijeće i Europski parlament dogovorili su se 2011. godine kako svi gospodarski sektori moraju doprinijeti smanjenju emisija. </w:t>
      </w:r>
      <w:r w:rsidRPr="00DF2CA2">
        <w:rPr>
          <w:rFonts w:ascii="Times New Roman" w:hAnsi="Times New Roman"/>
        </w:rPr>
        <w:lastRenderedPageBreak/>
        <w:t>Pomorski promet je jedini sektor koji još uvijek nije obuhvaćen mjerama smanjenja emisija stakleničkih plinova.</w:t>
      </w:r>
    </w:p>
    <w:p w:rsidR="007939FC" w:rsidRPr="00DF2CA2" w:rsidRDefault="007939FC" w:rsidP="007939FC">
      <w:pPr>
        <w:jc w:val="both"/>
        <w:rPr>
          <w:rFonts w:ascii="Times New Roman" w:hAnsi="Times New Roman"/>
        </w:rPr>
      </w:pPr>
    </w:p>
    <w:p w:rsidR="007939FC" w:rsidRPr="00DF2CA2" w:rsidRDefault="007939FC" w:rsidP="007939FC">
      <w:pPr>
        <w:jc w:val="both"/>
        <w:rPr>
          <w:rFonts w:ascii="Times New Roman" w:hAnsi="Times New Roman"/>
        </w:rPr>
      </w:pPr>
      <w:r w:rsidRPr="00DF2CA2">
        <w:rPr>
          <w:rFonts w:ascii="Times New Roman" w:hAnsi="Times New Roman"/>
        </w:rPr>
        <w:t xml:space="preserve">Europska komisija je 2011. godine izdala dokument Bijelu knjigu (White </w:t>
      </w:r>
      <w:proofErr w:type="spellStart"/>
      <w:r w:rsidRPr="00DF2CA2">
        <w:rPr>
          <w:rFonts w:ascii="Times New Roman" w:hAnsi="Times New Roman"/>
        </w:rPr>
        <w:t>Paper</w:t>
      </w:r>
      <w:proofErr w:type="spellEnd"/>
      <w:r w:rsidRPr="00DF2CA2">
        <w:rPr>
          <w:rFonts w:ascii="Times New Roman" w:hAnsi="Times New Roman"/>
        </w:rPr>
        <w:t>) o transportu gdje je utvrdila da se emisije iz prometa moraju smanjiti za 40 % (50 % ako je izvedivo) do 2050. godine, u odnosu na razine emisija iz 2005. godine. U 2010. godini ukupne emisije CO</w:t>
      </w:r>
      <w:r w:rsidRPr="00DF2CA2">
        <w:rPr>
          <w:rFonts w:ascii="Times New Roman" w:hAnsi="Times New Roman"/>
          <w:vertAlign w:val="subscript"/>
        </w:rPr>
        <w:t>2</w:t>
      </w:r>
      <w:r w:rsidRPr="00DF2CA2">
        <w:rPr>
          <w:rFonts w:ascii="Times New Roman" w:hAnsi="Times New Roman"/>
        </w:rPr>
        <w:t xml:space="preserve"> vezane uz aktivnosti pomorskog transporta u Europi (koje uključuju rute unutar EU, dolazna putovanja u EU i odlazna putovanja iz EU) su procijenjene na 180 Mt CO</w:t>
      </w:r>
      <w:r w:rsidRPr="00DF2CA2">
        <w:rPr>
          <w:rFonts w:ascii="Times New Roman" w:hAnsi="Times New Roman"/>
          <w:vertAlign w:val="subscript"/>
        </w:rPr>
        <w:t>2</w:t>
      </w:r>
      <w:r w:rsidRPr="00DF2CA2">
        <w:rPr>
          <w:rFonts w:ascii="Times New Roman" w:hAnsi="Times New Roman"/>
        </w:rPr>
        <w:t xml:space="preserve">. Usprkos uvođenju standarda minimalne energetske efikasnosti za određene kategorije novih brodova od 1. siječnja 2013. godine (Indeks dizajna energetske efikasnosti/Energy </w:t>
      </w:r>
      <w:proofErr w:type="spellStart"/>
      <w:r w:rsidRPr="00DF2CA2">
        <w:rPr>
          <w:rFonts w:ascii="Times New Roman" w:hAnsi="Times New Roman"/>
        </w:rPr>
        <w:t>Efficiency</w:t>
      </w:r>
      <w:proofErr w:type="spellEnd"/>
      <w:r w:rsidRPr="00DF2CA2">
        <w:rPr>
          <w:rFonts w:ascii="Times New Roman" w:hAnsi="Times New Roman"/>
        </w:rPr>
        <w:t xml:space="preserve"> </w:t>
      </w:r>
      <w:proofErr w:type="spellStart"/>
      <w:r w:rsidRPr="00DF2CA2">
        <w:rPr>
          <w:rFonts w:ascii="Times New Roman" w:hAnsi="Times New Roman"/>
        </w:rPr>
        <w:t>Design</w:t>
      </w:r>
      <w:proofErr w:type="spellEnd"/>
      <w:r w:rsidRPr="00DF2CA2">
        <w:rPr>
          <w:rFonts w:ascii="Times New Roman" w:hAnsi="Times New Roman"/>
        </w:rPr>
        <w:t xml:space="preserve"> </w:t>
      </w:r>
      <w:proofErr w:type="spellStart"/>
      <w:r w:rsidRPr="00DF2CA2">
        <w:rPr>
          <w:rFonts w:ascii="Times New Roman" w:hAnsi="Times New Roman"/>
        </w:rPr>
        <w:t>Index</w:t>
      </w:r>
      <w:proofErr w:type="spellEnd"/>
      <w:r w:rsidRPr="00DF2CA2">
        <w:rPr>
          <w:rFonts w:ascii="Times New Roman" w:hAnsi="Times New Roman"/>
        </w:rPr>
        <w:t>", EEDI) od strane Međunarodne pomorske organizacije (</w:t>
      </w:r>
      <w:proofErr w:type="spellStart"/>
      <w:r w:rsidRPr="00DF2CA2">
        <w:rPr>
          <w:rFonts w:ascii="Times New Roman" w:hAnsi="Times New Roman"/>
        </w:rPr>
        <w:t>International</w:t>
      </w:r>
      <w:proofErr w:type="spellEnd"/>
      <w:r w:rsidRPr="00DF2CA2">
        <w:rPr>
          <w:rFonts w:ascii="Times New Roman" w:hAnsi="Times New Roman"/>
        </w:rPr>
        <w:t xml:space="preserve"> </w:t>
      </w:r>
      <w:proofErr w:type="spellStart"/>
      <w:r w:rsidRPr="00DF2CA2">
        <w:rPr>
          <w:rFonts w:ascii="Times New Roman" w:hAnsi="Times New Roman"/>
        </w:rPr>
        <w:t>Maritime</w:t>
      </w:r>
      <w:proofErr w:type="spellEnd"/>
      <w:r w:rsidRPr="00DF2CA2">
        <w:rPr>
          <w:rFonts w:ascii="Times New Roman" w:hAnsi="Times New Roman"/>
        </w:rPr>
        <w:t xml:space="preserve"> </w:t>
      </w:r>
      <w:proofErr w:type="spellStart"/>
      <w:r w:rsidRPr="00DF2CA2">
        <w:rPr>
          <w:rFonts w:ascii="Times New Roman" w:hAnsi="Times New Roman"/>
        </w:rPr>
        <w:t>Organisation</w:t>
      </w:r>
      <w:proofErr w:type="spellEnd"/>
      <w:r w:rsidRPr="00DF2CA2">
        <w:rPr>
          <w:rFonts w:ascii="Times New Roman" w:hAnsi="Times New Roman"/>
        </w:rPr>
        <w:t xml:space="preserve"> – IMO) očekuje se rast emisija iz ovog sektora 210 Mt CO</w:t>
      </w:r>
      <w:r w:rsidRPr="00DF2CA2">
        <w:rPr>
          <w:rFonts w:ascii="Times New Roman" w:hAnsi="Times New Roman"/>
          <w:vertAlign w:val="subscript"/>
        </w:rPr>
        <w:t>2</w:t>
      </w:r>
      <w:r w:rsidRPr="00DF2CA2">
        <w:rPr>
          <w:rFonts w:ascii="Times New Roman" w:hAnsi="Times New Roman"/>
        </w:rPr>
        <w:t xml:space="preserve"> do 2020. godine (+8 % u usporedbi s 2005. godinom), 223 Mt CO</w:t>
      </w:r>
      <w:r w:rsidRPr="00DF2CA2">
        <w:rPr>
          <w:rFonts w:ascii="Times New Roman" w:hAnsi="Times New Roman"/>
          <w:vertAlign w:val="subscript"/>
        </w:rPr>
        <w:t>2</w:t>
      </w:r>
      <w:r w:rsidRPr="00DF2CA2">
        <w:rPr>
          <w:rFonts w:ascii="Times New Roman" w:hAnsi="Times New Roman"/>
        </w:rPr>
        <w:t xml:space="preserve"> do 2030. godine (+15% u usporedbi s 2005. godinom) i 271 Mt CO</w:t>
      </w:r>
      <w:r w:rsidRPr="00DF2CA2">
        <w:rPr>
          <w:rFonts w:ascii="Times New Roman" w:hAnsi="Times New Roman"/>
          <w:vertAlign w:val="subscript"/>
        </w:rPr>
        <w:t>2</w:t>
      </w:r>
      <w:r w:rsidRPr="00DF2CA2">
        <w:rPr>
          <w:rFonts w:ascii="Times New Roman" w:hAnsi="Times New Roman"/>
        </w:rPr>
        <w:t xml:space="preserve"> do 2050. godine (+39 % u usporedbi s 2005. godinom). Glavni pokretač ovog rasta je povećana potražnja za pomorskim transportom potaknuta rastom svjetske trgovine.</w:t>
      </w:r>
    </w:p>
    <w:p w:rsidR="007939FC" w:rsidRPr="00DF2CA2" w:rsidRDefault="007939FC" w:rsidP="007939FC">
      <w:pPr>
        <w:jc w:val="both"/>
        <w:rPr>
          <w:rFonts w:ascii="Times New Roman" w:hAnsi="Times New Roman"/>
        </w:rPr>
      </w:pPr>
      <w:r w:rsidRPr="00DF2CA2">
        <w:rPr>
          <w:rFonts w:ascii="Times New Roman" w:hAnsi="Times New Roman"/>
        </w:rPr>
        <w:t>Projicirani rast se očekuje usprkos dostupnim operativnim mjerama i postojećim tehnologijama za smanjenje specifične potrošnje energije i emisija CO</w:t>
      </w:r>
      <w:r w:rsidRPr="00DF2CA2">
        <w:rPr>
          <w:rFonts w:ascii="Times New Roman" w:hAnsi="Times New Roman"/>
          <w:vertAlign w:val="subscript"/>
        </w:rPr>
        <w:t>2</w:t>
      </w:r>
      <w:r w:rsidRPr="00DF2CA2">
        <w:rPr>
          <w:rFonts w:ascii="Times New Roman" w:hAnsi="Times New Roman"/>
        </w:rPr>
        <w:t xml:space="preserve"> iz brodova za 75 % (prema procjenama IMO). Značajni dio ovih mjera može se smatrati troškovno učinkovitim obzirom da smanjena cijena goriva osigurava povrat bilo kakvih operativnih ili investicijskih troškova. Postoji nedostatak pouzdanih informacija efikasnosti brodova u vezi s potrošnjom goriva i u vezi s naknadnim opremanjem brodova u smislu unaprjeđivanja učinkovitosti. </w:t>
      </w:r>
    </w:p>
    <w:p w:rsidR="007939FC" w:rsidRPr="00DF2CA2" w:rsidRDefault="007939FC" w:rsidP="007939FC">
      <w:pPr>
        <w:jc w:val="both"/>
        <w:rPr>
          <w:rFonts w:ascii="Times New Roman" w:hAnsi="Times New Roman"/>
        </w:rPr>
      </w:pPr>
      <w:r w:rsidRPr="00DF2CA2">
        <w:rPr>
          <w:rFonts w:ascii="Times New Roman" w:hAnsi="Times New Roman"/>
        </w:rPr>
        <w:t>Europska komisija je ustvrdila da točna količina emisija iz pomorskog prometa u EU nije poznata zbog nedostatka praćenja i izvješćivanja takvih emisija te potreban razvoj sveobuhvatnog sustava praćenja, izvješćivanja i verifikacije (</w:t>
      </w:r>
      <w:proofErr w:type="spellStart"/>
      <w:r w:rsidRPr="00DF2CA2">
        <w:rPr>
          <w:rFonts w:ascii="Times New Roman" w:hAnsi="Times New Roman"/>
        </w:rPr>
        <w:t>monitoring</w:t>
      </w:r>
      <w:proofErr w:type="spellEnd"/>
      <w:r w:rsidRPr="00DF2CA2">
        <w:rPr>
          <w:rFonts w:ascii="Times New Roman" w:hAnsi="Times New Roman"/>
        </w:rPr>
        <w:t xml:space="preserve">, </w:t>
      </w:r>
      <w:proofErr w:type="spellStart"/>
      <w:r w:rsidRPr="00DF2CA2">
        <w:rPr>
          <w:rFonts w:ascii="Times New Roman" w:hAnsi="Times New Roman"/>
        </w:rPr>
        <w:t>reporting</w:t>
      </w:r>
      <w:proofErr w:type="spellEnd"/>
      <w:r w:rsidRPr="00DF2CA2">
        <w:rPr>
          <w:rFonts w:ascii="Times New Roman" w:hAnsi="Times New Roman"/>
        </w:rPr>
        <w:t xml:space="preserve"> </w:t>
      </w:r>
      <w:proofErr w:type="spellStart"/>
      <w:r w:rsidRPr="00DF2CA2">
        <w:rPr>
          <w:rFonts w:ascii="Times New Roman" w:hAnsi="Times New Roman"/>
        </w:rPr>
        <w:t>and</w:t>
      </w:r>
      <w:proofErr w:type="spellEnd"/>
      <w:r w:rsidRPr="00DF2CA2">
        <w:rPr>
          <w:rFonts w:ascii="Times New Roman" w:hAnsi="Times New Roman"/>
        </w:rPr>
        <w:t xml:space="preserve"> </w:t>
      </w:r>
      <w:proofErr w:type="spellStart"/>
      <w:r w:rsidRPr="00DF2CA2">
        <w:rPr>
          <w:rFonts w:ascii="Times New Roman" w:hAnsi="Times New Roman"/>
        </w:rPr>
        <w:t>verification</w:t>
      </w:r>
      <w:proofErr w:type="spellEnd"/>
      <w:r w:rsidRPr="00DF2CA2">
        <w:rPr>
          <w:rFonts w:ascii="Times New Roman" w:hAnsi="Times New Roman"/>
        </w:rPr>
        <w:t xml:space="preserve"> – MRV) emisija CO</w:t>
      </w:r>
      <w:r w:rsidRPr="00DF2CA2">
        <w:rPr>
          <w:rFonts w:ascii="Times New Roman" w:hAnsi="Times New Roman"/>
          <w:vertAlign w:val="subscript"/>
        </w:rPr>
        <w:t>2</w:t>
      </w:r>
      <w:r w:rsidRPr="00DF2CA2">
        <w:rPr>
          <w:rFonts w:ascii="Times New Roman" w:hAnsi="Times New Roman"/>
        </w:rPr>
        <w:t xml:space="preserve"> iz pomorskog prometa za donošenje tržišnih mjera ili standarda efikasnosti bilo na EU ili globalnoj razini. Uvođenjem MRV-a dobilo bi se više informacija o efikasnosti brodova, a pretpostavlja se da bi se time ostvarilo i smanjenje emisija od 2 % u odnosu na temeljni („</w:t>
      </w:r>
      <w:proofErr w:type="spellStart"/>
      <w:r w:rsidRPr="00DF2CA2">
        <w:rPr>
          <w:rFonts w:ascii="Times New Roman" w:hAnsi="Times New Roman"/>
          <w:noProof/>
        </w:rPr>
        <w:t>business</w:t>
      </w:r>
      <w:proofErr w:type="spellEnd"/>
      <w:r w:rsidRPr="00DF2CA2">
        <w:rPr>
          <w:rFonts w:ascii="Times New Roman" w:hAnsi="Times New Roman"/>
          <w:noProof/>
        </w:rPr>
        <w:t>-as-usual“) scenarij, odnosno postigla bi se ušteda od 1,2 milijardi eura do 2030. godine.</w:t>
      </w:r>
    </w:p>
    <w:p w:rsidR="007939FC" w:rsidRPr="00D7327D" w:rsidRDefault="007939FC" w:rsidP="007939FC">
      <w:pPr>
        <w:pStyle w:val="ListParagraph1"/>
        <w:spacing w:after="0" w:line="240" w:lineRule="auto"/>
        <w:ind w:left="0"/>
        <w:jc w:val="both"/>
        <w:rPr>
          <w:rFonts w:ascii="Times New Roman" w:hAnsi="Times New Roman"/>
          <w:sz w:val="24"/>
          <w:szCs w:val="24"/>
        </w:rPr>
      </w:pPr>
      <w:r w:rsidRPr="00D7327D">
        <w:rPr>
          <w:rFonts w:ascii="Times New Roman" w:hAnsi="Times New Roman"/>
          <w:sz w:val="24"/>
          <w:szCs w:val="24"/>
        </w:rPr>
        <w:t>Kako bi se smanjile emisije CO</w:t>
      </w:r>
      <w:r w:rsidRPr="00D7327D">
        <w:rPr>
          <w:rFonts w:ascii="Times New Roman" w:hAnsi="Times New Roman"/>
          <w:sz w:val="24"/>
          <w:szCs w:val="24"/>
          <w:vertAlign w:val="subscript"/>
        </w:rPr>
        <w:t>2</w:t>
      </w:r>
      <w:r w:rsidRPr="00D7327D">
        <w:rPr>
          <w:rFonts w:ascii="Times New Roman" w:hAnsi="Times New Roman"/>
          <w:sz w:val="24"/>
          <w:szCs w:val="24"/>
        </w:rPr>
        <w:t xml:space="preserve"> iz pomorskog prometa na razini Europske unije, Europski parlament i Vijeće usvojili su 29. travnja 2015. godine Uredbu (EU) 2015/757 o praćenju emisija ugljikova dioksida iz pomorskog prometa, izvješćivanju o njima i njihovoj verifikaciji</w:t>
      </w:r>
      <w:r w:rsidRPr="007D76FD">
        <w:rPr>
          <w:rFonts w:ascii="Times New Roman" w:hAnsi="Times New Roman"/>
          <w:b/>
          <w:bCs/>
          <w:sz w:val="24"/>
          <w:szCs w:val="24"/>
        </w:rPr>
        <w:t xml:space="preserve"> </w:t>
      </w:r>
      <w:r w:rsidRPr="00D7327D">
        <w:rPr>
          <w:rFonts w:ascii="Times New Roman" w:hAnsi="Times New Roman"/>
          <w:sz w:val="24"/>
          <w:szCs w:val="24"/>
        </w:rPr>
        <w:t>te o izmjeni Direktive 2009/16/EZ (u daljnjem tekstu: Uredba (EU) 2015/575). Uredba (EU) 2015/575) stupila je na snagu 1. srpnja 2015. godine i u cijelosti je obvezujuća i izravno se primjenjuje u svim državama članicama.</w:t>
      </w:r>
    </w:p>
    <w:p w:rsidR="007939FC" w:rsidRPr="007D76FD" w:rsidRDefault="007939FC" w:rsidP="007939FC">
      <w:pPr>
        <w:pStyle w:val="ListParagraph1"/>
        <w:spacing w:after="0" w:line="240" w:lineRule="auto"/>
        <w:ind w:left="0"/>
        <w:jc w:val="both"/>
        <w:rPr>
          <w:rFonts w:ascii="Times New Roman" w:hAnsi="Times New Roman"/>
          <w:sz w:val="24"/>
          <w:szCs w:val="24"/>
        </w:rPr>
      </w:pPr>
    </w:p>
    <w:p w:rsidR="007939FC" w:rsidRPr="007D76FD" w:rsidRDefault="007939FC" w:rsidP="007939FC">
      <w:pPr>
        <w:pStyle w:val="ListParagraph1"/>
        <w:spacing w:after="0" w:line="240" w:lineRule="auto"/>
        <w:ind w:left="0"/>
        <w:jc w:val="both"/>
        <w:rPr>
          <w:rFonts w:ascii="Times New Roman" w:hAnsi="Times New Roman"/>
          <w:sz w:val="24"/>
          <w:szCs w:val="24"/>
        </w:rPr>
      </w:pPr>
      <w:r w:rsidRPr="007D76FD">
        <w:rPr>
          <w:rFonts w:ascii="Times New Roman" w:hAnsi="Times New Roman"/>
          <w:sz w:val="24"/>
          <w:szCs w:val="24"/>
        </w:rPr>
        <w:t>Uredba (EU) 2015/575 utvrđuje pravila za točno praćenje emisija ugljikova dioksida (CO</w:t>
      </w:r>
      <w:r w:rsidRPr="007D76FD">
        <w:rPr>
          <w:rFonts w:ascii="Times New Roman" w:hAnsi="Times New Roman"/>
          <w:sz w:val="24"/>
          <w:szCs w:val="24"/>
          <w:vertAlign w:val="subscript"/>
        </w:rPr>
        <w:t>2</w:t>
      </w:r>
      <w:r w:rsidRPr="007D76FD">
        <w:rPr>
          <w:rFonts w:ascii="Times New Roman" w:hAnsi="Times New Roman"/>
          <w:sz w:val="24"/>
          <w:szCs w:val="24"/>
        </w:rPr>
        <w:t>) i drugih relevantnih informacija o brodovima težim od 5 000 bruto tona (BT), ispuštenih tijekom putovanja iz njihove zadnje luke pristajanja do luke pristajanja pod nadležnošću države članice te od luke pristajanja pod nadležnošću države članice do njihove sljedeće luke  pristajanja, kao i unutar luka pristajanja pod nadležnošću države članice te za izvješćivanje o njima i njihovu verifikaciju radi promicanja smanjenja emisija CO</w:t>
      </w:r>
      <w:r w:rsidRPr="007D76FD">
        <w:rPr>
          <w:rFonts w:ascii="Times New Roman" w:hAnsi="Times New Roman"/>
          <w:sz w:val="24"/>
          <w:szCs w:val="24"/>
          <w:vertAlign w:val="subscript"/>
        </w:rPr>
        <w:t>2</w:t>
      </w:r>
      <w:r w:rsidRPr="007D76FD">
        <w:rPr>
          <w:rFonts w:ascii="Times New Roman" w:hAnsi="Times New Roman"/>
          <w:sz w:val="24"/>
          <w:szCs w:val="24"/>
        </w:rPr>
        <w:t xml:space="preserve"> iz pomorskog prometa na troškovno učinkovit način. Brodovi teži od 5 000 BT čine oko 55 % brodova koji pristaju u luke Europske unije i odgovorni su za oko 90 % povezanih emisija CO</w:t>
      </w:r>
      <w:r w:rsidRPr="007D76FD">
        <w:rPr>
          <w:rFonts w:ascii="Times New Roman" w:hAnsi="Times New Roman"/>
          <w:sz w:val="24"/>
          <w:szCs w:val="24"/>
          <w:vertAlign w:val="subscript"/>
        </w:rPr>
        <w:t>2</w:t>
      </w:r>
      <w:r w:rsidRPr="007D76FD">
        <w:rPr>
          <w:rFonts w:ascii="Times New Roman" w:hAnsi="Times New Roman"/>
          <w:sz w:val="24"/>
          <w:szCs w:val="24"/>
        </w:rPr>
        <w:t>. Uredba zahvaća brodare (kompanije) i akreditirane verifikatore.</w:t>
      </w:r>
    </w:p>
    <w:p w:rsidR="007939FC" w:rsidRPr="007D76FD" w:rsidRDefault="007939FC" w:rsidP="007939FC">
      <w:pPr>
        <w:pStyle w:val="ListParagraph1"/>
        <w:spacing w:after="0" w:line="240" w:lineRule="auto"/>
        <w:ind w:left="0"/>
        <w:jc w:val="both"/>
        <w:rPr>
          <w:rFonts w:ascii="Times New Roman" w:hAnsi="Times New Roman"/>
          <w:sz w:val="24"/>
          <w:szCs w:val="24"/>
        </w:rPr>
      </w:pPr>
    </w:p>
    <w:p w:rsidR="007939FC" w:rsidRPr="007D76FD" w:rsidRDefault="007939FC" w:rsidP="007939FC">
      <w:pPr>
        <w:pStyle w:val="ListParagraph1"/>
        <w:spacing w:after="0" w:line="240" w:lineRule="auto"/>
        <w:ind w:left="0"/>
        <w:jc w:val="both"/>
        <w:rPr>
          <w:rFonts w:ascii="Times New Roman" w:hAnsi="Times New Roman"/>
          <w:sz w:val="24"/>
          <w:szCs w:val="24"/>
        </w:rPr>
      </w:pPr>
      <w:r w:rsidRPr="007D76FD">
        <w:rPr>
          <w:rFonts w:ascii="Times New Roman" w:hAnsi="Times New Roman"/>
          <w:sz w:val="24"/>
          <w:szCs w:val="24"/>
        </w:rPr>
        <w:lastRenderedPageBreak/>
        <w:t xml:space="preserve">Sustav MRV temeljit će se na potrošnji goriva brodova, kao prvog koraka, u sklopu postupnog uključivanja emisija iz pomorskog prometa u obvezu Europske unije za smanjenje emisija stakleničkih plinova uz emisije iz drugih sektora koje su već uključene u tu obvezu, zatim na vrsti goriva i energetskoj efikasnosti koji će biti dostupni iz dnevnika i izvještaja. Koristit će se postojeće strukture i tijela pomorskog sektora za verifikaciju izvještaja o emisijama i za izdavanje dokumenata o sukladnosti. Iz ove obveze isključeni su brodovi manji od 5000 </w:t>
      </w:r>
      <w:proofErr w:type="spellStart"/>
      <w:r w:rsidRPr="007D76FD">
        <w:rPr>
          <w:rFonts w:ascii="Times New Roman" w:hAnsi="Times New Roman"/>
          <w:sz w:val="24"/>
          <w:szCs w:val="24"/>
        </w:rPr>
        <w:t>Gt</w:t>
      </w:r>
      <w:proofErr w:type="spellEnd"/>
      <w:r w:rsidRPr="007D76FD">
        <w:rPr>
          <w:rFonts w:ascii="Times New Roman" w:hAnsi="Times New Roman"/>
          <w:sz w:val="24"/>
          <w:szCs w:val="24"/>
        </w:rPr>
        <w:t xml:space="preserve"> (bruto tona) koji čine oko 40 % flote, a doprinose sa svega 10% emisija. Iz obveze praćenja isključeni su ratni brodovi, vojni pomoćni brodovi, brodovi za </w:t>
      </w:r>
      <w:proofErr w:type="spellStart"/>
      <w:r w:rsidRPr="007D76FD">
        <w:rPr>
          <w:rFonts w:ascii="Times New Roman" w:hAnsi="Times New Roman"/>
          <w:sz w:val="24"/>
          <w:szCs w:val="24"/>
        </w:rPr>
        <w:t>izlov</w:t>
      </w:r>
      <w:proofErr w:type="spellEnd"/>
      <w:r w:rsidRPr="007D76FD">
        <w:rPr>
          <w:rFonts w:ascii="Times New Roman" w:hAnsi="Times New Roman"/>
          <w:sz w:val="24"/>
          <w:szCs w:val="24"/>
        </w:rPr>
        <w:t xml:space="preserve"> ili obradu ribe, drveni brodovi primitivne izrade, brodovi koji nemaju mehanički pogon te vladini brodovi koji se upotrebljavaju u nekomercijalne svrhe. </w:t>
      </w:r>
    </w:p>
    <w:p w:rsidR="007939FC" w:rsidRPr="007D76FD" w:rsidRDefault="007939FC" w:rsidP="007939FC">
      <w:pPr>
        <w:pStyle w:val="ListParagraph1"/>
        <w:spacing w:after="0" w:line="240" w:lineRule="auto"/>
        <w:ind w:left="0"/>
        <w:jc w:val="both"/>
        <w:rPr>
          <w:rFonts w:ascii="Times New Roman" w:hAnsi="Times New Roman"/>
          <w:sz w:val="24"/>
          <w:szCs w:val="24"/>
        </w:rPr>
      </w:pPr>
    </w:p>
    <w:p w:rsidR="007939FC" w:rsidRPr="00D7327D" w:rsidRDefault="007939FC" w:rsidP="007939FC">
      <w:pPr>
        <w:pStyle w:val="ListParagraph1"/>
        <w:spacing w:after="0" w:line="240" w:lineRule="auto"/>
        <w:ind w:left="0"/>
        <w:jc w:val="both"/>
        <w:rPr>
          <w:rFonts w:ascii="Times New Roman" w:hAnsi="Times New Roman"/>
          <w:sz w:val="24"/>
          <w:szCs w:val="24"/>
        </w:rPr>
      </w:pPr>
      <w:r w:rsidRPr="007D76FD">
        <w:rPr>
          <w:rFonts w:ascii="Times New Roman" w:hAnsi="Times New Roman"/>
          <w:sz w:val="24"/>
          <w:szCs w:val="24"/>
        </w:rPr>
        <w:t>Republika Hrvatska kao članica Europske unije dužna je osigurati direktnu provedbu Uredbe (EU) 2015/757 Europskog parlamenta i vijeća od 16. travnja 2014. o praćenju emisija ugljikova dioksida iz pomorskog prometa, izvješćivanju o njima i njihovoj verifikaciji</w:t>
      </w:r>
      <w:r w:rsidRPr="007D76FD">
        <w:rPr>
          <w:rFonts w:ascii="Times New Roman" w:hAnsi="Times New Roman"/>
          <w:b/>
          <w:bCs/>
          <w:sz w:val="24"/>
          <w:szCs w:val="24"/>
        </w:rPr>
        <w:t xml:space="preserve"> </w:t>
      </w:r>
      <w:r w:rsidRPr="007D76FD">
        <w:rPr>
          <w:rFonts w:ascii="Times New Roman" w:hAnsi="Times New Roman"/>
          <w:sz w:val="24"/>
          <w:szCs w:val="24"/>
        </w:rPr>
        <w:t xml:space="preserve">te o </w:t>
      </w:r>
      <w:r w:rsidRPr="00D7327D">
        <w:rPr>
          <w:rFonts w:ascii="Times New Roman" w:hAnsi="Times New Roman"/>
          <w:sz w:val="24"/>
          <w:szCs w:val="24"/>
        </w:rPr>
        <w:t xml:space="preserve">izmjeni Direktive 2009/16/EZ donošenjem Zakona o njezinoj provedbi. </w:t>
      </w:r>
    </w:p>
    <w:p w:rsidR="007939FC" w:rsidRPr="007D76FD" w:rsidRDefault="007939FC" w:rsidP="007939FC">
      <w:pPr>
        <w:jc w:val="both"/>
      </w:pPr>
    </w:p>
    <w:p w:rsidR="007939FC" w:rsidRPr="007939FC" w:rsidRDefault="007939FC" w:rsidP="007939FC">
      <w:pPr>
        <w:jc w:val="both"/>
        <w:rPr>
          <w:rFonts w:ascii="Times New Roman" w:hAnsi="Times New Roman"/>
          <w:sz w:val="24"/>
        </w:rPr>
      </w:pPr>
      <w:r w:rsidRPr="007939FC">
        <w:rPr>
          <w:rFonts w:ascii="Times New Roman" w:hAnsi="Times New Roman"/>
          <w:sz w:val="24"/>
        </w:rPr>
        <w:t>Zakon o provedbi Uredbe (EU) 2015/757 sadržavat će sljedeće glave:</w:t>
      </w:r>
    </w:p>
    <w:p w:rsidR="007939FC" w:rsidRPr="007939FC" w:rsidRDefault="007939FC" w:rsidP="007939FC">
      <w:pPr>
        <w:numPr>
          <w:ilvl w:val="0"/>
          <w:numId w:val="10"/>
        </w:numPr>
        <w:spacing w:after="0" w:line="240" w:lineRule="auto"/>
        <w:ind w:left="714" w:hanging="357"/>
        <w:contextualSpacing/>
        <w:jc w:val="both"/>
        <w:rPr>
          <w:rFonts w:ascii="Times New Roman" w:hAnsi="Times New Roman"/>
          <w:sz w:val="24"/>
        </w:rPr>
      </w:pPr>
      <w:r w:rsidRPr="007939FC">
        <w:rPr>
          <w:rFonts w:ascii="Times New Roman" w:hAnsi="Times New Roman"/>
          <w:sz w:val="24"/>
        </w:rPr>
        <w:t>Opće odredbe;</w:t>
      </w:r>
    </w:p>
    <w:p w:rsidR="007939FC" w:rsidRPr="007939FC" w:rsidRDefault="007939FC" w:rsidP="007939FC">
      <w:pPr>
        <w:numPr>
          <w:ilvl w:val="0"/>
          <w:numId w:val="10"/>
        </w:numPr>
        <w:spacing w:after="0" w:line="240" w:lineRule="auto"/>
        <w:ind w:left="714" w:hanging="357"/>
        <w:contextualSpacing/>
        <w:jc w:val="both"/>
        <w:rPr>
          <w:rFonts w:ascii="Times New Roman" w:hAnsi="Times New Roman"/>
          <w:sz w:val="24"/>
        </w:rPr>
      </w:pPr>
      <w:r w:rsidRPr="007939FC">
        <w:rPr>
          <w:rFonts w:ascii="Times New Roman" w:hAnsi="Times New Roman"/>
          <w:sz w:val="24"/>
        </w:rPr>
        <w:t xml:space="preserve">Nadležna tijela </w:t>
      </w:r>
      <w:r>
        <w:rPr>
          <w:rFonts w:ascii="Times New Roman" w:hAnsi="Times New Roman"/>
          <w:sz w:val="24"/>
        </w:rPr>
        <w:t>i njihove nadležnosti</w:t>
      </w:r>
      <w:r w:rsidRPr="007939FC">
        <w:rPr>
          <w:rFonts w:ascii="Times New Roman" w:hAnsi="Times New Roman"/>
          <w:sz w:val="24"/>
        </w:rPr>
        <w:t>;</w:t>
      </w:r>
    </w:p>
    <w:p w:rsidR="007939FC" w:rsidRPr="007939FC" w:rsidRDefault="007939FC" w:rsidP="007939FC">
      <w:pPr>
        <w:numPr>
          <w:ilvl w:val="0"/>
          <w:numId w:val="10"/>
        </w:numPr>
        <w:spacing w:after="0" w:line="240" w:lineRule="auto"/>
        <w:ind w:left="714" w:hanging="357"/>
        <w:contextualSpacing/>
        <w:jc w:val="both"/>
        <w:rPr>
          <w:rFonts w:ascii="Times New Roman" w:hAnsi="Times New Roman"/>
          <w:sz w:val="24"/>
        </w:rPr>
      </w:pPr>
      <w:r w:rsidRPr="007939FC">
        <w:rPr>
          <w:rFonts w:ascii="Times New Roman" w:hAnsi="Times New Roman"/>
          <w:sz w:val="24"/>
        </w:rPr>
        <w:t>Inspekcijski nadzor;</w:t>
      </w:r>
    </w:p>
    <w:p w:rsidR="007939FC" w:rsidRDefault="007939FC" w:rsidP="007939FC">
      <w:pPr>
        <w:numPr>
          <w:ilvl w:val="0"/>
          <w:numId w:val="10"/>
        </w:numPr>
        <w:spacing w:after="0" w:line="240" w:lineRule="auto"/>
        <w:ind w:left="714" w:hanging="357"/>
        <w:contextualSpacing/>
        <w:jc w:val="both"/>
        <w:rPr>
          <w:rFonts w:ascii="Times New Roman" w:hAnsi="Times New Roman"/>
          <w:sz w:val="24"/>
        </w:rPr>
      </w:pPr>
      <w:r>
        <w:rPr>
          <w:rFonts w:ascii="Times New Roman" w:hAnsi="Times New Roman"/>
          <w:sz w:val="24"/>
        </w:rPr>
        <w:t>Prekršajne odredbe;</w:t>
      </w:r>
    </w:p>
    <w:p w:rsidR="007939FC" w:rsidRPr="007939FC" w:rsidRDefault="00D462E5" w:rsidP="007939FC">
      <w:pPr>
        <w:numPr>
          <w:ilvl w:val="0"/>
          <w:numId w:val="10"/>
        </w:numPr>
        <w:spacing w:after="0" w:line="240" w:lineRule="auto"/>
        <w:ind w:left="714" w:hanging="357"/>
        <w:contextualSpacing/>
        <w:jc w:val="both"/>
        <w:rPr>
          <w:rFonts w:ascii="Times New Roman" w:hAnsi="Times New Roman"/>
          <w:sz w:val="24"/>
        </w:rPr>
      </w:pPr>
      <w:r>
        <w:rPr>
          <w:rFonts w:ascii="Times New Roman" w:hAnsi="Times New Roman"/>
          <w:sz w:val="24"/>
        </w:rPr>
        <w:t>Završna odredba</w:t>
      </w:r>
      <w:bookmarkStart w:id="0" w:name="_GoBack"/>
      <w:bookmarkEnd w:id="0"/>
      <w:r w:rsidR="007939FC" w:rsidRPr="007939FC">
        <w:rPr>
          <w:rFonts w:ascii="Times New Roman" w:hAnsi="Times New Roman"/>
          <w:sz w:val="24"/>
        </w:rPr>
        <w:t>.</w:t>
      </w:r>
    </w:p>
    <w:p w:rsidR="007939FC" w:rsidRPr="007D76FD" w:rsidRDefault="007939FC" w:rsidP="007939FC"/>
    <w:p w:rsidR="002B2694" w:rsidRPr="007939FC" w:rsidRDefault="002B2694" w:rsidP="009372F4"/>
    <w:sectPr w:rsidR="002B2694" w:rsidRPr="007939FC" w:rsidSect="001717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64" w:rsidRDefault="00331864" w:rsidP="000B5460">
      <w:pPr>
        <w:spacing w:after="0" w:line="240" w:lineRule="auto"/>
      </w:pPr>
      <w:r>
        <w:separator/>
      </w:r>
    </w:p>
  </w:endnote>
  <w:endnote w:type="continuationSeparator" w:id="0">
    <w:p w:rsidR="00331864" w:rsidRDefault="00331864" w:rsidP="000B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530272"/>
      <w:docPartObj>
        <w:docPartGallery w:val="Page Numbers (Bottom of Page)"/>
        <w:docPartUnique/>
      </w:docPartObj>
    </w:sdtPr>
    <w:sdtEndPr/>
    <w:sdtContent>
      <w:p w:rsidR="00331864" w:rsidRDefault="00331864">
        <w:pPr>
          <w:pStyle w:val="Podnoje"/>
          <w:jc w:val="right"/>
        </w:pPr>
        <w:r>
          <w:fldChar w:fldCharType="begin"/>
        </w:r>
        <w:r>
          <w:instrText>PAGE   \* MERGEFORMAT</w:instrText>
        </w:r>
        <w:r>
          <w:fldChar w:fldCharType="separate"/>
        </w:r>
        <w:r w:rsidR="00D462E5">
          <w:rPr>
            <w:noProof/>
          </w:rPr>
          <w:t>7</w:t>
        </w:r>
        <w:r>
          <w:fldChar w:fldCharType="end"/>
        </w:r>
      </w:p>
    </w:sdtContent>
  </w:sdt>
  <w:p w:rsidR="00331864" w:rsidRDefault="0033186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64" w:rsidRDefault="00331864" w:rsidP="000B5460">
      <w:pPr>
        <w:spacing w:after="0" w:line="240" w:lineRule="auto"/>
      </w:pPr>
      <w:r>
        <w:separator/>
      </w:r>
    </w:p>
  </w:footnote>
  <w:footnote w:type="continuationSeparator" w:id="0">
    <w:p w:rsidR="00331864" w:rsidRDefault="00331864" w:rsidP="000B5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43B"/>
    <w:multiLevelType w:val="hybridMultilevel"/>
    <w:tmpl w:val="512ECF8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130B3F79"/>
    <w:multiLevelType w:val="hybridMultilevel"/>
    <w:tmpl w:val="782830D2"/>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5439F3"/>
    <w:multiLevelType w:val="hybridMultilevel"/>
    <w:tmpl w:val="DC3208DA"/>
    <w:lvl w:ilvl="0" w:tplc="041A000F">
      <w:start w:val="1"/>
      <w:numFmt w:val="decimal"/>
      <w:lvlText w:val="%1."/>
      <w:lvlJc w:val="left"/>
      <w:pPr>
        <w:ind w:left="1503" w:hanging="360"/>
      </w:pPr>
    </w:lvl>
    <w:lvl w:ilvl="1" w:tplc="041A0019" w:tentative="1">
      <w:start w:val="1"/>
      <w:numFmt w:val="lowerLetter"/>
      <w:lvlText w:val="%2."/>
      <w:lvlJc w:val="left"/>
      <w:pPr>
        <w:ind w:left="2223" w:hanging="360"/>
      </w:pPr>
    </w:lvl>
    <w:lvl w:ilvl="2" w:tplc="041A001B" w:tentative="1">
      <w:start w:val="1"/>
      <w:numFmt w:val="lowerRoman"/>
      <w:lvlText w:val="%3."/>
      <w:lvlJc w:val="right"/>
      <w:pPr>
        <w:ind w:left="2943" w:hanging="180"/>
      </w:pPr>
    </w:lvl>
    <w:lvl w:ilvl="3" w:tplc="041A000F" w:tentative="1">
      <w:start w:val="1"/>
      <w:numFmt w:val="decimal"/>
      <w:lvlText w:val="%4."/>
      <w:lvlJc w:val="left"/>
      <w:pPr>
        <w:ind w:left="3663" w:hanging="360"/>
      </w:pPr>
    </w:lvl>
    <w:lvl w:ilvl="4" w:tplc="041A0019" w:tentative="1">
      <w:start w:val="1"/>
      <w:numFmt w:val="lowerLetter"/>
      <w:lvlText w:val="%5."/>
      <w:lvlJc w:val="left"/>
      <w:pPr>
        <w:ind w:left="4383" w:hanging="360"/>
      </w:pPr>
    </w:lvl>
    <w:lvl w:ilvl="5" w:tplc="041A001B" w:tentative="1">
      <w:start w:val="1"/>
      <w:numFmt w:val="lowerRoman"/>
      <w:lvlText w:val="%6."/>
      <w:lvlJc w:val="right"/>
      <w:pPr>
        <w:ind w:left="5103" w:hanging="180"/>
      </w:pPr>
    </w:lvl>
    <w:lvl w:ilvl="6" w:tplc="041A000F" w:tentative="1">
      <w:start w:val="1"/>
      <w:numFmt w:val="decimal"/>
      <w:lvlText w:val="%7."/>
      <w:lvlJc w:val="left"/>
      <w:pPr>
        <w:ind w:left="5823" w:hanging="360"/>
      </w:pPr>
    </w:lvl>
    <w:lvl w:ilvl="7" w:tplc="041A0019" w:tentative="1">
      <w:start w:val="1"/>
      <w:numFmt w:val="lowerLetter"/>
      <w:lvlText w:val="%8."/>
      <w:lvlJc w:val="left"/>
      <w:pPr>
        <w:ind w:left="6543" w:hanging="360"/>
      </w:pPr>
    </w:lvl>
    <w:lvl w:ilvl="8" w:tplc="041A001B" w:tentative="1">
      <w:start w:val="1"/>
      <w:numFmt w:val="lowerRoman"/>
      <w:lvlText w:val="%9."/>
      <w:lvlJc w:val="right"/>
      <w:pPr>
        <w:ind w:left="7263" w:hanging="180"/>
      </w:pPr>
    </w:lvl>
  </w:abstractNum>
  <w:abstractNum w:abstractNumId="3">
    <w:nsid w:val="4D3A6CE2"/>
    <w:multiLevelType w:val="hybridMultilevel"/>
    <w:tmpl w:val="DD0A61A0"/>
    <w:lvl w:ilvl="0" w:tplc="041A0013">
      <w:start w:val="1"/>
      <w:numFmt w:val="upperRoman"/>
      <w:lvlText w:val="%1."/>
      <w:lvlJc w:val="righ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nsid w:val="532C1557"/>
    <w:multiLevelType w:val="hybridMultilevel"/>
    <w:tmpl w:val="B7E8D9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6143E41"/>
    <w:multiLevelType w:val="hybridMultilevel"/>
    <w:tmpl w:val="DD0A61A0"/>
    <w:lvl w:ilvl="0" w:tplc="041A0013">
      <w:start w:val="1"/>
      <w:numFmt w:val="upperRoman"/>
      <w:lvlText w:val="%1."/>
      <w:lvlJc w:val="righ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nsid w:val="794B0138"/>
    <w:multiLevelType w:val="hybridMultilevel"/>
    <w:tmpl w:val="D0109810"/>
    <w:lvl w:ilvl="0" w:tplc="4F4EB7A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9F9080C"/>
    <w:multiLevelType w:val="hybridMultilevel"/>
    <w:tmpl w:val="BE10175C"/>
    <w:lvl w:ilvl="0" w:tplc="09E04E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19307C"/>
    <w:multiLevelType w:val="hybridMultilevel"/>
    <w:tmpl w:val="A376515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 w:numId="7">
    <w:abstractNumId w:val="0"/>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F4"/>
    <w:rsid w:val="00013078"/>
    <w:rsid w:val="00025EF1"/>
    <w:rsid w:val="00073464"/>
    <w:rsid w:val="000A19B1"/>
    <w:rsid w:val="000B4948"/>
    <w:rsid w:val="000B5460"/>
    <w:rsid w:val="000C370D"/>
    <w:rsid w:val="000D273C"/>
    <w:rsid w:val="000D6E83"/>
    <w:rsid w:val="000E54B4"/>
    <w:rsid w:val="00133430"/>
    <w:rsid w:val="0017178A"/>
    <w:rsid w:val="00173C5E"/>
    <w:rsid w:val="001A7B8E"/>
    <w:rsid w:val="002060DF"/>
    <w:rsid w:val="002354CF"/>
    <w:rsid w:val="00247F0B"/>
    <w:rsid w:val="00277F65"/>
    <w:rsid w:val="002B2694"/>
    <w:rsid w:val="002C06AB"/>
    <w:rsid w:val="0030090A"/>
    <w:rsid w:val="00305C55"/>
    <w:rsid w:val="00331864"/>
    <w:rsid w:val="0033196A"/>
    <w:rsid w:val="003442B3"/>
    <w:rsid w:val="00370FC3"/>
    <w:rsid w:val="003753FC"/>
    <w:rsid w:val="003900DF"/>
    <w:rsid w:val="003F7975"/>
    <w:rsid w:val="0045307D"/>
    <w:rsid w:val="004732CC"/>
    <w:rsid w:val="00485068"/>
    <w:rsid w:val="00485DA2"/>
    <w:rsid w:val="004C2593"/>
    <w:rsid w:val="00520726"/>
    <w:rsid w:val="0055357C"/>
    <w:rsid w:val="00554568"/>
    <w:rsid w:val="00562ED2"/>
    <w:rsid w:val="0057333E"/>
    <w:rsid w:val="005735A5"/>
    <w:rsid w:val="005A4F8C"/>
    <w:rsid w:val="005B6212"/>
    <w:rsid w:val="00601328"/>
    <w:rsid w:val="006027AB"/>
    <w:rsid w:val="00606D39"/>
    <w:rsid w:val="00613F25"/>
    <w:rsid w:val="006415AA"/>
    <w:rsid w:val="00644173"/>
    <w:rsid w:val="00695E41"/>
    <w:rsid w:val="006F088F"/>
    <w:rsid w:val="006F5D19"/>
    <w:rsid w:val="00721246"/>
    <w:rsid w:val="00723A06"/>
    <w:rsid w:val="00735C49"/>
    <w:rsid w:val="00752197"/>
    <w:rsid w:val="007575F1"/>
    <w:rsid w:val="00761A58"/>
    <w:rsid w:val="007939FC"/>
    <w:rsid w:val="007A4E4F"/>
    <w:rsid w:val="007E53EB"/>
    <w:rsid w:val="00803C40"/>
    <w:rsid w:val="00825709"/>
    <w:rsid w:val="00854A9B"/>
    <w:rsid w:val="008716CD"/>
    <w:rsid w:val="008719DD"/>
    <w:rsid w:val="00886371"/>
    <w:rsid w:val="00890C6B"/>
    <w:rsid w:val="008C02BD"/>
    <w:rsid w:val="008C4F32"/>
    <w:rsid w:val="008E396C"/>
    <w:rsid w:val="008F5ED2"/>
    <w:rsid w:val="009102A2"/>
    <w:rsid w:val="00912779"/>
    <w:rsid w:val="00927315"/>
    <w:rsid w:val="00934763"/>
    <w:rsid w:val="009372F4"/>
    <w:rsid w:val="00974A03"/>
    <w:rsid w:val="00985F37"/>
    <w:rsid w:val="009948EC"/>
    <w:rsid w:val="00995322"/>
    <w:rsid w:val="00A15F7D"/>
    <w:rsid w:val="00A16EC0"/>
    <w:rsid w:val="00A71A7B"/>
    <w:rsid w:val="00A7577E"/>
    <w:rsid w:val="00A96B62"/>
    <w:rsid w:val="00B01B7E"/>
    <w:rsid w:val="00B46008"/>
    <w:rsid w:val="00B548F9"/>
    <w:rsid w:val="00B71C58"/>
    <w:rsid w:val="00B90EA9"/>
    <w:rsid w:val="00BC098A"/>
    <w:rsid w:val="00BD7698"/>
    <w:rsid w:val="00BE0BA9"/>
    <w:rsid w:val="00BE74BC"/>
    <w:rsid w:val="00C02700"/>
    <w:rsid w:val="00C23516"/>
    <w:rsid w:val="00C371BE"/>
    <w:rsid w:val="00C4321E"/>
    <w:rsid w:val="00C854A4"/>
    <w:rsid w:val="00CA33C9"/>
    <w:rsid w:val="00CB2FCA"/>
    <w:rsid w:val="00CD4DC0"/>
    <w:rsid w:val="00D33097"/>
    <w:rsid w:val="00D462E5"/>
    <w:rsid w:val="00D501C7"/>
    <w:rsid w:val="00D667F3"/>
    <w:rsid w:val="00D83AAF"/>
    <w:rsid w:val="00DA22F0"/>
    <w:rsid w:val="00DA6657"/>
    <w:rsid w:val="00DF2CA2"/>
    <w:rsid w:val="00DF5930"/>
    <w:rsid w:val="00E30334"/>
    <w:rsid w:val="00E62832"/>
    <w:rsid w:val="00E87888"/>
    <w:rsid w:val="00E963A5"/>
    <w:rsid w:val="00EC5EF0"/>
    <w:rsid w:val="00ED5B11"/>
    <w:rsid w:val="00F2414C"/>
    <w:rsid w:val="00F25B99"/>
    <w:rsid w:val="00F65A80"/>
    <w:rsid w:val="00F83419"/>
    <w:rsid w:val="00FB74E2"/>
    <w:rsid w:val="00FD6EF0"/>
    <w:rsid w:val="00FE05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8A"/>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803C40"/>
    <w:pPr>
      <w:ind w:left="720"/>
      <w:contextualSpacing/>
    </w:pPr>
  </w:style>
  <w:style w:type="paragraph" w:styleId="Bezproreda">
    <w:name w:val="No Spacing"/>
    <w:uiPriority w:val="99"/>
    <w:qFormat/>
    <w:rsid w:val="00CA33C9"/>
    <w:rPr>
      <w:sz w:val="22"/>
      <w:szCs w:val="22"/>
      <w:lang w:eastAsia="en-US"/>
    </w:rPr>
  </w:style>
  <w:style w:type="paragraph" w:styleId="Tekstbalonia">
    <w:name w:val="Balloon Text"/>
    <w:basedOn w:val="Normal"/>
    <w:link w:val="TekstbaloniaChar"/>
    <w:uiPriority w:val="99"/>
    <w:semiHidden/>
    <w:rsid w:val="00CA33C9"/>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CA33C9"/>
    <w:rPr>
      <w:rFonts w:ascii="Tahoma" w:hAnsi="Tahoma" w:cs="Tahoma"/>
      <w:sz w:val="16"/>
      <w:szCs w:val="16"/>
    </w:rPr>
  </w:style>
  <w:style w:type="character" w:styleId="Hiperveza">
    <w:name w:val="Hyperlink"/>
    <w:uiPriority w:val="99"/>
    <w:semiHidden/>
    <w:rsid w:val="0057333E"/>
    <w:rPr>
      <w:rFonts w:cs="Times New Roman"/>
      <w:color w:val="125B2F"/>
      <w:u w:val="none"/>
      <w:effect w:val="none"/>
    </w:rPr>
  </w:style>
  <w:style w:type="paragraph" w:styleId="Zaglavlje">
    <w:name w:val="header"/>
    <w:basedOn w:val="Normal"/>
    <w:link w:val="ZaglavljeChar"/>
    <w:uiPriority w:val="99"/>
    <w:rsid w:val="000B5460"/>
    <w:pPr>
      <w:tabs>
        <w:tab w:val="center" w:pos="4703"/>
        <w:tab w:val="right" w:pos="9406"/>
      </w:tabs>
      <w:spacing w:after="0" w:line="240" w:lineRule="auto"/>
    </w:pPr>
  </w:style>
  <w:style w:type="character" w:customStyle="1" w:styleId="ZaglavljeChar">
    <w:name w:val="Zaglavlje Char"/>
    <w:link w:val="Zaglavlje"/>
    <w:uiPriority w:val="99"/>
    <w:locked/>
    <w:rsid w:val="000B5460"/>
    <w:rPr>
      <w:rFonts w:cs="Times New Roman"/>
    </w:rPr>
  </w:style>
  <w:style w:type="paragraph" w:styleId="Podnoje">
    <w:name w:val="footer"/>
    <w:basedOn w:val="Normal"/>
    <w:link w:val="PodnojeChar"/>
    <w:uiPriority w:val="99"/>
    <w:rsid w:val="000B5460"/>
    <w:pPr>
      <w:tabs>
        <w:tab w:val="center" w:pos="4703"/>
        <w:tab w:val="right" w:pos="9406"/>
      </w:tabs>
      <w:spacing w:after="0" w:line="240" w:lineRule="auto"/>
    </w:pPr>
  </w:style>
  <w:style w:type="character" w:customStyle="1" w:styleId="PodnojeChar">
    <w:name w:val="Podnožje Char"/>
    <w:link w:val="Podnoje"/>
    <w:uiPriority w:val="99"/>
    <w:locked/>
    <w:rsid w:val="000B5460"/>
    <w:rPr>
      <w:rFonts w:cs="Times New Roman"/>
    </w:rPr>
  </w:style>
  <w:style w:type="paragraph" w:customStyle="1" w:styleId="Default">
    <w:name w:val="Default"/>
    <w:rsid w:val="00825709"/>
    <w:pPr>
      <w:autoSpaceDE w:val="0"/>
      <w:autoSpaceDN w:val="0"/>
      <w:adjustRightInd w:val="0"/>
    </w:pPr>
    <w:rPr>
      <w:rFonts w:ascii="EUAlbertina" w:eastAsia="Times New Roman" w:hAnsi="EUAlbertina" w:cs="EUAlbertina"/>
      <w:color w:val="000000"/>
      <w:sz w:val="24"/>
      <w:szCs w:val="24"/>
    </w:rPr>
  </w:style>
  <w:style w:type="paragraph" w:styleId="StandardWeb">
    <w:name w:val="Normal (Web)"/>
    <w:basedOn w:val="Normal"/>
    <w:uiPriority w:val="99"/>
    <w:unhideWhenUsed/>
    <w:rsid w:val="005535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locked/>
    <w:rsid w:val="00927315"/>
    <w:rPr>
      <w:b/>
      <w:bCs/>
    </w:rPr>
  </w:style>
  <w:style w:type="paragraph" w:customStyle="1" w:styleId="ListParagraph1">
    <w:name w:val="List Paragraph1"/>
    <w:basedOn w:val="Normal"/>
    <w:rsid w:val="007939FC"/>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8A"/>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803C40"/>
    <w:pPr>
      <w:ind w:left="720"/>
      <w:contextualSpacing/>
    </w:pPr>
  </w:style>
  <w:style w:type="paragraph" w:styleId="Bezproreda">
    <w:name w:val="No Spacing"/>
    <w:uiPriority w:val="99"/>
    <w:qFormat/>
    <w:rsid w:val="00CA33C9"/>
    <w:rPr>
      <w:sz w:val="22"/>
      <w:szCs w:val="22"/>
      <w:lang w:eastAsia="en-US"/>
    </w:rPr>
  </w:style>
  <w:style w:type="paragraph" w:styleId="Tekstbalonia">
    <w:name w:val="Balloon Text"/>
    <w:basedOn w:val="Normal"/>
    <w:link w:val="TekstbaloniaChar"/>
    <w:uiPriority w:val="99"/>
    <w:semiHidden/>
    <w:rsid w:val="00CA33C9"/>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CA33C9"/>
    <w:rPr>
      <w:rFonts w:ascii="Tahoma" w:hAnsi="Tahoma" w:cs="Tahoma"/>
      <w:sz w:val="16"/>
      <w:szCs w:val="16"/>
    </w:rPr>
  </w:style>
  <w:style w:type="character" w:styleId="Hiperveza">
    <w:name w:val="Hyperlink"/>
    <w:uiPriority w:val="99"/>
    <w:semiHidden/>
    <w:rsid w:val="0057333E"/>
    <w:rPr>
      <w:rFonts w:cs="Times New Roman"/>
      <w:color w:val="125B2F"/>
      <w:u w:val="none"/>
      <w:effect w:val="none"/>
    </w:rPr>
  </w:style>
  <w:style w:type="paragraph" w:styleId="Zaglavlje">
    <w:name w:val="header"/>
    <w:basedOn w:val="Normal"/>
    <w:link w:val="ZaglavljeChar"/>
    <w:uiPriority w:val="99"/>
    <w:rsid w:val="000B5460"/>
    <w:pPr>
      <w:tabs>
        <w:tab w:val="center" w:pos="4703"/>
        <w:tab w:val="right" w:pos="9406"/>
      </w:tabs>
      <w:spacing w:after="0" w:line="240" w:lineRule="auto"/>
    </w:pPr>
  </w:style>
  <w:style w:type="character" w:customStyle="1" w:styleId="ZaglavljeChar">
    <w:name w:val="Zaglavlje Char"/>
    <w:link w:val="Zaglavlje"/>
    <w:uiPriority w:val="99"/>
    <w:locked/>
    <w:rsid w:val="000B5460"/>
    <w:rPr>
      <w:rFonts w:cs="Times New Roman"/>
    </w:rPr>
  </w:style>
  <w:style w:type="paragraph" w:styleId="Podnoje">
    <w:name w:val="footer"/>
    <w:basedOn w:val="Normal"/>
    <w:link w:val="PodnojeChar"/>
    <w:uiPriority w:val="99"/>
    <w:rsid w:val="000B5460"/>
    <w:pPr>
      <w:tabs>
        <w:tab w:val="center" w:pos="4703"/>
        <w:tab w:val="right" w:pos="9406"/>
      </w:tabs>
      <w:spacing w:after="0" w:line="240" w:lineRule="auto"/>
    </w:pPr>
  </w:style>
  <w:style w:type="character" w:customStyle="1" w:styleId="PodnojeChar">
    <w:name w:val="Podnožje Char"/>
    <w:link w:val="Podnoje"/>
    <w:uiPriority w:val="99"/>
    <w:locked/>
    <w:rsid w:val="000B5460"/>
    <w:rPr>
      <w:rFonts w:cs="Times New Roman"/>
    </w:rPr>
  </w:style>
  <w:style w:type="paragraph" w:customStyle="1" w:styleId="Default">
    <w:name w:val="Default"/>
    <w:rsid w:val="00825709"/>
    <w:pPr>
      <w:autoSpaceDE w:val="0"/>
      <w:autoSpaceDN w:val="0"/>
      <w:adjustRightInd w:val="0"/>
    </w:pPr>
    <w:rPr>
      <w:rFonts w:ascii="EUAlbertina" w:eastAsia="Times New Roman" w:hAnsi="EUAlbertina" w:cs="EUAlbertina"/>
      <w:color w:val="000000"/>
      <w:sz w:val="24"/>
      <w:szCs w:val="24"/>
    </w:rPr>
  </w:style>
  <w:style w:type="paragraph" w:styleId="StandardWeb">
    <w:name w:val="Normal (Web)"/>
    <w:basedOn w:val="Normal"/>
    <w:uiPriority w:val="99"/>
    <w:unhideWhenUsed/>
    <w:rsid w:val="005535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locked/>
    <w:rsid w:val="00927315"/>
    <w:rPr>
      <w:b/>
      <w:bCs/>
    </w:rPr>
  </w:style>
  <w:style w:type="paragraph" w:customStyle="1" w:styleId="ListParagraph1">
    <w:name w:val="List Paragraph1"/>
    <w:basedOn w:val="Normal"/>
    <w:rsid w:val="007939FC"/>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15250">
      <w:bodyDiv w:val="1"/>
      <w:marLeft w:val="0"/>
      <w:marRight w:val="0"/>
      <w:marTop w:val="0"/>
      <w:marBottom w:val="0"/>
      <w:divBdr>
        <w:top w:val="none" w:sz="0" w:space="0" w:color="auto"/>
        <w:left w:val="none" w:sz="0" w:space="0" w:color="auto"/>
        <w:bottom w:val="none" w:sz="0" w:space="0" w:color="auto"/>
        <w:right w:val="none" w:sz="0" w:space="0" w:color="auto"/>
      </w:divBdr>
    </w:div>
    <w:div w:id="771390780">
      <w:marLeft w:val="0"/>
      <w:marRight w:val="0"/>
      <w:marTop w:val="0"/>
      <w:marBottom w:val="0"/>
      <w:divBdr>
        <w:top w:val="none" w:sz="0" w:space="0" w:color="auto"/>
        <w:left w:val="none" w:sz="0" w:space="0" w:color="auto"/>
        <w:bottom w:val="none" w:sz="0" w:space="0" w:color="auto"/>
        <w:right w:val="none" w:sz="0" w:space="0" w:color="auto"/>
      </w:divBdr>
    </w:div>
    <w:div w:id="771390781">
      <w:marLeft w:val="0"/>
      <w:marRight w:val="0"/>
      <w:marTop w:val="0"/>
      <w:marBottom w:val="0"/>
      <w:divBdr>
        <w:top w:val="none" w:sz="0" w:space="0" w:color="auto"/>
        <w:left w:val="none" w:sz="0" w:space="0" w:color="auto"/>
        <w:bottom w:val="none" w:sz="0" w:space="0" w:color="auto"/>
        <w:right w:val="none" w:sz="0" w:space="0" w:color="auto"/>
      </w:divBdr>
      <w:divsChild>
        <w:div w:id="771390782">
          <w:marLeft w:val="0"/>
          <w:marRight w:val="0"/>
          <w:marTop w:val="0"/>
          <w:marBottom w:val="0"/>
          <w:divBdr>
            <w:top w:val="none" w:sz="0" w:space="0" w:color="auto"/>
            <w:left w:val="none" w:sz="0" w:space="0" w:color="auto"/>
            <w:bottom w:val="none" w:sz="0" w:space="0" w:color="auto"/>
            <w:right w:val="none" w:sz="0" w:space="0" w:color="auto"/>
          </w:divBdr>
          <w:divsChild>
            <w:div w:id="7713907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71390783">
      <w:marLeft w:val="0"/>
      <w:marRight w:val="0"/>
      <w:marTop w:val="0"/>
      <w:marBottom w:val="0"/>
      <w:divBdr>
        <w:top w:val="none" w:sz="0" w:space="0" w:color="auto"/>
        <w:left w:val="none" w:sz="0" w:space="0" w:color="auto"/>
        <w:bottom w:val="none" w:sz="0" w:space="0" w:color="auto"/>
        <w:right w:val="none" w:sz="0" w:space="0" w:color="auto"/>
      </w:divBdr>
      <w:divsChild>
        <w:div w:id="771390778">
          <w:marLeft w:val="0"/>
          <w:marRight w:val="0"/>
          <w:marTop w:val="0"/>
          <w:marBottom w:val="0"/>
          <w:divBdr>
            <w:top w:val="none" w:sz="0" w:space="0" w:color="auto"/>
            <w:left w:val="none" w:sz="0" w:space="0" w:color="auto"/>
            <w:bottom w:val="none" w:sz="0" w:space="0" w:color="auto"/>
            <w:right w:val="none" w:sz="0" w:space="0" w:color="auto"/>
          </w:divBdr>
          <w:divsChild>
            <w:div w:id="77139077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71390784">
      <w:marLeft w:val="0"/>
      <w:marRight w:val="0"/>
      <w:marTop w:val="0"/>
      <w:marBottom w:val="0"/>
      <w:divBdr>
        <w:top w:val="none" w:sz="0" w:space="0" w:color="auto"/>
        <w:left w:val="none" w:sz="0" w:space="0" w:color="auto"/>
        <w:bottom w:val="none" w:sz="0" w:space="0" w:color="auto"/>
        <w:right w:val="none" w:sz="0" w:space="0" w:color="auto"/>
      </w:divBdr>
    </w:div>
    <w:div w:id="1762531493">
      <w:bodyDiv w:val="1"/>
      <w:marLeft w:val="0"/>
      <w:marRight w:val="0"/>
      <w:marTop w:val="0"/>
      <w:marBottom w:val="0"/>
      <w:divBdr>
        <w:top w:val="none" w:sz="0" w:space="0" w:color="auto"/>
        <w:left w:val="none" w:sz="0" w:space="0" w:color="auto"/>
        <w:bottom w:val="none" w:sz="0" w:space="0" w:color="auto"/>
        <w:right w:val="none" w:sz="0" w:space="0" w:color="auto"/>
      </w:divBdr>
    </w:div>
    <w:div w:id="20551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2371</Words>
  <Characters>14144</Characters>
  <Application>Microsoft Office Word</Application>
  <DocSecurity>0</DocSecurity>
  <Lines>117</Lines>
  <Paragraphs>32</Paragraphs>
  <ScaleCrop>false</ScaleCrop>
  <HeadingPairs>
    <vt:vector size="2" baseType="variant">
      <vt:variant>
        <vt:lpstr>Naslov</vt:lpstr>
      </vt:variant>
      <vt:variant>
        <vt:i4>1</vt:i4>
      </vt:variant>
    </vt:vector>
  </HeadingPairs>
  <TitlesOfParts>
    <vt:vector size="1" baseType="lpstr">
      <vt:lpstr/>
    </vt:vector>
  </TitlesOfParts>
  <Company>MZOPUG</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ALEN</dc:creator>
  <cp:lastModifiedBy>Madlena Ožanić</cp:lastModifiedBy>
  <cp:revision>7</cp:revision>
  <cp:lastPrinted>2016-03-04T09:35:00Z</cp:lastPrinted>
  <dcterms:created xsi:type="dcterms:W3CDTF">2016-05-09T09:57:00Z</dcterms:created>
  <dcterms:modified xsi:type="dcterms:W3CDTF">2016-05-11T09:14:00Z</dcterms:modified>
</cp:coreProperties>
</file>