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418"/>
        <w:gridCol w:w="142"/>
        <w:gridCol w:w="4819"/>
      </w:tblGrid>
      <w:tr w:rsidR="009352D9" w:rsidRPr="00DA65D6" w14:paraId="4E6644F4" w14:textId="77777777" w:rsidTr="005178C1">
        <w:tc>
          <w:tcPr>
            <w:tcW w:w="9923" w:type="dxa"/>
            <w:gridSpan w:val="5"/>
            <w:shd w:val="clear" w:color="auto" w:fill="auto"/>
          </w:tcPr>
          <w:p w14:paraId="47F2F322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bookmarkStart w:id="0" w:name="_Hlk157685030"/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PRILOG 4.:</w:t>
            </w:r>
          </w:p>
        </w:tc>
      </w:tr>
      <w:tr w:rsidR="009352D9" w:rsidRPr="00DA65D6" w14:paraId="2A0FCBA3" w14:textId="77777777" w:rsidTr="005178C1">
        <w:tc>
          <w:tcPr>
            <w:tcW w:w="9923" w:type="dxa"/>
            <w:gridSpan w:val="5"/>
            <w:shd w:val="clear" w:color="auto" w:fill="auto"/>
          </w:tcPr>
          <w:p w14:paraId="44702A2B" w14:textId="77777777" w:rsidR="009352D9" w:rsidRPr="00DA65D6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  <w:p w14:paraId="1E0E922F" w14:textId="77777777" w:rsidR="009352D9" w:rsidRPr="00DA65D6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OBRAZAC ISKAZA O PROCJENI UČINAKA PROPISA</w:t>
            </w:r>
          </w:p>
          <w:p w14:paraId="300AD165" w14:textId="77777777" w:rsidR="009352D9" w:rsidRPr="00DA65D6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</w:tc>
      </w:tr>
      <w:tr w:rsidR="009352D9" w:rsidRPr="00DA65D6" w14:paraId="4E160A5A" w14:textId="77777777" w:rsidTr="005178C1">
        <w:tc>
          <w:tcPr>
            <w:tcW w:w="850" w:type="dxa"/>
          </w:tcPr>
          <w:p w14:paraId="3B03EBAE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1.</w:t>
            </w:r>
          </w:p>
        </w:tc>
        <w:tc>
          <w:tcPr>
            <w:tcW w:w="9073" w:type="dxa"/>
            <w:gridSpan w:val="4"/>
          </w:tcPr>
          <w:p w14:paraId="20754648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OPĆE INFORMACIJE</w:t>
            </w:r>
          </w:p>
        </w:tc>
      </w:tr>
      <w:tr w:rsidR="009352D9" w:rsidRPr="00DA65D6" w14:paraId="44E0C93E" w14:textId="77777777" w:rsidTr="005178C1">
        <w:tc>
          <w:tcPr>
            <w:tcW w:w="850" w:type="dxa"/>
          </w:tcPr>
          <w:p w14:paraId="3E980280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1.1.</w:t>
            </w:r>
          </w:p>
        </w:tc>
        <w:tc>
          <w:tcPr>
            <w:tcW w:w="2694" w:type="dxa"/>
          </w:tcPr>
          <w:p w14:paraId="68A4C03D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Stručni nositelj: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136FD8E7" w14:textId="77777777" w:rsidR="009352D9" w:rsidRPr="00DA65D6" w:rsidRDefault="00874AF1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Ministarstvo pravosuđa, uprave i digitalne transformacije</w:t>
            </w:r>
          </w:p>
        </w:tc>
      </w:tr>
      <w:tr w:rsidR="009352D9" w:rsidRPr="00DA65D6" w14:paraId="16C18E4A" w14:textId="77777777" w:rsidTr="005178C1">
        <w:tc>
          <w:tcPr>
            <w:tcW w:w="850" w:type="dxa"/>
          </w:tcPr>
          <w:p w14:paraId="7E95399E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1.2.</w:t>
            </w:r>
          </w:p>
        </w:tc>
        <w:tc>
          <w:tcPr>
            <w:tcW w:w="2694" w:type="dxa"/>
          </w:tcPr>
          <w:p w14:paraId="3DD06A65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propisa: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7F8E723D" w14:textId="735D8126" w:rsidR="009352D9" w:rsidRPr="00DA65D6" w:rsidRDefault="001F5ED1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Zakon o izmjenama i dopunama </w:t>
            </w:r>
            <w:r w:rsidR="00F24A17">
              <w:rPr>
                <w:rFonts w:ascii="Times New Roman" w:eastAsia="Calibri" w:hAnsi="Times New Roman" w:cs="Times New Roman"/>
                <w:sz w:val="24"/>
                <w:lang w:eastAsia="hr-HR"/>
              </w:rPr>
              <w:t>Zakon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a</w:t>
            </w:r>
            <w:r w:rsidR="00F24A17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o obveznim odnosima</w:t>
            </w:r>
          </w:p>
        </w:tc>
      </w:tr>
      <w:tr w:rsidR="009352D9" w:rsidRPr="00DA65D6" w14:paraId="4CFB38F6" w14:textId="77777777" w:rsidTr="005178C1">
        <w:tc>
          <w:tcPr>
            <w:tcW w:w="850" w:type="dxa"/>
          </w:tcPr>
          <w:p w14:paraId="1A7C77BD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1.3.</w:t>
            </w:r>
          </w:p>
        </w:tc>
        <w:tc>
          <w:tcPr>
            <w:tcW w:w="2694" w:type="dxa"/>
          </w:tcPr>
          <w:p w14:paraId="340A52BF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Program rada Vlade Republike Hrvatske, akt strateškog planiranja ili reformska mjera: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B152F00" w14:textId="77777777" w:rsidR="009352D9" w:rsidRPr="00DA65D6" w:rsidRDefault="00C31FE3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  <w:p w14:paraId="46B8BCA9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819" w:type="dxa"/>
            <w:shd w:val="clear" w:color="auto" w:fill="auto"/>
          </w:tcPr>
          <w:p w14:paraId="382A78EF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akta:</w:t>
            </w:r>
          </w:p>
          <w:p w14:paraId="506E44FC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14:paraId="3159616C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mjere:</w:t>
            </w:r>
          </w:p>
        </w:tc>
      </w:tr>
      <w:tr w:rsidR="009352D9" w:rsidRPr="00DA65D6" w14:paraId="5765398E" w14:textId="77777777" w:rsidTr="005178C1">
        <w:tc>
          <w:tcPr>
            <w:tcW w:w="850" w:type="dxa"/>
          </w:tcPr>
          <w:p w14:paraId="5CC50F34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1.4.</w:t>
            </w:r>
          </w:p>
        </w:tc>
        <w:tc>
          <w:tcPr>
            <w:tcW w:w="2694" w:type="dxa"/>
          </w:tcPr>
          <w:p w14:paraId="0EE535EE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Plan usklađivanja zakonodavstva Republike Hrvatske s pravnom stečevinom Europske unije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A529E7E" w14:textId="77777777" w:rsidR="009352D9" w:rsidRPr="00DA65D6" w:rsidRDefault="00C31FE3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Da</w:t>
            </w:r>
          </w:p>
          <w:p w14:paraId="1E96EFA3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819" w:type="dxa"/>
            <w:shd w:val="clear" w:color="auto" w:fill="auto"/>
          </w:tcPr>
          <w:p w14:paraId="4BCF12DE" w14:textId="6213AB68" w:rsidR="005336DA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pravne stečevine:</w:t>
            </w:r>
          </w:p>
          <w:p w14:paraId="41499B12" w14:textId="2179867A" w:rsidR="00554BC7" w:rsidRPr="00554BC7" w:rsidRDefault="00FE3DEB" w:rsidP="00554BC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FE3DEB">
              <w:rPr>
                <w:rFonts w:ascii="Times New Roman" w:eastAsia="Calibri" w:hAnsi="Times New Roman" w:cs="Times New Roman"/>
                <w:sz w:val="24"/>
                <w:lang w:eastAsia="hr-HR"/>
              </w:rPr>
              <w:t>-</w:t>
            </w:r>
            <w:r w:rsidRPr="00FE3DEB">
              <w:rPr>
                <w:rFonts w:ascii="Times New Roman" w:eastAsia="Calibri" w:hAnsi="Times New Roman" w:cs="Times New Roman"/>
                <w:sz w:val="24"/>
                <w:lang w:eastAsia="hr-HR"/>
              </w:rPr>
              <w:tab/>
            </w:r>
            <w:r w:rsidR="00554BC7" w:rsidRPr="00554BC7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Direktiva (EU) 2024/2853 Europskog parlamenta i Vijeća od 23. listopada 2024. o odgovornosti za neispravne proizvode i stavljanju izvan snage Direktive Vijeća 85/374/EEZ (Tekst značajan za EGP) </w:t>
            </w:r>
            <w:r w:rsidR="00554BC7">
              <w:rPr>
                <w:rFonts w:ascii="Times New Roman" w:eastAsia="Calibri" w:hAnsi="Times New Roman" w:cs="Times New Roman"/>
                <w:sz w:val="24"/>
                <w:lang w:eastAsia="hr-HR"/>
              </w:rPr>
              <w:t>(SL L, 2024/2853, 18.11.2024.)</w:t>
            </w:r>
          </w:p>
          <w:p w14:paraId="41FBF512" w14:textId="27146A1D" w:rsidR="00554BC7" w:rsidRPr="00DA65D6" w:rsidRDefault="00554BC7" w:rsidP="00554BC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554BC7">
              <w:rPr>
                <w:rFonts w:ascii="Times New Roman" w:eastAsia="Calibri" w:hAnsi="Times New Roman" w:cs="Times New Roman"/>
                <w:sz w:val="24"/>
                <w:lang w:eastAsia="hr-HR"/>
              </w:rPr>
              <w:t>- Direktiva (EU) 2024/1799 Europskog parlamenta i Vijeća od 13. lipnja 2024. o zajedničkim pravilima za promicanje popravka robe i izmjeni Uredbe (EU) 2017/2394 te direktiva (EU) 2019/771 i (EU) 2020/1828 (Tekst značajan za EGP)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(SL L, 2024/1799, 10.7.2024.).</w:t>
            </w:r>
          </w:p>
          <w:p w14:paraId="3F3B0CC2" w14:textId="4AA73A12" w:rsidR="00FF2F0E" w:rsidRPr="00DA65D6" w:rsidRDefault="00FF2F0E" w:rsidP="00FE3DE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</w:tr>
      <w:tr w:rsidR="009352D9" w:rsidRPr="00DA65D6" w14:paraId="08B0353E" w14:textId="77777777" w:rsidTr="005178C1">
        <w:trPr>
          <w:trHeight w:val="319"/>
        </w:trPr>
        <w:tc>
          <w:tcPr>
            <w:tcW w:w="850" w:type="dxa"/>
          </w:tcPr>
          <w:p w14:paraId="615DD693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67FDA50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UTVRĐIVANJE PROBLEMA</w:t>
            </w:r>
          </w:p>
        </w:tc>
      </w:tr>
      <w:tr w:rsidR="009352D9" w:rsidRPr="00DA65D6" w14:paraId="7649D32E" w14:textId="77777777" w:rsidTr="005178C1">
        <w:trPr>
          <w:trHeight w:val="410"/>
        </w:trPr>
        <w:tc>
          <w:tcPr>
            <w:tcW w:w="850" w:type="dxa"/>
          </w:tcPr>
          <w:p w14:paraId="6AF7342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2.1.</w:t>
            </w:r>
          </w:p>
        </w:tc>
        <w:tc>
          <w:tcPr>
            <w:tcW w:w="9073" w:type="dxa"/>
            <w:gridSpan w:val="4"/>
          </w:tcPr>
          <w:p w14:paraId="6E9F3FC5" w14:textId="77777777" w:rsidR="001E0C94" w:rsidRDefault="00EA6E04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EA6E0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Potrebno je uskladiti hrvatsko zakonodavstv</w:t>
            </w:r>
            <w:r w:rsidR="00DD0AC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o s obvezama uređenima Direktivom</w:t>
            </w:r>
            <w:r w:rsidRPr="00EA6E0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(EU) 2024/2853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i </w:t>
            </w:r>
            <w:r w:rsidRPr="00EA6E0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Direktivom (EU) 2024/1799.</w:t>
            </w:r>
            <w:r w:rsidR="00353E3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  <w:p w14:paraId="350BD4BA" w14:textId="77777777" w:rsidR="001E0C94" w:rsidRDefault="001E0C94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129E31A5" w14:textId="6D8328D9" w:rsidR="001E0C94" w:rsidRDefault="001E0C94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1E0C9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Ciljevi Direktive 2019/771 bili su postizanje visoke razine zaštite potrošača i veće kružnosti gospodarstva. Direktivom o promicanju popravka robe u kontekstu zelene tranzicije želi se   promicati održivija potrošnja, čime se dopunjuje cilj Direktive 2019/771.</w:t>
            </w:r>
          </w:p>
          <w:p w14:paraId="013E7EC4" w14:textId="77777777" w:rsidR="001E0C94" w:rsidRDefault="001E0C94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56F8DF78" w14:textId="658061D6" w:rsidR="001E0C94" w:rsidRDefault="00C279CB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Trenutačni zakonodavni okvir </w:t>
            </w:r>
            <w:r w:rsidR="00911F3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predviđa popravak kao način uklanjanja nedostatka, ali za potrošače on nije atraktivan iz više razloga: </w:t>
            </w:r>
            <w:r w:rsidR="001937D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potrošači </w:t>
            </w:r>
            <w:r w:rsidR="00911F3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smatraju kako nije opravdano da se nov</w:t>
            </w:r>
            <w:r w:rsidR="00E1148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a stvar popravlja i žele zamjensku</w:t>
            </w:r>
            <w:r w:rsidR="00911F3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stvar bez nedostatka, vrijeme koje je potrebno za popravak stvari je prema procjenama potrošača predugo i ostavlja ih bez za njih vitalne stvari te su rokovi produženja jamstva u slučaju popravka nejasni. Ovom izmjenom popravak se dodatno promovira</w:t>
            </w:r>
            <w:r w:rsidR="00623D32" w:rsidRPr="00623D3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,</w:t>
            </w:r>
            <w:r w:rsidR="00623D3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623D32" w:rsidRPr="00623D3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a kako bi se to postiglo potrebn</w:t>
            </w:r>
            <w:r w:rsidR="00C32DD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o je rok odgovornosti produžiti</w:t>
            </w:r>
            <w:r w:rsidR="00623D32" w:rsidRPr="00623D3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za 12 mjeseci, koje bi trebalo dodati preostalom razdoblju roka odgovornosti za </w:t>
            </w:r>
            <w:r w:rsidR="001937D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stvar</w:t>
            </w:r>
            <w:r w:rsidR="00623D32" w:rsidRPr="00623D3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</w:p>
          <w:p w14:paraId="6F29A21F" w14:textId="77777777" w:rsidR="00623D32" w:rsidRDefault="00623D32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7279EF27" w14:textId="075055F5" w:rsidR="001E0C94" w:rsidRDefault="00623D32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23D3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Kako bi pružio potporu potrošačima i potaknuo popravak, prodavatelj bi, ovisno o posebnostima dotične kategorije proizvoda, mo</w:t>
            </w:r>
            <w:r w:rsidR="001937D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gao potrošaču posuditi zamjensku</w:t>
            </w:r>
            <w:r w:rsidRPr="00623D3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1937D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stvar</w:t>
            </w:r>
            <w:r w:rsidR="00C32DD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ako popravak</w:t>
            </w:r>
            <w:r w:rsidRPr="00623D3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1937D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ne može biti </w:t>
            </w:r>
            <w:r w:rsidRPr="00623D3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dovršen u razumnom roku ili bez znatne nepogodnosti</w:t>
            </w:r>
            <w:r w:rsidR="00E1148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za potrošača. Ta bi zamjenska stvar</w:t>
            </w:r>
            <w:r w:rsidRPr="00623D3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ta</w:t>
            </w:r>
            <w:r w:rsidR="00E1148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kođer mogla biti obnovljena stvar</w:t>
            </w:r>
            <w:r w:rsidRPr="00623D3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U</w:t>
            </w:r>
            <w:r w:rsidRPr="00623D3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slučaju zamjene kao pravnog sredstva i na zahtjev potrošača prodavatelj bi potroša</w:t>
            </w:r>
            <w:r w:rsidR="00E1148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ču mogao pružiti obnovljenu stvar</w:t>
            </w:r>
            <w:r w:rsidRPr="00623D3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</w:p>
          <w:p w14:paraId="75640AFB" w14:textId="77777777" w:rsidR="001E0C94" w:rsidRDefault="001E0C94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7DA9200D" w14:textId="77777777" w:rsidR="001E0C94" w:rsidRDefault="001E0C94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4B7C537A" w14:textId="77777777" w:rsidR="00623D32" w:rsidRDefault="00623D32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78B47458" w14:textId="77777777" w:rsidR="00380EA0" w:rsidRDefault="00623D32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23D3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 xml:space="preserve">Institut odgovornosti za neispravan proizvod implementiran je u hrvatsko materijalno pravo stupanjem na snagu Zakona o obveznim odnosima 1. siječnja 2006.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(„Narodne novine“, broj 35/05.) kada su prenesene o</w:t>
            </w:r>
            <w:r w:rsidRPr="00623D3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dredbe Direktive 85/374/EEZ</w:t>
            </w:r>
            <w:r w:rsidR="00380EA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</w:p>
          <w:p w14:paraId="62CD64EF" w14:textId="77777777" w:rsidR="00380EA0" w:rsidRDefault="00380EA0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11EA7DB2" w14:textId="41264A69" w:rsidR="00623D32" w:rsidRDefault="00380EA0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Europska komisija je zaključila kako </w:t>
            </w:r>
            <w:r w:rsidRPr="00380EA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Direktiv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u</w:t>
            </w:r>
            <w:r w:rsidRPr="00380EA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85/374/EEZ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treba </w:t>
            </w:r>
            <w:r w:rsidRPr="00380EA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revidirati kako bi se u obzir uzele promjene koje dolaze s novim tehnologijama, uključujući umjetnu inteligenciju, novi poslovni mo</w:t>
            </w:r>
            <w:r w:rsidR="00C32DD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deli kružnog gospodarstva i novi</w:t>
            </w:r>
            <w:r w:rsidRPr="00380EA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globaln</w:t>
            </w:r>
            <w:r w:rsidR="00C32DD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i</w:t>
            </w:r>
            <w:r w:rsidR="001937D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lanc</w:t>
            </w:r>
            <w:r w:rsidR="00C32DD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i</w:t>
            </w:r>
            <w:r w:rsidRPr="00380EA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opskrbe, čiji je razvoj doveo do nedosljednosti i do pravne nesigurnosti, posebno u pogledu značenja pojma „proizvod”.</w:t>
            </w:r>
            <w:r w:rsidR="00C32DD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Iskustvo stečeno primjenom</w:t>
            </w:r>
            <w:r w:rsidR="00E1148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Direktive</w:t>
            </w:r>
            <w:r w:rsidR="00C32DD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85/374/EEZ</w:t>
            </w:r>
            <w:r w:rsidR="00E1148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ujedno je pokazalo kako</w:t>
            </w:r>
            <w:r w:rsidRPr="00380EA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80EA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oštećenici</w:t>
            </w:r>
            <w:proofErr w:type="spellEnd"/>
            <w:r w:rsidRPr="00380EA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imaju poteškoće pri dobivanju naknade štete zbog ograničenja u podnošenju zahtjeva za naknadu štete i zahtjevnog postupka prikupljanja dokaza o odgovornosti, posebno s obzirom na sve veću tehničku i znanstvenu složenost. Direktiva (EU) 2024/2853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adresira sve navedene probleme i potrebno je osigurati njeno prenošenje u nacionalno zakonodavstvo.</w:t>
            </w:r>
          </w:p>
          <w:p w14:paraId="119BF1EC" w14:textId="37D3DB47" w:rsidR="00380EA0" w:rsidRDefault="00380EA0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55900B48" w14:textId="685C9601" w:rsidR="00BC42AF" w:rsidRDefault="00BC42AF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U nacionalnom pravu potrebno je osigurati da softver bude uključen u </w:t>
            </w:r>
            <w:r w:rsidRPr="00BC42A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odgo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vornost za neispravan proizvod te da se </w:t>
            </w:r>
            <w:r w:rsidRPr="00BC42A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odgovornosti za neispravan proizvod primjenj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uje</w:t>
            </w:r>
            <w:r w:rsidRPr="00BC42A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i na odgovornost proizvođača sustava umjetne inteligencije (AI).</w:t>
            </w:r>
          </w:p>
          <w:p w14:paraId="42F396A1" w14:textId="15E67868" w:rsidR="00D8082E" w:rsidRDefault="00D8082E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45A5E00F" w14:textId="612EFAEA" w:rsidR="00D8082E" w:rsidRDefault="00D8082E" w:rsidP="00D8082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D8082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U doba globalnih lanaca vrijednosti, proizvodi čiji se proizvođači nalaze izvan Europske unije sve su dostupniji na tržištu EU. To može uzrokovati poteškoće oštećenim stranama u ostvarivanju njihovih potraživanja.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Pr="00D8082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Stoga bi, pod određenim uvjetima, trebali moći tražiti naknadu ne samo od proizvođača već i od drugih strana, i to uvoznika, zastupnika proizvođača, pružatelja usluga ispunjavanja narudžbi, dobavljača i određenih pružatelja online platformi.</w:t>
            </w:r>
          </w:p>
          <w:p w14:paraId="625CC4F0" w14:textId="1BFC148A" w:rsidR="00C32DDA" w:rsidRDefault="00C32DDA" w:rsidP="00D8082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30ACB472" w14:textId="2D5E55DD" w:rsidR="00C32DDA" w:rsidRDefault="00C32DDA" w:rsidP="00D8082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C32DD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Osim toga, Direktiva (EU) 2024/2853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sadrži</w:t>
            </w:r>
            <w:r w:rsidRPr="00C32DD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i odredbe o otkrivanju dokaza i teretu dokazivanja, koje imaju za cilj olakšati tužiteljima podnošenje zahtjeva za nakna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du štete, a posebno odgovoriti n</w:t>
            </w:r>
            <w:r w:rsidRPr="00C32DD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a sve veću složenost modernih proizvoda.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Odredbe o otkrivanju dokaza i teretu dokazivanja novina su u ZOO-u.</w:t>
            </w:r>
            <w:r w:rsidRPr="00C32DD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  <w:p w14:paraId="4407F01C" w14:textId="6A0268BB" w:rsidR="00623D32" w:rsidRDefault="00623D32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7C154C0D" w14:textId="63F66CCA" w:rsidR="00D8082E" w:rsidRDefault="00D8082E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Potrebno je jasnije propisati č</w:t>
            </w:r>
            <w:r w:rsidRPr="00D8082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lan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a</w:t>
            </w:r>
            <w:r w:rsidR="00E1148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k </w:t>
            </w:r>
            <w:r w:rsidRPr="00D8082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294. ZOO-a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kojim se </w:t>
            </w:r>
            <w:r w:rsidRPr="00D8082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uređuje osnaženje ugovora kojem nedostaje potreban oblik.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Naime, u </w:t>
            </w:r>
            <w:r w:rsidRPr="00D8082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samom tekstu članka izrijekom se spominju samo oni ugovori kod kojih se zahtijeva pisani oblik</w:t>
            </w:r>
            <w:r w:rsidR="00E1148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što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Pr="00D8082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u praksi ponekad stvara zabunu pa se može naići i na stavove kako navedeni članak dopušta konvalidaciju samo onih ugovora za koje je propisan ili ugovoren pisani oblik, ali ne i onih ugovora kod kojih je propisan ili ugovoren neki drugi oblik, poput oblika javnobilježničkog akta ili </w:t>
            </w:r>
            <w:proofErr w:type="spellStart"/>
            <w:r w:rsidRPr="00D8082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solemnizirane</w:t>
            </w:r>
            <w:proofErr w:type="spellEnd"/>
            <w:r w:rsidRPr="00D8082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privatne isprave. </w:t>
            </w:r>
          </w:p>
          <w:p w14:paraId="53DA9C82" w14:textId="04B307AA" w:rsidR="00BD39D6" w:rsidRDefault="00BD39D6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6339AF77" w14:textId="15182CC3" w:rsidR="00BD39D6" w:rsidRDefault="00BD39D6" w:rsidP="001E0C9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Nadalje, zbog potreba </w:t>
            </w:r>
            <w:r w:rsidR="001937D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prenošenja</w:t>
            </w:r>
            <w:r w:rsidRPr="00BD39D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Direktive (EU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) 2025/25 i uvođenja </w:t>
            </w:r>
            <w:r w:rsidRPr="00BD39D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institut digitalne punomoći EU-a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u Zakona o sudskom registru za trgovačka društva </w:t>
            </w:r>
            <w:r w:rsidRPr="00BD39D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potrebno je u ZOO-u, koji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je </w:t>
            </w:r>
            <w:proofErr w:type="spellStart"/>
            <w:r w:rsidRPr="00BD39D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lex</w:t>
            </w:r>
            <w:proofErr w:type="spellEnd"/>
            <w:r w:rsidRPr="00BD39D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BD39D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generalis</w:t>
            </w:r>
            <w:proofErr w:type="spellEnd"/>
            <w:r w:rsidRPr="00BD39D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, predvidjeti mogućnost izdavanja i punomoći u digitalnim obliku.</w:t>
            </w:r>
          </w:p>
          <w:p w14:paraId="61FA0679" w14:textId="77777777" w:rsidR="00BD39D6" w:rsidRDefault="00BD39D6" w:rsidP="00D8082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4F5E3AD8" w14:textId="4FD73F3A" w:rsidR="00554BC7" w:rsidRDefault="00BD39D6" w:rsidP="00D8082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F</w:t>
            </w:r>
            <w:r w:rsidR="00552F37" w:rsidRPr="00552F3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ormalno</w:t>
            </w:r>
            <w:r w:rsidR="00552F3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se izjednačava</w:t>
            </w:r>
            <w:r w:rsidR="00552F37" w:rsidRPr="00552F3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pravovaljanosti bankarskih garancija izdanih u elektroničkom obliku s onima izdanima u materijalnom obliku</w:t>
            </w:r>
            <w:r w:rsidR="00552F3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kao prvi korak u digitalizaciji bankarskih garancija</w:t>
            </w:r>
            <w:r w:rsidR="00D8082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i zbog osiguranja pravne sigurnosti, jer se trenutna administrativna praksa većinom temelji na fizičkim ispravama i papirnatom poslovanju, ali postoji i manji broj garancija u digitalnom obliku.</w:t>
            </w:r>
          </w:p>
          <w:p w14:paraId="6D5879E9" w14:textId="3E5EA149" w:rsidR="00D8082E" w:rsidRPr="00377DD6" w:rsidRDefault="00D8082E" w:rsidP="00D8082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352D9" w:rsidRPr="00DA65D6" w14:paraId="40053ACB" w14:textId="77777777" w:rsidTr="005178C1">
        <w:trPr>
          <w:trHeight w:val="384"/>
        </w:trPr>
        <w:tc>
          <w:tcPr>
            <w:tcW w:w="850" w:type="dxa"/>
          </w:tcPr>
          <w:p w14:paraId="09378F83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2.2.</w:t>
            </w:r>
          </w:p>
        </w:tc>
        <w:tc>
          <w:tcPr>
            <w:tcW w:w="9073" w:type="dxa"/>
            <w:gridSpan w:val="4"/>
          </w:tcPr>
          <w:p w14:paraId="33895B8C" w14:textId="77777777" w:rsidR="009352D9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Izvor podataka:</w:t>
            </w:r>
          </w:p>
          <w:p w14:paraId="3789E439" w14:textId="77777777" w:rsidR="00A254CD" w:rsidRPr="00DA65D6" w:rsidRDefault="00A254CD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</w:tr>
      <w:tr w:rsidR="009352D9" w:rsidRPr="00DA65D6" w14:paraId="0771D28E" w14:textId="77777777" w:rsidTr="005178C1">
        <w:trPr>
          <w:trHeight w:val="384"/>
        </w:trPr>
        <w:tc>
          <w:tcPr>
            <w:tcW w:w="850" w:type="dxa"/>
          </w:tcPr>
          <w:p w14:paraId="23AD60A7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133C1C0A" w14:textId="5995361E" w:rsidR="00EA6E04" w:rsidRDefault="00C32DDA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hyperlink r:id="rId5" w:history="1">
              <w:r w:rsidR="00EA6E04" w:rsidRPr="007A5CE1">
                <w:rPr>
                  <w:rStyle w:val="Hiperveza"/>
                  <w:rFonts w:ascii="Times New Roman" w:eastAsia="Calibri" w:hAnsi="Times New Roman" w:cs="Times New Roman"/>
                  <w:iCs/>
                  <w:sz w:val="24"/>
                  <w:szCs w:val="24"/>
                  <w:lang w:eastAsia="hr-HR"/>
                </w:rPr>
                <w:t>https://eur-lex.europa.eu/legal-content/HR/TXT/HTML/?uri=OJ:L_202401799</w:t>
              </w:r>
            </w:hyperlink>
            <w:r w:rsidR="00EA6E0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</w:p>
          <w:p w14:paraId="6D893A39" w14:textId="7A048E19" w:rsidR="00EA6E04" w:rsidRDefault="00C32DDA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hyperlink r:id="rId6" w:history="1">
              <w:r w:rsidR="00EA6E04" w:rsidRPr="007A5CE1">
                <w:rPr>
                  <w:rStyle w:val="Hiperveza"/>
                  <w:rFonts w:ascii="Times New Roman" w:eastAsia="Calibri" w:hAnsi="Times New Roman" w:cs="Times New Roman"/>
                  <w:iCs/>
                  <w:sz w:val="24"/>
                  <w:szCs w:val="24"/>
                  <w:lang w:eastAsia="hr-HR"/>
                </w:rPr>
                <w:t>https://eur-lex.europa.eu/legal-content/HR/TXT/?uri=CELEX:32024L2853</w:t>
              </w:r>
            </w:hyperlink>
          </w:p>
          <w:p w14:paraId="7605B5B3" w14:textId="24C5D080" w:rsidR="00EA6E04" w:rsidRDefault="00EA6E04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EA6E0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Zakon o obveznim odnosima („Narodne novine“, br. 35/05., 41/08., 125/11., 78/15., 29/18., 126/21., 114/2</w:t>
            </w:r>
            <w:r w:rsidR="009A507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2., 156/22.</w:t>
            </w:r>
            <w:r w:rsidRPr="00EA6E0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i 155/23.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)</w:t>
            </w:r>
          </w:p>
          <w:p w14:paraId="6EDBF5CE" w14:textId="50984ACD" w:rsidR="002D5141" w:rsidRPr="002D5141" w:rsidRDefault="002D5141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Ministarstvo pravosuđa, uprave i digitalne transformacije</w:t>
            </w:r>
          </w:p>
        </w:tc>
      </w:tr>
      <w:tr w:rsidR="009352D9" w:rsidRPr="00DA65D6" w14:paraId="2F4A7131" w14:textId="77777777" w:rsidTr="005178C1">
        <w:trPr>
          <w:trHeight w:val="384"/>
        </w:trPr>
        <w:tc>
          <w:tcPr>
            <w:tcW w:w="850" w:type="dxa"/>
          </w:tcPr>
          <w:p w14:paraId="34A748A9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lastRenderedPageBreak/>
              <w:t>3.</w:t>
            </w:r>
          </w:p>
        </w:tc>
        <w:tc>
          <w:tcPr>
            <w:tcW w:w="9073" w:type="dxa"/>
            <w:gridSpan w:val="4"/>
          </w:tcPr>
          <w:p w14:paraId="109B4248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UTVRĐIVANJE POSEBNOG CILJA</w:t>
            </w:r>
          </w:p>
        </w:tc>
      </w:tr>
      <w:tr w:rsidR="009352D9" w:rsidRPr="00DA65D6" w14:paraId="06FB3055" w14:textId="77777777" w:rsidTr="005178C1">
        <w:trPr>
          <w:trHeight w:val="384"/>
        </w:trPr>
        <w:tc>
          <w:tcPr>
            <w:tcW w:w="850" w:type="dxa"/>
          </w:tcPr>
          <w:p w14:paraId="55E51EA5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3.1.</w:t>
            </w:r>
          </w:p>
        </w:tc>
        <w:tc>
          <w:tcPr>
            <w:tcW w:w="9073" w:type="dxa"/>
            <w:gridSpan w:val="4"/>
          </w:tcPr>
          <w:p w14:paraId="51D58279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posebnog cilja</w:t>
            </w:r>
          </w:p>
        </w:tc>
      </w:tr>
      <w:tr w:rsidR="009352D9" w:rsidRPr="00DA65D6" w14:paraId="442A7BA5" w14:textId="77777777" w:rsidTr="005178C1">
        <w:trPr>
          <w:trHeight w:val="384"/>
        </w:trPr>
        <w:tc>
          <w:tcPr>
            <w:tcW w:w="850" w:type="dxa"/>
          </w:tcPr>
          <w:p w14:paraId="6D79CE38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690D9856" w14:textId="6187EEFC" w:rsidR="00554BC7" w:rsidRDefault="00552F37" w:rsidP="00554BC7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Posebni cilj 1.</w:t>
            </w:r>
            <w:r w:rsidR="00554BC7" w:rsidRPr="00554BC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O</w:t>
            </w:r>
            <w:r w:rsidR="00554BC7" w:rsidRPr="00554BC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sigurati da pravila o </w:t>
            </w:r>
            <w:proofErr w:type="spellStart"/>
            <w:r w:rsidR="00FE526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i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zvanugovornoj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554BC7" w:rsidRPr="00554BC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odgovornosti </w:t>
            </w:r>
            <w:r w:rsidR="00DD0AC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za štetu </w:t>
            </w:r>
            <w:r w:rsidR="00554BC7" w:rsidRPr="00554BC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uzimaju u obzir prirodu i rizike proizvoda u digital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nom dobu i kružnom gospodarstvu.</w:t>
            </w:r>
          </w:p>
          <w:p w14:paraId="72911053" w14:textId="77777777" w:rsidR="00552F37" w:rsidRPr="00554BC7" w:rsidRDefault="00552F37" w:rsidP="00554BC7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499A0A96" w14:textId="2BEEC9B1" w:rsidR="00554BC7" w:rsidRDefault="00552F37" w:rsidP="00554BC7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Poseban cilj 2.:</w:t>
            </w:r>
            <w:r w:rsidR="00554BC7" w:rsidRPr="00554BC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O</w:t>
            </w:r>
            <w:r w:rsidR="00554BC7" w:rsidRPr="00554BC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sigurati da uvijek postoji poduzeće sa sjedištem u EU-u koje se može smatrati odgovornim za neispravne proizvode kupljene izravno od proizvođača izvan EU-a, s obzirom na to da potrošači sve češće kupuju proizvode izravno iz trećih zemalja, a da pritom ne postoji proizvođač </w:t>
            </w:r>
            <w:r w:rsidR="00F34AD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ili uvoznik sa sjedištem u EU-u.</w:t>
            </w:r>
            <w:r w:rsidR="00554BC7" w:rsidRPr="00554BC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  <w:p w14:paraId="02BC4393" w14:textId="77777777" w:rsidR="00D8082E" w:rsidRPr="00554BC7" w:rsidRDefault="00D8082E" w:rsidP="00554BC7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25142EC7" w14:textId="2FD52134" w:rsidR="00873143" w:rsidRDefault="005E2C99" w:rsidP="00554BC7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Poseban cilj 3.: S</w:t>
            </w:r>
            <w:r w:rsidR="00554BC7" w:rsidRPr="00554BC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manjiti teret dokazivanja u složenim slučajevima i ograničenja u podnošenju zahtjeva za naknadu štete</w:t>
            </w:r>
            <w:r w:rsidR="0087314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</w:p>
          <w:p w14:paraId="22CED0B3" w14:textId="77777777" w:rsidR="00873143" w:rsidRDefault="00873143" w:rsidP="00554BC7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3594F32F" w14:textId="136DA8FA" w:rsidR="00554BC7" w:rsidRDefault="00873143" w:rsidP="00554BC7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Poseban cilj 4.: Osigurati jednaku zaštita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ošte</w:t>
            </w:r>
            <w:r w:rsidR="0072168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ć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enika</w:t>
            </w:r>
            <w:proofErr w:type="spellEnd"/>
            <w:r w:rsidR="00554BC7" w:rsidRPr="00554BC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bez obzira na to je li neispravni proizvod koji im je nanio štetu </w:t>
            </w:r>
            <w:r w:rsidR="005E2C9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u </w:t>
            </w:r>
            <w:r w:rsidR="00554BC7" w:rsidRPr="00554BC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materijaln</w:t>
            </w:r>
            <w:r w:rsidR="005E2C9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om obliku</w:t>
            </w:r>
            <w:r w:rsidR="00554BC7" w:rsidRPr="00554BC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ili digitalan.</w:t>
            </w:r>
          </w:p>
          <w:p w14:paraId="6AD68374" w14:textId="77777777" w:rsidR="005E2C99" w:rsidRPr="00554BC7" w:rsidRDefault="005E2C99" w:rsidP="00554BC7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5A4C822A" w14:textId="73DFD6F9" w:rsidR="00A2452C" w:rsidRPr="00046817" w:rsidRDefault="00DD0ACB" w:rsidP="000C5C84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Poseban cilj 5</w:t>
            </w:r>
            <w:r w:rsidR="005E2C9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.: P</w:t>
            </w:r>
            <w:r w:rsidR="00554BC7" w:rsidRPr="00554BC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osti</w:t>
            </w:r>
            <w:r w:rsidR="00F34AD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zanje</w:t>
            </w:r>
            <w:r w:rsidR="00554BC7" w:rsidRPr="00554BC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pravn</w:t>
            </w:r>
            <w:r w:rsidR="0030649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e</w:t>
            </w:r>
            <w:r w:rsidR="00554BC7" w:rsidRPr="00554BC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sigurnost za potrošače i prodavatelje kod potrošačkih ugovora za koliko se</w:t>
            </w:r>
            <w:r w:rsidR="00C32DD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produžuje rok kod popravka stvari</w:t>
            </w:r>
            <w:r w:rsidR="00554BC7" w:rsidRPr="00554BC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</w:p>
        </w:tc>
      </w:tr>
      <w:tr w:rsidR="009352D9" w:rsidRPr="00DA65D6" w14:paraId="3B7AFC58" w14:textId="77777777" w:rsidTr="005178C1">
        <w:trPr>
          <w:trHeight w:val="384"/>
        </w:trPr>
        <w:tc>
          <w:tcPr>
            <w:tcW w:w="850" w:type="dxa"/>
          </w:tcPr>
          <w:p w14:paraId="2CD6427B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3.2.</w:t>
            </w:r>
          </w:p>
        </w:tc>
        <w:tc>
          <w:tcPr>
            <w:tcW w:w="9073" w:type="dxa"/>
            <w:gridSpan w:val="4"/>
          </w:tcPr>
          <w:p w14:paraId="32C144D9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svrhe propisa</w:t>
            </w:r>
          </w:p>
        </w:tc>
      </w:tr>
      <w:tr w:rsidR="009352D9" w:rsidRPr="00DA65D6" w14:paraId="3E2D55CD" w14:textId="77777777" w:rsidTr="005178C1">
        <w:trPr>
          <w:trHeight w:val="384"/>
        </w:trPr>
        <w:tc>
          <w:tcPr>
            <w:tcW w:w="850" w:type="dxa"/>
          </w:tcPr>
          <w:p w14:paraId="782F88B1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5BA943D0" w14:textId="7F64AFE0" w:rsidR="00B345AB" w:rsidRDefault="00695ADD" w:rsidP="00873143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Ovim zakonom </w:t>
            </w:r>
            <w:r w:rsidR="00B345A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uređuju se prava i obveze potrošača i proizvođača kod materijalnog nedostatka stvari promoviranjem popravk</w:t>
            </w:r>
            <w:r w:rsidR="00F34AD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a stvari ili davanjem zamjenske</w:t>
            </w:r>
            <w:r w:rsidR="00B345A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obnovljene stvari.</w:t>
            </w:r>
          </w:p>
          <w:p w14:paraId="6DCD31BE" w14:textId="77777777" w:rsidR="00B345AB" w:rsidRDefault="00B345AB" w:rsidP="00873143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3FBCF23D" w14:textId="7FB85D9E" w:rsidR="00873143" w:rsidRDefault="00B345AB" w:rsidP="00873143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Također, ovim zakonom uređuje se prava i obveze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oštećenika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i gospodarskog subjekta kod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izvangovorne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naknade štete. </w:t>
            </w:r>
          </w:p>
          <w:p w14:paraId="5EEC673D" w14:textId="2E417E48" w:rsidR="00E11481" w:rsidRDefault="00E11481" w:rsidP="00873143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219651F2" w14:textId="58190CC0" w:rsidR="00E11481" w:rsidRPr="00050947" w:rsidRDefault="00E11481" w:rsidP="0087314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Zbog pravne sigurnosti pojašnjava se kako se konvalidacija ugovora odnosi na sve ugovore, a ne samo na ugovore za koje je propisan pisani oblik, te se zbog potreba digitalizacije i pravnom prometa propisuje kako se bankarska garancija i punomoć mogu izdati i u digitalnom obliku.</w:t>
            </w:r>
          </w:p>
          <w:p w14:paraId="7A843D37" w14:textId="624A2777" w:rsidR="00050947" w:rsidRPr="00050947" w:rsidRDefault="00050947" w:rsidP="00695AD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</w:tr>
      <w:tr w:rsidR="009352D9" w:rsidRPr="00DA65D6" w14:paraId="3687B285" w14:textId="77777777" w:rsidTr="005178C1">
        <w:trPr>
          <w:trHeight w:val="384"/>
        </w:trPr>
        <w:tc>
          <w:tcPr>
            <w:tcW w:w="850" w:type="dxa"/>
          </w:tcPr>
          <w:p w14:paraId="6C4165D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3.3.</w:t>
            </w:r>
          </w:p>
        </w:tc>
        <w:tc>
          <w:tcPr>
            <w:tcW w:w="9073" w:type="dxa"/>
            <w:gridSpan w:val="4"/>
          </w:tcPr>
          <w:p w14:paraId="23EC2D04" w14:textId="77777777" w:rsidR="009352D9" w:rsidRPr="00DA65D6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Razmotrena druga moguća normativna i </w:t>
            </w:r>
            <w:proofErr w:type="spellStart"/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nenormativna</w:t>
            </w:r>
            <w:proofErr w:type="spellEnd"/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rješenja</w:t>
            </w:r>
          </w:p>
        </w:tc>
      </w:tr>
      <w:tr w:rsidR="009352D9" w:rsidRPr="00DA65D6" w14:paraId="4A643567" w14:textId="77777777" w:rsidTr="005178C1">
        <w:trPr>
          <w:trHeight w:val="384"/>
        </w:trPr>
        <w:tc>
          <w:tcPr>
            <w:tcW w:w="850" w:type="dxa"/>
          </w:tcPr>
          <w:p w14:paraId="0ED85769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2A136701" w14:textId="0DDDFA32" w:rsidR="00EA6E04" w:rsidRDefault="00EA6E04" w:rsidP="008C4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A6E0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Budući da su odredbe koje su predmet izmjena i dopuna već u velikoj mjeri sadržane u važećem Zakonu </w:t>
            </w:r>
            <w:r w:rsidR="007E4940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 obveznim odnosima</w:t>
            </w:r>
            <w:r w:rsidRPr="00EA6E0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kao temeljnom propisu koji </w:t>
            </w:r>
            <w:r w:rsidR="00DD0ACB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uređuje </w:t>
            </w:r>
            <w:r w:rsidR="007E4940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obveze prodavatelji i odgovornost za materijalne nedostatke kao i odgovornost za neispravan proizvod</w:t>
            </w:r>
            <w:r w:rsidRPr="00EA6E0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donošenje izmjena i dopuna predmetnog propisa predstavlja rješenje koje će osigurati zadržavanje kontinuiteta normativnog uređenja predmetne materije, uz istodobno osiguravanje pravne sigurnosti. </w:t>
            </w:r>
          </w:p>
          <w:p w14:paraId="02D898A2" w14:textId="105F10C7" w:rsidR="00B311A4" w:rsidRPr="00FF1B3E" w:rsidRDefault="00EA6E04" w:rsidP="008C4B3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proofErr w:type="spellStart"/>
            <w:r w:rsidRPr="00EA6E0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EA6E0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rješenja nisu moguća.</w:t>
            </w:r>
          </w:p>
        </w:tc>
      </w:tr>
      <w:tr w:rsidR="009352D9" w:rsidRPr="00DA65D6" w14:paraId="3B74BB65" w14:textId="77777777" w:rsidTr="005178C1">
        <w:trPr>
          <w:trHeight w:val="384"/>
        </w:trPr>
        <w:tc>
          <w:tcPr>
            <w:tcW w:w="850" w:type="dxa"/>
          </w:tcPr>
          <w:p w14:paraId="016183E3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3.4.</w:t>
            </w:r>
          </w:p>
        </w:tc>
        <w:tc>
          <w:tcPr>
            <w:tcW w:w="9073" w:type="dxa"/>
            <w:gridSpan w:val="4"/>
          </w:tcPr>
          <w:p w14:paraId="150D54A3" w14:textId="77777777" w:rsidR="009352D9" w:rsidRPr="00DA65D6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Izvor podataka:</w:t>
            </w:r>
          </w:p>
        </w:tc>
      </w:tr>
      <w:tr w:rsidR="009352D9" w:rsidRPr="00DA65D6" w14:paraId="6473500B" w14:textId="77777777" w:rsidTr="005178C1">
        <w:trPr>
          <w:trHeight w:val="384"/>
        </w:trPr>
        <w:tc>
          <w:tcPr>
            <w:tcW w:w="850" w:type="dxa"/>
          </w:tcPr>
          <w:p w14:paraId="0845F04B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75A4C282" w14:textId="6AB48D8E" w:rsidR="00EF4CC2" w:rsidRDefault="00EF4CC2" w:rsidP="005178C1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EF4CC2">
              <w:rPr>
                <w:rFonts w:ascii="Times New Roman" w:hAnsi="Times New Roman" w:cs="Times New Roman"/>
                <w:iCs/>
                <w:sz w:val="24"/>
                <w:szCs w:val="24"/>
                <w:lang w:eastAsia="hr-HR"/>
              </w:rPr>
              <w:t>Zakon o obveznim odnosima („Narodne novine“, br. 35/05., 41/08., 125/11., 78/15., 29/18., 1</w:t>
            </w:r>
            <w:r w:rsidR="009A507D">
              <w:rPr>
                <w:rFonts w:ascii="Times New Roman" w:hAnsi="Times New Roman" w:cs="Times New Roman"/>
                <w:iCs/>
                <w:sz w:val="24"/>
                <w:szCs w:val="24"/>
                <w:lang w:eastAsia="hr-HR"/>
              </w:rPr>
              <w:t>26/21., 114/22., 156/22.</w:t>
            </w:r>
            <w:r w:rsidRPr="00EF4CC2">
              <w:rPr>
                <w:rFonts w:ascii="Times New Roman" w:hAnsi="Times New Roman" w:cs="Times New Roman"/>
                <w:iCs/>
                <w:sz w:val="24"/>
                <w:szCs w:val="24"/>
                <w:lang w:eastAsia="hr-HR"/>
              </w:rPr>
              <w:t xml:space="preserve"> i 155/23.)</w:t>
            </w:r>
          </w:p>
          <w:p w14:paraId="5EBBC4A1" w14:textId="07F8FA3E" w:rsidR="009A6346" w:rsidRPr="00554BC7" w:rsidRDefault="009A6346" w:rsidP="005178C1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hr-HR"/>
              </w:rPr>
              <w:t>Ministarstvo pravosuđa, uprave i digitalne transformacije</w:t>
            </w:r>
          </w:p>
        </w:tc>
      </w:tr>
      <w:tr w:rsidR="009352D9" w:rsidRPr="00DA65D6" w14:paraId="33FFBE7D" w14:textId="77777777" w:rsidTr="005178C1">
        <w:trPr>
          <w:trHeight w:val="384"/>
        </w:trPr>
        <w:tc>
          <w:tcPr>
            <w:tcW w:w="850" w:type="dxa"/>
          </w:tcPr>
          <w:p w14:paraId="36D2A3FE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4.</w:t>
            </w:r>
          </w:p>
        </w:tc>
        <w:tc>
          <w:tcPr>
            <w:tcW w:w="9073" w:type="dxa"/>
            <w:gridSpan w:val="4"/>
          </w:tcPr>
          <w:p w14:paraId="49EA13A0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 xml:space="preserve">UTVRĐIVANJE UČINAKA I ADRESATA </w:t>
            </w:r>
          </w:p>
        </w:tc>
      </w:tr>
      <w:tr w:rsidR="009352D9" w:rsidRPr="00DA65D6" w14:paraId="45E14C3F" w14:textId="77777777" w:rsidTr="005178C1">
        <w:trPr>
          <w:trHeight w:val="608"/>
        </w:trPr>
        <w:tc>
          <w:tcPr>
            <w:tcW w:w="850" w:type="dxa"/>
          </w:tcPr>
          <w:p w14:paraId="753B815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4.1.</w:t>
            </w:r>
          </w:p>
        </w:tc>
        <w:tc>
          <w:tcPr>
            <w:tcW w:w="9073" w:type="dxa"/>
            <w:gridSpan w:val="4"/>
          </w:tcPr>
          <w:p w14:paraId="323CDDB2" w14:textId="3324F3D2" w:rsidR="0093094B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Posebni cilj:</w:t>
            </w:r>
          </w:p>
          <w:p w14:paraId="2BAA8F8A" w14:textId="77777777" w:rsidR="00475D20" w:rsidRDefault="00475D20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14:paraId="58874CCD" w14:textId="5259829F" w:rsidR="00475D20" w:rsidRDefault="00475D20" w:rsidP="00475D20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475D2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Posebni cilj 1.: Osigurati da pravila o </w:t>
            </w:r>
            <w:proofErr w:type="spellStart"/>
            <w:r w:rsidRPr="00475D2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izvanugovornoj</w:t>
            </w:r>
            <w:proofErr w:type="spellEnd"/>
            <w:r w:rsidRPr="00475D2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odgovornosti za štetu uzimaju u obzir prirodu i rizike proizvoda u digitalnom dobu i kružnom gospodarstvu.</w:t>
            </w:r>
          </w:p>
          <w:p w14:paraId="4EF50054" w14:textId="77777777" w:rsidR="00C32DDA" w:rsidRPr="00475D20" w:rsidRDefault="00C32DDA" w:rsidP="00475D20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0D006CF1" w14:textId="5B79F8A6" w:rsidR="00475D20" w:rsidRDefault="00475D20" w:rsidP="00475D20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475D2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Poseban cilj 2.: Osigurati da uvijek postoji poduzeće sa sjedištem u EU-u koje se može smatrati odgovornim za neispravne proizvode kupljene izravno od proizvođača izvan EU-a, s obzirom na to da potrošači sve češće kupuju proizvode izravno iz trećih zemalja, a da pritom ne postoji proizvođač ili uvoznik sa sjedištem u EU-u. </w:t>
            </w:r>
          </w:p>
          <w:p w14:paraId="447F603C" w14:textId="77777777" w:rsidR="00E11481" w:rsidRPr="00475D20" w:rsidRDefault="00E11481" w:rsidP="00475D20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64601591" w14:textId="77777777" w:rsidR="00475D20" w:rsidRPr="00475D20" w:rsidRDefault="00475D20" w:rsidP="00475D20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475D2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Poseban cilj 3.: Smanjiti teret dokazivanja u složenim slučajevima i ograničenja u podnošenju zahtjeva za naknadu štete.</w:t>
            </w:r>
          </w:p>
          <w:p w14:paraId="55284878" w14:textId="77777777" w:rsidR="00475D20" w:rsidRPr="00475D20" w:rsidRDefault="00475D20" w:rsidP="00475D20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057119E9" w14:textId="77777777" w:rsidR="00475D20" w:rsidRPr="00475D20" w:rsidRDefault="00475D20" w:rsidP="00475D20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475D2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Poseban cilj 4.: Osigurati jednaku zaštita </w:t>
            </w:r>
            <w:proofErr w:type="spellStart"/>
            <w:r w:rsidRPr="00475D2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oštećenika</w:t>
            </w:r>
            <w:proofErr w:type="spellEnd"/>
            <w:r w:rsidRPr="00475D2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bez obzira na to je li neispravni proizvod koji im je nanio štetu u materijalnom obliku ili digitalan.</w:t>
            </w:r>
          </w:p>
          <w:p w14:paraId="5EFBABDA" w14:textId="77777777" w:rsidR="00475D20" w:rsidRPr="00475D20" w:rsidRDefault="00475D20" w:rsidP="00475D20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4C78805D" w14:textId="16C65938" w:rsidR="0093094B" w:rsidRPr="00A35370" w:rsidRDefault="00475D20" w:rsidP="00475D20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475D2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Poseban cilj 5.: Postizanje pravne sigurnost za potrošače i prodavatelje kod potrošačkih ugovora za koliko se</w:t>
            </w:r>
            <w:r w:rsidR="00C32DD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produžuje rok kod popravka stvari</w:t>
            </w:r>
            <w:r w:rsidRPr="00475D2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</w:p>
        </w:tc>
      </w:tr>
      <w:tr w:rsidR="009352D9" w:rsidRPr="00DA65D6" w14:paraId="3DDE3C3D" w14:textId="77777777" w:rsidTr="005178C1">
        <w:trPr>
          <w:trHeight w:val="335"/>
        </w:trPr>
        <w:tc>
          <w:tcPr>
            <w:tcW w:w="850" w:type="dxa"/>
          </w:tcPr>
          <w:p w14:paraId="6F36EC45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4.1.1.</w:t>
            </w:r>
          </w:p>
        </w:tc>
        <w:tc>
          <w:tcPr>
            <w:tcW w:w="4254" w:type="dxa"/>
            <w:gridSpan w:val="3"/>
          </w:tcPr>
          <w:p w14:paraId="2912F5AC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gospodarstvo:</w:t>
            </w:r>
          </w:p>
        </w:tc>
        <w:tc>
          <w:tcPr>
            <w:tcW w:w="4819" w:type="dxa"/>
          </w:tcPr>
          <w:p w14:paraId="5767A2D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71BA7955" w14:textId="77777777" w:rsidTr="005178C1">
        <w:trPr>
          <w:trHeight w:val="335"/>
        </w:trPr>
        <w:tc>
          <w:tcPr>
            <w:tcW w:w="850" w:type="dxa"/>
          </w:tcPr>
          <w:p w14:paraId="11B9C3DC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187E5BB7" w14:textId="432E5F35" w:rsidR="009C78D2" w:rsidRPr="00540097" w:rsidRDefault="00CA71C6" w:rsidP="00CA71C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Zakon će imati pozitivne učinke na </w:t>
            </w:r>
            <w:r w:rsidRPr="00CA71C6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zaštit</w:t>
            </w: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u</w:t>
            </w:r>
            <w:r w:rsidRPr="00CA71C6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potrošača koje uključuje zaštitu ekonomskih interesa potrošača, zaštitu od opasnosti za život, zdravlje i imovinu, pravnu zaštitu potrošača, inf</w:t>
            </w: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ormiranje i izobrazbu potrošača. </w:t>
            </w:r>
          </w:p>
        </w:tc>
        <w:tc>
          <w:tcPr>
            <w:tcW w:w="4819" w:type="dxa"/>
          </w:tcPr>
          <w:p w14:paraId="5E22A255" w14:textId="4502464A" w:rsidR="00257582" w:rsidRPr="00257582" w:rsidRDefault="00922DEE" w:rsidP="00922DEE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Građani</w:t>
            </w:r>
            <w:r w:rsidR="005E740C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i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p</w:t>
            </w:r>
            <w:r w:rsidR="00257582">
              <w:rPr>
                <w:rFonts w:ascii="Times New Roman" w:eastAsia="Calibri" w:hAnsi="Times New Roman" w:cs="Times New Roman"/>
                <w:sz w:val="24"/>
                <w:lang w:eastAsia="hr-HR"/>
              </w:rPr>
              <w:t>oslovni subjekti.</w:t>
            </w:r>
          </w:p>
        </w:tc>
      </w:tr>
      <w:tr w:rsidR="009352D9" w:rsidRPr="00DA65D6" w14:paraId="186B863F" w14:textId="77777777" w:rsidTr="005178C1">
        <w:trPr>
          <w:trHeight w:val="360"/>
        </w:trPr>
        <w:tc>
          <w:tcPr>
            <w:tcW w:w="850" w:type="dxa"/>
          </w:tcPr>
          <w:p w14:paraId="19CDA5A5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4.1.2.</w:t>
            </w:r>
          </w:p>
        </w:tc>
        <w:tc>
          <w:tcPr>
            <w:tcW w:w="4254" w:type="dxa"/>
            <w:gridSpan w:val="3"/>
          </w:tcPr>
          <w:p w14:paraId="015876D9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održivi razvoj:</w:t>
            </w:r>
          </w:p>
        </w:tc>
        <w:tc>
          <w:tcPr>
            <w:tcW w:w="4819" w:type="dxa"/>
          </w:tcPr>
          <w:p w14:paraId="39D4166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70846CA4" w14:textId="77777777" w:rsidTr="005178C1">
        <w:trPr>
          <w:trHeight w:val="360"/>
        </w:trPr>
        <w:tc>
          <w:tcPr>
            <w:tcW w:w="850" w:type="dxa"/>
          </w:tcPr>
          <w:p w14:paraId="7009D941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738A6EFB" w14:textId="7FD0B7A0" w:rsidR="009222CD" w:rsidRPr="009222CD" w:rsidRDefault="00CA71C6" w:rsidP="00CA71C6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Zakon će imati pozitivne učinke na </w:t>
            </w:r>
            <w:r w:rsidR="00267B4D">
              <w:rPr>
                <w:rFonts w:ascii="Times New Roman" w:eastAsia="Calibri" w:hAnsi="Times New Roman" w:cs="Times New Roman"/>
                <w:sz w:val="24"/>
                <w:lang w:eastAsia="hr-HR"/>
              </w:rPr>
              <w:t>gospodarenje,</w:t>
            </w:r>
            <w:r w:rsidRPr="00CA71C6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razvijanje i provedbu sustava za recikliranje otpada i njegovu ponovnu uporabu, 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odnosno poticat će se obnova i ponovno korištenje proizvoda koji su sada završavali na otpadu</w:t>
            </w:r>
            <w:r w:rsidRPr="00CA71C6">
              <w:rPr>
                <w:rFonts w:ascii="Times New Roman" w:eastAsia="Calibri" w:hAnsi="Times New Roman" w:cs="Times New Roman"/>
                <w:sz w:val="24"/>
                <w:lang w:eastAsia="hr-HR"/>
              </w:rPr>
              <w:t>.</w:t>
            </w:r>
          </w:p>
        </w:tc>
        <w:tc>
          <w:tcPr>
            <w:tcW w:w="4819" w:type="dxa"/>
          </w:tcPr>
          <w:p w14:paraId="7C76B180" w14:textId="45677105" w:rsidR="002F73ED" w:rsidRPr="002F73ED" w:rsidRDefault="00CA71C6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CA71C6">
              <w:rPr>
                <w:rFonts w:ascii="Times New Roman" w:eastAsia="Calibri" w:hAnsi="Times New Roman" w:cs="Times New Roman"/>
                <w:sz w:val="24"/>
                <w:lang w:eastAsia="hr-HR"/>
              </w:rPr>
              <w:t>Građani i poslovni subjekti.</w:t>
            </w:r>
          </w:p>
        </w:tc>
      </w:tr>
      <w:tr w:rsidR="009352D9" w:rsidRPr="00DA65D6" w14:paraId="3B58A9C8" w14:textId="77777777" w:rsidTr="005178C1">
        <w:trPr>
          <w:trHeight w:val="328"/>
        </w:trPr>
        <w:tc>
          <w:tcPr>
            <w:tcW w:w="850" w:type="dxa"/>
          </w:tcPr>
          <w:p w14:paraId="2348B435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4.1.3.</w:t>
            </w:r>
          </w:p>
        </w:tc>
        <w:tc>
          <w:tcPr>
            <w:tcW w:w="4254" w:type="dxa"/>
            <w:gridSpan w:val="3"/>
          </w:tcPr>
          <w:p w14:paraId="37362CFF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socijalnu skrb:</w:t>
            </w:r>
          </w:p>
        </w:tc>
        <w:tc>
          <w:tcPr>
            <w:tcW w:w="4819" w:type="dxa"/>
          </w:tcPr>
          <w:p w14:paraId="34690103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55C0A673" w14:textId="77777777" w:rsidTr="005178C1">
        <w:trPr>
          <w:trHeight w:val="328"/>
        </w:trPr>
        <w:tc>
          <w:tcPr>
            <w:tcW w:w="850" w:type="dxa"/>
          </w:tcPr>
          <w:p w14:paraId="53762164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37941D6A" w14:textId="77777777" w:rsidR="009C78D2" w:rsidRPr="006075E0" w:rsidRDefault="006075E0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6075E0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Nisu utvrđeni učinci iz članka 12. Uredbe. </w:t>
            </w:r>
          </w:p>
        </w:tc>
        <w:tc>
          <w:tcPr>
            <w:tcW w:w="4819" w:type="dxa"/>
          </w:tcPr>
          <w:p w14:paraId="08664062" w14:textId="77777777" w:rsidR="006075E0" w:rsidRPr="00DA65D6" w:rsidRDefault="006075E0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6075E0">
              <w:rPr>
                <w:rFonts w:ascii="Times New Roman" w:eastAsia="Calibri" w:hAnsi="Times New Roman" w:cs="Times New Roman"/>
                <w:sz w:val="24"/>
                <w:lang w:eastAsia="hr-HR"/>
              </w:rPr>
              <w:t>Nisu utvrđeni adresati iz članka 14. Uredbe.</w:t>
            </w:r>
          </w:p>
        </w:tc>
      </w:tr>
      <w:tr w:rsidR="009352D9" w:rsidRPr="00DA65D6" w14:paraId="1AFC59A2" w14:textId="77777777" w:rsidTr="005178C1">
        <w:trPr>
          <w:trHeight w:val="366"/>
        </w:trPr>
        <w:tc>
          <w:tcPr>
            <w:tcW w:w="850" w:type="dxa"/>
          </w:tcPr>
          <w:p w14:paraId="5ABE621E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4.1.4.</w:t>
            </w:r>
          </w:p>
        </w:tc>
        <w:tc>
          <w:tcPr>
            <w:tcW w:w="4254" w:type="dxa"/>
            <w:gridSpan w:val="3"/>
          </w:tcPr>
          <w:p w14:paraId="54C6F8A8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zaštitu ljudskih prava:</w:t>
            </w:r>
          </w:p>
        </w:tc>
        <w:tc>
          <w:tcPr>
            <w:tcW w:w="4819" w:type="dxa"/>
          </w:tcPr>
          <w:p w14:paraId="703E241D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4EB6C44E" w14:textId="77777777" w:rsidTr="005178C1">
        <w:trPr>
          <w:trHeight w:val="366"/>
        </w:trPr>
        <w:tc>
          <w:tcPr>
            <w:tcW w:w="850" w:type="dxa"/>
          </w:tcPr>
          <w:p w14:paraId="5E07614F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4C1298E7" w14:textId="437EB478" w:rsidR="00257582" w:rsidRPr="005E740C" w:rsidRDefault="005E740C" w:rsidP="00471E4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5E740C">
              <w:rPr>
                <w:rFonts w:ascii="Times New Roman" w:hAnsi="Times New Roman" w:cs="Times New Roman"/>
                <w:sz w:val="24"/>
                <w:szCs w:val="24"/>
              </w:rPr>
              <w:t xml:space="preserve">Zakon će imati pozitivne učinke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sigurnost ostvarivanja </w:t>
            </w:r>
            <w:r w:rsidRPr="005E740C">
              <w:rPr>
                <w:rFonts w:ascii="Times New Roman" w:hAnsi="Times New Roman" w:cs="Times New Roman"/>
                <w:sz w:val="24"/>
                <w:szCs w:val="24"/>
              </w:rPr>
              <w:t xml:space="preserve">pravne zaštite </w:t>
            </w:r>
            <w:r w:rsidR="00CA71C6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5E740C">
              <w:rPr>
                <w:rFonts w:ascii="Times New Roman" w:hAnsi="Times New Roman" w:cs="Times New Roman"/>
                <w:sz w:val="24"/>
                <w:szCs w:val="24"/>
              </w:rPr>
              <w:t xml:space="preserve">okviru sudskog postupka. </w:t>
            </w:r>
          </w:p>
        </w:tc>
        <w:tc>
          <w:tcPr>
            <w:tcW w:w="4819" w:type="dxa"/>
          </w:tcPr>
          <w:p w14:paraId="55162C85" w14:textId="146AFFFF" w:rsidR="006C6C4F" w:rsidRPr="006C6C4F" w:rsidRDefault="006C6C4F" w:rsidP="00CA71C6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6C6C4F">
              <w:rPr>
                <w:rFonts w:ascii="Times New Roman" w:eastAsia="Calibri" w:hAnsi="Times New Roman" w:cs="Times New Roman"/>
                <w:sz w:val="24"/>
                <w:lang w:eastAsia="hr-HR"/>
              </w:rPr>
              <w:t>Građani</w:t>
            </w:r>
            <w:r w:rsidR="008B38AD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i poslovni subjekti</w:t>
            </w:r>
            <w:r w:rsidRPr="006C6C4F">
              <w:rPr>
                <w:rFonts w:ascii="Times New Roman" w:eastAsia="Calibri" w:hAnsi="Times New Roman" w:cs="Times New Roman"/>
                <w:sz w:val="24"/>
                <w:lang w:eastAsia="hr-HR"/>
              </w:rPr>
              <w:t>.</w:t>
            </w:r>
          </w:p>
        </w:tc>
      </w:tr>
      <w:tr w:rsidR="009352D9" w:rsidRPr="00DA65D6" w14:paraId="52B83A17" w14:textId="77777777" w:rsidTr="005178C1">
        <w:trPr>
          <w:trHeight w:val="319"/>
        </w:trPr>
        <w:tc>
          <w:tcPr>
            <w:tcW w:w="850" w:type="dxa"/>
          </w:tcPr>
          <w:p w14:paraId="5495C3F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4.1.5.</w:t>
            </w:r>
          </w:p>
        </w:tc>
        <w:tc>
          <w:tcPr>
            <w:tcW w:w="4254" w:type="dxa"/>
            <w:gridSpan w:val="3"/>
          </w:tcPr>
          <w:p w14:paraId="108AEC11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druga područja:</w:t>
            </w:r>
          </w:p>
        </w:tc>
        <w:tc>
          <w:tcPr>
            <w:tcW w:w="4819" w:type="dxa"/>
          </w:tcPr>
          <w:p w14:paraId="3C8EF0CA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4D5FD787" w14:textId="77777777" w:rsidTr="005178C1">
        <w:trPr>
          <w:trHeight w:val="319"/>
        </w:trPr>
        <w:tc>
          <w:tcPr>
            <w:tcW w:w="850" w:type="dxa"/>
          </w:tcPr>
          <w:p w14:paraId="009973DA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5F1FB8AD" w14:textId="54475A33" w:rsidR="00962A06" w:rsidRPr="00962A06" w:rsidRDefault="00471E4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471E49">
              <w:rPr>
                <w:rFonts w:ascii="Times New Roman" w:eastAsia="Calibri" w:hAnsi="Times New Roman" w:cs="Times New Roman"/>
                <w:sz w:val="24"/>
                <w:lang w:eastAsia="hr-HR"/>
              </w:rPr>
              <w:t>Utvrđeni učinci na druga područja navode se jedan iza drugog po redu utvrđivanja.</w:t>
            </w:r>
          </w:p>
        </w:tc>
        <w:tc>
          <w:tcPr>
            <w:tcW w:w="4819" w:type="dxa"/>
          </w:tcPr>
          <w:p w14:paraId="032213D7" w14:textId="3E381ADC" w:rsidR="002C7B16" w:rsidRPr="002C7B16" w:rsidRDefault="00471E4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471E49">
              <w:rPr>
                <w:rFonts w:ascii="Times New Roman" w:eastAsia="Calibri" w:hAnsi="Times New Roman" w:cs="Times New Roman"/>
                <w:sz w:val="24"/>
                <w:lang w:eastAsia="hr-HR"/>
              </w:rPr>
              <w:t>Nisu utvrđeni adresati iz članka 14. Uredbe.</w:t>
            </w:r>
          </w:p>
        </w:tc>
      </w:tr>
      <w:tr w:rsidR="009352D9" w:rsidRPr="00DA65D6" w14:paraId="1F7EE658" w14:textId="77777777" w:rsidTr="005178C1">
        <w:tc>
          <w:tcPr>
            <w:tcW w:w="850" w:type="dxa"/>
          </w:tcPr>
          <w:p w14:paraId="70DC2744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5.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48DB48A6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ANALIZA UTVRĐENIH UČINAKA I ADRESATA </w:t>
            </w:r>
          </w:p>
        </w:tc>
      </w:tr>
      <w:tr w:rsidR="009352D9" w:rsidRPr="00DA65D6" w14:paraId="6D8519AD" w14:textId="77777777" w:rsidTr="005178C1">
        <w:tc>
          <w:tcPr>
            <w:tcW w:w="850" w:type="dxa"/>
          </w:tcPr>
          <w:p w14:paraId="62576FDF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5.1.</w:t>
            </w:r>
          </w:p>
        </w:tc>
        <w:tc>
          <w:tcPr>
            <w:tcW w:w="9073" w:type="dxa"/>
            <w:gridSpan w:val="4"/>
          </w:tcPr>
          <w:p w14:paraId="4F6B96CD" w14:textId="77777777" w:rsidR="009352D9" w:rsidRPr="00DA65D6" w:rsidRDefault="009352D9" w:rsidP="005178C1">
            <w:pPr>
              <w:tabs>
                <w:tab w:val="left" w:pos="5625"/>
              </w:tabs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gospodarstva:</w:t>
            </w:r>
          </w:p>
        </w:tc>
      </w:tr>
      <w:tr w:rsidR="009352D9" w:rsidRPr="00DA65D6" w14:paraId="3CBB1661" w14:textId="77777777" w:rsidTr="005178C1">
        <w:tc>
          <w:tcPr>
            <w:tcW w:w="850" w:type="dxa"/>
          </w:tcPr>
          <w:p w14:paraId="2636EE9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27DE76F9" w14:textId="17D417E0" w:rsidR="00C022A6" w:rsidRDefault="00C022A6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Poticanje popravka stvari </w:t>
            </w:r>
            <w:r w:rsidRPr="00C022A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u okviru odgovornosti prodavatelja,</w:t>
            </w: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</w:t>
            </w:r>
            <w:r w:rsidR="00B93FF5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omogućit će se viša </w:t>
            </w:r>
            <w:r w:rsidRPr="00C022A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razin</w:t>
            </w:r>
            <w:r w:rsidR="00B93FF5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 zaštite potrošača i veća</w:t>
            </w:r>
            <w:r w:rsidRPr="00C022A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kružnost gospodarstva</w:t>
            </w:r>
            <w:r w:rsidR="00B93FF5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. Navedeno će imati pozitivne učinke </w:t>
            </w:r>
            <w:r w:rsidR="00267B4D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na tržište rada, jer bi</w:t>
            </w:r>
            <w:r w:rsidR="00B93FF5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</w:t>
            </w:r>
            <w:r w:rsidR="00267B4D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trebalo dovesti</w:t>
            </w:r>
            <w:r w:rsidR="00B93FF5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do po</w:t>
            </w:r>
            <w:r w:rsidR="00267B4D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većanja radnih mjesta zbog povećanog broja zahtjeva za</w:t>
            </w:r>
            <w:r w:rsidR="00B93FF5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popravk</w:t>
            </w:r>
            <w:r w:rsidR="00267B4D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om</w:t>
            </w:r>
            <w:r w:rsidR="00B93FF5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stvari.</w:t>
            </w:r>
          </w:p>
          <w:p w14:paraId="00A9FC11" w14:textId="551B2C4C" w:rsidR="00C022A6" w:rsidRDefault="001768D6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lastRenderedPageBreak/>
              <w:t>U</w:t>
            </w:r>
            <w:r w:rsidRPr="001768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sklađivanjem zajedničkih pravila o odgovornosti za neispravne proizvode</w:t>
            </w: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</w:t>
            </w:r>
            <w:r w:rsidR="00DD0ACB" w:rsidRPr="00DD0ACB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ukl</w:t>
            </w: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onit će se</w:t>
            </w:r>
            <w:r w:rsidR="00DD0ACB" w:rsidRPr="00DD0ACB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razlika među pravnim sustavima država članica</w:t>
            </w:r>
            <w:r w:rsidR="00DD0ACB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EU-a</w:t>
            </w:r>
            <w:r w:rsidR="00DD0ACB" w:rsidRPr="00DD0ACB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te </w:t>
            </w:r>
            <w:r w:rsidR="00D00F25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povećati</w:t>
            </w:r>
            <w:r w:rsidR="00DD0ACB" w:rsidRPr="00DD0ACB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kretanje robe na unutarnjem tržištu.</w:t>
            </w:r>
          </w:p>
          <w:p w14:paraId="246B2019" w14:textId="12337486" w:rsidR="009352D9" w:rsidRPr="00AB7D6A" w:rsidRDefault="00BD39D6" w:rsidP="001937D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Olakšat će se poslovanje pravnih osoba kako u prekograničnim registarskim postupcima čineći dostupnima</w:t>
            </w:r>
            <w:r w:rsidRPr="00BD39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digitalne punomoći EU-a </w:t>
            </w: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tako i u </w:t>
            </w:r>
            <w:r w:rsidR="001937D7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npr. </w:t>
            </w: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nacionalnim postupcima javne nabave </w:t>
            </w:r>
            <w:r w:rsidR="001937D7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u kojima se </w:t>
            </w:r>
            <w:r w:rsidR="00C32DDA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dokumentacija</w:t>
            </w: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u EONJ</w:t>
            </w:r>
            <w:r w:rsidR="001937D7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podnosi u elektroničkom obliku</w:t>
            </w: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. </w:t>
            </w:r>
          </w:p>
        </w:tc>
      </w:tr>
      <w:tr w:rsidR="009352D9" w:rsidRPr="00DA65D6" w14:paraId="54654ABC" w14:textId="77777777" w:rsidTr="005178C1">
        <w:tc>
          <w:tcPr>
            <w:tcW w:w="850" w:type="dxa"/>
          </w:tcPr>
          <w:p w14:paraId="70566306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5.2.</w:t>
            </w:r>
          </w:p>
        </w:tc>
        <w:tc>
          <w:tcPr>
            <w:tcW w:w="9073" w:type="dxa"/>
            <w:gridSpan w:val="4"/>
          </w:tcPr>
          <w:p w14:paraId="3D21CA93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održivog razvoja:</w:t>
            </w:r>
          </w:p>
        </w:tc>
      </w:tr>
      <w:tr w:rsidR="009352D9" w:rsidRPr="00DA65D6" w14:paraId="36995017" w14:textId="77777777" w:rsidTr="005178C1">
        <w:tc>
          <w:tcPr>
            <w:tcW w:w="850" w:type="dxa"/>
          </w:tcPr>
          <w:p w14:paraId="4CF0E643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50BE7B9E" w14:textId="5251BD3E" w:rsidR="009352D9" w:rsidRPr="00DA65D6" w:rsidRDefault="00B93FF5" w:rsidP="00B93FF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B93FF5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Poticanje</w:t>
            </w:r>
            <w:r w:rsidR="00220913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m</w:t>
            </w:r>
            <w:r w:rsidRPr="00B93FF5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popravka stvari u okviru odgovornosti prodavatelja</w:t>
            </w:r>
            <w:r w:rsidR="00D00F25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za materijalne nedostatke stvari</w:t>
            </w:r>
            <w:r w:rsidRPr="00B93FF5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, trebala</w:t>
            </w: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bi se</w:t>
            </w:r>
            <w:r w:rsidRPr="00B93FF5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postići održiva potrošnja </w:t>
            </w: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jer će zahvaljujući popravku</w:t>
            </w:r>
            <w:r w:rsidRPr="00B93FF5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 xml:space="preserve"> vjerojatno nastajati manje otpada zbog odbačene robe, smanjit će se potražnja za resursima, među ostalim energijom, potrebnima za postupak proizvodnje i prodaje nove robe kojom se zamjenjuje neispravna roba i smanjit će se emisije stakleničkih plinova. </w:t>
            </w: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I</w:t>
            </w:r>
            <w:r w:rsidRPr="00B93FF5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stodobno se stvaraju i koristi za potrošače tako što se izbjegavaju troškovi povezani s novom kupnjom u kratkoročnom razdoblju.</w:t>
            </w:r>
          </w:p>
        </w:tc>
      </w:tr>
      <w:tr w:rsidR="009352D9" w:rsidRPr="00DA65D6" w14:paraId="1BAA08C0" w14:textId="77777777" w:rsidTr="005178C1">
        <w:tc>
          <w:tcPr>
            <w:tcW w:w="850" w:type="dxa"/>
          </w:tcPr>
          <w:p w14:paraId="32A24737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5.3.</w:t>
            </w:r>
          </w:p>
        </w:tc>
        <w:tc>
          <w:tcPr>
            <w:tcW w:w="9073" w:type="dxa"/>
            <w:gridSpan w:val="4"/>
          </w:tcPr>
          <w:p w14:paraId="1692E00D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socijalne skrbi:</w:t>
            </w:r>
          </w:p>
        </w:tc>
      </w:tr>
      <w:tr w:rsidR="009352D9" w:rsidRPr="00DA65D6" w14:paraId="2582D97E" w14:textId="77777777" w:rsidTr="005178C1">
        <w:trPr>
          <w:trHeight w:val="269"/>
        </w:trPr>
        <w:tc>
          <w:tcPr>
            <w:tcW w:w="850" w:type="dxa"/>
          </w:tcPr>
          <w:p w14:paraId="651E5FCD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594E2233" w14:textId="6B9829AA" w:rsidR="009352D9" w:rsidRPr="00DA65D6" w:rsidRDefault="00361104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Nisu utvrđeni učinci ni adresati u području socijalne skrbi.</w:t>
            </w:r>
          </w:p>
        </w:tc>
      </w:tr>
      <w:tr w:rsidR="009352D9" w:rsidRPr="00DA65D6" w14:paraId="39B7987A" w14:textId="77777777" w:rsidTr="005178C1">
        <w:tc>
          <w:tcPr>
            <w:tcW w:w="850" w:type="dxa"/>
          </w:tcPr>
          <w:p w14:paraId="27DE7DE2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5.4.</w:t>
            </w:r>
          </w:p>
        </w:tc>
        <w:tc>
          <w:tcPr>
            <w:tcW w:w="9073" w:type="dxa"/>
            <w:gridSpan w:val="4"/>
          </w:tcPr>
          <w:p w14:paraId="1D90090A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zaštite ljudskih prava:</w:t>
            </w:r>
          </w:p>
        </w:tc>
      </w:tr>
      <w:tr w:rsidR="009352D9" w:rsidRPr="00DA65D6" w14:paraId="2C73CBBE" w14:textId="77777777" w:rsidTr="005178C1">
        <w:trPr>
          <w:trHeight w:val="354"/>
        </w:trPr>
        <w:tc>
          <w:tcPr>
            <w:tcW w:w="850" w:type="dxa"/>
          </w:tcPr>
          <w:p w14:paraId="536163F9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00CD2FD8" w14:textId="77777777" w:rsidR="00DA4D55" w:rsidRDefault="00267B4D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Zakonom će se ukloniti </w:t>
            </w:r>
            <w:r w:rsidRPr="00267B4D">
              <w:rPr>
                <w:rFonts w:ascii="Times New Roman" w:eastAsia="Calibri" w:hAnsi="Times New Roman" w:cs="Times New Roman"/>
                <w:sz w:val="24"/>
                <w:lang w:eastAsia="hr-HR"/>
              </w:rPr>
              <w:t>poteškoće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za građane</w:t>
            </w:r>
            <w:r w:rsidRPr="00267B4D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pri dobivanju naknade štete zbog ograničenja u podnošenju zahtjeva za naknadu štete i zahtjevnog postupka prikupljanja dokaza o odgovornosti, posebno s obzirom na sve veću tehničku i znanstvenu složenost. </w:t>
            </w:r>
          </w:p>
          <w:p w14:paraId="7C3BCC83" w14:textId="2AAD3CFE" w:rsidR="00B93FF5" w:rsidRDefault="00680D62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Kako gospodarski subjekti ne bi bili u nepovoljnijem položaju s obzirom na to da im se</w:t>
            </w:r>
            <w:r w:rsidRPr="00680D62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nameće odgovornost neovisno o krivnji te kako bi se postigla pravedna raspodjela rizika, </w:t>
            </w:r>
            <w:r w:rsidR="00220913">
              <w:rPr>
                <w:rFonts w:ascii="Times New Roman" w:eastAsia="Calibri" w:hAnsi="Times New Roman" w:cs="Times New Roman"/>
                <w:sz w:val="24"/>
                <w:lang w:eastAsia="hr-HR"/>
              </w:rPr>
              <w:t>ošteć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enik koji </w:t>
            </w:r>
            <w:r w:rsidRPr="00680D62">
              <w:rPr>
                <w:rFonts w:ascii="Times New Roman" w:eastAsia="Calibri" w:hAnsi="Times New Roman" w:cs="Times New Roman"/>
                <w:sz w:val="24"/>
                <w:lang w:eastAsia="hr-HR"/>
              </w:rPr>
              <w:t>traži naknadu štete prouzročen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e neispravnim proizvodom trebao</w:t>
            </w:r>
            <w:r w:rsidRPr="00680D62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bi snositi teret dokazivanja štete, neispravnosti proizvoda i uzročno-posljedične veze između njih, u skladu sa standardom dokazivanja koji je primjenjiv na temelju nacionalnog prava. </w:t>
            </w:r>
          </w:p>
          <w:p w14:paraId="5A4537A0" w14:textId="2D31ECCD" w:rsidR="00B93FF5" w:rsidRPr="00DA65D6" w:rsidRDefault="00680D62" w:rsidP="00680D62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Također će se </w:t>
            </w:r>
            <w:r w:rsidRPr="00680D62">
              <w:rPr>
                <w:rFonts w:ascii="Times New Roman" w:eastAsia="Calibri" w:hAnsi="Times New Roman" w:cs="Times New Roman"/>
                <w:sz w:val="24"/>
                <w:lang w:eastAsia="hr-HR"/>
              </w:rPr>
              <w:t>osigura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ti</w:t>
            </w:r>
            <w:r w:rsidRPr="00680D62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da 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građani (</w:t>
            </w:r>
            <w:proofErr w:type="spellStart"/>
            <w:r w:rsidRPr="00680D62">
              <w:rPr>
                <w:rFonts w:ascii="Times New Roman" w:eastAsia="Calibri" w:hAnsi="Times New Roman" w:cs="Times New Roman"/>
                <w:sz w:val="24"/>
                <w:lang w:eastAsia="hr-HR"/>
              </w:rPr>
              <w:t>oštećenici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)</w:t>
            </w:r>
            <w:r w:rsidRPr="00680D62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imaju mogućnost podnijeti 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tužbu </w:t>
            </w:r>
            <w:r w:rsidRPr="00680D62">
              <w:rPr>
                <w:rFonts w:ascii="Times New Roman" w:eastAsia="Calibri" w:hAnsi="Times New Roman" w:cs="Times New Roman"/>
                <w:sz w:val="24"/>
                <w:lang w:eastAsia="hr-HR"/>
              </w:rPr>
              <w:t>za naknadu štete ako proizvođač proizvoda i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ma poslovni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nastan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izvan Unije što je do sada bilo otežano, povezano s dodatnim troškovima i poznavanjem stranog prava.</w:t>
            </w:r>
          </w:p>
        </w:tc>
      </w:tr>
      <w:tr w:rsidR="009352D9" w:rsidRPr="00DA65D6" w14:paraId="49E4C5DB" w14:textId="77777777" w:rsidTr="005178C1">
        <w:trPr>
          <w:trHeight w:val="354"/>
        </w:trPr>
        <w:tc>
          <w:tcPr>
            <w:tcW w:w="850" w:type="dxa"/>
          </w:tcPr>
          <w:p w14:paraId="715C10F6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5.5.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74039E8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drugim područjima:</w:t>
            </w:r>
          </w:p>
        </w:tc>
      </w:tr>
      <w:tr w:rsidR="009352D9" w:rsidRPr="00DA65D6" w14:paraId="3E00B206" w14:textId="77777777" w:rsidTr="005178C1">
        <w:trPr>
          <w:trHeight w:val="354"/>
        </w:trPr>
        <w:tc>
          <w:tcPr>
            <w:tcW w:w="850" w:type="dxa"/>
          </w:tcPr>
          <w:p w14:paraId="68873A4C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26D46A59" w14:textId="5AF45006" w:rsidR="009352D9" w:rsidRPr="00DA65D6" w:rsidRDefault="00471E49" w:rsidP="00471E49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471E49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Nisu utvrđeni učinci ni adresati u 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drugim </w:t>
            </w:r>
            <w:r w:rsidRPr="00471E49">
              <w:rPr>
                <w:rFonts w:ascii="Times New Roman" w:eastAsia="Calibri" w:hAnsi="Times New Roman" w:cs="Times New Roman"/>
                <w:sz w:val="24"/>
                <w:lang w:eastAsia="hr-HR"/>
              </w:rPr>
              <w:t>područj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ima.</w:t>
            </w:r>
            <w:r w:rsidRPr="00471E49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</w:t>
            </w:r>
          </w:p>
        </w:tc>
      </w:tr>
      <w:tr w:rsidR="009352D9" w:rsidRPr="00DA65D6" w14:paraId="7B0E760D" w14:textId="77777777" w:rsidTr="005178C1">
        <w:trPr>
          <w:trHeight w:val="354"/>
        </w:trPr>
        <w:tc>
          <w:tcPr>
            <w:tcW w:w="850" w:type="dxa"/>
          </w:tcPr>
          <w:p w14:paraId="3BBA53EA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5.6.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763219A3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Izvor podataka:</w:t>
            </w:r>
          </w:p>
        </w:tc>
      </w:tr>
      <w:tr w:rsidR="009352D9" w:rsidRPr="00DA65D6" w14:paraId="346BF27C" w14:textId="77777777" w:rsidTr="005178C1">
        <w:trPr>
          <w:trHeight w:val="354"/>
        </w:trPr>
        <w:tc>
          <w:tcPr>
            <w:tcW w:w="850" w:type="dxa"/>
          </w:tcPr>
          <w:p w14:paraId="74D3CA07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6CB984DA" w14:textId="033C0C19" w:rsidR="00EF4CC2" w:rsidRDefault="00EF4CC2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EF4C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Zakon o obveznim odnosima („Narodne novine“, br. 35/05., 41/08., 125/11., 78/15., 29/18., 1</w:t>
            </w:r>
            <w:r w:rsidR="009A507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26/21., 114/22., 156/22.</w:t>
            </w:r>
            <w:r w:rsidRPr="00EF4C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i 155/23.)</w:t>
            </w:r>
          </w:p>
          <w:p w14:paraId="16396F35" w14:textId="51C77AA9" w:rsidR="00D25DDA" w:rsidRPr="00DD310A" w:rsidRDefault="00D25DDA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Ministarstvo pravosuđa, uprave i digitalne transformacije</w:t>
            </w:r>
          </w:p>
        </w:tc>
      </w:tr>
      <w:tr w:rsidR="009352D9" w:rsidRPr="00DA65D6" w14:paraId="42163C0F" w14:textId="77777777" w:rsidTr="005178C1">
        <w:tc>
          <w:tcPr>
            <w:tcW w:w="850" w:type="dxa"/>
          </w:tcPr>
          <w:p w14:paraId="2C425BA9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</w:t>
            </w:r>
          </w:p>
        </w:tc>
        <w:tc>
          <w:tcPr>
            <w:tcW w:w="9073" w:type="dxa"/>
            <w:gridSpan w:val="4"/>
          </w:tcPr>
          <w:p w14:paraId="08C3295B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SAVJETOVANJE I KONZULTACIJE</w:t>
            </w:r>
          </w:p>
        </w:tc>
      </w:tr>
      <w:tr w:rsidR="009352D9" w:rsidRPr="00DA65D6" w14:paraId="4274EC21" w14:textId="77777777" w:rsidTr="005178C1">
        <w:tc>
          <w:tcPr>
            <w:tcW w:w="850" w:type="dxa"/>
          </w:tcPr>
          <w:p w14:paraId="6A0AE789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6.1.</w:t>
            </w:r>
          </w:p>
        </w:tc>
        <w:tc>
          <w:tcPr>
            <w:tcW w:w="9073" w:type="dxa"/>
            <w:gridSpan w:val="4"/>
          </w:tcPr>
          <w:p w14:paraId="7172A6E7" w14:textId="77777777" w:rsidR="009352D9" w:rsidRDefault="009352D9" w:rsidP="00B8295B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Savjetovanje:</w:t>
            </w:r>
          </w:p>
          <w:p w14:paraId="14209EB3" w14:textId="5F4982AB" w:rsidR="00471E49" w:rsidRPr="00B8295B" w:rsidRDefault="00471E49" w:rsidP="00B8295B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471E49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Savjetovanje se provodi u trajanju u pravilu u roku od 30 dana putem središnjeg državnog internetskog portala za savjetovanje s javnošću (e-Savjetovanja) objavom nacrta prijedloga zakona i Obrasca iskaza o procjeni učinaka propisa, kao dva odvojena savjetovanja. Navodi se točno razdoblje trajanja savjetovanja, broj ukupno zaprimljenih mišljenja, primjedbi i prijedloga te broj prihvaćenih komentara na Obrazac iskaza. Uz provedbu savjetovanja putem portala e-Savjetovanja stručni nositelj može provesti savjetovanje s javnošću putem javnog predstavljanja, anketa i fokus-skupina ili korištenja drugih metoda savjetovanja s javnošću. Iste je potrebno navesti i sažeti njihove rezultate.</w:t>
            </w:r>
          </w:p>
        </w:tc>
      </w:tr>
      <w:tr w:rsidR="009352D9" w:rsidRPr="00DA65D6" w14:paraId="346D162C" w14:textId="77777777" w:rsidTr="005178C1">
        <w:trPr>
          <w:trHeight w:val="425"/>
        </w:trPr>
        <w:tc>
          <w:tcPr>
            <w:tcW w:w="850" w:type="dxa"/>
          </w:tcPr>
          <w:p w14:paraId="1A93832F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19C30866" w14:textId="77777777" w:rsidR="009352D9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Konzultacije:</w:t>
            </w:r>
          </w:p>
          <w:p w14:paraId="6510111B" w14:textId="1B9715CC" w:rsidR="00471E49" w:rsidRPr="00B8295B" w:rsidRDefault="00471E4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471E4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Istovremeno s provedbom postupka savjetovanja, Obrazac iskaza dostavlja se na mišljenje nadležnim tijelima i Uredu za zakonodavstvo. Potrebno je ukratko navesti kojim nadležnim tijelima je dostavljen Obrazac iskaza i sažeti dana očitovanja.</w:t>
            </w:r>
          </w:p>
        </w:tc>
      </w:tr>
      <w:tr w:rsidR="009352D9" w:rsidRPr="00DA65D6" w14:paraId="54B5025F" w14:textId="77777777" w:rsidTr="005178C1">
        <w:tc>
          <w:tcPr>
            <w:tcW w:w="850" w:type="dxa"/>
          </w:tcPr>
          <w:p w14:paraId="57F855E6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7.</w:t>
            </w:r>
          </w:p>
        </w:tc>
        <w:tc>
          <w:tcPr>
            <w:tcW w:w="9073" w:type="dxa"/>
            <w:gridSpan w:val="4"/>
          </w:tcPr>
          <w:p w14:paraId="6D043012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ZAKLJUČAK</w:t>
            </w:r>
          </w:p>
        </w:tc>
      </w:tr>
      <w:tr w:rsidR="009352D9" w:rsidRPr="00DA65D6" w14:paraId="2A7B32C2" w14:textId="77777777" w:rsidTr="005178C1">
        <w:tc>
          <w:tcPr>
            <w:tcW w:w="850" w:type="dxa"/>
          </w:tcPr>
          <w:p w14:paraId="3F28DCA4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7.1.</w:t>
            </w:r>
          </w:p>
        </w:tc>
        <w:tc>
          <w:tcPr>
            <w:tcW w:w="4112" w:type="dxa"/>
            <w:gridSpan w:val="2"/>
          </w:tcPr>
          <w:p w14:paraId="03D0FE9E" w14:textId="20B7FED6" w:rsidR="00363748" w:rsidRPr="00B8295B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Pozitivni učinci:</w:t>
            </w:r>
          </w:p>
          <w:p w14:paraId="27D5CCFC" w14:textId="61B09C8C" w:rsidR="00363748" w:rsidRPr="000072B7" w:rsidRDefault="003C597B" w:rsidP="004A2A2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Predloženim zakonom </w:t>
            </w:r>
            <w:r w:rsidR="004A2A2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promovirat će se popravak stvari te kružno gospodarstvo ponovnim korištenjem obnovljene stvari. Također, će se osi</w:t>
            </w:r>
            <w:r w:rsidR="0022091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gurati pravna sigurnost za </w:t>
            </w:r>
            <w:proofErr w:type="spellStart"/>
            <w:r w:rsidR="0022091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ošteć</w:t>
            </w:r>
            <w:r w:rsidR="004A2A2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enike</w:t>
            </w:r>
            <w:proofErr w:type="spellEnd"/>
            <w:r w:rsidR="004A2A2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, jer će se ukloniti zapreke za podnošenje tužni za naknadu štete protiv proizvođača koji nemaju poslovni </w:t>
            </w:r>
            <w:proofErr w:type="spellStart"/>
            <w:r w:rsidR="004A2A2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nastan</w:t>
            </w:r>
            <w:proofErr w:type="spellEnd"/>
            <w:r w:rsidR="004A2A2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u EU kao i ukidanje  minimuma za podnošenje tužbe za naknadu štete. </w:t>
            </w:r>
            <w:r w:rsidR="005C1D8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Olakšat će se teret dokazivanja svim stranama u postupku.</w:t>
            </w:r>
          </w:p>
        </w:tc>
        <w:tc>
          <w:tcPr>
            <w:tcW w:w="4961" w:type="dxa"/>
            <w:gridSpan w:val="2"/>
          </w:tcPr>
          <w:p w14:paraId="50259A5D" w14:textId="33175FC2" w:rsidR="009352D9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Negativni učinci:</w:t>
            </w:r>
          </w:p>
          <w:p w14:paraId="22C17038" w14:textId="71FAC68B" w:rsidR="00721684" w:rsidRDefault="00721684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14:paraId="3C9FB729" w14:textId="77777777" w:rsidR="00721684" w:rsidRPr="00DA65D6" w:rsidRDefault="00721684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14:paraId="7AEE7E96" w14:textId="77E1F8EC" w:rsidR="000F754D" w:rsidRPr="000F754D" w:rsidRDefault="00721684" w:rsidP="00721684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Nema </w:t>
            </w:r>
            <w:r w:rsidR="000F754D">
              <w:rPr>
                <w:rFonts w:ascii="Times New Roman" w:eastAsia="Calibri" w:hAnsi="Times New Roman" w:cs="Times New Roman"/>
                <w:sz w:val="24"/>
                <w:lang w:eastAsia="hr-HR"/>
              </w:rPr>
              <w:t>negativni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h učinaka</w:t>
            </w:r>
            <w:r w:rsidR="000F754D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. </w:t>
            </w:r>
          </w:p>
        </w:tc>
      </w:tr>
      <w:tr w:rsidR="009352D9" w:rsidRPr="00DA65D6" w14:paraId="46399FCE" w14:textId="77777777" w:rsidTr="005178C1">
        <w:tc>
          <w:tcPr>
            <w:tcW w:w="850" w:type="dxa"/>
          </w:tcPr>
          <w:p w14:paraId="53571677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7.2.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4F05B2D7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Zaključak o učincima koji će proisteći iz provedbe:</w:t>
            </w:r>
          </w:p>
          <w:p w14:paraId="4C49CC90" w14:textId="275F4856" w:rsidR="002C4D27" w:rsidRPr="002C4D27" w:rsidRDefault="004A2A2B" w:rsidP="0022091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Provedbom ovoga Zakona osigurat će se prikladniji pravni okvir za promicanje popravka stvar</w:t>
            </w:r>
            <w:r w:rsidR="00220913">
              <w:rPr>
                <w:rFonts w:ascii="Times New Roman" w:eastAsia="Calibri" w:hAnsi="Times New Roman" w:cs="Times New Roman"/>
                <w:sz w:val="24"/>
                <w:lang w:eastAsia="hr-HR"/>
              </w:rPr>
              <w:t>i i upotrebu obnovljive stvari kao i za naknadu štete za neispravan proizvod, detaljnim propisivanjem tko može biti odgovorna osoba, što se smatra proizvodom, odnosno neispravnim proizvodom uzimajući u obzir u</w:t>
            </w:r>
            <w:r w:rsidR="00220913" w:rsidRPr="00220913">
              <w:rPr>
                <w:rFonts w:ascii="Times New Roman" w:eastAsia="Calibri" w:hAnsi="Times New Roman" w:cs="Times New Roman"/>
                <w:sz w:val="24"/>
                <w:lang w:eastAsia="hr-HR"/>
              </w:rPr>
              <w:t>vođenje i primjenu novih tehnologija, uključujući umjetnu inteligenciju</w:t>
            </w:r>
            <w:r w:rsidR="00220913">
              <w:rPr>
                <w:rFonts w:ascii="Times New Roman" w:eastAsia="Calibri" w:hAnsi="Times New Roman" w:cs="Times New Roman"/>
                <w:sz w:val="24"/>
                <w:lang w:eastAsia="hr-HR"/>
              </w:rPr>
              <w:t>, čime se osigurava veća pravna sigurnost za potroš</w:t>
            </w:r>
            <w:r w:rsidR="00EC7286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ače i </w:t>
            </w:r>
            <w:proofErr w:type="spellStart"/>
            <w:r w:rsidR="00EC7286">
              <w:rPr>
                <w:rFonts w:ascii="Times New Roman" w:eastAsia="Calibri" w:hAnsi="Times New Roman" w:cs="Times New Roman"/>
                <w:sz w:val="24"/>
                <w:lang w:eastAsia="hr-HR"/>
              </w:rPr>
              <w:t>ošteć</w:t>
            </w:r>
            <w:r w:rsidR="00220913">
              <w:rPr>
                <w:rFonts w:ascii="Times New Roman" w:eastAsia="Calibri" w:hAnsi="Times New Roman" w:cs="Times New Roman"/>
                <w:sz w:val="24"/>
                <w:lang w:eastAsia="hr-HR"/>
              </w:rPr>
              <w:t>enike</w:t>
            </w:r>
            <w:proofErr w:type="spellEnd"/>
            <w:r w:rsidR="00220913">
              <w:rPr>
                <w:rFonts w:ascii="Times New Roman" w:eastAsia="Calibri" w:hAnsi="Times New Roman" w:cs="Times New Roman"/>
                <w:sz w:val="24"/>
                <w:lang w:eastAsia="hr-HR"/>
              </w:rPr>
              <w:t>.</w:t>
            </w:r>
          </w:p>
        </w:tc>
      </w:tr>
      <w:tr w:rsidR="009352D9" w:rsidRPr="00DA65D6" w14:paraId="1486F0F7" w14:textId="77777777" w:rsidTr="005178C1">
        <w:tc>
          <w:tcPr>
            <w:tcW w:w="850" w:type="dxa"/>
          </w:tcPr>
          <w:p w14:paraId="2BB48677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8.</w:t>
            </w:r>
          </w:p>
        </w:tc>
        <w:tc>
          <w:tcPr>
            <w:tcW w:w="9073" w:type="dxa"/>
            <w:gridSpan w:val="4"/>
          </w:tcPr>
          <w:p w14:paraId="47975AE5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PRILOZI</w:t>
            </w:r>
          </w:p>
        </w:tc>
      </w:tr>
      <w:tr w:rsidR="009352D9" w:rsidRPr="00DA65D6" w14:paraId="146122B2" w14:textId="77777777" w:rsidTr="005178C1">
        <w:tc>
          <w:tcPr>
            <w:tcW w:w="850" w:type="dxa"/>
          </w:tcPr>
          <w:p w14:paraId="17D6EB2E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8.1</w:t>
            </w:r>
          </w:p>
        </w:tc>
        <w:tc>
          <w:tcPr>
            <w:tcW w:w="9073" w:type="dxa"/>
            <w:gridSpan w:val="4"/>
          </w:tcPr>
          <w:p w14:paraId="2B090713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Dokumenti u prilogu:</w:t>
            </w:r>
          </w:p>
        </w:tc>
      </w:tr>
      <w:tr w:rsidR="009352D9" w:rsidRPr="00DA65D6" w14:paraId="594CC71C" w14:textId="77777777" w:rsidTr="005178C1">
        <w:tc>
          <w:tcPr>
            <w:tcW w:w="850" w:type="dxa"/>
          </w:tcPr>
          <w:p w14:paraId="6D7CC261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6639FA86" w14:textId="77777777" w:rsidR="009352D9" w:rsidRPr="003804F1" w:rsidRDefault="003804F1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3804F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Nema priloga.</w:t>
            </w:r>
          </w:p>
        </w:tc>
      </w:tr>
      <w:tr w:rsidR="009352D9" w:rsidRPr="00DA65D6" w14:paraId="16EF781E" w14:textId="77777777" w:rsidTr="005178C1">
        <w:tc>
          <w:tcPr>
            <w:tcW w:w="850" w:type="dxa"/>
          </w:tcPr>
          <w:p w14:paraId="717F749B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 xml:space="preserve">9. </w:t>
            </w:r>
          </w:p>
        </w:tc>
        <w:tc>
          <w:tcPr>
            <w:tcW w:w="9073" w:type="dxa"/>
            <w:gridSpan w:val="4"/>
          </w:tcPr>
          <w:p w14:paraId="41A94CAE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OVJERA ČELNIKA STRUČNOG NOSITELJA</w:t>
            </w:r>
          </w:p>
        </w:tc>
      </w:tr>
      <w:tr w:rsidR="009352D9" w:rsidRPr="00DA65D6" w14:paraId="402C2BCA" w14:textId="77777777" w:rsidTr="005178C1">
        <w:tc>
          <w:tcPr>
            <w:tcW w:w="850" w:type="dxa"/>
          </w:tcPr>
          <w:p w14:paraId="7BDFE69E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579F45CA" w14:textId="27C99077" w:rsidR="009352D9" w:rsidRPr="00DA65D6" w:rsidRDefault="009352D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3804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Damir </w:t>
            </w:r>
            <w:proofErr w:type="spellStart"/>
            <w:r w:rsidR="003804F1">
              <w:rPr>
                <w:rFonts w:ascii="Times New Roman" w:hAnsi="Times New Roman" w:cs="Times New Roman"/>
                <w:bCs/>
                <w:sz w:val="24"/>
                <w:szCs w:val="24"/>
              </w:rPr>
              <w:t>Habijan</w:t>
            </w:r>
            <w:proofErr w:type="spellEnd"/>
            <w:r w:rsidR="007F61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ministar </w:t>
            </w:r>
          </w:p>
          <w:p w14:paraId="1445431B" w14:textId="11AC7942" w:rsidR="009352D9" w:rsidRPr="00DA65D6" w:rsidRDefault="009352D9" w:rsidP="00A411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 w:rsidR="00C32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</w:t>
            </w:r>
            <w:bookmarkStart w:id="1" w:name="_GoBack"/>
            <w:bookmarkEnd w:id="1"/>
            <w:r w:rsidR="00300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41159">
              <w:rPr>
                <w:rFonts w:ascii="Times New Roman" w:hAnsi="Times New Roman" w:cs="Times New Roman"/>
                <w:bCs/>
                <w:sz w:val="24"/>
                <w:szCs w:val="24"/>
              </w:rPr>
              <w:t>siječnja</w:t>
            </w:r>
            <w:r w:rsidR="00300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A4115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00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bookmarkEnd w:id="0"/>
    </w:tbl>
    <w:p w14:paraId="7998BB12" w14:textId="77777777" w:rsidR="00050C2A" w:rsidRDefault="00050C2A"/>
    <w:sectPr w:rsidR="0005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91806"/>
    <w:multiLevelType w:val="hybridMultilevel"/>
    <w:tmpl w:val="A1188C48"/>
    <w:lvl w:ilvl="0" w:tplc="09625CC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D9"/>
    <w:rsid w:val="000072B7"/>
    <w:rsid w:val="000115A9"/>
    <w:rsid w:val="00046817"/>
    <w:rsid w:val="00050947"/>
    <w:rsid w:val="00050C2A"/>
    <w:rsid w:val="00082D2A"/>
    <w:rsid w:val="000B1949"/>
    <w:rsid w:val="000C5C84"/>
    <w:rsid w:val="000F754D"/>
    <w:rsid w:val="00145ADE"/>
    <w:rsid w:val="0015655A"/>
    <w:rsid w:val="001768D6"/>
    <w:rsid w:val="001937D7"/>
    <w:rsid w:val="001A2F11"/>
    <w:rsid w:val="001B1C1C"/>
    <w:rsid w:val="001E0C94"/>
    <w:rsid w:val="001E67CB"/>
    <w:rsid w:val="001F5ED1"/>
    <w:rsid w:val="00220913"/>
    <w:rsid w:val="00257582"/>
    <w:rsid w:val="00267B4D"/>
    <w:rsid w:val="002C4D27"/>
    <w:rsid w:val="002C7B16"/>
    <w:rsid w:val="002D0C2E"/>
    <w:rsid w:val="002D2521"/>
    <w:rsid w:val="002D5141"/>
    <w:rsid w:val="002F73ED"/>
    <w:rsid w:val="00300A41"/>
    <w:rsid w:val="00306496"/>
    <w:rsid w:val="0031415B"/>
    <w:rsid w:val="003209E3"/>
    <w:rsid w:val="00353E36"/>
    <w:rsid w:val="00361104"/>
    <w:rsid w:val="00363748"/>
    <w:rsid w:val="00377DD6"/>
    <w:rsid w:val="003804F1"/>
    <w:rsid w:val="00380EA0"/>
    <w:rsid w:val="00386270"/>
    <w:rsid w:val="003C597B"/>
    <w:rsid w:val="003F65E6"/>
    <w:rsid w:val="004162D5"/>
    <w:rsid w:val="004463B9"/>
    <w:rsid w:val="00471E49"/>
    <w:rsid w:val="00475D20"/>
    <w:rsid w:val="004A2A2B"/>
    <w:rsid w:val="004E3A14"/>
    <w:rsid w:val="004F20F0"/>
    <w:rsid w:val="005271F2"/>
    <w:rsid w:val="005336DA"/>
    <w:rsid w:val="00540097"/>
    <w:rsid w:val="00550D73"/>
    <w:rsid w:val="00552F37"/>
    <w:rsid w:val="00554BC7"/>
    <w:rsid w:val="00572EFF"/>
    <w:rsid w:val="00577BFE"/>
    <w:rsid w:val="00580C2E"/>
    <w:rsid w:val="00595923"/>
    <w:rsid w:val="005A5972"/>
    <w:rsid w:val="005C1D89"/>
    <w:rsid w:val="005E2C99"/>
    <w:rsid w:val="005E38DD"/>
    <w:rsid w:val="005E740C"/>
    <w:rsid w:val="00603A17"/>
    <w:rsid w:val="006075E0"/>
    <w:rsid w:val="00623D32"/>
    <w:rsid w:val="00680D62"/>
    <w:rsid w:val="00695ADD"/>
    <w:rsid w:val="006C6C4F"/>
    <w:rsid w:val="006C6FF8"/>
    <w:rsid w:val="006F5A1A"/>
    <w:rsid w:val="00721684"/>
    <w:rsid w:val="00731F86"/>
    <w:rsid w:val="007323EC"/>
    <w:rsid w:val="00733E48"/>
    <w:rsid w:val="0073442E"/>
    <w:rsid w:val="007743CB"/>
    <w:rsid w:val="00784710"/>
    <w:rsid w:val="007B0AE7"/>
    <w:rsid w:val="007B40CC"/>
    <w:rsid w:val="007E4940"/>
    <w:rsid w:val="007F6183"/>
    <w:rsid w:val="008139E8"/>
    <w:rsid w:val="00852664"/>
    <w:rsid w:val="00873143"/>
    <w:rsid w:val="00874AF1"/>
    <w:rsid w:val="008808B7"/>
    <w:rsid w:val="008B095A"/>
    <w:rsid w:val="008B38AD"/>
    <w:rsid w:val="008C4B3D"/>
    <w:rsid w:val="00900EAE"/>
    <w:rsid w:val="009017A6"/>
    <w:rsid w:val="00911F39"/>
    <w:rsid w:val="0091478A"/>
    <w:rsid w:val="009222CD"/>
    <w:rsid w:val="00922DEE"/>
    <w:rsid w:val="0093094B"/>
    <w:rsid w:val="009352D9"/>
    <w:rsid w:val="009517DD"/>
    <w:rsid w:val="00962A06"/>
    <w:rsid w:val="00985D13"/>
    <w:rsid w:val="009A507D"/>
    <w:rsid w:val="009A6346"/>
    <w:rsid w:val="009C78D2"/>
    <w:rsid w:val="009D13EA"/>
    <w:rsid w:val="00A16A7E"/>
    <w:rsid w:val="00A2452C"/>
    <w:rsid w:val="00A254CD"/>
    <w:rsid w:val="00A35370"/>
    <w:rsid w:val="00A373FD"/>
    <w:rsid w:val="00A41159"/>
    <w:rsid w:val="00A572B3"/>
    <w:rsid w:val="00A6437C"/>
    <w:rsid w:val="00A6725A"/>
    <w:rsid w:val="00AB7D6A"/>
    <w:rsid w:val="00AD11EA"/>
    <w:rsid w:val="00AD6CCA"/>
    <w:rsid w:val="00B311A4"/>
    <w:rsid w:val="00B345AB"/>
    <w:rsid w:val="00B8295B"/>
    <w:rsid w:val="00B93FF5"/>
    <w:rsid w:val="00BA6FF5"/>
    <w:rsid w:val="00BC42AF"/>
    <w:rsid w:val="00BD39D6"/>
    <w:rsid w:val="00BD535B"/>
    <w:rsid w:val="00BE0BFA"/>
    <w:rsid w:val="00BF47B7"/>
    <w:rsid w:val="00C022A6"/>
    <w:rsid w:val="00C06D7C"/>
    <w:rsid w:val="00C279CB"/>
    <w:rsid w:val="00C31FE3"/>
    <w:rsid w:val="00C32DDA"/>
    <w:rsid w:val="00CA4E17"/>
    <w:rsid w:val="00CA5333"/>
    <w:rsid w:val="00CA71C6"/>
    <w:rsid w:val="00CD6151"/>
    <w:rsid w:val="00D00F25"/>
    <w:rsid w:val="00D13CD4"/>
    <w:rsid w:val="00D25DDA"/>
    <w:rsid w:val="00D307CB"/>
    <w:rsid w:val="00D36EC1"/>
    <w:rsid w:val="00D41DBE"/>
    <w:rsid w:val="00D44007"/>
    <w:rsid w:val="00D45C2C"/>
    <w:rsid w:val="00D8082E"/>
    <w:rsid w:val="00DA3806"/>
    <w:rsid w:val="00DA4D55"/>
    <w:rsid w:val="00DB555C"/>
    <w:rsid w:val="00DC02C9"/>
    <w:rsid w:val="00DD0ACB"/>
    <w:rsid w:val="00DD310A"/>
    <w:rsid w:val="00E11481"/>
    <w:rsid w:val="00E32A96"/>
    <w:rsid w:val="00E40AE8"/>
    <w:rsid w:val="00E872BD"/>
    <w:rsid w:val="00E92D55"/>
    <w:rsid w:val="00EA6E04"/>
    <w:rsid w:val="00EC7286"/>
    <w:rsid w:val="00EF4CC2"/>
    <w:rsid w:val="00F176CF"/>
    <w:rsid w:val="00F24A17"/>
    <w:rsid w:val="00F34ADB"/>
    <w:rsid w:val="00F5041E"/>
    <w:rsid w:val="00F5661C"/>
    <w:rsid w:val="00F70BEB"/>
    <w:rsid w:val="00F82D9D"/>
    <w:rsid w:val="00FD6716"/>
    <w:rsid w:val="00FE3DEB"/>
    <w:rsid w:val="00FE526F"/>
    <w:rsid w:val="00FF1B3E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9D39"/>
  <w15:docId w15:val="{D2D57E96-7441-4462-A373-A43F6671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5758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1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115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EA6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HR/TXT/?uri=CELEX:32024L2853" TargetMode="External"/><Relationship Id="rId5" Type="http://schemas.openxmlformats.org/officeDocument/2006/relationships/hyperlink" Target="https://eur-lex.europa.eu/legal-content/HR/TXT/HTML/?uri=OJ:L_2024017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2325</Words>
  <Characters>13258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15552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Zelenika</dc:creator>
  <cp:lastModifiedBy>Petra Jurina</cp:lastModifiedBy>
  <cp:revision>10</cp:revision>
  <cp:lastPrinted>2026-01-26T12:37:00Z</cp:lastPrinted>
  <dcterms:created xsi:type="dcterms:W3CDTF">2026-01-14T06:47:00Z</dcterms:created>
  <dcterms:modified xsi:type="dcterms:W3CDTF">2026-01-27T05:43:00Z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7b76e2b3-e859-4bc6-ac3f-7f9991314efc</vt:lpwstr>
  </property>
</Properties>
</file>