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AF" w:rsidRPr="001731C8" w:rsidRDefault="00427EAF" w:rsidP="001731C8">
      <w:pPr>
        <w:pStyle w:val="Title"/>
        <w:jc w:val="center"/>
        <w:rPr>
          <w:sz w:val="56"/>
          <w:szCs w:val="56"/>
        </w:rPr>
      </w:pPr>
      <w:r w:rsidRPr="001731C8">
        <w:rPr>
          <w:sz w:val="56"/>
          <w:szCs w:val="56"/>
        </w:rPr>
        <w:t>PRIJEDLOG KURIKULUMA TEHNIČKOG I INFORMATIČKOG PODRUČJA</w:t>
      </w:r>
    </w:p>
    <w:p w:rsidR="00427EAF" w:rsidRPr="00427EAF" w:rsidRDefault="00427EAF" w:rsidP="001731C8"/>
    <w:p w:rsidR="00427EAF" w:rsidRDefault="00427EAF" w:rsidP="001731C8">
      <w:bookmarkStart w:id="0" w:name="_GoBack"/>
      <w:bookmarkEnd w:id="0"/>
    </w:p>
    <w:p w:rsidR="00692828" w:rsidRPr="00E9208C" w:rsidRDefault="003B7D16" w:rsidP="004D56F4">
      <w:pPr>
        <w:pStyle w:val="Heading1"/>
        <w:spacing w:before="0"/>
      </w:pPr>
      <w:hyperlink w:anchor="h.3dy6vkm"/>
      <w:bookmarkStart w:id="1" w:name="h.1fob9te" w:colFirst="0" w:colLast="0"/>
      <w:bookmarkEnd w:id="1"/>
      <w:r w:rsidR="00692828" w:rsidRPr="00E9208C">
        <w:t>A. Opis tehničkog i informatičkog područja kurikuluma</w:t>
      </w:r>
    </w:p>
    <w:p w:rsidR="00692828" w:rsidRPr="009638B8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Tehničko i informatičko područje obuhvaća spoznaje o tehnici, tehnologiji i informatici. Ovo je područje sastavni dio civilizacije te njegov razvoj i primjena imaju važan utjecaj na sadašnji i budući život. Nadalje, izrazito je bitno za svakodnevno ljudsko djelovanje, za egzistenciju i napredak pojedinca i čovječanstva.</w:t>
      </w:r>
    </w:p>
    <w:p w:rsidR="00692828" w:rsidRPr="009638B8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Tehničko područje obuhvaća spoznaje o tehničkim konceptima, sustavima, normama, procedurama, materijalima, sredstvima i tehnologiji iz životnog i gospodarskog okruženja te njihovu primjenu.</w:t>
      </w:r>
    </w:p>
    <w:p w:rsidR="00692828" w:rsidRPr="009638B8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Informatičko područje obuhvaća osnovne računalne koncepte, digitalnu pismenost, svrsishodno, etičko i društveno odgovorno korištenje informacijskim i komunikacijskim tehnologijama, rješavanje problema i programiranje.</w:t>
      </w:r>
    </w:p>
    <w:p w:rsidR="00692828" w:rsidRPr="009638B8" w:rsidRDefault="00692828" w:rsidP="00692828">
      <w:p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U ovom će području učenik steći znanja, razviti vještine rada i umijeća uporabe tehničkih i informatičkih proizvoda u svakodnevnom životu, radu i učenju te razviti spoznaje o gospodarskim i etičkim vrijednostima ljudskoga rada. Učenik će se svrsishodno i odgovorno koristiti tehničkim i informatičkim rješenjima kako bi postao uspješan pojedinac, prilagodljiv brzim promjenama u društvu, znanosti i tehnologiji. Razvit će sposobnost samostalnog učenja uporabom tehnologije i doprinositi osobnom razvoju. Učenik će razviti svijest o mogućnostima, ograničenjima, prednostima te nedostatcima tehničkih, tehnoloških i informatičkih postignuća.</w:t>
      </w:r>
    </w:p>
    <w:p w:rsidR="00692828" w:rsidRPr="009638B8" w:rsidRDefault="00692828" w:rsidP="00692828">
      <w:p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Važnost ovog područja očituje se u mogućnostima osobnog i profesionalnog razvoja u suvremenom tehnološkom i informatičkom društvu. Posebno je važno da učenik stekne znanja o načelima djelovanja tehničkih sustava te da tehniku shvati kao skup znanja i procesa kojima se stvaraju nove (materijalne i nematerijalne) vrijednosti, zasnovane na poznavanju prirodoslovlja i matematike te poštovanju društvenih, ekoloških, estetskih i etičkih načela. Posebno je važno razumijevanje pojma inženjerstva kao procesa stvaranja proizvoda ili usluga te shvaćanje da se pritom određeni problem može riješiti na više načina koje treba vrednovati u odnosu na zadane uvjete, imajući na umu da ne postoje idealna nego optimalna rješenja.</w:t>
      </w:r>
    </w:p>
    <w:p w:rsidR="00692828" w:rsidRPr="009638B8" w:rsidRDefault="00692828" w:rsidP="00692828">
      <w:pPr>
        <w:pStyle w:val="TablOstalo"/>
        <w:rPr>
          <w:rFonts w:ascii="VladaRHSerif Lt" w:hAnsi="VladaRHSerif Lt"/>
          <w:sz w:val="20"/>
        </w:rPr>
      </w:pPr>
      <w:r w:rsidRPr="009638B8">
        <w:rPr>
          <w:rFonts w:ascii="VladaRHSerif Lt" w:hAnsi="VladaRHSerif Lt"/>
          <w:sz w:val="20"/>
        </w:rPr>
        <w:t>Razvoj tehničkih i informatičkih kompetencija omogućuje učeniku razumijevanje i kritičko promišljanje vlastitoga životnog okruženja s aspekta tehnike, tehnologije i informatike te pruža mogućnost za samospoznaju i samoostvarenje. Izrazito je važno i razvijanje svijesti o brizi o vlastitome životnom okruženju i razvoju pojedinca kao aktivnog i odgovornog čimbenika u osobnom i društvenom okruženju. Spoznaje iz ovog područja osigurat će tehničke, tehnološke i informatičke osnove za snalaženje, prilagodbu i razvoj u skladu sa zahtjevima tržišnog gospodarstva. Učenik će razvijati samostalnost, samopouzdanje, poduzetnost, kreativnost, inovativnost i demokratičnost te vještine potrebne za suradničko i cjeloživotno učenje.</w:t>
      </w:r>
    </w:p>
    <w:p w:rsidR="00692828" w:rsidRPr="009638B8" w:rsidRDefault="00692828" w:rsidP="00692828">
      <w:p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9638B8">
        <w:rPr>
          <w:rFonts w:ascii="VladaRHSerif Lt" w:hAnsi="VladaRHSerif Lt"/>
          <w:sz w:val="20"/>
          <w:szCs w:val="20"/>
        </w:rPr>
        <w:t>Sadržaji ovog područja poučavaju se kroz sve obrazovne cikluse: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764"/>
        <w:gridCol w:w="2546"/>
        <w:gridCol w:w="4982"/>
      </w:tblGrid>
      <w:tr w:rsidR="00692828" w:rsidRPr="007F41AB" w:rsidTr="002363B8">
        <w:trPr>
          <w:jc w:val="center"/>
        </w:trPr>
        <w:tc>
          <w:tcPr>
            <w:tcW w:w="9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2D6BD1" w:rsidRDefault="00692828" w:rsidP="002363B8">
            <w:pPr>
              <w:pStyle w:val="Smallcapsrozi"/>
            </w:pPr>
            <w:r w:rsidRPr="002D6BD1">
              <w:t>tehnički dio područja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Smallcapsrozi"/>
            </w:pPr>
            <w:r w:rsidRPr="007F41AB">
              <w:t>informatički dio područja</w:t>
            </w:r>
          </w:p>
        </w:tc>
      </w:tr>
      <w:tr w:rsidR="00692828" w:rsidRPr="007F41AB" w:rsidTr="002363B8">
        <w:trPr>
          <w:jc w:val="center"/>
        </w:trPr>
        <w:tc>
          <w:tcPr>
            <w:tcW w:w="9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A70B69" w:rsidRDefault="00692828" w:rsidP="002363B8">
            <w:pPr>
              <w:pStyle w:val="smallcapsplavi"/>
              <w:suppressAutoHyphens/>
            </w:pPr>
            <w:r w:rsidRPr="00A70B69">
              <w:t>1. ciklus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priroda i društvo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izborni predmet Informatika</w:t>
            </w:r>
          </w:p>
        </w:tc>
      </w:tr>
      <w:tr w:rsidR="00692828" w:rsidRPr="007F41AB" w:rsidTr="002363B8">
        <w:trPr>
          <w:trHeight w:val="460"/>
          <w:jc w:val="center"/>
        </w:trPr>
        <w:tc>
          <w:tcPr>
            <w:tcW w:w="949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A70B69" w:rsidRDefault="00692828" w:rsidP="002363B8">
            <w:pPr>
              <w:pStyle w:val="smallcapsplavi"/>
              <w:suppressAutoHyphens/>
            </w:pPr>
            <w:r w:rsidRPr="00A70B69">
              <w:t>2. ciklus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Priroda i društvo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izborni predmet Informatika</w:t>
            </w:r>
          </w:p>
        </w:tc>
      </w:tr>
      <w:tr w:rsidR="00692828" w:rsidRPr="007F41AB" w:rsidTr="002363B8">
        <w:trPr>
          <w:trHeight w:val="420"/>
          <w:jc w:val="center"/>
        </w:trPr>
        <w:tc>
          <w:tcPr>
            <w:tcW w:w="949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A70B69" w:rsidRDefault="00692828" w:rsidP="002363B8">
            <w:pPr>
              <w:pStyle w:val="smallcapsplavi"/>
              <w:suppressAutoHyphens/>
            </w:pP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Tehnička kultura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izborni predmet Informatika</w:t>
            </w:r>
          </w:p>
        </w:tc>
      </w:tr>
      <w:tr w:rsidR="00692828" w:rsidRPr="007F41AB" w:rsidTr="002363B8">
        <w:trPr>
          <w:jc w:val="center"/>
        </w:trPr>
        <w:tc>
          <w:tcPr>
            <w:tcW w:w="9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A70B69" w:rsidRDefault="00692828" w:rsidP="002363B8">
            <w:pPr>
              <w:pStyle w:val="smallcapsplavi"/>
              <w:suppressAutoHyphens/>
            </w:pPr>
            <w:r w:rsidRPr="00A70B69">
              <w:t>3. ciklus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Tehnička kultura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izborni predmet Informatika</w:t>
            </w:r>
          </w:p>
        </w:tc>
      </w:tr>
      <w:tr w:rsidR="00692828" w:rsidRPr="007F41AB" w:rsidTr="002363B8">
        <w:trPr>
          <w:jc w:val="center"/>
        </w:trPr>
        <w:tc>
          <w:tcPr>
            <w:tcW w:w="9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A70B69" w:rsidRDefault="00692828" w:rsidP="002363B8">
            <w:pPr>
              <w:pStyle w:val="smallcapsplavi"/>
              <w:suppressAutoHyphens/>
            </w:pPr>
            <w:r w:rsidRPr="00A70B69">
              <w:t>4. ciklus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 xml:space="preserve">svi predmeti i </w:t>
            </w:r>
            <w:proofErr w:type="spellStart"/>
            <w:r w:rsidRPr="007F41AB">
              <w:t>međupredmetne</w:t>
            </w:r>
            <w:proofErr w:type="spellEnd"/>
            <w:r w:rsidRPr="007F41AB">
              <w:t xml:space="preserve"> teme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Informatika</w:t>
            </w:r>
          </w:p>
        </w:tc>
      </w:tr>
      <w:tr w:rsidR="00692828" w:rsidRPr="007F41AB" w:rsidTr="002363B8">
        <w:trPr>
          <w:jc w:val="center"/>
        </w:trPr>
        <w:tc>
          <w:tcPr>
            <w:tcW w:w="9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A70B69" w:rsidRDefault="00692828" w:rsidP="002363B8">
            <w:pPr>
              <w:pStyle w:val="smallcapsplavi"/>
              <w:suppressAutoHyphens/>
            </w:pPr>
            <w:r w:rsidRPr="00A70B69">
              <w:t>5.ciklus</w:t>
            </w:r>
          </w:p>
        </w:tc>
        <w:tc>
          <w:tcPr>
            <w:tcW w:w="13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 xml:space="preserve">svi predmeti i </w:t>
            </w:r>
            <w:proofErr w:type="spellStart"/>
            <w:r w:rsidRPr="007F41AB">
              <w:t>međupredmetne</w:t>
            </w:r>
            <w:proofErr w:type="spellEnd"/>
            <w:r w:rsidRPr="007F41AB">
              <w:t xml:space="preserve"> teme</w:t>
            </w:r>
          </w:p>
        </w:tc>
        <w:tc>
          <w:tcPr>
            <w:tcW w:w="268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Informatika - Prirodoslovno-matematička gimnazija;</w:t>
            </w:r>
          </w:p>
          <w:p w:rsidR="00692828" w:rsidRPr="007F41AB" w:rsidRDefault="00692828" w:rsidP="002363B8">
            <w:pPr>
              <w:pStyle w:val="TablOstalo"/>
              <w:suppressAutoHyphens/>
            </w:pPr>
            <w:r w:rsidRPr="007F41AB">
              <w:t>ostali programi - izborni predmet Informatika</w:t>
            </w:r>
          </w:p>
        </w:tc>
      </w:tr>
    </w:tbl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7F41AB" w:rsidRDefault="00692828" w:rsidP="00692828">
      <w:pPr>
        <w:jc w:val="both"/>
        <w:rPr>
          <w:rFonts w:ascii="VladaRHSerif Lt" w:hAnsi="VladaRHSerif Lt"/>
          <w:sz w:val="20"/>
          <w:szCs w:val="20"/>
        </w:rPr>
      </w:pPr>
      <w:r w:rsidRPr="007F41AB">
        <w:rPr>
          <w:rFonts w:ascii="VladaRHSerif Lt" w:hAnsi="VladaRHSerif Lt"/>
          <w:sz w:val="20"/>
          <w:szCs w:val="20"/>
        </w:rPr>
        <w:t xml:space="preserve">Znanja, vještine i umijeća iz tehničkog i informatičkog područja primjenjuju se u svim </w:t>
      </w:r>
      <w:proofErr w:type="spellStart"/>
      <w:r w:rsidRPr="007F41AB">
        <w:rPr>
          <w:rFonts w:ascii="VladaRHSerif Lt" w:hAnsi="VladaRHSerif Lt"/>
          <w:sz w:val="20"/>
          <w:szCs w:val="20"/>
        </w:rPr>
        <w:t>međupredmetnim</w:t>
      </w:r>
      <w:proofErr w:type="spellEnd"/>
      <w:r w:rsidRPr="007F41AB">
        <w:rPr>
          <w:rFonts w:ascii="VladaRHSerif Lt" w:hAnsi="VladaRHSerif Lt"/>
          <w:sz w:val="20"/>
          <w:szCs w:val="20"/>
        </w:rPr>
        <w:t xml:space="preserve"> temama.</w:t>
      </w:r>
    </w:p>
    <w:p w:rsidR="00692828" w:rsidRDefault="00692828" w:rsidP="00692828">
      <w:pPr>
        <w:pStyle w:val="Glavninaslov"/>
        <w:spacing w:after="240"/>
      </w:pPr>
      <w:bookmarkStart w:id="2" w:name="h.3znysh7" w:colFirst="0" w:colLast="0"/>
      <w:bookmarkEnd w:id="2"/>
    </w:p>
    <w:p w:rsidR="00692828" w:rsidRPr="00E9208C" w:rsidRDefault="00692828" w:rsidP="00692828">
      <w:pPr>
        <w:pStyle w:val="Heading1"/>
      </w:pPr>
      <w:r w:rsidRPr="00E9208C">
        <w:t>B. Odgojno-obrazovni ciljevi učenja tehničkog i informatičkog područja kurikuluma</w:t>
      </w:r>
    </w:p>
    <w:p w:rsidR="00692828" w:rsidRPr="00D71599" w:rsidRDefault="00692828" w:rsidP="00692828">
      <w:pPr>
        <w:spacing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Učenik će:</w:t>
      </w:r>
    </w:p>
    <w:p w:rsidR="00692828" w:rsidRPr="00D71599" w:rsidRDefault="00692828" w:rsidP="00692828">
      <w:pPr>
        <w:numPr>
          <w:ilvl w:val="0"/>
          <w:numId w:val="2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razumjeti ustroj i funkcioniranje tehničkih i informatičkih koncepata i sustava. Razviti svijest o održivosti materijalnih i energetskih resursa te spoznati njihovu ulogu i utjecaj na osobni i društveni razvoj. Odgovornom i svrsishodnom primjenom tehnike i informatike rješavat će postavljene probleme.</w:t>
      </w:r>
    </w:p>
    <w:p w:rsidR="00692828" w:rsidRPr="00D71599" w:rsidRDefault="00692828" w:rsidP="00692828">
      <w:pPr>
        <w:numPr>
          <w:ilvl w:val="0"/>
          <w:numId w:val="2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usvojiti znanja, razviti vještine i izgraditi stavove potrebne za prihvatljivu, sigurnu i svrsishodnu uporabu i materijalizaciju tehničkih i informatičkih postignuća te se pripremati za izazove i promjene društva. Vodeći računa o etičkim vrijednostima te privatnosti, steći će vještinu uporabe informacijske i komunikacijske tehnologije kojom se oblikuju, spremaju, pretražuju i prenose različiti sadržaji.</w:t>
      </w:r>
    </w:p>
    <w:p w:rsidR="00692828" w:rsidRPr="00D71599" w:rsidRDefault="00692828" w:rsidP="00692828">
      <w:pPr>
        <w:numPr>
          <w:ilvl w:val="0"/>
          <w:numId w:val="2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razvijati sistemski pristup pri rješavanju problema i algoritamski način razmišljanja koji omogućuju razumijevanje, analizu i rješavanje problema odabirom odgovarajućih strategija i/ili programskih rješenja uz primjenu u raznim područjima života i rada.</w:t>
      </w:r>
    </w:p>
    <w:p w:rsidR="00692828" w:rsidRPr="00D71599" w:rsidRDefault="00692828" w:rsidP="00692828">
      <w:pPr>
        <w:numPr>
          <w:ilvl w:val="0"/>
          <w:numId w:val="2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razvijati kompetentno, kreativno i kritičko prosuđivanje kvalitete i svojstava tehničkih i informatičkih sustava i proizvoda. Iskorištavati prilike za osobno izražavanje i samoostvarenje u tehničkom i informatičkom okruženju radi poticanja inovativnosti, izvrsnosti i stvaranja novih materijalnih i nematerijalnih vrijednosti.</w:t>
      </w:r>
    </w:p>
    <w:p w:rsidR="00692828" w:rsidRPr="00D71599" w:rsidRDefault="00692828" w:rsidP="00692828">
      <w:pPr>
        <w:numPr>
          <w:ilvl w:val="0"/>
          <w:numId w:val="2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razvijati pozitivne vrijednosti i stavove prema radu i vlastitim aktivnostima uz primjenu tehničkih i informatičkih dostignuća, uvažavajući etičke vrijednosti društva, s ciljem prepoznavanja i razumijevanja mogućnosti i prilika za osobni i profesionalni razvoj.</w:t>
      </w:r>
    </w:p>
    <w:p w:rsidR="00692828" w:rsidRPr="00D71599" w:rsidRDefault="00692828" w:rsidP="00692828">
      <w:pPr>
        <w:spacing w:line="240" w:lineRule="exact"/>
        <w:ind w:left="720"/>
        <w:contextualSpacing/>
        <w:jc w:val="both"/>
        <w:rPr>
          <w:rFonts w:ascii="VladaRHSerif Lt" w:hAnsi="VladaRHSerif Lt"/>
          <w:sz w:val="20"/>
          <w:szCs w:val="20"/>
        </w:rPr>
      </w:pPr>
    </w:p>
    <w:p w:rsidR="00692828" w:rsidRPr="00D71599" w:rsidRDefault="00692828" w:rsidP="00692828">
      <w:pPr>
        <w:spacing w:line="240" w:lineRule="exact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U cilju zadovoljavanja odgojno-obrazovnih potreba učenika s teškoćama, kurikulum se prilagođava u skladu sa smjernicama </w:t>
      </w:r>
      <w:r w:rsidRPr="00D71599">
        <w:rPr>
          <w:rFonts w:ascii="VladaRHSerif Lt" w:hAnsi="VladaRHSerif Lt"/>
          <w:i/>
          <w:sz w:val="20"/>
          <w:szCs w:val="20"/>
        </w:rPr>
        <w:t>Okvira za poticanje i prilagodbu iskustava učenja te vrednovanje postignuća djece i učenika s teškoćama</w:t>
      </w:r>
      <w:r w:rsidRPr="00D71599">
        <w:rPr>
          <w:rFonts w:ascii="VladaRHSerif Lt" w:hAnsi="VladaRHSerif Lt"/>
          <w:sz w:val="20"/>
          <w:szCs w:val="20"/>
        </w:rPr>
        <w:t>.</w:t>
      </w:r>
    </w:p>
    <w:p w:rsidR="00692828" w:rsidRPr="00D71599" w:rsidRDefault="00692828" w:rsidP="00692828">
      <w:pPr>
        <w:spacing w:line="240" w:lineRule="exact"/>
        <w:ind w:left="720"/>
        <w:contextualSpacing/>
        <w:jc w:val="both"/>
        <w:rPr>
          <w:rFonts w:ascii="VladaRHSerif Lt" w:hAnsi="VladaRHSerif Lt"/>
          <w:sz w:val="20"/>
          <w:szCs w:val="20"/>
        </w:rPr>
      </w:pPr>
    </w:p>
    <w:p w:rsidR="00692828" w:rsidRPr="00D71599" w:rsidRDefault="00692828" w:rsidP="00692828">
      <w:pPr>
        <w:spacing w:after="480" w:line="240" w:lineRule="exact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U cilju zadovoljavanja odgojno-obrazovnih potreba darovitih učenika, uvodi se razlikovni kurikulum u skladu sa smjernicama </w:t>
      </w:r>
      <w:r w:rsidRPr="00D71599">
        <w:rPr>
          <w:rFonts w:ascii="VladaRHSerif Lt" w:hAnsi="VladaRHSerif Lt"/>
          <w:i/>
          <w:sz w:val="20"/>
          <w:szCs w:val="20"/>
        </w:rPr>
        <w:t>Okvira za poticanje iskustava učenja i vrednovanje postignuća darovite djece i učenika</w:t>
      </w:r>
      <w:r w:rsidRPr="00D71599">
        <w:rPr>
          <w:rFonts w:ascii="VladaRHSerif Lt" w:hAnsi="VladaRHSerif Lt"/>
          <w:sz w:val="20"/>
          <w:szCs w:val="20"/>
        </w:rPr>
        <w:t>.</w:t>
      </w:r>
    </w:p>
    <w:p w:rsidR="00692828" w:rsidRPr="009E24BC" w:rsidRDefault="00692828" w:rsidP="00692828">
      <w:pPr>
        <w:pStyle w:val="Heading1"/>
      </w:pPr>
      <w:bookmarkStart w:id="3" w:name="h.2et92p0" w:colFirst="0" w:colLast="0"/>
      <w:bookmarkEnd w:id="3"/>
      <w:r w:rsidRPr="009E24BC">
        <w:lastRenderedPageBreak/>
        <w:t>C. Ključne domene u organizaciji tehničkog i informatičkog područja kurikuluma</w:t>
      </w:r>
    </w:p>
    <w:p w:rsidR="00692828" w:rsidRPr="00D71599" w:rsidRDefault="00692828" w:rsidP="00692828">
      <w:pPr>
        <w:spacing w:before="60" w:after="6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Tehničko i informatičko područje ujedinjuje tehniku, tehnologiju i informatiku. U skladu s tim definirane su jedinstvene domene kurikuluma koje proizlaze iz aspekata tehnike i tehnologije te područja konceptualizacije tehnologije i informatike. </w:t>
      </w:r>
    </w:p>
    <w:p w:rsidR="00692828" w:rsidRPr="00D71599" w:rsidRDefault="00692828" w:rsidP="00692828">
      <w:pPr>
        <w:spacing w:before="60" w:after="6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Neki od osnovnih aspekata tehnike, tehnologije i informatike su:</w:t>
      </w:r>
    </w:p>
    <w:p w:rsidR="00692828" w:rsidRPr="00D71599" w:rsidRDefault="00692828" w:rsidP="00692828">
      <w:pPr>
        <w:numPr>
          <w:ilvl w:val="0"/>
          <w:numId w:val="7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intelektualni (ideje, stvaralaštvo i kreativnost)</w:t>
      </w:r>
    </w:p>
    <w:p w:rsidR="00692828" w:rsidRPr="00D71599" w:rsidRDefault="00692828" w:rsidP="00692828">
      <w:pPr>
        <w:numPr>
          <w:ilvl w:val="0"/>
          <w:numId w:val="7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djelatni (materijalizacija zamisli, izrada tvorevina, izrada aplikacija, korištenje i primjena gotovih rješenja, uporaba alata, naprava, sustava itd.)</w:t>
      </w:r>
    </w:p>
    <w:p w:rsidR="00692828" w:rsidRPr="00D71599" w:rsidRDefault="00692828" w:rsidP="00692828">
      <w:pPr>
        <w:numPr>
          <w:ilvl w:val="0"/>
          <w:numId w:val="7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estetski (dizajn – doživljajni učinak) </w:t>
      </w:r>
    </w:p>
    <w:p w:rsidR="00692828" w:rsidRPr="00D71599" w:rsidRDefault="00692828" w:rsidP="00692828">
      <w:pPr>
        <w:numPr>
          <w:ilvl w:val="0"/>
          <w:numId w:val="7"/>
        </w:numPr>
        <w:spacing w:before="240" w:line="240" w:lineRule="exact"/>
        <w:ind w:left="714" w:hanging="357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humani (međuodnosi ljudi, društva i tehnologije, prirode i tehnologije te zdravlja). </w:t>
      </w:r>
    </w:p>
    <w:p w:rsidR="00692828" w:rsidRPr="00D71599" w:rsidRDefault="00692828" w:rsidP="00692828">
      <w:pPr>
        <w:spacing w:before="6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U tom smislu područja interesa tehnike i tehnologije, čija ishodišta proizlaze iz filozofije tehnike i tehnologije, a primjenjiva su u odgojno-obrazovnom procesu uključuju: konceptualizaciju tehnike kroz tvorevine, znanja, aktivnosti i kroz humani aspekt tehnike i tehnologije. S druge strane područja interesa informatike čija ishodišta proizlaze iz računalnih znanosti i informacijske tehnologije, a primjenjuju se u svim djelatnostima, primjenjiva su u odgojno-obrazovnom procesu koji uključuje: rješavanje problema programiranjem, računalno razmišljanje, poznavanje digitalne tehnologije, komunikaciju putem mreža i kritičko promišljanje o dostupnim informacijama te odgovorno i etičko ponašanje u informatičkoj zajednici.</w:t>
      </w:r>
    </w:p>
    <w:p w:rsidR="00692828" w:rsidRPr="00D71599" w:rsidRDefault="00692828" w:rsidP="00692828">
      <w:pPr>
        <w:spacing w:before="60"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Sintezom znanstveno-teorijskih pristupa tehničko i informatičko područje moguće je </w:t>
      </w:r>
      <w:proofErr w:type="spellStart"/>
      <w:r w:rsidRPr="00D71599">
        <w:rPr>
          <w:rFonts w:ascii="VladaRHSerif Lt" w:hAnsi="VladaRHSerif Lt"/>
          <w:sz w:val="20"/>
          <w:szCs w:val="20"/>
        </w:rPr>
        <w:t>konceptualizirati</w:t>
      </w:r>
      <w:proofErr w:type="spellEnd"/>
      <w:r w:rsidRPr="00D71599">
        <w:rPr>
          <w:rFonts w:ascii="VladaRHSerif Lt" w:hAnsi="VladaRHSerif Lt"/>
          <w:sz w:val="20"/>
          <w:szCs w:val="20"/>
        </w:rPr>
        <w:t xml:space="preserve"> kroz pet domena: </w:t>
      </w:r>
    </w:p>
    <w:p w:rsidR="00692828" w:rsidRPr="00D71599" w:rsidRDefault="00692828" w:rsidP="00692828">
      <w:pPr>
        <w:numPr>
          <w:ilvl w:val="0"/>
          <w:numId w:val="1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tehnologija i tehnički sustavi te tvorevine</w:t>
      </w:r>
    </w:p>
    <w:p w:rsidR="00692828" w:rsidRPr="00D71599" w:rsidRDefault="00692828" w:rsidP="00692828">
      <w:pPr>
        <w:numPr>
          <w:ilvl w:val="0"/>
          <w:numId w:val="1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tehnički dizajn i materijalizacija zamisli</w:t>
      </w:r>
    </w:p>
    <w:p w:rsidR="00692828" w:rsidRPr="00D71599" w:rsidRDefault="00692828" w:rsidP="00692828">
      <w:pPr>
        <w:numPr>
          <w:ilvl w:val="0"/>
          <w:numId w:val="1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informacijska i komunikacijska tehnologija</w:t>
      </w:r>
    </w:p>
    <w:p w:rsidR="00692828" w:rsidRPr="00D71599" w:rsidRDefault="00692828" w:rsidP="00692828">
      <w:pPr>
        <w:numPr>
          <w:ilvl w:val="0"/>
          <w:numId w:val="1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rješavanje problema i programiranje</w:t>
      </w:r>
    </w:p>
    <w:p w:rsidR="00692828" w:rsidRPr="00D71599" w:rsidRDefault="00692828" w:rsidP="00692828">
      <w:pPr>
        <w:numPr>
          <w:ilvl w:val="0"/>
          <w:numId w:val="1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>značenje tehnike i informatike za pojedinca i zajednicu.</w:t>
      </w:r>
    </w:p>
    <w:p w:rsidR="00692828" w:rsidRPr="00D71599" w:rsidRDefault="00692828" w:rsidP="00692828">
      <w:pPr>
        <w:spacing w:before="60" w:after="6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Navedene domene u odgojno-obrazovnom procesu ovise jedna o drugoj i pri realizaciji nastavnih aktivnosti u međusobnoj su interakciji. </w:t>
      </w:r>
    </w:p>
    <w:p w:rsidR="00692828" w:rsidRPr="00D71599" w:rsidRDefault="00692828" w:rsidP="00692828">
      <w:pPr>
        <w:spacing w:before="60" w:after="60" w:line="240" w:lineRule="exact"/>
        <w:jc w:val="both"/>
        <w:rPr>
          <w:rFonts w:ascii="VladaRHSerif Lt" w:hAnsi="VladaRHSerif Lt"/>
          <w:sz w:val="20"/>
          <w:szCs w:val="20"/>
        </w:rPr>
      </w:pPr>
      <w:r w:rsidRPr="00D71599">
        <w:rPr>
          <w:rFonts w:ascii="VladaRHSerif Lt" w:hAnsi="VladaRHSerif Lt"/>
          <w:sz w:val="20"/>
          <w:szCs w:val="20"/>
        </w:rPr>
        <w:t xml:space="preserve">Tijekom obrazovnih ciklusa određeni sadržaji pojedine domene realizirat će se kroz zasebne predmete iz područja tehnike i informatike, dok će se neki sadržaji obrađivati i usvajati kao dijelovi ostalih predmeta. </w:t>
      </w:r>
    </w:p>
    <w:p w:rsidR="00692828" w:rsidRPr="00D71599" w:rsidRDefault="00692828" w:rsidP="00692828">
      <w:pPr>
        <w:spacing w:line="240" w:lineRule="exact"/>
        <w:jc w:val="both"/>
        <w:rPr>
          <w:rFonts w:ascii="VladaRHSerif Lt" w:hAnsi="VladaRHSerif Lt"/>
          <w:sz w:val="20"/>
          <w:szCs w:val="20"/>
        </w:rPr>
      </w:pPr>
    </w:p>
    <w:p w:rsidR="00692828" w:rsidRPr="00D71599" w:rsidRDefault="00692828" w:rsidP="00692828">
      <w:pPr>
        <w:pStyle w:val="Heading2"/>
      </w:pPr>
      <w:r>
        <w:t xml:space="preserve">a. </w:t>
      </w:r>
      <w:r w:rsidRPr="00D71599">
        <w:t>tehnologija i tehnički sustavi te tvorevine</w:t>
      </w:r>
    </w:p>
    <w:p w:rsidR="00692828" w:rsidRPr="00E07FED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Domena treba učenicima pružiti znanja o tehničkim konceptima i sustavima. Pritom se posebice misli na usvajanje znanja specifičnih za ovo područje, poput znanja o materijalima, sredstvima, konceptima, sustavima, normama, procedurama, tehnologijama, računalnoj tehnici te informacijskoj i komunikacijskoj tehnologiji. Važno je razumijevanje fizičke i funkcionalne prirode: </w:t>
      </w:r>
    </w:p>
    <w:p w:rsidR="00692828" w:rsidRPr="00E07FED" w:rsidRDefault="00692828" w:rsidP="00692828">
      <w:pPr>
        <w:numPr>
          <w:ilvl w:val="0"/>
          <w:numId w:val="3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objekata (uređaji, naprave, strojevi, alati, instrumenti...)</w:t>
      </w:r>
    </w:p>
    <w:p w:rsidR="00692828" w:rsidRPr="00E07FED" w:rsidRDefault="00692828" w:rsidP="00692828">
      <w:pPr>
        <w:numPr>
          <w:ilvl w:val="0"/>
          <w:numId w:val="6"/>
        </w:numPr>
        <w:spacing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računalnih aplikacija (aplikacije na osobnom računalu, mobilnom uređaju, </w:t>
      </w:r>
      <w:r w:rsidRPr="00E07FED">
        <w:rPr>
          <w:rFonts w:ascii="VladaRHSerif Lt" w:hAnsi="VladaRHSerif Lt"/>
          <w:i/>
          <w:sz w:val="20"/>
          <w:szCs w:val="20"/>
        </w:rPr>
        <w:t>web</w:t>
      </w:r>
      <w:r w:rsidRPr="00E07FED">
        <w:rPr>
          <w:rFonts w:ascii="VladaRHSerif Lt" w:hAnsi="VladaRHSerif Lt"/>
          <w:sz w:val="20"/>
          <w:szCs w:val="20"/>
        </w:rPr>
        <w:t>-aplikacije, aplikacije u „oblaku”...)</w:t>
      </w:r>
    </w:p>
    <w:p w:rsidR="00692828" w:rsidRPr="00E07FED" w:rsidRDefault="00692828" w:rsidP="00692828">
      <w:pPr>
        <w:numPr>
          <w:ilvl w:val="0"/>
          <w:numId w:val="6"/>
        </w:numPr>
        <w:spacing w:after="240" w:line="240" w:lineRule="exact"/>
        <w:ind w:left="714" w:hanging="357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sustava (promet, transport, prijenos i proizvodnja energije, proizvodnja hrane...)</w:t>
      </w:r>
    </w:p>
    <w:p w:rsidR="00692828" w:rsidRPr="00D71599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iz svakodnevnog okruženja te njihove prihvatljive i sigurne uporabe koja utječe na znanstveni, gospodarski i kulturni razvoj. Potrebno je razviti vještine rukovanja i upravljanja raznim sredstvima i sustavima, kao i svijest o važnosti korištenja dokumentacijom i uvažavanja sigurnosnih uvjeta pri njihovu korištenju</w:t>
      </w:r>
      <w:r>
        <w:rPr>
          <w:rFonts w:ascii="VladaRHSerif Lt" w:hAnsi="VladaRHSerif Lt"/>
          <w:sz w:val="20"/>
          <w:szCs w:val="20"/>
        </w:rPr>
        <w:t>.</w:t>
      </w:r>
    </w:p>
    <w:p w:rsidR="00692828" w:rsidRPr="00D71599" w:rsidRDefault="00692828" w:rsidP="00692828">
      <w:pPr>
        <w:pStyle w:val="Heading2"/>
      </w:pPr>
      <w:r>
        <w:t xml:space="preserve">b. </w:t>
      </w:r>
      <w:r w:rsidRPr="00D71599">
        <w:t xml:space="preserve">tehnički dizajn i materijalizacija zamisli </w:t>
      </w:r>
    </w:p>
    <w:p w:rsidR="00692828" w:rsidRPr="00D71599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Domena se odnosi na aktivnosti i razvoj kritičkog promišljanja, idejnog osmišljavanja, dizajniranja (oblikovanja), istraživanja i rješavanja tehničkih i/ili informatičkih problema te sistemskog pristupa radi izrade (materijalizacije) tehničkih tvorevina, programskih aplikacija i razvoja procesa, tehnologija ili postupaka upravljanja sredstvima i sustavima. Da bi se neka zamisao materijalizirala, nužno je steći znanja i vještine potrebne za izbor odgovarajućih materijala, sredstava i metoda rada te razviti vještine uporabe različitih tehničkih naprava i sredstava. Važno je usvojiti osnove uporabe i izrade tehničke dokumentacije. </w:t>
      </w:r>
      <w:r w:rsidRPr="00E07FED">
        <w:rPr>
          <w:rFonts w:ascii="VladaRHSerif Lt" w:hAnsi="VladaRHSerif Lt"/>
          <w:sz w:val="20"/>
          <w:szCs w:val="20"/>
        </w:rPr>
        <w:lastRenderedPageBreak/>
        <w:t>Materijalizacijom ideja u pojedinačnom i timskom radu potiču se stvaralačke i estetske sposobnosti oblikovanja, ali i razvoj svijesti o planiranju, o sigurnosti na radu, aktivnosti kritičkog, tehničkog, estetskog i etičkog vrednovanja vlastitog rada te projekcija poduzet</w:t>
      </w:r>
      <w:r>
        <w:rPr>
          <w:rFonts w:ascii="VladaRHSerif Lt" w:hAnsi="VladaRHSerif Lt"/>
          <w:sz w:val="20"/>
          <w:szCs w:val="20"/>
        </w:rPr>
        <w:t>ničkih mogućnosti.</w:t>
      </w:r>
    </w:p>
    <w:p w:rsidR="00692828" w:rsidRPr="00D71599" w:rsidRDefault="00692828" w:rsidP="00692828">
      <w:pPr>
        <w:pStyle w:val="Heading2"/>
      </w:pPr>
      <w:r>
        <w:t xml:space="preserve">c. </w:t>
      </w:r>
      <w:r w:rsidRPr="00D71599">
        <w:t>informacijska i komunikacijska tehnologija</w:t>
      </w:r>
    </w:p>
    <w:p w:rsidR="00692828" w:rsidRPr="00D71599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Informacijska i komunikacijska tehnologija obuhvaća poznavanje i primjenu (umreženih) računalnih sustava, njihovu građu i djelovanje, tehnologiju te načela i vještine koje su osnova pretraživanja, prikupljanja, vrednovanja, organizacije, obrade, pohranjivanja, dijeljenja, kreiranja i prikaza različitih vrsta podataka. Učenje sadržaja iz ove domene učeniku omogućuje razumijevanje informatike te kritičku, etičku i inovativnu primjenu informatičkih i komunikacijskih dostignuća u rješavanju svakodnevnih problema koji potječu iz različitih područja ljudskog djelovanja. Važan je dio ove domene svrhovita uporaba programskih rješenja za stvaranje i obradu digitalnih sadržaja kao što su npr. multimedijski sadr</w:t>
      </w:r>
      <w:r>
        <w:rPr>
          <w:rFonts w:ascii="VladaRHSerif Lt" w:hAnsi="VladaRHSerif Lt"/>
          <w:sz w:val="20"/>
          <w:szCs w:val="20"/>
        </w:rPr>
        <w:t>žaji te informatička sigurnost.</w:t>
      </w:r>
    </w:p>
    <w:p w:rsidR="00692828" w:rsidRPr="00D71599" w:rsidRDefault="00692828" w:rsidP="00692828">
      <w:pPr>
        <w:pStyle w:val="Heading2"/>
      </w:pPr>
      <w:r>
        <w:t xml:space="preserve">d. </w:t>
      </w:r>
      <w:r w:rsidRPr="00D71599">
        <w:t>rješavanje problema i programiranje</w:t>
      </w:r>
    </w:p>
    <w:p w:rsidR="00692828" w:rsidRPr="00D71599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Ova domena obuhvaća razvoj vještina, sposobnosti i usvajanje znanja potrebnih za razvijanje algoritamskog načina razmišljanja te primjenu u različitim problemskim situacijama. Algoritamski se način razmišljanja u prvome redu razvija rješavanjem različitih problema koji odražavaju stvarne probleme, a u kojima je nužna primjena znanja iz drugih područja, posebice prirodoslovlja, matematike i logičkih disciplina. Pritom su prepoznatljivi sljedeći koraci: definiranje, analiza i odabir postupaka za rješavanje problema, planiranje, pripremanje i realizacija rješenja, ispitivanje i uporaba programa ili realiziranog rješenja. Da bi učenik mogao realizirati i provjeriti ispravnost programskih rješenja, nužna je uporaba nekog od programskih jezika koji ne opterećuje učenika sintaksom nego mu ponajprije omogućuje stjecanje kompetencija u rješavanju problema programiranjem. Za rješavanje tehničkog problema nužno je uključivanje spoznaja iz raznih domena, argumentacija mogućih rješenja te predstavljanje vlastitog rješenja i refleksija p</w:t>
      </w:r>
      <w:r>
        <w:rPr>
          <w:rFonts w:ascii="VladaRHSerif Lt" w:hAnsi="VladaRHSerif Lt"/>
          <w:sz w:val="20"/>
          <w:szCs w:val="20"/>
        </w:rPr>
        <w:t>rovedenih aktivnosti na učenika.</w:t>
      </w:r>
    </w:p>
    <w:p w:rsidR="00692828" w:rsidRPr="00DC1180" w:rsidRDefault="00692828" w:rsidP="00692828">
      <w:pPr>
        <w:pStyle w:val="Heading2"/>
      </w:pPr>
      <w:r w:rsidRPr="00DC1180">
        <w:t>e. značenje tehnike i informatike za pojedinca i zajednicu</w:t>
      </w:r>
    </w:p>
    <w:p w:rsidR="00692828" w:rsidRPr="00E07FED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U ovoj se domeni razvija svijest i stavovi o važnosti tehnike i informatike u svakodnevnom životu u svim oblicima aktivnosti koji utječu na okolinu, uz poštovanje sigurnosnih, etičkih, gospodarskih, ekoloških i kulturnih načela. Područje uključuje razvoj spoznaja i stavova o: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važnosti očuvanja okoliša 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racionalnoj uporabi energije za čovjekov svakodnevni život i rad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nužnosti uporabe obnovljivih izvora energije 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primjerenom zbrinjavanju otpada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>iskorištenju (recikliranju) dotrajalih proizvoda radi stvaranja novih</w:t>
      </w:r>
    </w:p>
    <w:p w:rsidR="00692828" w:rsidRPr="00E07FED" w:rsidRDefault="00692828" w:rsidP="00692828">
      <w:pPr>
        <w:numPr>
          <w:ilvl w:val="0"/>
          <w:numId w:val="4"/>
        </w:numPr>
        <w:spacing w:after="240" w:line="240" w:lineRule="exact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utjecaju tehnike, tehnologije i informatičkih rješenja na zdravlje pojedinca. </w:t>
      </w:r>
    </w:p>
    <w:p w:rsidR="00692828" w:rsidRPr="00E07FED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E07FED">
        <w:rPr>
          <w:rFonts w:ascii="VladaRHSerif Lt" w:hAnsi="VladaRHSerif Lt"/>
          <w:sz w:val="20"/>
          <w:szCs w:val="20"/>
        </w:rPr>
        <w:t xml:space="preserve">Uključuje i razvoj svijesti o tom kako tehnika, tehnologija i informatika oblikuju ljudsko društvo i pojedinca. Važan je razvoj pozitivnog stava o održivom razvoju, o interakciji čovjeka i tehnologije te kritičko vrednovanje tehnike, tehnologije i informatike s obzirom na utjecaj na osobni i profesionalni razvoj, društvo i okoliš. Posebice je važno prihvatljivo i sigurno korištenje tehnikom i tehnologijom, zaštita vlastitih i tuđih osobnih podataka te </w:t>
      </w:r>
      <w:r w:rsidRPr="00692828">
        <w:rPr>
          <w:rFonts w:ascii="VladaRHSerif Lt" w:hAnsi="VladaRHSerif Lt"/>
          <w:color w:val="595959" w:themeColor="text1" w:themeTint="A6"/>
          <w:sz w:val="20"/>
          <w:szCs w:val="20"/>
        </w:rPr>
        <w:t xml:space="preserve">poštivanje autorskih prava, </w:t>
      </w:r>
      <w:proofErr w:type="spellStart"/>
      <w:r w:rsidRPr="00692828">
        <w:rPr>
          <w:rFonts w:ascii="VladaRHSerif Lt" w:hAnsi="VladaRHSerif Lt"/>
          <w:color w:val="595959" w:themeColor="text1" w:themeTint="A6"/>
          <w:sz w:val="20"/>
          <w:szCs w:val="20"/>
        </w:rPr>
        <w:t>inetektualnog</w:t>
      </w:r>
      <w:proofErr w:type="spellEnd"/>
      <w:r w:rsidRPr="00692828">
        <w:rPr>
          <w:rFonts w:ascii="VladaRHSerif Lt" w:hAnsi="VladaRHSerif Lt"/>
          <w:color w:val="595959" w:themeColor="text1" w:themeTint="A6"/>
          <w:sz w:val="20"/>
          <w:szCs w:val="20"/>
        </w:rPr>
        <w:t xml:space="preserve"> vlasništva i prihvaćenih </w:t>
      </w:r>
      <w:r w:rsidRPr="00E07FED">
        <w:rPr>
          <w:rFonts w:ascii="VladaRHSerif Lt" w:hAnsi="VladaRHSerif Lt"/>
          <w:sz w:val="20"/>
          <w:szCs w:val="20"/>
        </w:rPr>
        <w:t>etičkih vrijednosti.</w:t>
      </w:r>
    </w:p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  <w:r w:rsidRPr="00E9208C">
        <w:rPr>
          <w:rFonts w:ascii="VladaRHSans Lt" w:hAnsi="VladaRHSans Lt"/>
          <w:sz w:val="20"/>
          <w:szCs w:val="20"/>
        </w:rPr>
        <w:br w:type="page"/>
      </w:r>
    </w:p>
    <w:p w:rsidR="00692828" w:rsidRPr="00E9208C" w:rsidRDefault="00692828" w:rsidP="00692828">
      <w:pPr>
        <w:pStyle w:val="Heading1"/>
      </w:pPr>
      <w:bookmarkStart w:id="4" w:name="h.tyjcwt" w:colFirst="0" w:colLast="0"/>
      <w:bookmarkEnd w:id="4"/>
      <w:r w:rsidRPr="00E9208C">
        <w:lastRenderedPageBreak/>
        <w:t>D. Odgojno-obrazovna očekivanja po odgojno-obrazovnim ciklusima i ključnim domenama</w:t>
      </w:r>
    </w:p>
    <w:tbl>
      <w:tblPr>
        <w:tblW w:w="92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1"/>
        <w:gridCol w:w="8083"/>
      </w:tblGrid>
      <w:tr w:rsidR="00692828" w:rsidRPr="00E9208C" w:rsidTr="002363B8">
        <w:trPr>
          <w:trHeight w:val="440"/>
          <w:jc w:val="center"/>
        </w:trPr>
        <w:tc>
          <w:tcPr>
            <w:tcW w:w="9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E9208C" w:rsidRDefault="00692828" w:rsidP="002363B8">
            <w:pPr>
              <w:widowControl w:val="0"/>
              <w:spacing w:line="240" w:lineRule="auto"/>
              <w:ind w:left="720"/>
              <w:jc w:val="center"/>
              <w:rPr>
                <w:rFonts w:ascii="VladaRHSans Lt" w:hAnsi="VladaRHSans Lt"/>
                <w:b/>
                <w:sz w:val="20"/>
                <w:szCs w:val="20"/>
              </w:rPr>
            </w:pPr>
            <w:r w:rsidRPr="00430C0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domena a.</w:t>
            </w:r>
            <w:r w:rsidRPr="00E07FED">
              <w:rPr>
                <w:rFonts w:ascii="VladaRHSans Lt" w:hAnsi="VladaRHSans Lt"/>
                <w:b/>
                <w:color w:val="25408F"/>
                <w:sz w:val="20"/>
                <w:szCs w:val="20"/>
              </w:rPr>
              <w:t xml:space="preserve"> </w:t>
            </w:r>
            <w:r w:rsidRPr="00430C04">
              <w:rPr>
                <w:rFonts w:ascii="VladaRHSans Lt" w:hAnsi="VladaRHSans Lt"/>
                <w:color w:val="D60D8A"/>
                <w:sz w:val="19"/>
                <w:szCs w:val="19"/>
              </w:rPr>
              <w:t>Tehnologija i tehnički sustavi te tvorevine</w:t>
            </w:r>
          </w:p>
        </w:tc>
      </w:tr>
      <w:tr w:rsidR="00692828" w:rsidRPr="00E9208C" w:rsidTr="002363B8">
        <w:trPr>
          <w:jc w:val="center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1. ciklus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>
              <w:t>A</w:t>
            </w:r>
            <w:r w:rsidRPr="00B70D24">
              <w:t>.1.1.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razlikuje tehničke uređaje, materijale i sredstva koji se upotrebljavaju u kućanstvu i školi te se nekima od njih koristi uz pridržavanje sigurnosnih uputa.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A.1.2.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primjenjuje osnovna pravila ponašanja u prometu te razlikuje putnička prijevozna sredstva.</w:t>
            </w:r>
          </w:p>
        </w:tc>
      </w:tr>
      <w:tr w:rsidR="00692828" w:rsidRPr="00E9208C" w:rsidTr="002363B8">
        <w:trPr>
          <w:trHeight w:val="60"/>
          <w:jc w:val="center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E9208C" w:rsidRDefault="00692828" w:rsidP="002363B8">
            <w:pPr>
              <w:pStyle w:val="ciklusi"/>
            </w:pPr>
            <w:r>
              <w:t xml:space="preserve">2. </w:t>
            </w:r>
            <w:r w:rsidRPr="00E9208C">
              <w:t>ciklus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>A.2.1.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razlikuje i opisuje osnovne dijelove računalnog sustava.</w:t>
            </w:r>
          </w:p>
          <w:p w:rsidR="00692828" w:rsidRPr="00B70D24" w:rsidRDefault="00692828" w:rsidP="002363B8">
            <w:pPr>
              <w:pStyle w:val="smallcapsplavi"/>
            </w:pPr>
            <w:r w:rsidRPr="00B70D24">
              <w:t>A.2.2.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poštuje osnovne prometne znakove i pravila te razlikuje različite vrste prometa.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A.2.3.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imenuje osnovne materijale za izradu predmeta, razlikuje i opisuje uporabu alata, pribora i strojeva iz školskog i kućnog okruženja.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A.2.4.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razlikuje izvore energije, opisuje njezin utjecaj na život i rad ljudi i društva te njihov utjecaj na okoliš primjenjujući pravila sigurne uporabe energije.</w:t>
            </w:r>
          </w:p>
        </w:tc>
      </w:tr>
      <w:tr w:rsidR="00692828" w:rsidRPr="00E9208C" w:rsidTr="002363B8">
        <w:trPr>
          <w:trHeight w:val="2220"/>
          <w:jc w:val="center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E9208C" w:rsidRDefault="00692828" w:rsidP="002363B8">
            <w:pPr>
              <w:pStyle w:val="ciklusi"/>
            </w:pPr>
            <w:r>
              <w:t xml:space="preserve">3. </w:t>
            </w:r>
            <w:r w:rsidRPr="00E9208C">
              <w:t>ciklus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>A.3.1.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razlikuje tehnologiju proizvodnje, materijale te njihova svojstva i primjenu u različitim granama privrede.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A.3.2.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razlikuje vrste prijenosa i pretvorbe energije od proizvođača do krajnjeg potrošača.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A.3.3.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se koristi računalom i ostalom tehnologijom kao alatom za bolju produktivnost, rješavanje problema u trenutačnom području interesa.</w:t>
            </w:r>
          </w:p>
          <w:p w:rsidR="00692828" w:rsidRPr="00B70D24" w:rsidRDefault="00692828" w:rsidP="002363B8">
            <w:pPr>
              <w:pStyle w:val="smallcapsplavi"/>
            </w:pPr>
            <w:r w:rsidRPr="00B70D24">
              <w:t>A.3.4.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 xml:space="preserve">Učenik pokazuje sposobnost samostalne uporabe tehnologije, alata i primjerenih strojeva uz neposredan nadzor učitelja. </w:t>
            </w:r>
          </w:p>
        </w:tc>
      </w:tr>
      <w:tr w:rsidR="00692828" w:rsidRPr="00E9208C" w:rsidTr="002363B8">
        <w:trPr>
          <w:jc w:val="center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E9208C" w:rsidRDefault="00692828" w:rsidP="002363B8">
            <w:pPr>
              <w:pStyle w:val="ciklusi"/>
            </w:pPr>
            <w:r>
              <w:t>4.</w:t>
            </w:r>
            <w:r w:rsidRPr="00E9208C">
              <w:t xml:space="preserve"> ciklus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>A.4.1.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vrednuje i uspoređuje svojstva različitih tehnoloških rješenja, raznih materijala i strojeva.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A.4.2.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lastRenderedPageBreak/>
              <w:t>Učenik se samostalno koristi alatima (kako programskim tako i tehničkim) za izradu maketa, modela, simulacija, prikaz rezultata rada, proračuna, programskih rješenja i slično.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A.4.3.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se koristi tehnološkim resursima za planiranje, koordiniranje i realizaciju učeničkih projekata.</w:t>
            </w:r>
          </w:p>
        </w:tc>
      </w:tr>
      <w:tr w:rsidR="00692828" w:rsidRPr="00E9208C" w:rsidTr="002363B8">
        <w:trPr>
          <w:jc w:val="center"/>
        </w:trPr>
        <w:tc>
          <w:tcPr>
            <w:tcW w:w="1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E9208C" w:rsidRDefault="00692828" w:rsidP="002363B8">
            <w:pPr>
              <w:pStyle w:val="ciklusi"/>
            </w:pPr>
            <w:r>
              <w:lastRenderedPageBreak/>
              <w:t xml:space="preserve">5. </w:t>
            </w:r>
            <w:r w:rsidRPr="00E9208C">
              <w:t>ciklus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>A.5.1.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se samostalno i svrsishodno koristi dostupnim uređajima, sklopovljem i programskom podrškom.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A.5.2.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oblikuje i vrednuje tvorevinu te opisuje korištenu tehniku i tehnologiju. Upotrebljava alate i programe povezane s područjem interesa.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>A.5.3.</w:t>
            </w:r>
          </w:p>
          <w:p w:rsidR="00692828" w:rsidRPr="00B70D24" w:rsidRDefault="00692828" w:rsidP="002363B8">
            <w:pPr>
              <w:pStyle w:val="TablOstalo"/>
              <w:rPr>
                <w:szCs w:val="19"/>
              </w:rPr>
            </w:pPr>
            <w:r w:rsidRPr="00B70D24">
              <w:rPr>
                <w:szCs w:val="19"/>
              </w:rPr>
              <w:t>Učenik odabire i primjenjuje strategiju za rješavanje problema u tehničkim sustavima izvan školskog okruženja.</w:t>
            </w:r>
          </w:p>
        </w:tc>
      </w:tr>
    </w:tbl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</w:p>
    <w:p w:rsidR="00692828" w:rsidRDefault="00692828" w:rsidP="00692828">
      <w:pPr>
        <w:rPr>
          <w:rFonts w:ascii="VladaRHSans Lt" w:hAnsi="VladaRHSans Lt"/>
          <w:sz w:val="20"/>
          <w:szCs w:val="20"/>
        </w:rPr>
      </w:pPr>
    </w:p>
    <w:p w:rsidR="00692828" w:rsidRDefault="00692828" w:rsidP="00692828">
      <w:pPr>
        <w:rPr>
          <w:rFonts w:ascii="VladaRHSans Lt" w:hAnsi="VladaRHSans Lt"/>
          <w:sz w:val="20"/>
          <w:szCs w:val="20"/>
        </w:rPr>
      </w:pPr>
    </w:p>
    <w:p w:rsidR="00692828" w:rsidRDefault="00692828" w:rsidP="00692828">
      <w:pPr>
        <w:rPr>
          <w:rFonts w:ascii="VladaRHSans Lt" w:hAnsi="VladaRHSans Lt"/>
          <w:sz w:val="20"/>
          <w:szCs w:val="20"/>
        </w:rPr>
      </w:pPr>
    </w:p>
    <w:p w:rsidR="00692828" w:rsidRDefault="00692828" w:rsidP="00692828">
      <w:pPr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022"/>
        <w:gridCol w:w="8270"/>
      </w:tblGrid>
      <w:tr w:rsidR="00692828" w:rsidRPr="00E9208C" w:rsidTr="002363B8">
        <w:trPr>
          <w:trHeight w:val="44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9C0024" w:rsidRDefault="00692828" w:rsidP="002363B8">
            <w:pPr>
              <w:widowControl w:val="0"/>
              <w:spacing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 xml:space="preserve">domena b. </w:t>
            </w:r>
            <w:r w:rsidRPr="009C0024">
              <w:rPr>
                <w:rFonts w:ascii="VladaRHSans Lt" w:hAnsi="VladaRHSans Lt"/>
                <w:b/>
                <w:color w:val="D60D8A"/>
                <w:sz w:val="19"/>
                <w:szCs w:val="19"/>
              </w:rPr>
              <w:t>Tehnički dizajn i materijalizacija zamisli</w:t>
            </w:r>
          </w:p>
        </w:tc>
      </w:tr>
      <w:tr w:rsidR="00692828" w:rsidRPr="00E9208C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1.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smallcapsplavi"/>
            </w:pPr>
            <w:r w:rsidRPr="00B70D24">
              <w:t xml:space="preserve">B.1.1.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osmišljava, skicira, planira postupak i realizira jednostavan uradak koristeći se osnovnim materijalima, sredstvima i računalnom tehnologijom. Predstavlja vlastiti te vrednuje svoj i tuđi uradak.</w:t>
            </w:r>
          </w:p>
          <w:p w:rsidR="00692828" w:rsidRPr="00B70D24" w:rsidRDefault="00692828" w:rsidP="002363B8">
            <w:pPr>
              <w:pStyle w:val="smallcapsplavi"/>
            </w:pPr>
            <w:r w:rsidRPr="00B70D24">
              <w:t xml:space="preserve">B.1.2.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priprema materijale i sredstva za izradu svojeg uratka te uređuje radno mjesto.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 xml:space="preserve">B.1.3.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osmišljava kako svoje uratke prikazati u školi i/ili lokalnoj zajednici.</w:t>
            </w:r>
          </w:p>
        </w:tc>
      </w:tr>
      <w:tr w:rsidR="00692828" w:rsidRPr="00E9208C" w:rsidTr="002363B8">
        <w:trPr>
          <w:trHeight w:val="6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2.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 xml:space="preserve">B.2.1.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tehnički dokumentira prostor i predmete u svojoj okolini.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 xml:space="preserve">B.2.2.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 xml:space="preserve">Učenik osmišljava uporabni predmet ili model, priređuje jednostavni tehnički crtež, planira i opisuje korake izrade te ga realizira koristeći se dostupnim materijalima, sredstvima i alatima. 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 xml:space="preserve">B.2.3.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lastRenderedPageBreak/>
              <w:t>Učenik uz pomoć učitelja procjenjuje vrijednost svojih uradaka i osmišljava kako svoje uratke predstaviti u školi i/ili lokalnoj zajednici.</w:t>
            </w:r>
          </w:p>
        </w:tc>
      </w:tr>
      <w:tr w:rsidR="00692828" w:rsidRPr="00E9208C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lastRenderedPageBreak/>
              <w:t>3.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 xml:space="preserve">B.3.1.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uočava potrebe za proizvodima, tehnologijom i tehnološkim rješenjima na razini lokalne zajednice te osmišljava, priređuje cjelovit tehnički crtež, planira i opisuje korake izrade te realizira zamisao koristeći se dostupnim materijalima, alatima i strojevima.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 xml:space="preserve">B.3.2.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 xml:space="preserve">Učenik realizira postupke za svrhovito sastavljanje i upravljanje manjim automatskim, </w:t>
            </w:r>
            <w:proofErr w:type="spellStart"/>
            <w:r w:rsidRPr="00B70D24">
              <w:rPr>
                <w:rFonts w:ascii="VladaRHSans Lt" w:hAnsi="VladaRHSans Lt"/>
                <w:sz w:val="19"/>
                <w:szCs w:val="19"/>
              </w:rPr>
              <w:t>mehatroničkim</w:t>
            </w:r>
            <w:proofErr w:type="spellEnd"/>
            <w:r w:rsidRPr="00B70D24">
              <w:rPr>
                <w:rFonts w:ascii="VladaRHSans Lt" w:hAnsi="VladaRHSans Lt"/>
                <w:sz w:val="19"/>
                <w:szCs w:val="19"/>
              </w:rPr>
              <w:t xml:space="preserve"> i/ili robotskim sustavima.</w:t>
            </w:r>
          </w:p>
          <w:p w:rsidR="00692828" w:rsidRPr="00B70D24" w:rsidRDefault="00692828" w:rsidP="002363B8">
            <w:pPr>
              <w:pStyle w:val="ciklusi"/>
            </w:pPr>
            <w:r w:rsidRPr="00B70D24">
              <w:t xml:space="preserve">B.3.3.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planira i analizira troškove materijala, sredstava i energije te procjenjuje vrijednost i osmišljava način plasiranja svojeg uratka kao proizvoda.</w:t>
            </w:r>
          </w:p>
        </w:tc>
      </w:tr>
      <w:tr w:rsidR="00692828" w:rsidRPr="00E9208C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4.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 xml:space="preserve">B.4.1. 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>Učenik analizira postojeći proizvod, tehnologiju ili tehnološko rješenje, nudi ideju za njihovo poboljšanje, obrazlaže ekonomske, estetske i druge dobrobiti te dokumentira i predstavlja svoju ideju.</w:t>
            </w:r>
          </w:p>
        </w:tc>
      </w:tr>
      <w:tr w:rsidR="00692828" w:rsidRPr="00E9208C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5.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B70D24" w:rsidRDefault="00692828" w:rsidP="002363B8">
            <w:pPr>
              <w:pStyle w:val="ciklusi"/>
            </w:pPr>
            <w:r w:rsidRPr="00B70D24">
              <w:t>B.5.1.</w:t>
            </w:r>
          </w:p>
          <w:p w:rsidR="00692828" w:rsidRPr="00B70D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B70D24">
              <w:rPr>
                <w:rFonts w:ascii="VladaRHSans Lt" w:hAnsi="VladaRHSans Lt"/>
                <w:sz w:val="19"/>
                <w:szCs w:val="19"/>
              </w:rPr>
              <w:t xml:space="preserve"> Učenik realizira projekt koji zahtijeva istraživanje potreba, razradu ideje, izradu troškovnika te izrađuje i/ili predstavlja ideju proizvoda ili tehnološko rješenje.</w:t>
            </w:r>
          </w:p>
        </w:tc>
      </w:tr>
    </w:tbl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  <w:r w:rsidRPr="00E9208C">
        <w:rPr>
          <w:rFonts w:ascii="VladaRHSans Lt" w:hAnsi="VladaRHSans Lt"/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022"/>
        <w:gridCol w:w="8270"/>
      </w:tblGrid>
      <w:tr w:rsidR="00692828" w:rsidRPr="009C0024" w:rsidTr="002363B8">
        <w:trPr>
          <w:trHeight w:val="44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9C0024" w:rsidRDefault="00692828" w:rsidP="002363B8">
            <w:pPr>
              <w:widowControl w:val="0"/>
              <w:spacing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 xml:space="preserve">domena c. </w:t>
            </w:r>
            <w:r w:rsidRPr="009D6158">
              <w:rPr>
                <w:rFonts w:ascii="VladaRHSans Lt" w:hAnsi="VladaRHSans Lt"/>
                <w:b/>
                <w:color w:val="D60D8A"/>
                <w:sz w:val="19"/>
                <w:szCs w:val="19"/>
              </w:rPr>
              <w:t>Informacijska i komunikacijska tehnologija</w:t>
            </w:r>
          </w:p>
        </w:tc>
      </w:tr>
      <w:tr w:rsidR="00692828" w:rsidRPr="009C0024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1.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C0024">
              <w:t xml:space="preserve">C.1.1.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informacijskom i komunikacijskom tehnologijom za pomoć pri učenju i igri.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C.1.2.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primjenjuje informacijsku i komunikacijsku tehnologiju vodeći računa o sigurnost i zaštiti privatnosti vlastitih sadržaja.</w:t>
            </w:r>
          </w:p>
        </w:tc>
      </w:tr>
      <w:tr w:rsidR="00692828" w:rsidRPr="009C0024" w:rsidTr="002363B8">
        <w:trPr>
          <w:trHeight w:val="6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2.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C0024">
              <w:t xml:space="preserve">C.2.1.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svrhovito surađuje, komunicira i razmjenjuje podatke uporabom informacijske i komunikacijske tehnologije oblikujući vlastite digitalne sadržaje.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C.2.2.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tehničko-informatičkim rješenjima za pretraživanje, izradu i pohranjivanje sadržaja.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C.2.3.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informacijskom i komunikacijskom tehnologijom za sigurnu razmjenu sadržaja vodeći računa o privatnosti osobnih podataka.</w:t>
            </w:r>
          </w:p>
        </w:tc>
      </w:tr>
      <w:tr w:rsidR="00692828" w:rsidRPr="009C0024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3.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C0024">
              <w:t xml:space="preserve">C.3.1.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informacijskom i komunikacijskom tehnologijom radi razmjene i pretraživanja podataka, kritički procjenjuje informacije dobivene pretraživanjem te samostalno oblikuje vlastite sadržaje radi digitalnog predočavanja.</w:t>
            </w:r>
          </w:p>
          <w:p w:rsidR="00692828" w:rsidRDefault="00692828" w:rsidP="002363B8">
            <w:pPr>
              <w:pStyle w:val="smallcapsplavi"/>
            </w:pPr>
            <w:r w:rsidRPr="009C0024">
              <w:t>C.3.2.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 xml:space="preserve"> Učenik opisuje i vrednuje (umrežene) računalne sustave, njihovu građu i djelovanje.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C.3.3.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samostalno kreira i pohranjuje vlastite sadržaje koje sigurno razmjenjuje radi realizacije aktivnosti u učenju i poučavanju.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C.3.4.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sigurnosnim alatima radi zaštite vlastite privatnosti i sigurne uporabe informacijske i komunikacijske tehnologije.</w:t>
            </w:r>
          </w:p>
        </w:tc>
      </w:tr>
      <w:tr w:rsidR="00692828" w:rsidRPr="009C0024" w:rsidTr="002363B8">
        <w:trPr>
          <w:trHeight w:val="216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4.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C0024">
              <w:t xml:space="preserve">C.4.1.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 xml:space="preserve">Učenik se koristi raznim programskim alatima za pretraživanje i razmjenu informacija te komunikaciju i suradnju. 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C.4.2.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svrhovito i sigurno prilagođuje i rabi operacijski sustav, (umrežene) računalne sustave te organizira, pohranjuje i pretražuje podatke.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C.4.3.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analizira različite načine prikaza podataka u računalu.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C.4.4.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lastRenderedPageBreak/>
              <w:t>Učenik kreira, klasificira i vrednuje vlastite sadržaje koristeći se informacijskom i komunikacijskom tehnologijom.</w:t>
            </w:r>
          </w:p>
        </w:tc>
      </w:tr>
      <w:tr w:rsidR="00692828" w:rsidRPr="009C0024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lastRenderedPageBreak/>
              <w:t>5.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C0024">
              <w:t xml:space="preserve">C.5.1.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se koristi raznim informacijskim i komunikacijskim okruženjima za svrhovitu suradnju, komunikaciju, pretraživanje i razmjenu informacija.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C.5.2.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samostalno i suradnički kreira, klasificira i vrednuje različite sadržaje radi razvoja vlastitih sadržaja.</w:t>
            </w:r>
          </w:p>
          <w:p w:rsidR="00692828" w:rsidRDefault="00692828" w:rsidP="002363B8">
            <w:pPr>
              <w:pStyle w:val="smallcapsplavi"/>
            </w:pPr>
            <w:r w:rsidRPr="009C0024">
              <w:t xml:space="preserve">C.5.3. </w:t>
            </w:r>
          </w:p>
          <w:p w:rsidR="00692828" w:rsidRPr="009C0024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C0024">
              <w:rPr>
                <w:rFonts w:ascii="VladaRHSans Lt" w:hAnsi="VladaRHSans Lt"/>
                <w:sz w:val="19"/>
                <w:szCs w:val="19"/>
              </w:rPr>
              <w:t>Učenik primjenjuje sigurnosne mehanizme i zakone te može obrazložiti i vrednovati njihovu uporabu u privatnom i poslovnom smislu.</w:t>
            </w:r>
          </w:p>
        </w:tc>
      </w:tr>
    </w:tbl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  <w:r w:rsidRPr="00E9208C">
        <w:rPr>
          <w:rFonts w:ascii="VladaRHSans Lt" w:hAnsi="VladaRHSans Lt"/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022"/>
        <w:gridCol w:w="8270"/>
      </w:tblGrid>
      <w:tr w:rsidR="00692828" w:rsidRPr="009D6158" w:rsidTr="002363B8">
        <w:trPr>
          <w:trHeight w:val="44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9D6158" w:rsidRDefault="00692828" w:rsidP="002363B8">
            <w:pPr>
              <w:widowControl w:val="0"/>
              <w:spacing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 xml:space="preserve">domena d. </w:t>
            </w:r>
            <w:r w:rsidRPr="009D6158">
              <w:rPr>
                <w:rFonts w:ascii="VladaRHSans Lt" w:hAnsi="VladaRHSans Lt"/>
                <w:b/>
                <w:color w:val="D60D8A"/>
                <w:sz w:val="19"/>
                <w:szCs w:val="19"/>
              </w:rPr>
              <w:t>Rješavanje problema i programiranje</w:t>
            </w:r>
          </w:p>
        </w:tc>
      </w:tr>
      <w:tr w:rsidR="00692828" w:rsidRPr="009D6158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1.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D6158">
              <w:t xml:space="preserve">D.1.1.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opisuje zadani jednostavni problem, nabraja moguća rješenja i ostvaruje odabrano rješenje.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D.1.2.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opisuje korake za rješavanje jednostavnog problema.</w:t>
            </w:r>
          </w:p>
        </w:tc>
      </w:tr>
      <w:tr w:rsidR="00692828" w:rsidRPr="009D6158" w:rsidTr="002363B8">
        <w:trPr>
          <w:trHeight w:val="6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2.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D6158">
              <w:t xml:space="preserve">D.2.1.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uočava, demonstrira i obrazlaže moguće rješenje problema.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D.2.2.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prepoznaje logiku programiranja (ulaz, obrada i izlaz).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D.2.3.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prepoznaje da se sustav sastoji od više međusobno povezanih elemenata.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D.2.4.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primjenjuje algoritamski način razmišljanja u svakodnevnim životnim situacijama.</w:t>
            </w:r>
          </w:p>
        </w:tc>
      </w:tr>
      <w:tr w:rsidR="00692828" w:rsidRPr="009D6158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3.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D6158">
              <w:t xml:space="preserve">D.3.1.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analizira prihvatljivost rješenja i mogućnost njegove optimizacije.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D.3.2.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Učenik primjenjuje uvjetne naredbe i petlje s pomoću programskog jezika i upotrebljava jednostavne tipove podataka i </w:t>
            </w:r>
            <w:proofErr w:type="spellStart"/>
            <w:r w:rsidRPr="009D6158">
              <w:rPr>
                <w:rFonts w:ascii="VladaRHSans Lt" w:hAnsi="VladaRHSans Lt"/>
                <w:sz w:val="19"/>
                <w:szCs w:val="19"/>
              </w:rPr>
              <w:t>jednodimenzijske</w:t>
            </w:r>
            <w:proofErr w:type="spellEnd"/>
            <w:r w:rsidRPr="009D6158">
              <w:rPr>
                <w:rFonts w:ascii="VladaRHSans Lt" w:hAnsi="VladaRHSans Lt"/>
                <w:sz w:val="19"/>
                <w:szCs w:val="19"/>
              </w:rPr>
              <w:t xml:space="preserve"> strukture podataka.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D.3.3.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raščlanjuje probleme na manje cjeline. Pronalazi vlastita i gotova rješenja za probleme u pojedinim cjelinama te ih na kraju povezuje u jedinstveno rješenje.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D.3.4.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primjenjuje stečeno znanje iz algoritamskog rješavanja problema iz drugih područja.</w:t>
            </w:r>
          </w:p>
        </w:tc>
      </w:tr>
      <w:tr w:rsidR="00692828" w:rsidRPr="009D6158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t>4.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D6158">
              <w:t xml:space="preserve">D.4.1.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argumentira učinkovitost različitih rješenja istog problema te odabire optimalno rješenje.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D.4.2.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Upotrebljava </w:t>
            </w:r>
            <w:proofErr w:type="spellStart"/>
            <w:r w:rsidRPr="009D6158">
              <w:rPr>
                <w:rFonts w:ascii="VladaRHSans Lt" w:hAnsi="VladaRHSans Lt"/>
                <w:sz w:val="19"/>
                <w:szCs w:val="19"/>
              </w:rPr>
              <w:t>jednodimenzijske</w:t>
            </w:r>
            <w:proofErr w:type="spellEnd"/>
            <w:r w:rsidRPr="009D6158">
              <w:rPr>
                <w:rFonts w:ascii="VladaRHSans Lt" w:hAnsi="VladaRHSans Lt"/>
                <w:sz w:val="19"/>
                <w:szCs w:val="19"/>
              </w:rPr>
              <w:t xml:space="preserve"> strukture podataka i primjerene algoritme za rješavanja problema.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D.4.3.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raščlanjuje složenije probleme na manje nezavisne dijelove koje zasebno samostalno rješava i na kraju povezuje u funkcionalnu cjelinu.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D.4.4.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upotrebljava znanja iz drugih predmeta za modeliranje i rješavanje problema.</w:t>
            </w:r>
          </w:p>
        </w:tc>
      </w:tr>
      <w:tr w:rsidR="00692828" w:rsidRPr="009D6158" w:rsidTr="002363B8">
        <w:trPr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</w:pPr>
            <w:r w:rsidRPr="00B70D24">
              <w:lastRenderedPageBreak/>
              <w:t>5.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</w:pPr>
            <w:r w:rsidRPr="009D6158">
              <w:t xml:space="preserve">D.5.1.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Učenik uočava problemsku situaciju iz stvarnoga života, kreira rješenje problema koristeći se primjerenim programskim paradigmama te ga predstavlja. 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D.5.2.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primjenjuje apstraktne strukture podataka te se koristi bazama podataka.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D.5.3.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Učenik primjenjuje odgovarajuće postupke nakon uočavanja sigurnosnih problema pri uporabi informatičkih rješenja i tehnologije. </w:t>
            </w:r>
          </w:p>
          <w:p w:rsidR="00692828" w:rsidRDefault="00692828" w:rsidP="002363B8">
            <w:pPr>
              <w:pStyle w:val="smallcapsplavi"/>
            </w:pPr>
            <w:r w:rsidRPr="009D6158">
              <w:t xml:space="preserve">D.5.4. </w:t>
            </w:r>
          </w:p>
          <w:p w:rsidR="00692828" w:rsidRPr="009D6158" w:rsidRDefault="00692828" w:rsidP="002363B8">
            <w:pPr>
              <w:widowControl w:val="0"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se koristi razvojnim alatima za svrhovitu prilagodbu i razvoj aplikacija.</w:t>
            </w:r>
          </w:p>
        </w:tc>
      </w:tr>
    </w:tbl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jc w:val="both"/>
        <w:rPr>
          <w:rFonts w:ascii="VladaRHSans Lt" w:hAnsi="VladaRHSans Lt"/>
          <w:sz w:val="20"/>
          <w:szCs w:val="20"/>
        </w:rPr>
      </w:pPr>
    </w:p>
    <w:p w:rsidR="00692828" w:rsidRPr="00E9208C" w:rsidRDefault="00692828" w:rsidP="00692828">
      <w:pPr>
        <w:rPr>
          <w:rFonts w:ascii="VladaRHSans Lt" w:hAnsi="VladaRHSans Lt"/>
          <w:sz w:val="20"/>
          <w:szCs w:val="20"/>
        </w:rPr>
      </w:pPr>
      <w:r w:rsidRPr="00E9208C">
        <w:rPr>
          <w:rFonts w:ascii="VladaRHSans Lt" w:hAnsi="VladaRHSans Lt"/>
          <w:sz w:val="20"/>
          <w:szCs w:val="20"/>
        </w:rPr>
        <w:br w:type="page"/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022"/>
        <w:gridCol w:w="8270"/>
      </w:tblGrid>
      <w:tr w:rsidR="00692828" w:rsidRPr="009D6158" w:rsidTr="002363B8">
        <w:trPr>
          <w:cantSplit/>
          <w:trHeight w:val="306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Pr="009D6158" w:rsidRDefault="00692828" w:rsidP="002363B8">
            <w:pPr>
              <w:widowControl w:val="0"/>
              <w:suppressAutoHyphens/>
              <w:spacing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 xml:space="preserve">domena e. </w:t>
            </w:r>
            <w:r w:rsidRPr="009D6158">
              <w:rPr>
                <w:rFonts w:ascii="VladaRHSans Lt" w:hAnsi="VladaRHSans Lt"/>
                <w:b/>
                <w:color w:val="D60D8A"/>
                <w:sz w:val="19"/>
                <w:szCs w:val="19"/>
              </w:rPr>
              <w:t>Značenje tehnike i informatike za pojedinca i zajednicu</w:t>
            </w:r>
          </w:p>
        </w:tc>
      </w:tr>
      <w:tr w:rsidR="00692828" w:rsidRPr="009D6158" w:rsidTr="002363B8">
        <w:trPr>
          <w:cantSplit/>
          <w:trHeight w:val="2199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  <w:suppressAutoHyphens/>
            </w:pPr>
            <w:r w:rsidRPr="00B70D24">
              <w:t>1.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E.1.1.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prikuplja i razvrstava tehnološki otpad u užoj okolini.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E.1.2.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se koristi resursima tehnike i tehnologije te informatičkim rješenjima na siguran i prihvatljiv način, uzimajući u obzir i njihov utjecaj na zdravlje pojedinca.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E.1.3.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se primjereno ponaša u komunikaciji i suradnji pri realizaciji praktičnih aktivnosti.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E.1.4.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prepoznaje zanimanja i poslove kod kojih se rabe računala i tehnički sustavi.</w:t>
            </w:r>
          </w:p>
        </w:tc>
      </w:tr>
      <w:tr w:rsidR="00692828" w:rsidRPr="009D6158" w:rsidTr="002363B8">
        <w:trPr>
          <w:cantSplit/>
          <w:trHeight w:val="6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  <w:suppressAutoHyphens/>
            </w:pPr>
            <w:r w:rsidRPr="00B70D24">
              <w:t>2.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E.2.1.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se racionalno koristi materijalom i energijom u svojim aktivnostima, koristeći se pritom i tehnološkim otpadom iz uže okoline.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E.2.2.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primjenjuje pravila zaštite osobnih podataka, autorskih prava i zaštite na radu.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E.2.3.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se koristi alatima za suradničko učenje te primjenjuje pravila ponašanja na računalnoj mreži.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E.2.4.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razlikuje i izgrađuje vrijednosne odnose prema radu i stvaranju te iznosi vlastito mišljenje o utjecaju koji će ti stavovi imati na razvoj okoline.</w:t>
            </w:r>
          </w:p>
        </w:tc>
      </w:tr>
      <w:tr w:rsidR="00692828" w:rsidRPr="009D6158" w:rsidTr="002363B8">
        <w:trPr>
          <w:cantSplit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  <w:suppressAutoHyphens/>
            </w:pPr>
            <w:r w:rsidRPr="00B70D24">
              <w:t>3.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E.3.1.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sigurno, promišljeno, ekonomično i etički rabi primjerene i dostupne materijale, energetske resurse i tehnologiju, pri čemu primjenjuje i različite postupke zbrinjavanja otpada u lokalnoj zajednici.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E.3.2.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opisuje uvjete rada i suradnički povezuje rezultate rada.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E.3.3.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primjenjuje pravila i norme te kritički analizira vlastitu aktivnost u području tehnike, tehnologije i informatike.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E.3.4.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Učenik opisuje utjecaj tehnike, tehnologije i informatike na osobni i profesionalni razvoj te na uže okruženje. </w:t>
            </w:r>
          </w:p>
        </w:tc>
      </w:tr>
      <w:tr w:rsidR="00692828" w:rsidRPr="009D6158" w:rsidTr="002363B8">
        <w:trPr>
          <w:cantSplit/>
          <w:trHeight w:val="2900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  <w:suppressAutoHyphens/>
            </w:pPr>
            <w:r w:rsidRPr="00B70D24">
              <w:lastRenderedPageBreak/>
              <w:t>4.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E.4.1.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analizira i primjenjuje etička, kulturna te načela održivog razvoja i ekologije povezana s tehnikom, tehnologijom i informatikom.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E.4.2.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 xml:space="preserve">Učenik nabraja i izabire prikladna pravila i norme sigurne uporabe tehnike, tehnologije i informatike te primjenjuje </w:t>
            </w:r>
            <w:r w:rsidRPr="00692828">
              <w:rPr>
                <w:rFonts w:ascii="VladaRHSans Lt" w:hAnsi="VladaRHSans Lt"/>
                <w:sz w:val="19"/>
                <w:szCs w:val="19"/>
              </w:rPr>
              <w:t xml:space="preserve">pravila zaštite autorskih prava, intelektualnog vlasništva i osobnih </w:t>
            </w:r>
            <w:r w:rsidRPr="009D6158">
              <w:rPr>
                <w:rFonts w:ascii="VladaRHSans Lt" w:hAnsi="VladaRHSans Lt"/>
                <w:sz w:val="19"/>
                <w:szCs w:val="19"/>
              </w:rPr>
              <w:t>podataka.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E.4.3.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organizira vlastiti rad u skladu s dobrom praksom i vrijednosnim odnosima prema radu i stvaranju.</w:t>
            </w:r>
          </w:p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E.4.4. </w:t>
            </w:r>
          </w:p>
          <w:p w:rsidR="00692828" w:rsidRPr="009D6158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9D6158">
              <w:rPr>
                <w:rFonts w:ascii="VladaRHSans Lt" w:hAnsi="VladaRHSans Lt"/>
                <w:sz w:val="19"/>
                <w:szCs w:val="19"/>
              </w:rPr>
              <w:t>Učenik uspoređuje i povezuje sadržaje i aktivnosti tehnike, tehnologije i informatike s utjecajem na osobni i profesionalni razvoj i okruženje.</w:t>
            </w:r>
          </w:p>
        </w:tc>
      </w:tr>
      <w:tr w:rsidR="00692828" w:rsidRPr="009D6158" w:rsidTr="002363B8">
        <w:trPr>
          <w:cantSplit/>
          <w:trHeight w:val="164"/>
          <w:jc w:val="center"/>
        </w:trPr>
        <w:tc>
          <w:tcPr>
            <w:tcW w:w="5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2828" w:rsidRPr="00B70D24" w:rsidRDefault="00692828" w:rsidP="002363B8">
            <w:pPr>
              <w:pStyle w:val="ciklusi"/>
              <w:suppressAutoHyphens/>
            </w:pPr>
            <w:r w:rsidRPr="00B70D24">
              <w:t>5. ciklus</w:t>
            </w:r>
          </w:p>
        </w:tc>
        <w:tc>
          <w:tcPr>
            <w:tcW w:w="44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828" w:rsidRDefault="00692828" w:rsidP="002363B8">
            <w:pPr>
              <w:pStyle w:val="smallcapsplavi"/>
              <w:suppressAutoHyphens/>
            </w:pPr>
            <w:r w:rsidRPr="009D6158">
              <w:t xml:space="preserve">E.5.1. </w:t>
            </w:r>
          </w:p>
          <w:p w:rsidR="00692828" w:rsidRPr="00D04814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D04814">
              <w:rPr>
                <w:rFonts w:ascii="VladaRHSans Lt" w:hAnsi="VladaRHSans Lt"/>
                <w:sz w:val="19"/>
                <w:szCs w:val="19"/>
              </w:rPr>
              <w:t>Učenik promišlja o tehnici i tehnologiji s društvenog i humanističkog aspekta.</w:t>
            </w:r>
          </w:p>
          <w:p w:rsidR="00692828" w:rsidRPr="00D04814" w:rsidRDefault="00692828" w:rsidP="002363B8">
            <w:pPr>
              <w:pStyle w:val="smallcapsplavi"/>
              <w:suppressAutoHyphens/>
            </w:pPr>
            <w:r w:rsidRPr="00D04814">
              <w:t xml:space="preserve">E.5.2. </w:t>
            </w:r>
          </w:p>
          <w:p w:rsidR="00692828" w:rsidRPr="00D04814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D04814">
              <w:rPr>
                <w:rFonts w:ascii="VladaRHSans Lt" w:hAnsi="VladaRHSans Lt"/>
                <w:sz w:val="19"/>
                <w:szCs w:val="19"/>
              </w:rPr>
              <w:t>Učenik primjenjuje informacijsku i komunikacijsku tehnologiju u komunikaciji s globalnom zajednicom i planira vlastite uvjete rada i stvaranja.</w:t>
            </w:r>
          </w:p>
          <w:p w:rsidR="00692828" w:rsidRPr="00D04814" w:rsidRDefault="00692828" w:rsidP="002363B8">
            <w:pPr>
              <w:pStyle w:val="smallcapsplavi"/>
              <w:suppressAutoHyphens/>
            </w:pPr>
            <w:r w:rsidRPr="00D04814">
              <w:t xml:space="preserve">E.5.3. </w:t>
            </w:r>
          </w:p>
          <w:p w:rsidR="00692828" w:rsidRPr="00D04814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D04814">
              <w:rPr>
                <w:rFonts w:ascii="VladaRHSans Lt" w:hAnsi="VladaRHSans Lt"/>
                <w:sz w:val="19"/>
                <w:szCs w:val="19"/>
              </w:rPr>
              <w:t>Učenik opisuje i predviđa utjecaj tehnike, tehnologije i informatike na osobni razvoj, karijeru te na razvoj zajednice.</w:t>
            </w:r>
          </w:p>
          <w:p w:rsidR="00692828" w:rsidRPr="00D04814" w:rsidRDefault="00692828" w:rsidP="002363B8">
            <w:pPr>
              <w:pStyle w:val="smallcapsplavi"/>
              <w:suppressAutoHyphens/>
            </w:pPr>
            <w:r w:rsidRPr="00D04814">
              <w:t xml:space="preserve">E.5.4. </w:t>
            </w:r>
          </w:p>
          <w:p w:rsidR="00692828" w:rsidRPr="00DE2573" w:rsidRDefault="00692828" w:rsidP="002363B8">
            <w:pPr>
              <w:widowControl w:val="0"/>
              <w:suppressAutoHyphens/>
              <w:spacing w:line="240" w:lineRule="exact"/>
              <w:rPr>
                <w:rFonts w:ascii="VladaRHSans Lt" w:hAnsi="VladaRHSans Lt"/>
                <w:sz w:val="16"/>
                <w:szCs w:val="16"/>
              </w:rPr>
            </w:pPr>
            <w:r w:rsidRPr="00D04814">
              <w:rPr>
                <w:rFonts w:ascii="VladaRHSans Lt" w:hAnsi="VladaRHSans Lt"/>
                <w:sz w:val="19"/>
                <w:szCs w:val="19"/>
              </w:rPr>
              <w:t>Učenik analizira odgojno-obrazovne, socijalne i etičke elemente povezane s naglašenim oslanjanjem na informatiku i tehnologiju općenito.</w:t>
            </w:r>
          </w:p>
        </w:tc>
      </w:tr>
    </w:tbl>
    <w:p w:rsidR="00692828" w:rsidRPr="00E9208C" w:rsidRDefault="00692828" w:rsidP="00692828">
      <w:pPr>
        <w:pStyle w:val="Heading1"/>
      </w:pPr>
      <w:bookmarkStart w:id="5" w:name="h.3dy6vkm" w:colFirst="0" w:colLast="0"/>
      <w:bookmarkStart w:id="6" w:name="h.1t3h5sf" w:colFirst="0" w:colLast="0"/>
      <w:bookmarkEnd w:id="5"/>
      <w:bookmarkEnd w:id="6"/>
      <w:r w:rsidRPr="00E9208C">
        <w:t>E. Povezivanje s ostalim područjima kurikuluma i međupredmetnim temama</w:t>
      </w:r>
    </w:p>
    <w:p w:rsidR="00692828" w:rsidRPr="00DE2573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Tehničko i informatičko područje kurikuluma zbog svoje je integrativne uloge i aplikativne prirode povezano sa svim područjima kurikuluma tako da kakvoća spoznaja iz tih područja izravno utječe i na kakvoću aktivnosti učenika koji te spoznaje primjenjuju. Razvoj spoznaja iz prirodoslovnog i matematičkog područja te svih </w:t>
      </w:r>
      <w:proofErr w:type="spellStart"/>
      <w:r w:rsidRPr="00DE2573">
        <w:rPr>
          <w:rFonts w:ascii="VladaRHSerif Lt" w:hAnsi="VladaRHSerif Lt"/>
          <w:sz w:val="20"/>
          <w:szCs w:val="20"/>
        </w:rPr>
        <w:t>međupredmetnih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tema, da bi bio potpun, treba biti prožet i primjenjivim znanjima iz tehničkog i informatičkog područja. </w:t>
      </w:r>
    </w:p>
    <w:p w:rsidR="00692828" w:rsidRPr="00DE2573" w:rsidRDefault="00692828" w:rsidP="00692828">
      <w:pPr>
        <w:spacing w:after="240" w:line="240" w:lineRule="exact"/>
        <w:jc w:val="both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Za stjecanje kompetencija iz tehničkog i informatičkog područja nužno je stjecanje spoznaja iz prirodoslovlja u dijelu u kojem su za razumijevanje tehničkih koncepata i sustava nužne spoznaje o njihovim fizikalnim, kemijskim i biološkim osnovama procesa koji se pritom odvijaju. Izrazitu važnost za razvoj i primjenu spoznaja o informatičkim konceptima, algoritamskom načinu razmišljanja te programiranju imaju spoznaje iz matematičkog područja. U dijelu razvoja pozitivnih odnosa prema radu i vlastitim aktivnostima, razvoju svijesti o utjecaju i važnosti tehnike, tehnologije i informatike za osobni i društveni razvoj te odgovornoj i svrsishodnoj primjeni informatičkih i tehničkih rješenja, ovo je područje povezano i s društveno-humanističkim područjem te je izvor spoznaja za </w:t>
      </w:r>
      <w:proofErr w:type="spellStart"/>
      <w:r w:rsidRPr="00DE2573">
        <w:rPr>
          <w:rFonts w:ascii="VladaRHSerif Lt" w:hAnsi="VladaRHSerif Lt"/>
          <w:sz w:val="20"/>
          <w:szCs w:val="20"/>
        </w:rPr>
        <w:t>međupredmetne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teme: Poduzetništvo, Uporaba informacijsko-komunikacijske tehnologije, Osobni i socijalni razvoj, Zdravlje, Održivi razvoj te Građanski odgoj i obrazovanje. Zbog posebnog načina na koji se spoznaje u ovom </w:t>
      </w:r>
      <w:r w:rsidRPr="00DE2573">
        <w:rPr>
          <w:rFonts w:ascii="VladaRHSerif Lt" w:hAnsi="VladaRHSerif Lt"/>
          <w:sz w:val="20"/>
          <w:szCs w:val="20"/>
        </w:rPr>
        <w:lastRenderedPageBreak/>
        <w:t xml:space="preserve">području primarno stječu, odnosno iskustvenog učenja koje daje priliku svakom učeniku za postizanje prihvatljive razine postignuća, tehničko i informatičko područje važan je izvor spoznaja za </w:t>
      </w:r>
      <w:proofErr w:type="spellStart"/>
      <w:r w:rsidRPr="00DE2573">
        <w:rPr>
          <w:rFonts w:ascii="VladaRHSerif Lt" w:hAnsi="VladaRHSerif Lt"/>
          <w:sz w:val="20"/>
          <w:szCs w:val="20"/>
        </w:rPr>
        <w:t>međupredmetnu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temu Učiti kako učiti. Ovo je područje povezano i s jezično-komunikacijskim područjem koje je bitno za komunikaciju i suradnju učenika te za predstavljanje vlastitog rada i za proširivanje njihova rječnika tehničkom i informatičkom terminologijom. Isto tako, ne treba zanemariti poveznice s umjetničkim područjem, posebice u dijelu estetskog oblikovanja zamisli te s tjelesnim i zdravstvenim područjem u dijelu razvoja motorike, ali i dobrobit tehnike i informatike u obradi i prikazu podataka u ovom području.</w:t>
      </w:r>
    </w:p>
    <w:p w:rsidR="00692828" w:rsidRPr="00E9208C" w:rsidRDefault="00692828" w:rsidP="00692828">
      <w:pPr>
        <w:spacing w:after="120"/>
        <w:jc w:val="both"/>
        <w:rPr>
          <w:rFonts w:ascii="VladaRHSans Lt" w:hAnsi="VladaRHSans Lt"/>
          <w:sz w:val="20"/>
          <w:szCs w:val="20"/>
        </w:rPr>
      </w:pPr>
      <w:bookmarkStart w:id="7" w:name="h.4d34og8" w:colFirst="0" w:colLast="0"/>
      <w:bookmarkEnd w:id="7"/>
      <w:r>
        <w:rPr>
          <w:rFonts w:ascii="VladaRHSans Lt" w:hAnsi="VladaRHSans Lt"/>
          <w:noProof/>
          <w:sz w:val="20"/>
          <w:szCs w:val="20"/>
          <w:lang w:eastAsia="hr-HR"/>
        </w:rPr>
        <w:drawing>
          <wp:inline distT="0" distB="0" distL="0" distR="0" wp14:anchorId="7CCC1738">
            <wp:extent cx="5761355" cy="4645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4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828" w:rsidRPr="00E9208C" w:rsidRDefault="00692828" w:rsidP="00692828">
      <w:pPr>
        <w:jc w:val="center"/>
        <w:rPr>
          <w:rFonts w:ascii="VladaRHSans Lt" w:hAnsi="VladaRHSans Lt"/>
          <w:sz w:val="20"/>
          <w:szCs w:val="20"/>
        </w:rPr>
      </w:pPr>
    </w:p>
    <w:p w:rsidR="00692828" w:rsidRPr="009E24BC" w:rsidRDefault="00692828" w:rsidP="00692828">
      <w:pPr>
        <w:jc w:val="center"/>
        <w:rPr>
          <w:rFonts w:ascii="VladaRHSans Lt" w:hAnsi="VladaRHSans Lt"/>
          <w:color w:val="25408F"/>
          <w:sz w:val="18"/>
          <w:szCs w:val="18"/>
        </w:rPr>
      </w:pPr>
      <w:r w:rsidRPr="00DE2573">
        <w:rPr>
          <w:rFonts w:ascii="VladaRHSans Lt" w:hAnsi="VladaRHSans Lt"/>
          <w:color w:val="25408F"/>
          <w:sz w:val="18"/>
          <w:szCs w:val="18"/>
        </w:rPr>
        <w:t xml:space="preserve">Slika 1. Grafički prikaz poveznica s područjima i </w:t>
      </w:r>
      <w:proofErr w:type="spellStart"/>
      <w:r w:rsidRPr="00DE2573">
        <w:rPr>
          <w:rFonts w:ascii="VladaRHSans Lt" w:hAnsi="VladaRHSans Lt"/>
          <w:color w:val="25408F"/>
          <w:sz w:val="18"/>
          <w:szCs w:val="18"/>
        </w:rPr>
        <w:t>međupredmetnim</w:t>
      </w:r>
      <w:proofErr w:type="spellEnd"/>
      <w:r w:rsidRPr="00DE2573">
        <w:rPr>
          <w:rFonts w:ascii="VladaRHSans Lt" w:hAnsi="VladaRHSans Lt"/>
          <w:color w:val="25408F"/>
          <w:sz w:val="18"/>
          <w:szCs w:val="18"/>
        </w:rPr>
        <w:t xml:space="preserve"> temama kurikuluma</w:t>
      </w:r>
      <w:r w:rsidRPr="00E9208C">
        <w:rPr>
          <w:rFonts w:ascii="VladaRHSans Lt" w:hAnsi="VladaRHSans Lt"/>
          <w:sz w:val="20"/>
          <w:szCs w:val="20"/>
        </w:rPr>
        <w:br w:type="page"/>
      </w:r>
    </w:p>
    <w:p w:rsidR="00692828" w:rsidRPr="00DE2573" w:rsidRDefault="00692828" w:rsidP="00692828">
      <w:pPr>
        <w:pStyle w:val="Heading1"/>
      </w:pPr>
      <w:r w:rsidRPr="00DE2573">
        <w:lastRenderedPageBreak/>
        <w:t xml:space="preserve">Popis literature uz kurikulum Tehničkog i informatičkog područja </w:t>
      </w:r>
    </w:p>
    <w:p w:rsidR="00692828" w:rsidRPr="00DE2573" w:rsidRDefault="00692828" w:rsidP="00692828">
      <w:pPr>
        <w:suppressAutoHyphens/>
        <w:spacing w:line="240" w:lineRule="auto"/>
        <w:ind w:left="644"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ASOO. 2013. </w:t>
      </w:r>
      <w:r w:rsidRPr="00DE2573">
        <w:rPr>
          <w:rFonts w:ascii="VladaRHSerif Lt" w:hAnsi="VladaRHSerif Lt"/>
          <w:bCs/>
          <w:sz w:val="20"/>
          <w:szCs w:val="20"/>
        </w:rPr>
        <w:t>Obrazovni programi u strukovnom obrazovanju</w:t>
      </w:r>
      <w:r w:rsidRPr="00DE2573">
        <w:rPr>
          <w:rFonts w:ascii="VladaRHSerif Lt" w:hAnsi="VladaRHSerif Lt"/>
          <w:sz w:val="20"/>
          <w:szCs w:val="20"/>
        </w:rPr>
        <w:t xml:space="preserve">. </w:t>
      </w:r>
      <w:hyperlink r:id="rId8" w:history="1">
        <w:r w:rsidRPr="00DE2573">
          <w:rPr>
            <w:rStyle w:val="Hyperlink"/>
            <w:rFonts w:ascii="VladaRHSerif Lt" w:hAnsi="VladaRHSerif Lt"/>
            <w:bCs/>
            <w:sz w:val="20"/>
            <w:szCs w:val="20"/>
          </w:rPr>
          <w:t>http://www.asoo.hr/default.aspx?id=1345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16. veljače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ASOO. 2013. Strukovni </w:t>
      </w:r>
      <w:proofErr w:type="spellStart"/>
      <w:r w:rsidRPr="00DE2573">
        <w:rPr>
          <w:rFonts w:ascii="VladaRHSerif Lt" w:hAnsi="VladaRHSerif Lt"/>
          <w:sz w:val="20"/>
          <w:szCs w:val="20"/>
        </w:rPr>
        <w:t>kurikulumi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u eksperimentalnoj provedbi od 2013./14. </w:t>
      </w:r>
      <w:hyperlink r:id="rId9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http://www.asoo.hr/default.aspx?ID=1374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16. veljače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Barr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Valerie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; </w:t>
      </w:r>
      <w:proofErr w:type="spellStart"/>
      <w:r w:rsidRPr="00DE2573">
        <w:rPr>
          <w:rFonts w:ascii="VladaRHSerif Lt" w:hAnsi="VladaRHSerif Lt"/>
          <w:sz w:val="20"/>
          <w:szCs w:val="20"/>
        </w:rPr>
        <w:t>Stephenson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Chris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2011. </w:t>
      </w:r>
      <w:proofErr w:type="spellStart"/>
      <w:r w:rsidRPr="00DE2573">
        <w:rPr>
          <w:rFonts w:ascii="VladaRHSerif Lt" w:hAnsi="VladaRHSerif Lt"/>
          <w:sz w:val="20"/>
          <w:szCs w:val="20"/>
        </w:rPr>
        <w:t>Bringing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Computational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Thinking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to K-12: </w:t>
      </w:r>
      <w:proofErr w:type="spellStart"/>
      <w:r w:rsidRPr="00DE2573">
        <w:rPr>
          <w:rFonts w:ascii="VladaRHSerif Lt" w:hAnsi="VladaRHSerif Lt"/>
          <w:sz w:val="20"/>
          <w:szCs w:val="20"/>
        </w:rPr>
        <w:t>What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Involved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What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Role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Computer Science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Community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? </w:t>
      </w:r>
      <w:hyperlink r:id="rId10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https://www.iste.org/docs/nets-refresh-toolkit/bringing-ct-to-k-12.pdf?sfvrsn=2%2018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rujna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Bates,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Tony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A. W. 2015.</w:t>
      </w:r>
      <w:r w:rsidRPr="00DE2573">
        <w:rPr>
          <w:rFonts w:ascii="Calibri" w:hAnsi="Calibri" w:cs="Calibri"/>
          <w:sz w:val="20"/>
          <w:szCs w:val="20"/>
          <w:shd w:val="clear" w:color="auto" w:fill="FFFFFF"/>
        </w:rPr>
        <w:t> 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Teaching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in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a Digital Age. </w:t>
      </w:r>
      <w:hyperlink r:id="rId11" w:history="1"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 xml:space="preserve">http://www.tonybates.ca/ </w:t>
        </w:r>
        <w:proofErr w:type="spellStart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teaching</w:t>
        </w:r>
        <w:proofErr w:type="spellEnd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-</w:t>
        </w:r>
        <w:proofErr w:type="spellStart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in</w:t>
        </w:r>
        <w:proofErr w:type="spellEnd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-a-</w:t>
        </w:r>
        <w:proofErr w:type="spellStart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digital</w:t>
        </w:r>
        <w:proofErr w:type="spellEnd"/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-age/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12. studenog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left="641" w:hanging="357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Bezjak, </w:t>
      </w:r>
      <w:r w:rsidRPr="00DE2573">
        <w:rPr>
          <w:rFonts w:ascii="VladaRHSerif Lt" w:eastAsia="Batang" w:hAnsi="VladaRHSerif Lt"/>
          <w:sz w:val="20"/>
          <w:szCs w:val="20"/>
        </w:rPr>
        <w:t>Jožica</w:t>
      </w:r>
      <w:r w:rsidRPr="00DE2573">
        <w:rPr>
          <w:rFonts w:ascii="VladaRHSerif Lt" w:hAnsi="VladaRHSerif Lt"/>
          <w:sz w:val="20"/>
          <w:szCs w:val="20"/>
        </w:rPr>
        <w:t xml:space="preserve">. 2009b. </w:t>
      </w:r>
      <w:r w:rsidRPr="00DE2573">
        <w:rPr>
          <w:rFonts w:ascii="VladaRHSerif Lt" w:hAnsi="VladaRHSerif Lt"/>
          <w:i/>
          <w:sz w:val="20"/>
          <w:szCs w:val="20"/>
        </w:rPr>
        <w:t xml:space="preserve">Project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model PUD – BJ-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from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idea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to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product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LVM. </w:t>
      </w:r>
      <w:proofErr w:type="spellStart"/>
      <w:r w:rsidRPr="00DE2573">
        <w:rPr>
          <w:rFonts w:ascii="VladaRHSerif Lt" w:hAnsi="VladaRHSerif Lt"/>
          <w:sz w:val="20"/>
          <w:szCs w:val="20"/>
        </w:rPr>
        <w:t>Klagenfurt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left="641" w:hanging="357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Bjekić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Dragana i dr. 2008. Razvijanje tehničke kompetentnosti. </w:t>
      </w:r>
      <w:r w:rsidRPr="00DE2573">
        <w:rPr>
          <w:rFonts w:ascii="VladaRHSerif Lt" w:hAnsi="VladaRHSerif Lt"/>
          <w:i/>
          <w:sz w:val="20"/>
          <w:szCs w:val="20"/>
        </w:rPr>
        <w:t>Pedagogija</w:t>
      </w:r>
      <w:r w:rsidRPr="00DE2573">
        <w:rPr>
          <w:rFonts w:ascii="VladaRHSerif Lt" w:hAnsi="VladaRHSerif Lt"/>
          <w:sz w:val="20"/>
          <w:szCs w:val="20"/>
        </w:rPr>
        <w:t xml:space="preserve"> 63/1. 50–60.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Bloom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Benjamin Samuel. 1956.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Taxonomy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objectives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classification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goals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Handbook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I,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Cognitive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domain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Longmans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Green. New York – Toronto. 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Bognar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, Branko. 2010. Škola koja razvija kreativnost. </w:t>
      </w:r>
      <w:hyperlink r:id="rId12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http://kreativnost.pedagogija.net/mod/resource/view.php?id=4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24. kolovoza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Boranić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Borko. 1980. Osnove za organizaciju odgojno-obrazovnog procesa u radno-tehničkom odgojno-obrazovnom području. </w:t>
      </w:r>
      <w:r w:rsidRPr="00DE2573">
        <w:rPr>
          <w:rFonts w:ascii="VladaRHSerif Lt" w:hAnsi="VladaRHSerif Lt"/>
          <w:i/>
          <w:sz w:val="20"/>
          <w:szCs w:val="20"/>
        </w:rPr>
        <w:t>Obrazovanje i rad</w:t>
      </w:r>
      <w:r w:rsidRPr="00DE2573">
        <w:rPr>
          <w:rFonts w:ascii="VladaRHSerif Lt" w:hAnsi="VladaRHSerif Lt"/>
          <w:sz w:val="20"/>
          <w:szCs w:val="20"/>
        </w:rPr>
        <w:t xml:space="preserve"> 3 (14), 8. 72–78.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Brooks, </w:t>
      </w:r>
      <w:proofErr w:type="spellStart"/>
      <w:r w:rsidRPr="00DE2573">
        <w:rPr>
          <w:rFonts w:ascii="VladaRHSerif Lt" w:hAnsi="VladaRHSerif Lt"/>
          <w:sz w:val="20"/>
          <w:szCs w:val="20"/>
        </w:rPr>
        <w:t>Jacqueline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Grennon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; Brooks, Martin G. 1993. </w:t>
      </w:r>
      <w:r w:rsidRPr="00DE2573">
        <w:rPr>
          <w:rFonts w:ascii="VladaRHSerif Lt" w:hAnsi="VladaRHSerif Lt"/>
          <w:i/>
          <w:sz w:val="20"/>
          <w:szCs w:val="20"/>
        </w:rPr>
        <w:t xml:space="preserve">In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search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understanding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case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constructivist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classrooms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Association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Supervision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Curriculum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Development. </w:t>
      </w:r>
      <w:proofErr w:type="spellStart"/>
      <w:r w:rsidRPr="00DE2573">
        <w:rPr>
          <w:rFonts w:ascii="VladaRHSerif Lt" w:hAnsi="VladaRHSerif Lt"/>
          <w:sz w:val="20"/>
          <w:szCs w:val="20"/>
        </w:rPr>
        <w:t>Alexandria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Virginia</w:t>
      </w:r>
      <w:proofErr w:type="spellEnd"/>
      <w:r w:rsidRPr="00DE2573">
        <w:rPr>
          <w:rFonts w:ascii="VladaRHSerif Lt" w:hAnsi="VladaRHSerif Lt"/>
          <w:sz w:val="20"/>
          <w:szCs w:val="20"/>
        </w:rPr>
        <w:t>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  <w:highlight w:val="white"/>
        </w:rPr>
        <w:t xml:space="preserve">Brown, </w:t>
      </w:r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John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Seely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;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Collins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Allan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;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Duguid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, </w:t>
      </w:r>
      <w:r w:rsidRPr="00DE2573">
        <w:rPr>
          <w:rFonts w:ascii="VladaRHSerif Lt" w:hAnsi="VladaRHSerif Lt"/>
          <w:sz w:val="20"/>
          <w:szCs w:val="20"/>
          <w:shd w:val="clear" w:color="auto" w:fill="FFFFFF"/>
        </w:rPr>
        <w:t>Paul</w:t>
      </w:r>
      <w:r w:rsidRPr="00DE2573">
        <w:rPr>
          <w:rFonts w:ascii="VladaRHSerif Lt" w:hAnsi="VladaRHSerif Lt"/>
          <w:sz w:val="20"/>
          <w:szCs w:val="20"/>
          <w:highlight w:val="white"/>
        </w:rPr>
        <w:t xml:space="preserve">. 1989.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Situated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cognition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culture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highlight w:val="white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. </w:t>
      </w:r>
      <w:proofErr w:type="spellStart"/>
      <w:r w:rsidRPr="00DE2573">
        <w:rPr>
          <w:rFonts w:ascii="VladaRHSerif Lt" w:hAnsi="VladaRHSerif Lt"/>
          <w:i/>
          <w:sz w:val="20"/>
          <w:szCs w:val="20"/>
          <w:highlight w:val="white"/>
        </w:rPr>
        <w:t>Educational</w:t>
      </w:r>
      <w:proofErr w:type="spellEnd"/>
      <w:r w:rsidRPr="00DE2573">
        <w:rPr>
          <w:rFonts w:ascii="VladaRHSerif Lt" w:hAnsi="VladaRHSerif Lt"/>
          <w:i/>
          <w:sz w:val="20"/>
          <w:szCs w:val="20"/>
          <w:highlight w:val="white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  <w:highlight w:val="white"/>
        </w:rPr>
        <w:t>Researcher</w:t>
      </w:r>
      <w:proofErr w:type="spellEnd"/>
      <w:r w:rsidRPr="00DE2573">
        <w:rPr>
          <w:rFonts w:ascii="VladaRHSerif Lt" w:hAnsi="VladaRHSerif Lt"/>
          <w:sz w:val="20"/>
          <w:szCs w:val="20"/>
          <w:highlight w:val="white"/>
        </w:rPr>
        <w:t xml:space="preserve"> 18. 32–42.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Bruner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Jerome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1996.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Culture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Harvard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University Press. </w:t>
      </w:r>
      <w:proofErr w:type="spellStart"/>
      <w:r w:rsidRPr="00DE2573">
        <w:rPr>
          <w:rFonts w:ascii="VladaRHSerif Lt" w:hAnsi="VladaRHSerif Lt"/>
          <w:sz w:val="20"/>
          <w:szCs w:val="20"/>
        </w:rPr>
        <w:t>Cambridge</w:t>
      </w:r>
      <w:proofErr w:type="spellEnd"/>
      <w:r w:rsidRPr="00DE2573">
        <w:rPr>
          <w:rFonts w:ascii="VladaRHSerif Lt" w:hAnsi="VladaRHSerif Lt"/>
          <w:sz w:val="20"/>
          <w:szCs w:val="20"/>
        </w:rPr>
        <w:t>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Crawford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Michael L. 2001.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contextually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Research,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rationale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techniques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improving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student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motivation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achievement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mathematics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science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. </w:t>
      </w:r>
      <w:r w:rsidRPr="00DE2573">
        <w:rPr>
          <w:rFonts w:ascii="VladaRHSerif Lt" w:hAnsi="VladaRHSerif Lt"/>
          <w:sz w:val="20"/>
          <w:szCs w:val="20"/>
        </w:rPr>
        <w:t xml:space="preserve">CCI </w:t>
      </w:r>
      <w:proofErr w:type="spellStart"/>
      <w:r w:rsidRPr="00DE2573">
        <w:rPr>
          <w:rFonts w:ascii="VladaRHSerif Lt" w:hAnsi="VladaRHSerif Lt"/>
          <w:sz w:val="20"/>
          <w:szCs w:val="20"/>
        </w:rPr>
        <w:t>Publishing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Inc. </w:t>
      </w:r>
      <w:proofErr w:type="spellStart"/>
      <w:r w:rsidRPr="00DE2573">
        <w:rPr>
          <w:rFonts w:ascii="VladaRHSerif Lt" w:hAnsi="VladaRHSerif Lt"/>
          <w:sz w:val="20"/>
          <w:szCs w:val="20"/>
        </w:rPr>
        <w:t>Waco</w:t>
      </w:r>
      <w:proofErr w:type="spellEnd"/>
      <w:r w:rsidRPr="00DE2573">
        <w:rPr>
          <w:rFonts w:ascii="VladaRHSerif Lt" w:hAnsi="VladaRHSerif Lt"/>
          <w:sz w:val="20"/>
          <w:szCs w:val="20"/>
        </w:rPr>
        <w:t>, Texas.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de </w:t>
      </w:r>
      <w:proofErr w:type="spellStart"/>
      <w:r w:rsidRPr="00DE2573">
        <w:rPr>
          <w:rFonts w:ascii="VladaRHSerif Lt" w:hAnsi="VladaRHSerif Lt"/>
          <w:sz w:val="20"/>
          <w:szCs w:val="20"/>
        </w:rPr>
        <w:t>Vries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Marc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J. 2005.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about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introduction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to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philosophy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nonphilosophers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Springer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Dordrecht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Doolittle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Peter E.; </w:t>
      </w:r>
      <w:proofErr w:type="spellStart"/>
      <w:r w:rsidRPr="00DE2573">
        <w:rPr>
          <w:rFonts w:ascii="VladaRHSerif Lt" w:hAnsi="VladaRHSerif Lt"/>
          <w:sz w:val="20"/>
          <w:szCs w:val="20"/>
        </w:rPr>
        <w:t>Camp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William G. 1999. </w:t>
      </w:r>
      <w:proofErr w:type="spellStart"/>
      <w:r w:rsidRPr="00DE2573">
        <w:rPr>
          <w:rFonts w:ascii="VladaRHSerif Lt" w:hAnsi="VladaRHSerif Lt"/>
          <w:sz w:val="20"/>
          <w:szCs w:val="20"/>
        </w:rPr>
        <w:t>Constructivism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career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technical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perspective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Vocational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Technical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16/1. 23–46.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Europska komisija. 2006. </w:t>
      </w:r>
      <w:proofErr w:type="spellStart"/>
      <w:r w:rsidRPr="00DE2573">
        <w:rPr>
          <w:rFonts w:ascii="VladaRHSerif Lt" w:hAnsi="VladaRHSerif Lt"/>
          <w:sz w:val="20"/>
          <w:szCs w:val="20"/>
        </w:rPr>
        <w:t>Recommendation</w:t>
      </w:r>
      <w:proofErr w:type="spellEnd"/>
      <w:r w:rsidRPr="00DE2573">
        <w:rPr>
          <w:rFonts w:ascii="Calibri" w:hAnsi="Calibri" w:cs="Calibri"/>
          <w:sz w:val="20"/>
          <w:szCs w:val="20"/>
        </w:rPr>
        <w:t> </w:t>
      </w:r>
      <w:hyperlink r:id="rId13">
        <w:r w:rsidRPr="00DE2573">
          <w:rPr>
            <w:rFonts w:ascii="VladaRHSerif Lt" w:hAnsi="VladaRHSerif Lt"/>
            <w:color w:val="0000FF"/>
            <w:sz w:val="20"/>
            <w:szCs w:val="20"/>
            <w:u w:val="single"/>
          </w:rPr>
          <w:t>2006/962/EC</w:t>
        </w:r>
      </w:hyperlink>
      <w:r w:rsidRPr="00DE2573">
        <w:rPr>
          <w:rFonts w:ascii="Calibri" w:hAnsi="Calibri" w:cs="Calibri"/>
          <w:sz w:val="20"/>
          <w:szCs w:val="20"/>
        </w:rPr>
        <w:t> 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European </w:t>
      </w:r>
      <w:proofErr w:type="spellStart"/>
      <w:r w:rsidRPr="00DE2573">
        <w:rPr>
          <w:rFonts w:ascii="VladaRHSerif Lt" w:hAnsi="VladaRHSerif Lt"/>
          <w:sz w:val="20"/>
          <w:szCs w:val="20"/>
        </w:rPr>
        <w:t>Parliament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Council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18 </w:t>
      </w:r>
      <w:proofErr w:type="spellStart"/>
      <w:r w:rsidRPr="00DE2573">
        <w:rPr>
          <w:rFonts w:ascii="VladaRHSerif Lt" w:hAnsi="VladaRHSerif Lt"/>
          <w:sz w:val="20"/>
          <w:szCs w:val="20"/>
        </w:rPr>
        <w:t>December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2006 on </w:t>
      </w:r>
      <w:proofErr w:type="spellStart"/>
      <w:r w:rsidRPr="00DE2573">
        <w:rPr>
          <w:rFonts w:ascii="VladaRHSerif Lt" w:hAnsi="VladaRHSerif Lt"/>
          <w:sz w:val="20"/>
          <w:szCs w:val="20"/>
        </w:rPr>
        <w:t>key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competences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lifelong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color w:val="0000FF"/>
          <w:sz w:val="20"/>
          <w:szCs w:val="20"/>
          <w:u w:val="single"/>
        </w:rPr>
        <w:t>http://eur-lex.europa.eu/LexUriServ/LexUriServ.do?uri=OJ :L:2006:394:0010: 0018:en:PDF</w:t>
      </w:r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16. veljače 2011.).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Ferrari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Anusca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2013. DIGCOMP: A Framework for </w:t>
      </w:r>
      <w:proofErr w:type="spellStart"/>
      <w:r w:rsidRPr="00DE2573">
        <w:rPr>
          <w:rFonts w:ascii="VladaRHSerif Lt" w:hAnsi="VladaRHSerif Lt"/>
          <w:sz w:val="20"/>
          <w:szCs w:val="20"/>
        </w:rPr>
        <w:t>Developing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Understanding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Digital </w:t>
      </w:r>
      <w:proofErr w:type="spellStart"/>
      <w:r w:rsidRPr="00DE2573">
        <w:rPr>
          <w:rFonts w:ascii="VladaRHSerif Lt" w:hAnsi="VladaRHSerif Lt"/>
          <w:sz w:val="20"/>
          <w:szCs w:val="20"/>
        </w:rPr>
        <w:t>Competence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Europe, Luxembourg: </w:t>
      </w:r>
      <w:proofErr w:type="spellStart"/>
      <w:r w:rsidRPr="00DE2573">
        <w:rPr>
          <w:rFonts w:ascii="VladaRHSerif Lt" w:hAnsi="VladaRHSerif Lt"/>
          <w:sz w:val="20"/>
          <w:szCs w:val="20"/>
        </w:rPr>
        <w:t>Publications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Office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European Union. </w:t>
      </w:r>
      <w:hyperlink r:id="rId14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http://ftp.jrc.es/EURdoc/JRC83167.pdf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7. studenog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Gardner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Howard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1993.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understanding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American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School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Board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Journal</w:t>
      </w:r>
      <w:r w:rsidRPr="00DE2573">
        <w:rPr>
          <w:rFonts w:ascii="VladaRHSerif Lt" w:hAnsi="VladaRHSerif Lt"/>
          <w:sz w:val="20"/>
          <w:szCs w:val="20"/>
        </w:rPr>
        <w:t xml:space="preserve"> 80/7. 20–24.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Gordon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Julie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1996. </w:t>
      </w:r>
      <w:proofErr w:type="spellStart"/>
      <w:r w:rsidRPr="00DE2573">
        <w:rPr>
          <w:rFonts w:ascii="VladaRHSerif Lt" w:hAnsi="VladaRHSerif Lt"/>
          <w:sz w:val="20"/>
          <w:szCs w:val="20"/>
        </w:rPr>
        <w:t>Tracks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Metacognition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technologies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Australian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12/1. 46–55.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HKSAR. 2002. Technology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sz w:val="20"/>
          <w:szCs w:val="20"/>
        </w:rPr>
        <w:t>Key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Area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Curriculum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Guide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(Primary1 – Secondary2). </w:t>
      </w:r>
      <w:hyperlink r:id="rId15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http://www.edb.gov.hk/attachment/en/curriculum-development/kla/technology-edu/curriculum-doc/technology%20ed%20guide%20engl ish.pdf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12. rujna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Hrvatski sabor. 2013. </w:t>
      </w:r>
      <w:r w:rsidRPr="00DE2573">
        <w:rPr>
          <w:rFonts w:ascii="VladaRHSerif Lt" w:hAnsi="VladaRHSerif Lt"/>
          <w:bCs/>
          <w:iCs/>
          <w:sz w:val="20"/>
          <w:szCs w:val="20"/>
        </w:rPr>
        <w:t>Zakon o Hrvatskom kvalifikacijskom okviru.</w:t>
      </w:r>
      <w:r w:rsidRPr="00DE2573">
        <w:rPr>
          <w:rFonts w:ascii="VladaRHSerif Lt" w:hAnsi="VladaRHSerif Lt"/>
          <w:sz w:val="20"/>
          <w:szCs w:val="20"/>
          <w:u w:val="single"/>
        </w:rPr>
        <w:t xml:space="preserve"> </w:t>
      </w:r>
      <w:hyperlink r:id="rId16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</w:t>
        </w:r>
      </w:hyperlink>
      <w:hyperlink r:id="rId17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narodne-novine.nn.hr/</w:t>
        </w:r>
      </w:hyperlink>
      <w:hyperlink r:id="rId18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clanci</w:t>
        </w:r>
      </w:hyperlink>
      <w:hyperlink r:id="rId19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/</w:t>
        </w:r>
      </w:hyperlink>
      <w:hyperlink r:id="rId20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sluzbeni</w:t>
        </w:r>
      </w:hyperlink>
      <w:hyperlink r:id="rId21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/2013_02_22_359.html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prosinca 2014.).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Hrvatski sabor. 2014. Strategija obrazovanja, znanosti i tehnologije. </w:t>
      </w:r>
      <w:hyperlink r:id="rId22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http://narodne-novine.nn.hr/clanci/sluzbeni/2014_10_124_2364.html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5. prosinca 2014.).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Hudson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Clemente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Charles; </w:t>
      </w:r>
      <w:proofErr w:type="spellStart"/>
      <w:r w:rsidRPr="00DE2573">
        <w:rPr>
          <w:rFonts w:ascii="VladaRHSerif Lt" w:hAnsi="VladaRHSerif Lt"/>
          <w:sz w:val="20"/>
          <w:szCs w:val="20"/>
        </w:rPr>
        <w:t>Whisler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Vesta R. 2008. </w:t>
      </w:r>
      <w:proofErr w:type="spellStart"/>
      <w:r w:rsidRPr="00DE2573">
        <w:rPr>
          <w:rFonts w:ascii="VladaRHSerif Lt" w:hAnsi="VladaRHSerif Lt"/>
          <w:sz w:val="20"/>
          <w:szCs w:val="20"/>
        </w:rPr>
        <w:t>Contextual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Practitioners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Systemics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Cybernetics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Informatics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6/4, 54–58.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lastRenderedPageBreak/>
        <w:t>Hutchinson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John P. 2002. </w:t>
      </w:r>
      <w:proofErr w:type="spellStart"/>
      <w:r w:rsidRPr="00DE2573">
        <w:rPr>
          <w:rFonts w:ascii="VladaRHSerif Lt" w:hAnsi="VladaRHSerif Lt"/>
          <w:sz w:val="20"/>
          <w:szCs w:val="20"/>
        </w:rPr>
        <w:t>Children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Design &amp; </w:t>
      </w:r>
      <w:proofErr w:type="spellStart"/>
      <w:r w:rsidRPr="00DE2573">
        <w:rPr>
          <w:rFonts w:ascii="VladaRHSerif Lt" w:hAnsi="VladaRHSerif Lt"/>
          <w:sz w:val="20"/>
          <w:szCs w:val="20"/>
        </w:rPr>
        <w:t>Engineering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sz w:val="20"/>
          <w:szCs w:val="20"/>
        </w:rPr>
        <w:t>Contextual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Units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Primary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Design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Technology.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Industrial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Teacher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39/3. 122–145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Jones, </w:t>
      </w:r>
      <w:proofErr w:type="spellStart"/>
      <w:r w:rsidRPr="00DE2573">
        <w:rPr>
          <w:rFonts w:ascii="VladaRHSerif Lt" w:hAnsi="VladaRHSerif Lt"/>
          <w:sz w:val="20"/>
          <w:szCs w:val="20"/>
        </w:rPr>
        <w:t>Alister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; </w:t>
      </w:r>
      <w:proofErr w:type="spellStart"/>
      <w:r w:rsidRPr="00DE2573">
        <w:rPr>
          <w:rFonts w:ascii="VladaRHSerif Lt" w:hAnsi="VladaRHSerif Lt"/>
          <w:sz w:val="20"/>
          <w:szCs w:val="20"/>
        </w:rPr>
        <w:t>Buntting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Cathy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; de </w:t>
      </w:r>
      <w:proofErr w:type="spellStart"/>
      <w:r w:rsidRPr="00DE2573">
        <w:rPr>
          <w:rFonts w:ascii="VladaRHSerif Lt" w:hAnsi="VladaRHSerif Lt"/>
          <w:sz w:val="20"/>
          <w:szCs w:val="20"/>
        </w:rPr>
        <w:t>Vries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Marc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J. 2013.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developing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field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: a </w:t>
      </w:r>
      <w:proofErr w:type="spellStart"/>
      <w:r w:rsidRPr="00DE2573">
        <w:rPr>
          <w:rFonts w:ascii="VladaRHSerif Lt" w:hAnsi="VladaRHSerif Lt"/>
          <w:sz w:val="20"/>
          <w:szCs w:val="20"/>
        </w:rPr>
        <w:t>review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to </w:t>
      </w:r>
      <w:proofErr w:type="spellStart"/>
      <w:r w:rsidRPr="00DE2573">
        <w:rPr>
          <w:rFonts w:ascii="VladaRHSerif Lt" w:hAnsi="VladaRHSerif Lt"/>
          <w:sz w:val="20"/>
          <w:szCs w:val="20"/>
        </w:rPr>
        <w:t>look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forward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i/>
          <w:sz w:val="20"/>
          <w:szCs w:val="20"/>
        </w:rPr>
        <w:t xml:space="preserve">International 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Technology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Design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191–212.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Kelley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Todd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; </w:t>
      </w:r>
      <w:proofErr w:type="spellStart"/>
      <w:r w:rsidRPr="00DE2573">
        <w:rPr>
          <w:rFonts w:ascii="VladaRHSerif Lt" w:hAnsi="VladaRHSerif Lt"/>
          <w:sz w:val="20"/>
          <w:szCs w:val="20"/>
        </w:rPr>
        <w:t>Kellam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Nadia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2009. A </w:t>
      </w:r>
      <w:proofErr w:type="spellStart"/>
      <w:r w:rsidRPr="00DE2573">
        <w:rPr>
          <w:rFonts w:ascii="VladaRHSerif Lt" w:hAnsi="VladaRHSerif Lt"/>
          <w:sz w:val="20"/>
          <w:szCs w:val="20"/>
        </w:rPr>
        <w:t>Theoretical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Framework to </w:t>
      </w:r>
      <w:proofErr w:type="spellStart"/>
      <w:r w:rsidRPr="00DE2573">
        <w:rPr>
          <w:rFonts w:ascii="VladaRHSerif Lt" w:hAnsi="VladaRHSerif Lt"/>
          <w:sz w:val="20"/>
          <w:szCs w:val="20"/>
        </w:rPr>
        <w:t>Guide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Re-</w:t>
      </w:r>
      <w:proofErr w:type="spellStart"/>
      <w:r w:rsidRPr="00DE2573">
        <w:rPr>
          <w:rFonts w:ascii="VladaRHSerif Lt" w:hAnsi="VladaRHSerif Lt"/>
          <w:sz w:val="20"/>
          <w:szCs w:val="20"/>
        </w:rPr>
        <w:t>Engineering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Technology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Technology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</w:rPr>
        <w:t>20/2. 37–49.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Kolb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David A. 1984.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Experiential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Experience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as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Source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Development. </w:t>
      </w:r>
      <w:proofErr w:type="spellStart"/>
      <w:r w:rsidRPr="00DE2573">
        <w:rPr>
          <w:rFonts w:ascii="VladaRHSerif Lt" w:hAnsi="VladaRHSerif Lt"/>
          <w:sz w:val="20"/>
          <w:szCs w:val="20"/>
        </w:rPr>
        <w:t>Prentice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Hall. </w:t>
      </w:r>
      <w:proofErr w:type="spellStart"/>
      <w:r w:rsidRPr="00DE2573">
        <w:rPr>
          <w:rFonts w:ascii="VladaRHSerif Lt" w:hAnsi="VladaRHSerif Lt"/>
          <w:sz w:val="20"/>
          <w:szCs w:val="20"/>
        </w:rPr>
        <w:t>Englewood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Cliffs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NJ. 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Kovačević, </w:t>
      </w:r>
      <w:r w:rsidRPr="00DE2573">
        <w:rPr>
          <w:rFonts w:ascii="VladaRHSerif Lt" w:hAnsi="VladaRHSerif Lt"/>
          <w:bCs/>
          <w:sz w:val="20"/>
          <w:szCs w:val="20"/>
        </w:rPr>
        <w:t>Stjepan</w:t>
      </w:r>
      <w:r w:rsidRPr="00DE2573">
        <w:rPr>
          <w:rFonts w:ascii="VladaRHSerif Lt" w:hAnsi="VladaRHSerif Lt"/>
          <w:sz w:val="20"/>
          <w:szCs w:val="20"/>
        </w:rPr>
        <w:t xml:space="preserve">. 2012.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Kurikulumska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matrica tehničkih kompetencija u odgoju i općem obrazovanju</w:t>
      </w:r>
      <w:r w:rsidRPr="00DE2573">
        <w:rPr>
          <w:rFonts w:ascii="VladaRHSerif Lt" w:hAnsi="VladaRHSerif Lt"/>
          <w:sz w:val="20"/>
          <w:szCs w:val="20"/>
        </w:rPr>
        <w:t>.</w:t>
      </w:r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</w:rPr>
        <w:t>Doktorski rad. Filozofski fakultet Sveučilišta u Zagrebu. Zagreb.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Lau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Jasús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.</w:t>
      </w:r>
      <w:r w:rsidRPr="00DE2573">
        <w:rPr>
          <w:rFonts w:ascii="VladaRHSerif Lt" w:hAnsi="VladaRHSerif Lt"/>
          <w:sz w:val="20"/>
          <w:szCs w:val="20"/>
        </w:rPr>
        <w:t xml:space="preserve"> 2012. Smjernice za informacijsku pismenost u cjeloživotnom učenju. </w:t>
      </w:r>
      <w:r w:rsidRPr="00DE2573">
        <w:rPr>
          <w:rFonts w:ascii="VladaRHSerif Lt" w:hAnsi="VladaRHSerif Lt"/>
          <w:i/>
          <w:sz w:val="20"/>
          <w:szCs w:val="20"/>
        </w:rPr>
        <w:t>Vjesnik bibliotekara Hrvatske</w:t>
      </w:r>
      <w:r w:rsidRPr="00DE2573">
        <w:rPr>
          <w:rFonts w:ascii="VladaRHSerif Lt" w:hAnsi="VladaRHSerif Lt"/>
          <w:sz w:val="20"/>
          <w:szCs w:val="20"/>
        </w:rPr>
        <w:t xml:space="preserve"> 55/2. 171–178.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Lau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Jasús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. 2015. IFLA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Guidelines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On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Information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Literacy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Lifelong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. </w:t>
      </w:r>
      <w:hyperlink r:id="rId23" w:history="1"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http://www.ifla.org/publications/guidelines-on-information-literacy-for-lifelong-learning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prosinca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Malinar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r w:rsidRPr="00DE2573">
        <w:rPr>
          <w:rFonts w:ascii="VladaRHSerif Lt" w:hAnsi="VladaRHSerif Lt"/>
          <w:noProof/>
          <w:sz w:val="20"/>
          <w:szCs w:val="20"/>
        </w:rPr>
        <w:t>Josip Boris.</w:t>
      </w:r>
      <w:r w:rsidRPr="00DE2573">
        <w:rPr>
          <w:rFonts w:ascii="VladaRHSerif Lt" w:hAnsi="VladaRHSerif Lt"/>
          <w:sz w:val="20"/>
          <w:szCs w:val="20"/>
        </w:rPr>
        <w:t xml:space="preserve"> 2008. Nastava tehničke kulture u osnovnim školama Hrvatske. </w:t>
      </w:r>
      <w:r w:rsidRPr="00DE2573">
        <w:rPr>
          <w:rFonts w:ascii="VladaRHSerif Lt" w:hAnsi="VladaRHSerif Lt"/>
          <w:i/>
          <w:sz w:val="20"/>
          <w:szCs w:val="20"/>
        </w:rPr>
        <w:t>40 godina zajedno: i pola stoljeća nastave tehničke kulture u našim osnovnim školama</w:t>
      </w:r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Ur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Labaš</w:t>
      </w:r>
      <w:proofErr w:type="spellEnd"/>
      <w:r w:rsidRPr="00DE2573">
        <w:rPr>
          <w:rFonts w:ascii="VladaRHSerif Lt" w:hAnsi="VladaRHSerif Lt"/>
          <w:sz w:val="20"/>
          <w:szCs w:val="20"/>
        </w:rPr>
        <w:t>, Drago 59–86. Hrvatski savez pedagoga tehničke kulture. Zagreb.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Milat, Josip. 1993. Metodički aspekti procesa osamostaljivanja učenika u radno-tehničkom odgojno-obrazovnom području. </w:t>
      </w:r>
      <w:r w:rsidRPr="00DE2573">
        <w:rPr>
          <w:rFonts w:ascii="VladaRHSerif Lt" w:hAnsi="VladaRHSerif Lt"/>
          <w:i/>
          <w:sz w:val="20"/>
          <w:szCs w:val="20"/>
        </w:rPr>
        <w:t>Školski vjesnik</w:t>
      </w:r>
      <w:r w:rsidRPr="00DE2573">
        <w:rPr>
          <w:rFonts w:ascii="VladaRHSerif Lt" w:hAnsi="VladaRHSerif Lt"/>
          <w:sz w:val="20"/>
          <w:szCs w:val="20"/>
        </w:rPr>
        <w:t xml:space="preserve"> 39/1–2. 65–73.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>Ministarstvo kulture i prosvjete Republike Hrvatske. 1994. Nastavni program za gimnazije. Informatika</w:t>
      </w:r>
      <w:r w:rsidRPr="00DE2573">
        <w:rPr>
          <w:rFonts w:ascii="VladaRHSerif Lt" w:hAnsi="VladaRHSerif Lt"/>
          <w:i/>
          <w:sz w:val="20"/>
          <w:szCs w:val="20"/>
        </w:rPr>
        <w:t>.</w:t>
      </w:r>
      <w:r w:rsidRPr="00DE2573">
        <w:rPr>
          <w:rFonts w:ascii="VladaRHSerif Lt" w:hAnsi="VladaRHSerif Lt"/>
          <w:sz w:val="20"/>
          <w:szCs w:val="20"/>
        </w:rPr>
        <w:t xml:space="preserve"> 169–173. </w:t>
      </w:r>
      <w:hyperlink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http://dokumenti.ncvvo.hr /</w:t>
        </w:r>
        <w:proofErr w:type="spellStart"/>
        <w:r w:rsidRPr="00DE2573">
          <w:rPr>
            <w:rStyle w:val="Hyperlink"/>
            <w:rFonts w:ascii="VladaRHSerif Lt" w:hAnsi="VladaRHSerif Lt"/>
            <w:sz w:val="20"/>
            <w:szCs w:val="20"/>
          </w:rPr>
          <w:t>Nastavni_plan</w:t>
        </w:r>
        <w:proofErr w:type="spellEnd"/>
        <w:r w:rsidRPr="00DE2573">
          <w:rPr>
            <w:rStyle w:val="Hyperlink"/>
            <w:rFonts w:ascii="VladaRHSerif Lt" w:hAnsi="VladaRHSerif Lt"/>
            <w:sz w:val="20"/>
            <w:szCs w:val="20"/>
          </w:rPr>
          <w:t>/gimnazije/obvezni/informatika.pdf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12. siječnja 2013.).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MZOS. 2006. Nastavni plan i program za osnovnu školu. </w:t>
      </w:r>
      <w:hyperlink r:id="rId24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http://public.mzos.hr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studenoga 2011.).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  <w:lang w:val="pl-PL"/>
        </w:rPr>
        <w:t>MZO</w:t>
      </w:r>
      <w:r w:rsidRPr="00DE2573">
        <w:rPr>
          <w:rFonts w:ascii="VladaRHSerif Lt" w:hAnsi="VladaRHSerif Lt"/>
          <w:sz w:val="20"/>
          <w:szCs w:val="20"/>
        </w:rPr>
        <w:t xml:space="preserve">S. 2011. </w:t>
      </w:r>
      <w:r w:rsidRPr="00DE2573">
        <w:rPr>
          <w:rFonts w:ascii="VladaRHSerif Lt" w:hAnsi="VladaRHSerif Lt"/>
          <w:sz w:val="20"/>
          <w:szCs w:val="20"/>
          <w:lang w:val="pl-PL"/>
        </w:rPr>
        <w:t>Nacionalni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okvirni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kurikulum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za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pred</w:t>
      </w:r>
      <w:r w:rsidRPr="00DE2573">
        <w:rPr>
          <w:rFonts w:ascii="VladaRHSerif Lt" w:hAnsi="VladaRHSerif Lt"/>
          <w:sz w:val="20"/>
          <w:szCs w:val="20"/>
        </w:rPr>
        <w:t>š</w:t>
      </w:r>
      <w:r w:rsidRPr="00DE2573">
        <w:rPr>
          <w:rFonts w:ascii="VladaRHSerif Lt" w:hAnsi="VladaRHSerif Lt"/>
          <w:sz w:val="20"/>
          <w:szCs w:val="20"/>
          <w:lang w:val="pl-PL"/>
        </w:rPr>
        <w:t>kolsko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obrazovanje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te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op</w:t>
      </w:r>
      <w:r w:rsidRPr="00DE2573">
        <w:rPr>
          <w:rFonts w:ascii="VladaRHSerif Lt" w:hAnsi="VladaRHSerif Lt"/>
          <w:sz w:val="20"/>
          <w:szCs w:val="20"/>
        </w:rPr>
        <w:t>ć</w:t>
      </w:r>
      <w:r w:rsidRPr="00DE2573">
        <w:rPr>
          <w:rFonts w:ascii="VladaRHSerif Lt" w:hAnsi="VladaRHSerif Lt"/>
          <w:sz w:val="20"/>
          <w:szCs w:val="20"/>
          <w:lang w:val="pl-PL"/>
        </w:rPr>
        <w:t>e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obvezno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i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srednjo</w:t>
      </w:r>
      <w:r w:rsidRPr="00DE2573">
        <w:rPr>
          <w:rFonts w:ascii="VladaRHSerif Lt" w:hAnsi="VladaRHSerif Lt"/>
          <w:sz w:val="20"/>
          <w:szCs w:val="20"/>
        </w:rPr>
        <w:t>š</w:t>
      </w:r>
      <w:r w:rsidRPr="00DE2573">
        <w:rPr>
          <w:rFonts w:ascii="VladaRHSerif Lt" w:hAnsi="VladaRHSerif Lt"/>
          <w:sz w:val="20"/>
          <w:szCs w:val="20"/>
          <w:lang w:val="pl-PL"/>
        </w:rPr>
        <w:t>kolsko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  <w:lang w:val="pl-PL"/>
        </w:rPr>
        <w:t>obrazovanje</w:t>
      </w:r>
      <w:r w:rsidRPr="00DE2573">
        <w:rPr>
          <w:rFonts w:ascii="VladaRHSerif Lt" w:hAnsi="VladaRHSerif Lt"/>
          <w:sz w:val="20"/>
          <w:szCs w:val="20"/>
        </w:rPr>
        <w:t xml:space="preserve">. 160–170. </w:t>
      </w:r>
      <w:hyperlink r:id="rId25" w:history="1">
        <w:r w:rsidRPr="00DE2573">
          <w:rPr>
            <w:rStyle w:val="Hyperlink"/>
            <w:rFonts w:ascii="VladaRHSerif Lt" w:hAnsi="VladaRHSerif Lt"/>
            <w:sz w:val="20"/>
            <w:szCs w:val="20"/>
            <w:lang w:val="pl-PL"/>
          </w:rPr>
          <w:t>http://public.mzos.hr</w:t>
        </w:r>
      </w:hyperlink>
      <w:r w:rsidRPr="00DE2573">
        <w:rPr>
          <w:rFonts w:ascii="VladaRHSerif Lt" w:hAnsi="VladaRHSerif Lt"/>
          <w:sz w:val="20"/>
          <w:szCs w:val="20"/>
          <w:lang w:val="pl-PL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studenoga 2011.</w:t>
      </w:r>
      <w:r w:rsidRPr="00DE2573">
        <w:rPr>
          <w:rFonts w:ascii="VladaRHSerif Lt" w:hAnsi="VladaRHSerif Lt"/>
          <w:sz w:val="20"/>
          <w:szCs w:val="20"/>
          <w:lang w:val="pl-PL"/>
        </w:rPr>
        <w:t>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MZOS. 2013. Nastavni plan i program za osnovnu školu. </w:t>
      </w:r>
      <w:hyperlink r:id="rId26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http://public.mzos.hr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studenoga 2011.).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MZOS. 2015. Nastavni plan i program izborne nastave iz nastavnog predmeta Informatika u II., III. i IV. razredu obrazovnog programa Opća gimnazije. </w:t>
      </w:r>
      <w:hyperlink r:id="rId27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http://public.mzos.hr/Default.aspx?sec=3489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21. prosinca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NCVVO. 2015. Ispitni katalog za državnu maturu u školskoj godini 2015./16. Informatika. </w:t>
      </w:r>
      <w:hyperlink r:id="rId28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http://dokumenti.ncvvo.hr/Ispitni_katalozi_15-16/Hrvatski /INF_IK_16.pdf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14. siječnja 2016.).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Petrina, Stipe. 2007. </w:t>
      </w:r>
      <w:r w:rsidRPr="00DE2573">
        <w:rPr>
          <w:rFonts w:ascii="VladaRHSerif Lt" w:hAnsi="VladaRHSerif Lt"/>
          <w:i/>
          <w:sz w:val="20"/>
          <w:szCs w:val="20"/>
        </w:rPr>
        <w:t xml:space="preserve">Advanced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Methods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Technology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Classroom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Information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Science </w:t>
      </w:r>
      <w:proofErr w:type="spellStart"/>
      <w:r w:rsidRPr="00DE2573">
        <w:rPr>
          <w:rFonts w:ascii="VladaRHSerif Lt" w:hAnsi="VladaRHSerif Lt"/>
          <w:sz w:val="20"/>
          <w:szCs w:val="20"/>
        </w:rPr>
        <w:t>Publishing</w:t>
      </w:r>
      <w:proofErr w:type="spellEnd"/>
      <w:r w:rsidRPr="00DE2573">
        <w:rPr>
          <w:rFonts w:ascii="VladaRHSerif Lt" w:hAnsi="VladaRHSerif Lt"/>
          <w:sz w:val="20"/>
          <w:szCs w:val="20"/>
        </w:rPr>
        <w:t>. Hershey – London – Melbourne – Singapore.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Purković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Damir. 2013. Konstruktivistički pristup operacionalizaciji kurikuluma tehničke kulture, </w:t>
      </w:r>
      <w:r w:rsidRPr="00DE2573">
        <w:rPr>
          <w:rFonts w:ascii="VladaRHSerif Lt" w:hAnsi="VladaRHSerif Lt"/>
          <w:i/>
          <w:sz w:val="20"/>
          <w:szCs w:val="20"/>
        </w:rPr>
        <w:t>Pedagogijska istraživanja</w:t>
      </w:r>
      <w:r w:rsidRPr="00DE2573">
        <w:rPr>
          <w:rFonts w:ascii="VladaRHSerif Lt" w:hAnsi="VladaRHSerif Lt"/>
          <w:sz w:val="20"/>
          <w:szCs w:val="20"/>
        </w:rPr>
        <w:t xml:space="preserve"> 10/1. 49–64.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Purković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Damir. 2015. </w:t>
      </w:r>
      <w:r w:rsidRPr="00DE2573">
        <w:rPr>
          <w:rFonts w:ascii="VladaRHSerif Lt" w:hAnsi="VladaRHSerif Lt"/>
          <w:i/>
          <w:sz w:val="20"/>
          <w:szCs w:val="20"/>
        </w:rPr>
        <w:t>Realiteti tehničke kulture</w:t>
      </w:r>
      <w:r w:rsidRPr="00DE2573">
        <w:rPr>
          <w:rFonts w:ascii="VladaRHSerif Lt" w:hAnsi="VladaRHSerif Lt"/>
          <w:sz w:val="20"/>
          <w:szCs w:val="20"/>
        </w:rPr>
        <w:t>. Filozofski fakultet u Rijeci. Rijeka.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Purković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Damir; Bezjak, Jožica. 2015. Kontekstualni pristup učenju i poučavanju u nastavi temeljnog tehničkog odgoja i obrazovanja. </w:t>
      </w:r>
      <w:r w:rsidRPr="00DE2573">
        <w:rPr>
          <w:rFonts w:ascii="VladaRHSerif Lt" w:hAnsi="VladaRHSerif Lt"/>
          <w:i/>
          <w:sz w:val="20"/>
          <w:szCs w:val="20"/>
        </w:rPr>
        <w:t>Školski vjesnik</w:t>
      </w:r>
      <w:r w:rsidRPr="00DE2573">
        <w:rPr>
          <w:rFonts w:ascii="VladaRHSerif Lt" w:hAnsi="VladaRHSerif Lt"/>
          <w:sz w:val="20"/>
          <w:szCs w:val="20"/>
        </w:rPr>
        <w:t xml:space="preserve"> 64/1. 131–152.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i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Putnam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A. R. 2000.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Contextual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in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Association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Technical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Career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>. San Diego, CA.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Scottish </w:t>
      </w:r>
      <w:proofErr w:type="spellStart"/>
      <w:r w:rsidRPr="00DE2573">
        <w:rPr>
          <w:rFonts w:ascii="VladaRHSerif Lt" w:hAnsi="VladaRHSerif Lt"/>
          <w:sz w:val="20"/>
          <w:szCs w:val="20"/>
        </w:rPr>
        <w:t>Government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2008. </w:t>
      </w:r>
      <w:proofErr w:type="spellStart"/>
      <w:r w:rsidRPr="00DE2573">
        <w:rPr>
          <w:rFonts w:ascii="VladaRHSerif Lt" w:hAnsi="VladaRHSerif Lt"/>
          <w:sz w:val="20"/>
          <w:szCs w:val="20"/>
        </w:rPr>
        <w:t>Curriculum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exellence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a </w:t>
      </w:r>
      <w:proofErr w:type="spellStart"/>
      <w:r w:rsidRPr="00DE2573">
        <w:rPr>
          <w:rFonts w:ascii="VladaRHSerif Lt" w:hAnsi="VladaRHSerif Lt"/>
          <w:sz w:val="20"/>
          <w:szCs w:val="20"/>
        </w:rPr>
        <w:t>framework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teaching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hyperlink r:id="rId29" w:history="1">
        <w:r w:rsidRPr="00DE2573">
          <w:rPr>
            <w:rStyle w:val="Hyperlink"/>
            <w:rFonts w:ascii="VladaRHSerif Lt" w:hAnsi="VladaRHSerif Lt"/>
            <w:sz w:val="20"/>
            <w:szCs w:val="20"/>
          </w:rPr>
          <w:t>https://www.educationscotland.gov.uk/Images/building_ the_curriculum_3_jms3_tcm4-489454.pdf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14. kolovoza 2015.).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UNESCO. 2004. </w:t>
      </w:r>
      <w:proofErr w:type="spellStart"/>
      <w:r w:rsidRPr="00DE2573">
        <w:rPr>
          <w:rFonts w:ascii="VladaRHSerif Lt" w:hAnsi="VladaRHSerif Lt"/>
          <w:sz w:val="20"/>
          <w:szCs w:val="20"/>
        </w:rPr>
        <w:t>Learning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/>
          <w:sz w:val="20"/>
          <w:szCs w:val="20"/>
        </w:rPr>
        <w:t>Work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Citizenship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Sustainability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Bonn </w:t>
      </w:r>
      <w:proofErr w:type="spellStart"/>
      <w:r w:rsidRPr="00DE2573">
        <w:rPr>
          <w:rFonts w:ascii="VladaRHSerif Lt" w:hAnsi="VladaRHSerif Lt"/>
          <w:sz w:val="20"/>
          <w:szCs w:val="20"/>
        </w:rPr>
        <w:t>Declaration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). </w:t>
      </w:r>
      <w:r w:rsidRPr="00DE2573">
        <w:rPr>
          <w:rFonts w:ascii="VladaRHSerif Lt" w:hAnsi="VladaRHSerif Lt"/>
          <w:color w:val="0000FF"/>
          <w:sz w:val="20"/>
          <w:szCs w:val="20"/>
          <w:u w:val="single"/>
        </w:rPr>
        <w:t>http://www.unevoc.unesco.org/fileadmin/user_upload/pubs/ SD_BonnDeclaration_e.pdf</w:t>
      </w:r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23. ožujka 2012.).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UNESCO. 2013. Media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Information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Literacy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: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Policy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Strategy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>Guidelines</w:t>
      </w:r>
      <w:proofErr w:type="spellEnd"/>
      <w:r w:rsidRPr="00DE2573">
        <w:rPr>
          <w:rFonts w:ascii="VladaRHSerif Lt" w:hAnsi="VladaRHSerif Lt"/>
          <w:sz w:val="20"/>
          <w:szCs w:val="20"/>
          <w:shd w:val="clear" w:color="auto" w:fill="FFFFFF"/>
        </w:rPr>
        <w:t xml:space="preserve">, Paris. </w:t>
      </w:r>
      <w:hyperlink r:id="rId30" w:history="1">
        <w:r w:rsidRPr="00DE2573">
          <w:rPr>
            <w:rStyle w:val="Hyperlink"/>
            <w:rFonts w:ascii="VladaRHSerif Lt" w:hAnsi="VladaRHSerif Lt"/>
            <w:sz w:val="20"/>
            <w:szCs w:val="20"/>
            <w:shd w:val="clear" w:color="auto" w:fill="FFFFFF"/>
          </w:rPr>
          <w:t>http://milunesco.unaoc.org/wp-content/uploads/2012/05/mil-policyguidelines.pdf</w:t>
        </w:r>
      </w:hyperlink>
      <w:r w:rsidRPr="00DE2573">
        <w:rPr>
          <w:rFonts w:ascii="VladaRHSerif Lt" w:hAnsi="VladaRHSerif Lt"/>
          <w:sz w:val="20"/>
          <w:szCs w:val="20"/>
        </w:rPr>
        <w:t xml:space="preserve"> (</w:t>
      </w:r>
      <w:proofErr w:type="spellStart"/>
      <w:r w:rsidRPr="00DE2573">
        <w:rPr>
          <w:rFonts w:ascii="VladaRHSerif Lt" w:hAnsi="VladaRHSerif Lt"/>
          <w:sz w:val="20"/>
          <w:szCs w:val="20"/>
        </w:rPr>
        <w:t>pristupljeno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14. svibnja 2014.).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Vukasović, Ante. 2010. Odgojna preobrazba u teleologijskom i </w:t>
      </w:r>
      <w:proofErr w:type="spellStart"/>
      <w:r w:rsidRPr="00DE2573">
        <w:rPr>
          <w:rFonts w:ascii="VladaRHSerif Lt" w:hAnsi="VladaRHSerif Lt"/>
          <w:sz w:val="20"/>
          <w:szCs w:val="20"/>
        </w:rPr>
        <w:t>aksiologijskom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ozračju. </w:t>
      </w:r>
      <w:r w:rsidRPr="00DE2573">
        <w:rPr>
          <w:rFonts w:ascii="VladaRHSerif Lt" w:hAnsi="VladaRHSerif Lt"/>
          <w:i/>
          <w:sz w:val="20"/>
          <w:szCs w:val="20"/>
        </w:rPr>
        <w:t>Odgojne znanosti</w:t>
      </w:r>
      <w:r w:rsidRPr="00DE2573">
        <w:rPr>
          <w:rFonts w:ascii="VladaRHSerif Lt" w:hAnsi="VladaRHSerif Lt"/>
          <w:sz w:val="20"/>
          <w:szCs w:val="20"/>
        </w:rPr>
        <w:t xml:space="preserve"> 12/1. 97–117.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lastRenderedPageBreak/>
        <w:t>Vygotsky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eastAsia="TimesNewRomanPSMT" w:hAnsi="VladaRHSerif Lt"/>
          <w:sz w:val="20"/>
          <w:szCs w:val="20"/>
        </w:rPr>
        <w:t>Lev</w:t>
      </w:r>
      <w:proofErr w:type="spellEnd"/>
      <w:r w:rsidRPr="00DE2573">
        <w:rPr>
          <w:rFonts w:ascii="VladaRHSerif Lt" w:eastAsia="TimesNewRomanPSM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eastAsia="TimesNewRomanPSMT" w:hAnsi="VladaRHSerif Lt"/>
          <w:sz w:val="20"/>
          <w:szCs w:val="20"/>
        </w:rPr>
        <w:t>Semenovich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1998.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Child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psychology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: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collected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works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L.S.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Vygotsky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</w:rPr>
        <w:t xml:space="preserve">(Vol. 5). </w:t>
      </w:r>
      <w:proofErr w:type="spellStart"/>
      <w:r w:rsidRPr="00DE2573">
        <w:rPr>
          <w:rFonts w:ascii="VladaRHSerif Lt" w:hAnsi="VladaRHSerif Lt"/>
          <w:sz w:val="20"/>
          <w:szCs w:val="20"/>
        </w:rPr>
        <w:t>Ur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proofErr w:type="spellStart"/>
      <w:r w:rsidRPr="00DE2573">
        <w:rPr>
          <w:rFonts w:ascii="VladaRHSerif Lt" w:hAnsi="VladaRHSerif Lt"/>
          <w:sz w:val="20"/>
          <w:szCs w:val="20"/>
        </w:rPr>
        <w:t>Rieber</w:t>
      </w:r>
      <w:proofErr w:type="spellEnd"/>
      <w:r w:rsidRPr="00DE2573">
        <w:rPr>
          <w:rFonts w:ascii="VladaRHSerif Lt" w:hAnsi="VladaRHSerif Lt"/>
          <w:sz w:val="20"/>
          <w:szCs w:val="20"/>
        </w:rPr>
        <w:t>, Robert W. Plenum. New York.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proofErr w:type="spellStart"/>
      <w:r w:rsidRPr="00DE2573">
        <w:rPr>
          <w:rFonts w:ascii="VladaRHSerif Lt" w:hAnsi="VladaRHSerif Lt"/>
          <w:sz w:val="20"/>
          <w:szCs w:val="20"/>
        </w:rPr>
        <w:t>Wankat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/>
          <w:sz w:val="20"/>
          <w:szCs w:val="20"/>
        </w:rPr>
        <w:t>Phillip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C. 2002. </w:t>
      </w:r>
      <w:proofErr w:type="spellStart"/>
      <w:r w:rsidRPr="00DE2573">
        <w:rPr>
          <w:rFonts w:ascii="VladaRHSerif Lt" w:hAnsi="VladaRHSerif Lt"/>
          <w:sz w:val="20"/>
          <w:szCs w:val="20"/>
        </w:rPr>
        <w:t>Improving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engineering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and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technology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by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applying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what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is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known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about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how </w:t>
      </w:r>
      <w:proofErr w:type="spellStart"/>
      <w:r w:rsidRPr="00DE2573">
        <w:rPr>
          <w:rFonts w:ascii="VladaRHSerif Lt" w:hAnsi="VladaRHSerif Lt"/>
          <w:sz w:val="20"/>
          <w:szCs w:val="20"/>
        </w:rPr>
        <w:t>people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learn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SMET</w:t>
      </w:r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3/1 i 2. 3</w:t>
      </w:r>
      <w:r w:rsidRPr="00DE2573">
        <w:rPr>
          <w:rFonts w:ascii="VladaRHSerif Lt" w:hAnsi="VladaRHSerif Lt"/>
          <w:i/>
          <w:sz w:val="20"/>
          <w:szCs w:val="20"/>
        </w:rPr>
        <w:t>–</w:t>
      </w:r>
      <w:r w:rsidRPr="00DE2573">
        <w:rPr>
          <w:rFonts w:ascii="VladaRHSerif Lt" w:hAnsi="VladaRHSerif Lt"/>
          <w:sz w:val="20"/>
          <w:szCs w:val="20"/>
        </w:rPr>
        <w:t>8.</w:t>
      </w:r>
    </w:p>
    <w:p w:rsidR="00692828" w:rsidRPr="00DE2573" w:rsidRDefault="00692828" w:rsidP="00692828">
      <w:pPr>
        <w:numPr>
          <w:ilvl w:val="0"/>
          <w:numId w:val="5"/>
        </w:numPr>
        <w:suppressAutoHyphens/>
        <w:spacing w:line="240" w:lineRule="auto"/>
        <w:ind w:hanging="360"/>
        <w:contextualSpacing/>
        <w:rPr>
          <w:rFonts w:ascii="VladaRHSerif Lt" w:hAnsi="VladaRHSerif Lt"/>
          <w:sz w:val="20"/>
          <w:szCs w:val="20"/>
        </w:rPr>
      </w:pPr>
      <w:r w:rsidRPr="00DE2573">
        <w:rPr>
          <w:rFonts w:ascii="VladaRHSerif Lt" w:hAnsi="VladaRHSerif Lt"/>
          <w:sz w:val="20"/>
          <w:szCs w:val="20"/>
        </w:rPr>
        <w:t xml:space="preserve">Williams, </w:t>
      </w:r>
      <w:proofErr w:type="spellStart"/>
      <w:r w:rsidRPr="00DE2573">
        <w:rPr>
          <w:rFonts w:ascii="VladaRHSerif Lt" w:hAnsi="VladaRHSerif Lt"/>
          <w:sz w:val="20"/>
          <w:szCs w:val="20"/>
        </w:rPr>
        <w:t>Phillip</w:t>
      </w:r>
      <w:proofErr w:type="spellEnd"/>
      <w:r w:rsidRPr="00DE2573" w:rsidDel="00F3426C">
        <w:rPr>
          <w:rFonts w:ascii="VladaRHSerif Lt" w:hAnsi="VladaRHSerif Lt"/>
          <w:sz w:val="20"/>
          <w:szCs w:val="20"/>
        </w:rPr>
        <w:t xml:space="preserve"> </w:t>
      </w:r>
      <w:r w:rsidRPr="00DE2573">
        <w:rPr>
          <w:rFonts w:ascii="VladaRHSerif Lt" w:hAnsi="VladaRHSerif Lt"/>
          <w:sz w:val="20"/>
          <w:szCs w:val="20"/>
        </w:rPr>
        <w:t xml:space="preserve">J. 2000. Design: </w:t>
      </w:r>
      <w:proofErr w:type="spellStart"/>
      <w:r w:rsidRPr="00DE2573">
        <w:rPr>
          <w:rFonts w:ascii="VladaRHSerif Lt" w:hAnsi="VladaRHSerif Lt"/>
          <w:sz w:val="20"/>
          <w:szCs w:val="20"/>
        </w:rPr>
        <w:t>The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Only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Methodology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Technology. </w:t>
      </w:r>
      <w:r w:rsidRPr="00DE2573">
        <w:rPr>
          <w:rFonts w:ascii="VladaRHSerif Lt" w:hAnsi="VladaRHSerif Lt"/>
          <w:i/>
          <w:sz w:val="20"/>
          <w:szCs w:val="20"/>
        </w:rPr>
        <w:t xml:space="preserve">Journal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of</w:t>
      </w:r>
      <w:proofErr w:type="spellEnd"/>
      <w:r w:rsidRPr="00DE2573">
        <w:rPr>
          <w:rFonts w:ascii="VladaRHSerif Lt" w:hAnsi="VladaRHSerif Lt"/>
          <w:i/>
          <w:sz w:val="20"/>
          <w:szCs w:val="20"/>
        </w:rPr>
        <w:t xml:space="preserve"> Technology </w:t>
      </w:r>
      <w:proofErr w:type="spellStart"/>
      <w:r w:rsidRPr="00DE2573">
        <w:rPr>
          <w:rFonts w:ascii="VladaRHSerif Lt" w:hAnsi="VladaRHSerif Lt"/>
          <w:i/>
          <w:sz w:val="20"/>
          <w:szCs w:val="20"/>
        </w:rPr>
        <w:t>Education</w:t>
      </w:r>
      <w:proofErr w:type="spellEnd"/>
      <w:r w:rsidRPr="00DE2573">
        <w:rPr>
          <w:rFonts w:ascii="VladaRHSerif Lt" w:hAnsi="VladaRHSerif Lt"/>
          <w:sz w:val="20"/>
          <w:szCs w:val="20"/>
        </w:rPr>
        <w:t xml:space="preserve"> 11/2. 48–60.</w:t>
      </w:r>
    </w:p>
    <w:p w:rsidR="00692828" w:rsidRPr="00DE2573" w:rsidRDefault="00692828" w:rsidP="00692828">
      <w:pPr>
        <w:suppressAutoHyphens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suppressAutoHyphens/>
        <w:rPr>
          <w:rFonts w:ascii="VladaRHSerif Lt" w:hAnsi="VladaRHSerif Lt"/>
          <w:b/>
          <w:sz w:val="20"/>
          <w:szCs w:val="20"/>
        </w:rPr>
      </w:pPr>
      <w:r w:rsidRPr="00DE2573">
        <w:rPr>
          <w:rFonts w:ascii="VladaRHSerif Lt" w:hAnsi="VladaRHSerif Lt"/>
          <w:b/>
          <w:sz w:val="20"/>
          <w:szCs w:val="20"/>
        </w:rPr>
        <w:t>Ostali internetski izvori:</w:t>
      </w:r>
    </w:p>
    <w:p w:rsidR="00692828" w:rsidRPr="00DE2573" w:rsidRDefault="00692828" w:rsidP="00692828">
      <w:pPr>
        <w:suppressAutoHyphens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Australian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New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Zealand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Institute for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Information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Literacy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. 2004.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Australian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New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Zealand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Information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Literacy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Framework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Principles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standards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practice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, Adelaide. </w:t>
      </w:r>
      <w:hyperlink r:id="rId31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http://www.caul.edu.au/content/upload/files/info-literacy/InfoLiteracyFrame work.pdf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American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Association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School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Libraries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. 2007.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Standards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21st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Century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Learner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.</w:t>
      </w: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hyperlink r:id="rId32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http://www.ala.org/aasl/sites/ala.org.aasl/files/content/guidelinesandstandards/learningstandards/AASL_LearningStandards.pdf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Bixler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Brett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ABCDs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Writing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Instructional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Objectives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. </w:t>
      </w:r>
      <w:hyperlink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http://www.personal. psu.edu/bxb11/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Objectives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/ActionVerbsforObjectives.pdf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sz w:val="20"/>
          <w:szCs w:val="20"/>
        </w:rPr>
        <w:t xml:space="preserve">Computer Science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Curricula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. 2013.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Curriculum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Guidelines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Undergraduate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Degree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Programs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in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Computer Science,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Computing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Curricula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Association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for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Computing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Machinery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(ACM) IEEE Computer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Society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, 2013. </w:t>
      </w:r>
      <w:hyperlink r:id="rId33" w:history="1">
        <w:r w:rsidRPr="00DE2573">
          <w:rPr>
            <w:rStyle w:val="Hyperlink"/>
            <w:rFonts w:ascii="VladaRHSerif Lt" w:eastAsia="Arial" w:hAnsi="VladaRHSerif Lt"/>
            <w:bCs/>
            <w:sz w:val="20"/>
            <w:szCs w:val="20"/>
          </w:rPr>
          <w:t>http://www.acm.org/education/CS2013-final-report.pdf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Computing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our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future: Computer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programming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coding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-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Priorities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school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curricula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initiatives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across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Europe. </w:t>
      </w:r>
      <w:hyperlink r:id="rId34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http://www.eun.org/publications/detail?publication ID=661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CSTA K–12 Computer Science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Standards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revised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2011.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The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CSTA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Standards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Task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Force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. </w:t>
      </w:r>
      <w:hyperlink r:id="rId35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https://csta.acm.org/Curriculum/sub/CurrFiles/CSTA_K-12_CSS.pdf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Digital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Competences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in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the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Digital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Agenda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Scoreboard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. 2012. </w:t>
      </w:r>
      <w:hyperlink r:id="rId36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https://drive.google.com/drive/folders/0B6MCuwUnPDNxfmM5N2p3TzlIa1d0UDFhT1dJQXJkdkRKMG80VGhUdVRETVd2VGpES0hpMUE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Digital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Information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Literacy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Framework.</w:t>
      </w:r>
      <w:r w:rsidRPr="00DE2573">
        <w:rPr>
          <w:rFonts w:ascii="Calibri" w:hAnsi="Calibri" w:cs="Calibri"/>
          <w:color w:val="000000"/>
          <w:sz w:val="20"/>
          <w:szCs w:val="20"/>
        </w:rPr>
        <w:t> </w:t>
      </w:r>
      <w:hyperlink r:id="rId37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 xml:space="preserve">http://www.open.ac.uk/libraryservices/ 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pages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/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dilframework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/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EU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Kids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Online. 2014.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Findings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methods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recommendations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, </w:t>
      </w:r>
      <w:hyperlink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 xml:space="preserve">http://lsedesignunit. 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com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/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EUKidsOnline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/</w:t>
        </w:r>
        <w:proofErr w:type="spellStart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index.html?r</w:t>
        </w:r>
        <w:proofErr w:type="spellEnd"/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=64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proofErr w:type="spellStart"/>
      <w:r w:rsidRPr="00DE2573">
        <w:rPr>
          <w:rFonts w:ascii="VladaRHSerif Lt" w:hAnsi="VladaRHSerif Lt" w:cs="Arial"/>
          <w:sz w:val="20"/>
          <w:szCs w:val="20"/>
        </w:rPr>
        <w:t>Interdisciplinary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Computational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sz w:val="20"/>
          <w:szCs w:val="20"/>
        </w:rPr>
        <w:t>Thinking</w:t>
      </w:r>
      <w:proofErr w:type="spellEnd"/>
      <w:r w:rsidRPr="00DE2573">
        <w:rPr>
          <w:rFonts w:ascii="VladaRHSerif Lt" w:hAnsi="VladaRHSerif Lt" w:cs="Arial"/>
          <w:sz w:val="20"/>
          <w:szCs w:val="20"/>
        </w:rPr>
        <w:t xml:space="preserve">. </w:t>
      </w:r>
      <w:hyperlink w:history="1">
        <w:r w:rsidRPr="00DE2573">
          <w:rPr>
            <w:rStyle w:val="Hyperlink"/>
            <w:rFonts w:ascii="VladaRHSerif Lt" w:eastAsia="Arial" w:hAnsi="VladaRHSerif Lt"/>
            <w:bCs/>
            <w:sz w:val="20"/>
            <w:szCs w:val="20"/>
          </w:rPr>
          <w:t>http://teachinglondoncomputing.org /</w:t>
        </w:r>
        <w:proofErr w:type="spellStart"/>
        <w:r w:rsidRPr="00DE2573">
          <w:rPr>
            <w:rStyle w:val="Hyperlink"/>
            <w:rFonts w:ascii="VladaRHSerif Lt" w:eastAsia="Arial" w:hAnsi="VladaRHSerif Lt"/>
            <w:bCs/>
            <w:sz w:val="20"/>
            <w:szCs w:val="20"/>
          </w:rPr>
          <w:t>interdisciary-compplinutational-thinking</w:t>
        </w:r>
        <w:proofErr w:type="spellEnd"/>
        <w:r w:rsidRPr="00DE2573">
          <w:rPr>
            <w:rStyle w:val="Hyperlink"/>
            <w:rFonts w:ascii="VladaRHSerif Lt" w:eastAsia="Arial" w:hAnsi="VladaRHSerif Lt"/>
            <w:bCs/>
            <w:sz w:val="20"/>
            <w:szCs w:val="20"/>
          </w:rPr>
          <w:t>/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Izvješće o okruglom stolu Nastava informatike u hrvatskom obrazovnom sustavu, svibanj, 2015. </w:t>
      </w:r>
      <w:hyperlink r:id="rId38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http://www.fer.unizg.hr/download/repository/Preporuke_okruglog_stola_o_inormatici_od_14_04_15.pdf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Kurikulum Australije. </w:t>
      </w:r>
      <w:hyperlink r:id="rId39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http://www.australiancurriculum.edu.au/overview/structure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Kurikulum Republike Irske. </w:t>
      </w:r>
      <w:hyperlink r:id="rId40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http://www.curriculumonline.ie/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Kurikulum Republike Mađarske. </w:t>
      </w:r>
      <w:hyperlink r:id="rId41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http://www.nefmi.gov.hu/english/hungarian-national-core</w:t>
        </w:r>
      </w:hyperlink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Preporuke za preobrazbu nastave informatike u hrvatskom obrazovnom sustavu sa okruglog stola održanog na 37. međunarodnom skupu MIPRO 2014., Opatija 2014. </w:t>
      </w:r>
      <w:hyperlink r:id="rId42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http://www.ieee.hr/_download/repository/MIPRO_IEEE_ACM_HDPIO_preporuke_20140715.pdf</w:t>
        </w:r>
      </w:hyperlink>
    </w:p>
    <w:p w:rsidR="00692828" w:rsidRPr="00DE2573" w:rsidRDefault="00692828" w:rsidP="00692828">
      <w:pPr>
        <w:pStyle w:val="ListParagraph"/>
        <w:suppressAutoHyphens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  <w:u w:val="single"/>
        </w:rPr>
      </w:pP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Open University: Digital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and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Information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>Literacy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  <w:shd w:val="clear" w:color="auto" w:fill="FFFFFF"/>
        </w:rPr>
        <w:t xml:space="preserve"> Framework</w:t>
      </w: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. </w:t>
      </w:r>
      <w:hyperlink r:id="rId43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  <w:shd w:val="clear" w:color="auto" w:fill="FFFFFF"/>
          </w:rPr>
          <w:t>http://www.open.ac.uk/libraryservices/subsites/dilframework/index</w:t>
        </w:r>
      </w:hyperlink>
    </w:p>
    <w:p w:rsidR="00692828" w:rsidRPr="00DE2573" w:rsidRDefault="00692828" w:rsidP="00692828">
      <w:pPr>
        <w:pStyle w:val="NormalWeb"/>
        <w:numPr>
          <w:ilvl w:val="0"/>
          <w:numId w:val="8"/>
        </w:numPr>
        <w:suppressAutoHyphens/>
        <w:spacing w:before="0" w:beforeAutospacing="0" w:after="0" w:afterAutospacing="0"/>
        <w:textAlignment w:val="baseline"/>
        <w:rPr>
          <w:rFonts w:ascii="VladaRHSerif Lt" w:hAnsi="VladaRHSerif Lt" w:cs="Arial"/>
          <w:color w:val="000000"/>
          <w:sz w:val="20"/>
          <w:szCs w:val="20"/>
        </w:rPr>
      </w:pPr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Western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Australian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 </w:t>
      </w:r>
      <w:proofErr w:type="spellStart"/>
      <w:r w:rsidRPr="00DE2573">
        <w:rPr>
          <w:rFonts w:ascii="VladaRHSerif Lt" w:hAnsi="VladaRHSerif Lt" w:cs="Arial"/>
          <w:color w:val="000000"/>
          <w:sz w:val="20"/>
          <w:szCs w:val="20"/>
        </w:rPr>
        <w:t>Curriculum</w:t>
      </w:r>
      <w:proofErr w:type="spellEnd"/>
      <w:r w:rsidRPr="00DE2573">
        <w:rPr>
          <w:rFonts w:ascii="VladaRHSerif Lt" w:hAnsi="VladaRHSerif Lt" w:cs="Arial"/>
          <w:color w:val="000000"/>
          <w:sz w:val="20"/>
          <w:szCs w:val="20"/>
        </w:rPr>
        <w:t xml:space="preserve">. </w:t>
      </w:r>
      <w:hyperlink r:id="rId44" w:history="1">
        <w:r w:rsidRPr="00DE2573">
          <w:rPr>
            <w:rStyle w:val="Hyperlink"/>
            <w:rFonts w:ascii="VladaRHSerif Lt" w:eastAsia="Arial" w:hAnsi="VladaRHSerif Lt"/>
            <w:sz w:val="20"/>
            <w:szCs w:val="20"/>
          </w:rPr>
          <w:t>http://k10outline.scsa.wa.edu.au/home/p-10-curriculum/curriculum-browser</w:t>
        </w:r>
      </w:hyperlink>
    </w:p>
    <w:p w:rsidR="00692828" w:rsidRPr="00DE2573" w:rsidRDefault="00692828" w:rsidP="00692828">
      <w:pPr>
        <w:pStyle w:val="ListParagraph"/>
        <w:suppressAutoHyphens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suppressAutoHyphens/>
        <w:rPr>
          <w:rFonts w:ascii="VladaRHSerif Lt" w:hAnsi="VladaRHSerif Lt"/>
          <w:sz w:val="20"/>
          <w:szCs w:val="20"/>
        </w:rPr>
      </w:pPr>
    </w:p>
    <w:p w:rsidR="00692828" w:rsidRPr="00DE2573" w:rsidRDefault="00692828" w:rsidP="00692828">
      <w:pPr>
        <w:suppressAutoHyphens/>
        <w:rPr>
          <w:rFonts w:ascii="VladaRHSerif Lt" w:hAnsi="VladaRHSerif Lt"/>
          <w:sz w:val="20"/>
          <w:szCs w:val="20"/>
        </w:rPr>
      </w:pPr>
    </w:p>
    <w:p w:rsidR="001E3D26" w:rsidRDefault="001E3D26"/>
    <w:sectPr w:rsidR="001E3D26" w:rsidSect="002D6BD1">
      <w:footerReference w:type="default" r:id="rId45"/>
      <w:pgSz w:w="11907" w:h="16839" w:code="9"/>
      <w:pgMar w:top="1191" w:right="1021" w:bottom="1191" w:left="1588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D16" w:rsidRDefault="003B7D16">
      <w:pPr>
        <w:spacing w:after="0" w:line="240" w:lineRule="auto"/>
      </w:pPr>
      <w:r>
        <w:separator/>
      </w:r>
    </w:p>
  </w:endnote>
  <w:endnote w:type="continuationSeparator" w:id="0">
    <w:p w:rsidR="003B7D16" w:rsidRDefault="003B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ans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erif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29100"/>
      <w:docPartObj>
        <w:docPartGallery w:val="Page Numbers (Bottom of Page)"/>
        <w:docPartUnique/>
      </w:docPartObj>
    </w:sdtPr>
    <w:sdtEndPr/>
    <w:sdtContent>
      <w:p w:rsidR="002D6BD1" w:rsidRDefault="00692828">
        <w:pPr>
          <w:pStyle w:val="Footer"/>
          <w:jc w:val="right"/>
        </w:pPr>
        <w:r w:rsidRPr="002D6BD1">
          <w:rPr>
            <w:rFonts w:ascii="VladaRHSans Lt" w:hAnsi="VladaRHSans Lt"/>
            <w:b/>
            <w:smallCaps/>
            <w:color w:val="D60D8A"/>
            <w:spacing w:val="-20"/>
            <w:sz w:val="16"/>
            <w:szCs w:val="16"/>
          </w:rPr>
          <w:t>—</w:t>
        </w:r>
        <w:r w:rsidRPr="002D6BD1">
          <w:rPr>
            <w:b/>
            <w:color w:val="D60D8A"/>
          </w:rPr>
          <w:fldChar w:fldCharType="begin"/>
        </w:r>
        <w:r w:rsidRPr="002D6BD1">
          <w:rPr>
            <w:b/>
            <w:color w:val="D60D8A"/>
          </w:rPr>
          <w:instrText xml:space="preserve"> PAGE   \* MERGEFORMAT </w:instrText>
        </w:r>
        <w:r w:rsidRPr="002D6BD1">
          <w:rPr>
            <w:b/>
            <w:color w:val="D60D8A"/>
          </w:rPr>
          <w:fldChar w:fldCharType="separate"/>
        </w:r>
        <w:r w:rsidR="001731C8">
          <w:rPr>
            <w:b/>
            <w:noProof/>
            <w:color w:val="D60D8A"/>
          </w:rPr>
          <w:t>4</w:t>
        </w:r>
        <w:r w:rsidRPr="002D6BD1">
          <w:rPr>
            <w:b/>
            <w:color w:val="D60D8A"/>
          </w:rPr>
          <w:fldChar w:fldCharType="end"/>
        </w:r>
        <w:r>
          <w:rPr>
            <w:color w:val="D60D8A"/>
          </w:rPr>
          <w:t xml:space="preserve"> </w:t>
        </w:r>
      </w:p>
    </w:sdtContent>
  </w:sdt>
  <w:p w:rsidR="002D6BD1" w:rsidRDefault="003B7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D16" w:rsidRDefault="003B7D16">
      <w:pPr>
        <w:spacing w:after="0" w:line="240" w:lineRule="auto"/>
      </w:pPr>
      <w:r>
        <w:separator/>
      </w:r>
    </w:p>
  </w:footnote>
  <w:footnote w:type="continuationSeparator" w:id="0">
    <w:p w:rsidR="003B7D16" w:rsidRDefault="003B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125B9"/>
    <w:multiLevelType w:val="multilevel"/>
    <w:tmpl w:val="7E726DD6"/>
    <w:lvl w:ilvl="0">
      <w:start w:val="1"/>
      <w:numFmt w:val="decimal"/>
      <w:lvlText w:val="%1."/>
      <w:lvlJc w:val="left"/>
      <w:pPr>
        <w:ind w:left="644" w:firstLine="284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F9C1075"/>
    <w:multiLevelType w:val="multilevel"/>
    <w:tmpl w:val="506CAC7A"/>
    <w:lvl w:ilvl="0">
      <w:start w:val="1"/>
      <w:numFmt w:val="bullet"/>
      <w:lvlText w:val=""/>
      <w:lvlJc w:val="left"/>
      <w:pPr>
        <w:ind w:left="720" w:firstLine="180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2">
    <w:nsid w:val="21451DF2"/>
    <w:multiLevelType w:val="multilevel"/>
    <w:tmpl w:val="B60C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04D96"/>
    <w:multiLevelType w:val="multilevel"/>
    <w:tmpl w:val="583A0C94"/>
    <w:lvl w:ilvl="0">
      <w:start w:val="1"/>
      <w:numFmt w:val="bullet"/>
      <w:lvlText w:val=""/>
      <w:lvlJc w:val="left"/>
      <w:pPr>
        <w:ind w:left="720" w:firstLine="324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68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04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76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124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8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32040"/>
      </w:pPr>
      <w:rPr>
        <w:rFonts w:ascii="Arial" w:eastAsia="Arial" w:hAnsi="Arial" w:cs="Arial"/>
        <w:u w:val="none"/>
      </w:rPr>
    </w:lvl>
  </w:abstractNum>
  <w:abstractNum w:abstractNumId="4">
    <w:nsid w:val="4F662F2A"/>
    <w:multiLevelType w:val="multilevel"/>
    <w:tmpl w:val="71927F72"/>
    <w:lvl w:ilvl="0">
      <w:start w:val="1"/>
      <w:numFmt w:val="bullet"/>
      <w:lvlText w:val=""/>
      <w:lvlJc w:val="left"/>
      <w:pPr>
        <w:ind w:left="720" w:firstLine="324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68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04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76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124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8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32040"/>
      </w:pPr>
      <w:rPr>
        <w:rFonts w:ascii="Arial" w:eastAsia="Arial" w:hAnsi="Arial" w:cs="Arial"/>
        <w:u w:val="none"/>
      </w:rPr>
    </w:lvl>
  </w:abstractNum>
  <w:abstractNum w:abstractNumId="5">
    <w:nsid w:val="4FE70EA8"/>
    <w:multiLevelType w:val="multilevel"/>
    <w:tmpl w:val="4EE65AB8"/>
    <w:lvl w:ilvl="0">
      <w:start w:val="1"/>
      <w:numFmt w:val="bullet"/>
      <w:lvlText w:val=""/>
      <w:lvlJc w:val="left"/>
      <w:pPr>
        <w:ind w:left="720" w:firstLine="180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6">
    <w:nsid w:val="538E3720"/>
    <w:multiLevelType w:val="multilevel"/>
    <w:tmpl w:val="232477F6"/>
    <w:lvl w:ilvl="0">
      <w:start w:val="1"/>
      <w:numFmt w:val="decimal"/>
      <w:lvlText w:val="%1."/>
      <w:lvlJc w:val="left"/>
      <w:pPr>
        <w:ind w:left="72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82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26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169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255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298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1336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27016"/>
      </w:pPr>
      <w:rPr>
        <w:u w:val="none"/>
      </w:rPr>
    </w:lvl>
  </w:abstractNum>
  <w:abstractNum w:abstractNumId="7">
    <w:nsid w:val="65BC39AC"/>
    <w:multiLevelType w:val="multilevel"/>
    <w:tmpl w:val="BBBCA674"/>
    <w:lvl w:ilvl="0">
      <w:start w:val="1"/>
      <w:numFmt w:val="bullet"/>
      <w:lvlText w:val=""/>
      <w:lvlJc w:val="left"/>
      <w:pPr>
        <w:ind w:left="720" w:firstLine="180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54"/>
    <w:rsid w:val="001731C8"/>
    <w:rsid w:val="001E3D26"/>
    <w:rsid w:val="003B7D16"/>
    <w:rsid w:val="00427EAF"/>
    <w:rsid w:val="004368F5"/>
    <w:rsid w:val="004D56F4"/>
    <w:rsid w:val="00692828"/>
    <w:rsid w:val="006F5C54"/>
    <w:rsid w:val="009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84CEE-77AE-4921-A8FF-B052D649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692828"/>
  </w:style>
  <w:style w:type="paragraph" w:styleId="Heading1">
    <w:name w:val="heading 1"/>
    <w:basedOn w:val="Normal"/>
    <w:next w:val="Normal"/>
    <w:link w:val="Heading1Char"/>
    <w:uiPriority w:val="9"/>
    <w:qFormat/>
    <w:rsid w:val="006928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8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8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282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28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828"/>
    <w:rPr>
      <w:rFonts w:ascii="Arial" w:eastAsia="Arial" w:hAnsi="Arial" w:cs="Arial"/>
      <w:color w:val="00000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928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828"/>
    <w:rPr>
      <w:rFonts w:ascii="Arial" w:eastAsia="Arial" w:hAnsi="Arial" w:cs="Arial"/>
      <w:color w:val="000000"/>
      <w:lang w:eastAsia="hr-HR"/>
    </w:rPr>
  </w:style>
  <w:style w:type="paragraph" w:customStyle="1" w:styleId="Glavninaslov">
    <w:name w:val="Glavni naslov"/>
    <w:basedOn w:val="Normal"/>
    <w:link w:val="GlavninaslovChar"/>
    <w:rsid w:val="00692828"/>
    <w:pPr>
      <w:spacing w:line="300" w:lineRule="exact"/>
    </w:pPr>
    <w:rPr>
      <w:rFonts w:ascii="VladaRHSans Lt" w:hAnsi="VladaRHSans Lt"/>
      <w:b/>
      <w:caps/>
      <w:color w:val="25408F"/>
      <w:sz w:val="24"/>
    </w:rPr>
  </w:style>
  <w:style w:type="character" w:customStyle="1" w:styleId="GlavninaslovChar">
    <w:name w:val="Glavni naslov Char"/>
    <w:basedOn w:val="DefaultParagraphFont"/>
    <w:link w:val="Glavninaslov"/>
    <w:rsid w:val="00692828"/>
    <w:rPr>
      <w:rFonts w:ascii="VladaRHSans Lt" w:eastAsia="Arial" w:hAnsi="VladaRHSans Lt" w:cs="Arial"/>
      <w:b/>
      <w:caps/>
      <w:color w:val="25408F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692828"/>
    <w:pPr>
      <w:ind w:left="720"/>
      <w:contextualSpacing/>
    </w:pPr>
  </w:style>
  <w:style w:type="character" w:styleId="Hyperlink">
    <w:name w:val="Hyperlink"/>
    <w:uiPriority w:val="99"/>
    <w:unhideWhenUsed/>
    <w:rsid w:val="006928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Ostalo">
    <w:name w:val="Tabl Ostalo"/>
    <w:basedOn w:val="Normal"/>
    <w:autoRedefine/>
    <w:rsid w:val="00692828"/>
    <w:pPr>
      <w:spacing w:line="240" w:lineRule="exact"/>
    </w:pPr>
    <w:rPr>
      <w:rFonts w:ascii="VladaRHSans Lt" w:hAnsi="VladaRHSans Lt"/>
      <w:sz w:val="19"/>
      <w:szCs w:val="20"/>
    </w:rPr>
  </w:style>
  <w:style w:type="paragraph" w:customStyle="1" w:styleId="Smallcapsrozi">
    <w:name w:val="Small caps rozi"/>
    <w:basedOn w:val="TablOstalo"/>
    <w:autoRedefine/>
    <w:rsid w:val="00692828"/>
    <w:pPr>
      <w:suppressAutoHyphens/>
    </w:pPr>
    <w:rPr>
      <w:smallCaps/>
      <w:color w:val="D60D8A"/>
    </w:rPr>
  </w:style>
  <w:style w:type="paragraph" w:customStyle="1" w:styleId="smallcapsplavi">
    <w:name w:val="small caps plavi"/>
    <w:basedOn w:val="TablOstalo"/>
    <w:autoRedefine/>
    <w:rsid w:val="00692828"/>
    <w:rPr>
      <w:b/>
      <w:smallCaps/>
      <w:color w:val="25408F"/>
      <w:szCs w:val="19"/>
    </w:rPr>
  </w:style>
  <w:style w:type="paragraph" w:customStyle="1" w:styleId="Domene">
    <w:name w:val="Domene"/>
    <w:basedOn w:val="ListParagraph"/>
    <w:autoRedefine/>
    <w:rsid w:val="00692828"/>
    <w:pPr>
      <w:spacing w:after="240" w:line="240" w:lineRule="exact"/>
      <w:ind w:left="0"/>
      <w:jc w:val="both"/>
    </w:pPr>
    <w:rPr>
      <w:rFonts w:ascii="VladaRHSans Lt" w:hAnsi="VladaRHSans Lt"/>
      <w:b/>
      <w:smallCaps/>
      <w:color w:val="25408F"/>
      <w:sz w:val="20"/>
      <w:szCs w:val="20"/>
    </w:rPr>
  </w:style>
  <w:style w:type="paragraph" w:customStyle="1" w:styleId="ciklusi">
    <w:name w:val="ciklusi"/>
    <w:basedOn w:val="Normal"/>
    <w:autoRedefine/>
    <w:rsid w:val="00692828"/>
    <w:pPr>
      <w:widowControl w:val="0"/>
      <w:spacing w:line="240" w:lineRule="exact"/>
    </w:pPr>
    <w:rPr>
      <w:rFonts w:ascii="VladaRHSans Lt" w:hAnsi="VladaRHSans Lt"/>
      <w:b/>
      <w:smallCaps/>
      <w:color w:val="25408F"/>
      <w:sz w:val="19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282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92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2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2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2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2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2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2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82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928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282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2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92828"/>
    <w:rPr>
      <w:b/>
      <w:bCs/>
    </w:rPr>
  </w:style>
  <w:style w:type="character" w:styleId="Emphasis">
    <w:name w:val="Emphasis"/>
    <w:basedOn w:val="DefaultParagraphFont"/>
    <w:uiPriority w:val="20"/>
    <w:qFormat/>
    <w:rsid w:val="00692828"/>
    <w:rPr>
      <w:i/>
      <w:iCs/>
    </w:rPr>
  </w:style>
  <w:style w:type="paragraph" w:styleId="NoSpacing">
    <w:name w:val="No Spacing"/>
    <w:uiPriority w:val="1"/>
    <w:qFormat/>
    <w:rsid w:val="006928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282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282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2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282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28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28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282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9282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8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oo.hr/default.aspx?id=1345" TargetMode="External"/><Relationship Id="rId13" Type="http://schemas.openxmlformats.org/officeDocument/2006/relationships/hyperlink" Target="http://eur-lex.europa.eu/LexUriServ/LexUriServ.do?uri=CELEX:32006H0962:EN:NOT" TargetMode="External"/><Relationship Id="rId18" Type="http://schemas.openxmlformats.org/officeDocument/2006/relationships/hyperlink" Target="http://narodne-novine.nn.hr/clanci/sluzbeni/2013_02_22_359.html" TargetMode="External"/><Relationship Id="rId26" Type="http://schemas.openxmlformats.org/officeDocument/2006/relationships/hyperlink" Target="http://public.mzos.hr" TargetMode="External"/><Relationship Id="rId39" Type="http://schemas.openxmlformats.org/officeDocument/2006/relationships/hyperlink" Target="http://www.australiancurriculum.edu.au/overview/structu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2013_02_22_359.html" TargetMode="External"/><Relationship Id="rId34" Type="http://schemas.openxmlformats.org/officeDocument/2006/relationships/hyperlink" Target="http://www.eun.org/publications/detail?publication%20ID=661" TargetMode="External"/><Relationship Id="rId42" Type="http://schemas.openxmlformats.org/officeDocument/2006/relationships/hyperlink" Target="http://www.ieee.hr/_download/repository/MIPRO_IEEE_ACM_HDPIO_preporuke_20140715.pdf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kreativnost.pedagogija.net/mod/resource/view.php?id=4" TargetMode="External"/><Relationship Id="rId17" Type="http://schemas.openxmlformats.org/officeDocument/2006/relationships/hyperlink" Target="http://narodne-novine.nn.hr/clanci/sluzbeni/2013_02_22_359.html" TargetMode="External"/><Relationship Id="rId25" Type="http://schemas.openxmlformats.org/officeDocument/2006/relationships/hyperlink" Target="http://public.mzos.hr" TargetMode="External"/><Relationship Id="rId33" Type="http://schemas.openxmlformats.org/officeDocument/2006/relationships/hyperlink" Target="http://www.acm.org/education/CS2013-final-report.pdf" TargetMode="External"/><Relationship Id="rId38" Type="http://schemas.openxmlformats.org/officeDocument/2006/relationships/hyperlink" Target="http://www.fer.unizg.hr/download/repository/Preporuke_okruglog_stola_o_inormatici_od_14_04_15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3_02_22_359.html" TargetMode="External"/><Relationship Id="rId20" Type="http://schemas.openxmlformats.org/officeDocument/2006/relationships/hyperlink" Target="http://narodne-novine.nn.hr/clanci/sluzbeni/2013_02_22_359.html" TargetMode="External"/><Relationship Id="rId29" Type="http://schemas.openxmlformats.org/officeDocument/2006/relationships/hyperlink" Target="https://www.educationscotland.gov.uk/Images/building_%20the_curriculum_3_jms3_tcm4-489454.pdf" TargetMode="External"/><Relationship Id="rId41" Type="http://schemas.openxmlformats.org/officeDocument/2006/relationships/hyperlink" Target="http://www.nefmi.gov.hu/english/hungarian-national-co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nybates.ca/%20teaching-in-a-digital-age/" TargetMode="External"/><Relationship Id="rId24" Type="http://schemas.openxmlformats.org/officeDocument/2006/relationships/hyperlink" Target="http://public.mzos.hr" TargetMode="External"/><Relationship Id="rId32" Type="http://schemas.openxmlformats.org/officeDocument/2006/relationships/hyperlink" Target="http://www.ala.org/aasl/sites/ala.org.aasl/files/content/guidelinesandstandards/learningstandards/AASL_LearningStandards.pdf" TargetMode="External"/><Relationship Id="rId37" Type="http://schemas.openxmlformats.org/officeDocument/2006/relationships/hyperlink" Target="http://www.open.ac.uk/libraryservices/%20pages/dilframework/" TargetMode="External"/><Relationship Id="rId40" Type="http://schemas.openxmlformats.org/officeDocument/2006/relationships/hyperlink" Target="http://www.curriculumonline.ie/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b.gov.hk/attachment/en/curriculum-development/kla/technology-edu/curriculum-doc/technology%20ed%20guide%20engl%20ish.pdf" TargetMode="External"/><Relationship Id="rId23" Type="http://schemas.openxmlformats.org/officeDocument/2006/relationships/hyperlink" Target="http://www.ifla.org/publications/guidelines-on-information-literacy-for-lifelong-learning" TargetMode="External"/><Relationship Id="rId28" Type="http://schemas.openxmlformats.org/officeDocument/2006/relationships/hyperlink" Target="http://dokumenti.ncvvo.hr/Ispitni_katalozi_15-16/Hrvatski%20/INF_IK_16.pdf" TargetMode="External"/><Relationship Id="rId36" Type="http://schemas.openxmlformats.org/officeDocument/2006/relationships/hyperlink" Target="https://drive.google.com/drive/folders/0B6MCuwUnPDNxfmM5N2p3TzlIa1d0UDFhT1dJQXJkdkRKMG80VGhUdVRETVd2VGpES0hpMUE" TargetMode="External"/><Relationship Id="rId10" Type="http://schemas.openxmlformats.org/officeDocument/2006/relationships/hyperlink" Target="https://www.iste.org/docs/nets-refresh-toolkit/bringing-ct-to-k-12.pdf?sfvrsn=2%2018" TargetMode="External"/><Relationship Id="rId19" Type="http://schemas.openxmlformats.org/officeDocument/2006/relationships/hyperlink" Target="http://narodne-novine.nn.hr/clanci/sluzbeni/2013_02_22_359.html" TargetMode="External"/><Relationship Id="rId31" Type="http://schemas.openxmlformats.org/officeDocument/2006/relationships/hyperlink" Target="http://www.caul.edu.au/content/upload/files/info-literacy/InfoLiteracyFrame%20work.pdf" TargetMode="External"/><Relationship Id="rId44" Type="http://schemas.openxmlformats.org/officeDocument/2006/relationships/hyperlink" Target="http://k10outline.scsa.wa.edu.au/home/p-10-curriculum/curriculum-brow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oo.hr/default.aspx?ID=1374" TargetMode="External"/><Relationship Id="rId14" Type="http://schemas.openxmlformats.org/officeDocument/2006/relationships/hyperlink" Target="http://ftp.jrc.es/EURdoc/JRC83167.pdf" TargetMode="External"/><Relationship Id="rId22" Type="http://schemas.openxmlformats.org/officeDocument/2006/relationships/hyperlink" Target="http://narodne-novine.nn.hr/clanci/sluzbeni/2014_10_124_2364.html" TargetMode="External"/><Relationship Id="rId27" Type="http://schemas.openxmlformats.org/officeDocument/2006/relationships/hyperlink" Target="http://public.mzos.hr/Default.aspx?sec=3489" TargetMode="External"/><Relationship Id="rId30" Type="http://schemas.openxmlformats.org/officeDocument/2006/relationships/hyperlink" Target="http://milunesco.unaoc.org/wp-content/uploads/2012/05/mil-policyguidelines.pdf" TargetMode="External"/><Relationship Id="rId35" Type="http://schemas.openxmlformats.org/officeDocument/2006/relationships/hyperlink" Target="https://csta.acm.org/Curriculum/sub/CurrFiles/CSTA_K-12_CSS.pdf" TargetMode="External"/><Relationship Id="rId43" Type="http://schemas.openxmlformats.org/officeDocument/2006/relationships/hyperlink" Target="http://www.open.ac.uk/libraryservices/subsites/dilframewor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6030</Words>
  <Characters>34375</Characters>
  <Application>Microsoft Office Word</Application>
  <DocSecurity>0</DocSecurity>
  <Lines>286</Lines>
  <Paragraphs>80</Paragraphs>
  <ScaleCrop>false</ScaleCrop>
  <Company/>
  <LinksUpToDate>false</LinksUpToDate>
  <CharactersWithSpaces>40325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5</cp:revision>
  <dcterms:created xsi:type="dcterms:W3CDTF">2016-06-01T10:11:00Z</dcterms:created>
  <dcterms:modified xsi:type="dcterms:W3CDTF">2016-06-06T09:14:00Z</dcterms:modified>
</cp:coreProperties>
</file>