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C" w:rsidRPr="006233D3" w:rsidRDefault="00D5283C" w:rsidP="009D19E6">
      <w:pPr>
        <w:pBdr>
          <w:bottom w:val="single" w:sz="12" w:space="1" w:color="auto"/>
        </w:pBdr>
        <w:spacing w:after="24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233D3">
        <w:rPr>
          <w:rFonts w:ascii="Times New Roman" w:hAnsi="Times New Roman" w:cs="Times New Roman"/>
        </w:rPr>
        <w:tab/>
      </w:r>
    </w:p>
    <w:p w:rsidR="00D5283C" w:rsidRPr="002732DE" w:rsidRDefault="00D5283C" w:rsidP="009D6EB6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732DE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MINISTARSTVO REGIONALNOGA RAZVOJA I FONDOVA EUROPSKE UNIJE</w:t>
      </w: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AC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83C" w:rsidRPr="002732DE" w:rsidRDefault="00D5283C" w:rsidP="00AC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UREDBE O </w:t>
      </w:r>
      <w:r w:rsidR="00D71E6E" w:rsidRPr="002732DE">
        <w:rPr>
          <w:rFonts w:ascii="Times New Roman" w:eastAsia="Calibri" w:hAnsi="Times New Roman" w:cs="Times New Roman"/>
          <w:b/>
          <w:bCs/>
          <w:sz w:val="24"/>
          <w:szCs w:val="24"/>
        </w:rPr>
        <w:t>IZMJEN</w:t>
      </w:r>
      <w:r w:rsidR="009039A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D71E6E" w:rsidRPr="00273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 w:rsidR="004409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126495" w:rsidRPr="00273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3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UREDBE </w:t>
      </w:r>
      <w:r w:rsidRPr="002732DE">
        <w:rPr>
          <w:rFonts w:ascii="Times New Roman" w:eastAsia="Calibri" w:hAnsi="Times New Roman" w:cs="Times New Roman"/>
          <w:b/>
          <w:sz w:val="24"/>
          <w:szCs w:val="24"/>
        </w:rPr>
        <w:t>O TIJELIMA U SUSTAVIMA UPRAVLJANJA I KONTROLE KORIŠTENJA EUROPSKOG SOCIJALNOG FONDA, EUROPSKOG FONDA ZA REGIONALNI RAZVOJ I KOHEZIJSKOG FONDA, U VEZI S CILJEM „ULAGANJE ZA RAST I RADNA MJESTA“</w:t>
      </w: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5283C" w:rsidRPr="002732DE" w:rsidRDefault="00D5283C" w:rsidP="009D19E6">
      <w:pPr>
        <w:pBdr>
          <w:bottom w:val="single" w:sz="12" w:space="1" w:color="auto"/>
        </w:pBd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D5283C" w:rsidRPr="002732DE" w:rsidRDefault="00D5283C" w:rsidP="00F271FB">
      <w:pPr>
        <w:jc w:val="center"/>
        <w:rPr>
          <w:rFonts w:ascii="Times New Roman" w:hAnsi="Times New Roman" w:cs="Times New Roman"/>
        </w:rPr>
      </w:pPr>
      <w:r w:rsidRPr="002732DE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  <w:r w:rsidR="00B73D8C" w:rsidRPr="002732DE">
        <w:rPr>
          <w:rFonts w:ascii="Times New Roman" w:eastAsia="Calibri" w:hAnsi="Times New Roman" w:cs="Times New Roman"/>
          <w:b/>
          <w:sz w:val="24"/>
          <w:szCs w:val="24"/>
        </w:rPr>
        <w:t>srpanj</w:t>
      </w:r>
      <w:r w:rsidR="00126495" w:rsidRPr="002732DE">
        <w:rPr>
          <w:rFonts w:ascii="Times New Roman" w:eastAsia="Calibri" w:hAnsi="Times New Roman" w:cs="Times New Roman"/>
          <w:b/>
          <w:sz w:val="24"/>
          <w:szCs w:val="24"/>
        </w:rPr>
        <w:t xml:space="preserve"> 2016</w:t>
      </w:r>
      <w:r w:rsidRPr="002732D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. </w:t>
      </w:r>
      <w:r w:rsidRPr="002732DE">
        <w:rPr>
          <w:rFonts w:ascii="Times New Roman" w:eastAsia="Calibri" w:hAnsi="Times New Roman" w:cs="Times New Roman"/>
          <w:b/>
          <w:sz w:val="24"/>
          <w:szCs w:val="24"/>
        </w:rPr>
        <w:t>godine</w:t>
      </w:r>
    </w:p>
    <w:p w:rsidR="004038BF" w:rsidRPr="002732DE" w:rsidRDefault="00AA6278" w:rsidP="009D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732DE">
        <w:rPr>
          <w:rFonts w:ascii="Times New Roman" w:hAnsi="Times New Roman" w:cs="Times New Roman"/>
          <w:sz w:val="24"/>
          <w:szCs w:val="24"/>
        </w:rPr>
        <w:t xml:space="preserve"> </w:t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</w:r>
      <w:r w:rsidR="00D5283C" w:rsidRPr="002732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7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58E" w:rsidRPr="002732DE" w:rsidRDefault="008C258E" w:rsidP="009D19E6">
      <w:pPr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278" w:rsidRPr="002732DE" w:rsidRDefault="00AC0DC7" w:rsidP="009D19E6">
      <w:pPr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AA6278" w:rsidRPr="002732DE">
        <w:rPr>
          <w:rFonts w:ascii="Times New Roman" w:hAnsi="Times New Roman" w:cs="Times New Roman"/>
          <w:sz w:val="24"/>
          <w:szCs w:val="24"/>
        </w:rPr>
        <w:t>PRIJEDLOG</w:t>
      </w:r>
    </w:p>
    <w:p w:rsidR="00C939C3" w:rsidRPr="002732DE" w:rsidRDefault="00C939C3" w:rsidP="009D19E6">
      <w:pPr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9C3" w:rsidRPr="002732DE" w:rsidRDefault="00C939C3" w:rsidP="00AC0DC7">
      <w:pPr>
        <w:autoSpaceDE w:val="0"/>
        <w:autoSpaceDN w:val="0"/>
        <w:adjustRightInd w:val="0"/>
        <w:ind w:left="2691" w:firstLine="141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32DE">
        <w:rPr>
          <w:rFonts w:ascii="Times New Roman" w:eastAsia="Calibri" w:hAnsi="Times New Roman" w:cs="Times New Roman"/>
          <w:b/>
          <w:bCs/>
          <w:sz w:val="32"/>
          <w:szCs w:val="32"/>
        </w:rPr>
        <w:t>VLADA REPUBLIKE HRVATSKE</w:t>
      </w:r>
    </w:p>
    <w:p w:rsidR="00C939C3" w:rsidRPr="002732DE" w:rsidRDefault="00C939C3" w:rsidP="009D19E6">
      <w:pPr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7D3" w:rsidRPr="002732DE" w:rsidRDefault="00B577D3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7. stavka 7. podstavka 1. Zakona o uspostavi institucionalnog okvira za provedbu europskih strukturnih i investicijskih fondova u Republici Hrvatskoj u financijskom razdoblju 2014. – 2020. (»Narodne novine«, broj 92/2014), Vlada Republike Hrvatske je na sjednici održanoj ….. </w:t>
      </w:r>
      <w:r w:rsidR="00E5587D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srpnja 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2016. godine donijela </w:t>
      </w:r>
    </w:p>
    <w:p w:rsidR="008C258E" w:rsidRPr="002732DE" w:rsidRDefault="008C258E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77D3" w:rsidRPr="002732DE" w:rsidRDefault="00B577D3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2732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UREDBU</w:t>
      </w:r>
    </w:p>
    <w:p w:rsidR="00B577D3" w:rsidRPr="002732DE" w:rsidRDefault="00B577D3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982CFB" w:rsidRPr="0027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</w:t>
      </w:r>
      <w:r w:rsidR="00903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27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DOPUN</w:t>
      </w:r>
      <w:r w:rsidR="0044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27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UREDBE O TIJELIMA U SUSTAVIMA UPRAVLJANJA I KONTROLE KORIŠTENJA EUROPSKOG SOCIJALNOG FONDA EUROPSKOG FONDA ZA REGIONALNI RAZVOJ I KOHEZIJSKOG FONDA U VEZI S CILJEM »ULAGANJE ZA RAST I RADNA MJESTA«</w:t>
      </w:r>
    </w:p>
    <w:p w:rsidR="007F5B21" w:rsidRPr="002732DE" w:rsidRDefault="007F5B21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F5B21" w:rsidRPr="002732DE" w:rsidRDefault="007F5B21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7F5B21" w:rsidRPr="002732DE" w:rsidRDefault="007F5B21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Uredbi o tijelima u sustavima upravljanja i kontrole korištenja Europskog socijalnog fonda, Europskog fonda za regionalni razvoj i Kohezijskog fonda, u vezi s ciljem »Ulaganje za rast i radna mjesta« (»Narodne novine«, br</w:t>
      </w:r>
      <w:r w:rsidR="00DE3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107/2014, 23/2015 i 129/2015</w:t>
      </w:r>
      <w:r w:rsidR="007F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453B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9. dodaju se članci 9a.</w:t>
      </w:r>
      <w:r w:rsidR="006C3A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9b. koji glase:</w:t>
      </w:r>
    </w:p>
    <w:p w:rsidR="007F5B21" w:rsidRPr="00B80CD8" w:rsidRDefault="007F5B21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80C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9a.</w:t>
      </w:r>
    </w:p>
    <w:p w:rsidR="007F5B21" w:rsidRPr="00B80CD8" w:rsidRDefault="007F5B21" w:rsidP="009D19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(1) Specifični ciljevi 4c3 (Povećanje učinkovitosti sustava toplinarstva) i 6e2 (Obnova brownfield lokacija (bivša vojna i/ili industrijska područja) unutar ITU) Operativnog programa „Konkurentnost i kohezija“ provode se kao 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>i</w:t>
      </w:r>
      <w:r w:rsidRPr="00B80CD8">
        <w:rPr>
          <w:rFonts w:ascii="Times New Roman" w:eastAsia="Calibri" w:hAnsi="Times New Roman" w:cs="Times New Roman"/>
          <w:sz w:val="24"/>
          <w:szCs w:val="24"/>
        </w:rPr>
        <w:t>ntegrirana teritorijalna ulaganja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CD8">
        <w:rPr>
          <w:rFonts w:ascii="Times New Roman" w:eastAsia="Calibri" w:hAnsi="Times New Roman" w:cs="Times New Roman"/>
          <w:sz w:val="24"/>
          <w:szCs w:val="24"/>
        </w:rPr>
        <w:t>iz članka 36. Uredbe (EU) br. 1303/2013</w:t>
      </w:r>
      <w:r w:rsidR="0039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B21" w:rsidRPr="00B80CD8" w:rsidRDefault="007F5B21" w:rsidP="009D19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(2) Specifični ciljevi 3a2 (Omogućavanje povoljnog okruženja za razvoj poduzetništva), 6c1 (Povećanje zapošljavanja i turističkih izdataka kroz unaprjeđenje kulturne baštine) i 7ii2 (Povećanje broja putnika u javnom prijevozu) Operativnog programa „Konkurentnost i kohezija“, se mogu u cijelosti ili djelomično provoditi kao </w:t>
      </w:r>
      <w:r w:rsidR="00453BAB">
        <w:rPr>
          <w:rFonts w:ascii="Times New Roman" w:eastAsia="Calibri" w:hAnsi="Times New Roman" w:cs="Times New Roman"/>
          <w:sz w:val="24"/>
          <w:szCs w:val="24"/>
        </w:rPr>
        <w:t>i</w:t>
      </w:r>
      <w:r w:rsidRPr="00B80CD8">
        <w:rPr>
          <w:rFonts w:ascii="Times New Roman" w:eastAsia="Calibri" w:hAnsi="Times New Roman" w:cs="Times New Roman"/>
          <w:sz w:val="24"/>
          <w:szCs w:val="24"/>
        </w:rPr>
        <w:t>ntegrirana teritorijalna ulaganja</w:t>
      </w:r>
      <w:r w:rsidR="00477D19" w:rsidRPr="00B80C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B21" w:rsidRDefault="007F5B21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(3) Okvirna financijska sredstva iz svake prioritetne osi, koja se odnose na specifične ciljeve iz stavka 1. i 2. ovoga članka, u dijelu u kojem se provode kao </w:t>
      </w:r>
      <w:r w:rsidR="00477D19" w:rsidRPr="00B80CD8">
        <w:rPr>
          <w:rFonts w:ascii="Times New Roman" w:eastAsia="Calibri" w:hAnsi="Times New Roman" w:cs="Times New Roman"/>
          <w:sz w:val="24"/>
          <w:szCs w:val="24"/>
        </w:rPr>
        <w:t xml:space="preserve">integrirana </w:t>
      </w:r>
      <w:r w:rsidRPr="00B80CD8">
        <w:rPr>
          <w:rFonts w:ascii="Times New Roman" w:eastAsia="Calibri" w:hAnsi="Times New Roman" w:cs="Times New Roman"/>
          <w:sz w:val="24"/>
          <w:szCs w:val="24"/>
        </w:rPr>
        <w:t>teritorijalna ulaganja, utvrđena su u Operativnom programu „Konkurentnost i kohezija“.</w:t>
      </w:r>
    </w:p>
    <w:p w:rsidR="00CA538D" w:rsidRPr="00B80CD8" w:rsidRDefault="00CA538D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3BAB" w:rsidRPr="00B80CD8" w:rsidRDefault="007F5B21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82340B">
        <w:rPr>
          <w:rFonts w:ascii="Times New Roman" w:hAnsi="Times New Roman"/>
          <w:sz w:val="24"/>
          <w:szCs w:val="24"/>
        </w:rPr>
        <w:t>U dijelu specifičnih ciljeva Operativnog programa „Konkurentnost i kohezija“, koji se provode kao integrirana teritorijalna ulaganja, Upravljačko tijelo može određene aktivnosti</w:t>
      </w:r>
      <w:r w:rsidR="008514A3" w:rsidRPr="008514A3">
        <w:rPr>
          <w:rFonts w:ascii="Times New Roman" w:hAnsi="Times New Roman"/>
          <w:sz w:val="24"/>
          <w:szCs w:val="24"/>
        </w:rPr>
        <w:t xml:space="preserve"> </w:t>
      </w:r>
      <w:r w:rsidR="008514A3">
        <w:rPr>
          <w:rFonts w:ascii="Times New Roman" w:hAnsi="Times New Roman"/>
          <w:sz w:val="24"/>
          <w:szCs w:val="24"/>
        </w:rPr>
        <w:t>vezane uz postupak odabira projekata (dodjele bespovratnih sredstava)</w:t>
      </w:r>
      <w:r w:rsidR="0082340B">
        <w:rPr>
          <w:rFonts w:ascii="Times New Roman" w:hAnsi="Times New Roman"/>
          <w:sz w:val="24"/>
          <w:szCs w:val="24"/>
        </w:rPr>
        <w:t xml:space="preserve"> prenijeti na</w:t>
      </w:r>
      <w:r w:rsidR="00213950">
        <w:rPr>
          <w:rFonts w:ascii="Times New Roman" w:hAnsi="Times New Roman"/>
          <w:sz w:val="24"/>
          <w:szCs w:val="24"/>
        </w:rPr>
        <w:t xml:space="preserve"> Posrednička tijela integriranih</w:t>
      </w:r>
      <w:r w:rsidR="00A83231">
        <w:rPr>
          <w:rFonts w:ascii="Times New Roman" w:hAnsi="Times New Roman"/>
          <w:sz w:val="24"/>
          <w:szCs w:val="24"/>
        </w:rPr>
        <w:t xml:space="preserve"> </w:t>
      </w:r>
      <w:r w:rsidR="00213950">
        <w:rPr>
          <w:rFonts w:ascii="Times New Roman" w:hAnsi="Times New Roman"/>
          <w:sz w:val="24"/>
          <w:szCs w:val="24"/>
        </w:rPr>
        <w:t>teritorijalnih ulaganja</w:t>
      </w:r>
      <w:r w:rsidR="0082340B">
        <w:rPr>
          <w:rFonts w:ascii="Times New Roman" w:hAnsi="Times New Roman"/>
          <w:sz w:val="24"/>
          <w:szCs w:val="24"/>
        </w:rPr>
        <w:t>, a mora aktivnosti vezane uz ocjenu kvalitete projektnih prijedloga.</w:t>
      </w:r>
    </w:p>
    <w:p w:rsidR="007F5B21" w:rsidRDefault="007F5B21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(5) Posredničkim tijelima </w:t>
      </w:r>
      <w:r w:rsidR="00453BAB">
        <w:rPr>
          <w:rFonts w:ascii="Times New Roman" w:eastAsia="Calibri" w:hAnsi="Times New Roman" w:cs="Times New Roman"/>
          <w:sz w:val="24"/>
          <w:szCs w:val="24"/>
        </w:rPr>
        <w:t>i</w:t>
      </w: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ntegriranih teritorijalnih ulaganja određuju se </w:t>
      </w:r>
      <w:r w:rsidR="00453BAB">
        <w:rPr>
          <w:rFonts w:ascii="Times New Roman" w:eastAsia="Calibri" w:hAnsi="Times New Roman" w:cs="Times New Roman"/>
          <w:sz w:val="24"/>
          <w:szCs w:val="24"/>
        </w:rPr>
        <w:t>gradovi</w:t>
      </w:r>
      <w:r w:rsidR="003957D1">
        <w:rPr>
          <w:rFonts w:ascii="Times New Roman" w:eastAsia="Calibri" w:hAnsi="Times New Roman" w:cs="Times New Roman"/>
          <w:sz w:val="24"/>
          <w:szCs w:val="24"/>
        </w:rPr>
        <w:t xml:space="preserve"> – us</w:t>
      </w:r>
      <w:r w:rsidR="005F54DF">
        <w:rPr>
          <w:rFonts w:ascii="Times New Roman" w:eastAsia="Calibri" w:hAnsi="Times New Roman" w:cs="Times New Roman"/>
          <w:sz w:val="24"/>
          <w:szCs w:val="24"/>
        </w:rPr>
        <w:t>trojstvene jedinice unutar gradova, središta urbanog područja u kojem se provode integrirana teritorijalna ulaganja</w:t>
      </w:r>
      <w:r w:rsidR="00EF6DAF">
        <w:rPr>
          <w:rFonts w:ascii="Times New Roman" w:eastAsia="Calibri" w:hAnsi="Times New Roman" w:cs="Times New Roman"/>
          <w:sz w:val="24"/>
          <w:szCs w:val="24"/>
        </w:rPr>
        <w:t xml:space="preserve"> (područja integriranih teritorijalnih ulaganja)</w:t>
      </w:r>
      <w:r w:rsidR="005F5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6DAF" w:rsidRDefault="00EF6DAF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DAF" w:rsidRDefault="00EF6DAF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(6)</w:t>
      </w:r>
      <w:r w:rsidRPr="00EF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Područja integriranih teritorijalnih ulaganja se u pravilu izabiru na temelju poziva za odabir područja integriranih teritorijalnih ulaganja, a mogu i na drugi, odgovarajući način, o čemu će, u skladu</w:t>
      </w:r>
      <w:r w:rsidR="009259F1">
        <w:rPr>
          <w:rFonts w:ascii="Times New Roman" w:eastAsia="Calibri" w:hAnsi="Times New Roman" w:cs="Times New Roman"/>
          <w:sz w:val="24"/>
          <w:szCs w:val="24"/>
        </w:rPr>
        <w:t xml:space="preserve"> sa svim primjenjivim propisima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pravilima, odlučiti Upravljačko tijelo.</w:t>
      </w:r>
    </w:p>
    <w:p w:rsidR="00453BAB" w:rsidRPr="00B80CD8" w:rsidRDefault="00453BAB" w:rsidP="009D19E6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B21" w:rsidRDefault="00EF6DAF" w:rsidP="00083188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(7</w:t>
      </w:r>
      <w:r w:rsidR="007F5B21" w:rsidRPr="00B80CD8">
        <w:rPr>
          <w:rFonts w:ascii="Times New Roman" w:eastAsia="Calibri" w:hAnsi="Times New Roman" w:cs="Times New Roman"/>
          <w:sz w:val="24"/>
          <w:szCs w:val="24"/>
        </w:rPr>
        <w:t xml:space="preserve">) Prava i obveze Posredničkih tijela razine 1, Posredničkih tijela razine 2 i Posredničkih tijela </w:t>
      </w:r>
      <w:r w:rsidR="00A75625">
        <w:rPr>
          <w:rFonts w:ascii="Times New Roman" w:eastAsia="Calibri" w:hAnsi="Times New Roman" w:cs="Times New Roman"/>
          <w:sz w:val="24"/>
          <w:szCs w:val="24"/>
        </w:rPr>
        <w:t>i</w:t>
      </w:r>
      <w:r w:rsidR="007F5B21" w:rsidRPr="00B80CD8">
        <w:rPr>
          <w:rFonts w:ascii="Times New Roman" w:eastAsia="Calibri" w:hAnsi="Times New Roman" w:cs="Times New Roman"/>
          <w:sz w:val="24"/>
          <w:szCs w:val="24"/>
        </w:rPr>
        <w:t xml:space="preserve">ntegriranih teritorijalnih ulaganja, u odnosu na specifične ciljeve iz stavka 1. i 2. ovoga članka, u dijelu u kojem se oni provode kao </w:t>
      </w:r>
      <w:r w:rsidR="00453BAB">
        <w:rPr>
          <w:rFonts w:ascii="Times New Roman" w:eastAsia="Calibri" w:hAnsi="Times New Roman" w:cs="Times New Roman"/>
          <w:sz w:val="24"/>
          <w:szCs w:val="24"/>
        </w:rPr>
        <w:t>i</w:t>
      </w:r>
      <w:r w:rsidR="00453BAB" w:rsidRPr="00B80CD8">
        <w:rPr>
          <w:rFonts w:ascii="Times New Roman" w:eastAsia="Calibri" w:hAnsi="Times New Roman" w:cs="Times New Roman"/>
          <w:sz w:val="24"/>
          <w:szCs w:val="24"/>
        </w:rPr>
        <w:t xml:space="preserve">ntegrirana </w:t>
      </w:r>
      <w:r w:rsidR="007F5B21" w:rsidRPr="00B80CD8">
        <w:rPr>
          <w:rFonts w:ascii="Times New Roman" w:eastAsia="Calibri" w:hAnsi="Times New Roman" w:cs="Times New Roman"/>
          <w:sz w:val="24"/>
          <w:szCs w:val="24"/>
        </w:rPr>
        <w:t>teritorijalna ulaganja</w:t>
      </w:r>
      <w:r w:rsidR="007F5B21" w:rsidRPr="002732DE">
        <w:rPr>
          <w:rFonts w:ascii="Times New Roman" w:eastAsia="Calibri" w:hAnsi="Times New Roman" w:cs="Times New Roman"/>
          <w:sz w:val="24"/>
          <w:szCs w:val="24"/>
        </w:rPr>
        <w:t>, utvrdit će se sporazumima iz članka 6. stavka 2. ove Uredbe.</w:t>
      </w:r>
    </w:p>
    <w:p w:rsidR="00083188" w:rsidRPr="00B80CD8" w:rsidRDefault="00083188" w:rsidP="00083188">
      <w:pPr>
        <w:spacing w:after="160"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B21" w:rsidRPr="00AC0DC7" w:rsidRDefault="007F5B21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0D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9b.</w:t>
      </w:r>
    </w:p>
    <w:p w:rsidR="007F5B21" w:rsidRPr="00B80CD8" w:rsidRDefault="007F5B21" w:rsidP="009D19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(1) U odnosu na projekte koji se financiraju u okviru Operativnog programa „Konkurentnost i kohezija“ i  Operativnog programa „Učinkoviti ljudski potencijali“, Središnja agencija za financiranje i ugovaranje programa i projekata Europske unije obavlja poslove prethodne (ex-ante) provjere 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 xml:space="preserve">javnih </w:t>
      </w:r>
      <w:r w:rsidRPr="00B80CD8">
        <w:rPr>
          <w:rFonts w:ascii="Times New Roman" w:eastAsia="Calibri" w:hAnsi="Times New Roman" w:cs="Times New Roman"/>
          <w:sz w:val="24"/>
          <w:szCs w:val="24"/>
        </w:rPr>
        <w:t>nabava koje korisnici bespovratnih sredstava provode u svrhu provedbe projekata.</w:t>
      </w:r>
    </w:p>
    <w:p w:rsidR="007F5B21" w:rsidRPr="00B80CD8" w:rsidRDefault="007F5B21" w:rsidP="009D19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(2) Kriterije na temelju kojih će se odrediti 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 xml:space="preserve">javne </w:t>
      </w: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nabave koje će prethodno (ex-ante) provjeravati Središnja agencija za financiranje i ugovaranje programa i projekata Europske unije, određuje Upravljačko tijelo za svaki Operativni program iz stavka 1. </w:t>
      </w:r>
      <w:r w:rsidR="00AD3A91" w:rsidRPr="00B80CD8">
        <w:rPr>
          <w:rFonts w:ascii="Times New Roman" w:eastAsia="Calibri" w:hAnsi="Times New Roman" w:cs="Times New Roman"/>
          <w:sz w:val="24"/>
          <w:szCs w:val="24"/>
        </w:rPr>
        <w:t>ovoga članka</w:t>
      </w:r>
      <w:r w:rsidRPr="00B80CD8">
        <w:rPr>
          <w:rFonts w:ascii="Times New Roman" w:eastAsia="Calibri" w:hAnsi="Times New Roman" w:cs="Times New Roman"/>
          <w:sz w:val="24"/>
          <w:szCs w:val="24"/>
        </w:rPr>
        <w:t>, u smjernicama iz članka 5. stavka 3. točke 3. ove Uredbe.</w:t>
      </w:r>
    </w:p>
    <w:p w:rsidR="002732DE" w:rsidRDefault="007F5B21" w:rsidP="00083188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(3) Prethodne (ex-ante) provjere 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 xml:space="preserve">javnih </w:t>
      </w:r>
      <w:r w:rsidRPr="00B80CD8">
        <w:rPr>
          <w:rFonts w:ascii="Times New Roman" w:eastAsia="Calibri" w:hAnsi="Times New Roman" w:cs="Times New Roman"/>
          <w:sz w:val="24"/>
          <w:szCs w:val="24"/>
        </w:rPr>
        <w:t xml:space="preserve">nabava koje na temelju kriterija iz stavka 2. ovoga članka ne ulaze u opseg </w:t>
      </w:r>
      <w:r w:rsidR="003F0189" w:rsidRPr="00B80CD8">
        <w:rPr>
          <w:rFonts w:ascii="Times New Roman" w:eastAsia="Calibri" w:hAnsi="Times New Roman" w:cs="Times New Roman"/>
          <w:sz w:val="24"/>
          <w:szCs w:val="24"/>
        </w:rPr>
        <w:t xml:space="preserve">javnih </w:t>
      </w:r>
      <w:r w:rsidRPr="00B80CD8">
        <w:rPr>
          <w:rFonts w:ascii="Times New Roman" w:eastAsia="Calibri" w:hAnsi="Times New Roman" w:cs="Times New Roman"/>
          <w:sz w:val="24"/>
          <w:szCs w:val="24"/>
        </w:rPr>
        <w:t>nabava koje</w:t>
      </w:r>
      <w:r w:rsidRPr="00B80CD8">
        <w:rPr>
          <w:rFonts w:ascii="Calibri" w:eastAsia="Calibri" w:hAnsi="Calibri" w:cs="Times New Roman"/>
        </w:rPr>
        <w:t xml:space="preserve"> </w:t>
      </w:r>
      <w:r w:rsidRPr="00B80CD8">
        <w:rPr>
          <w:rFonts w:ascii="Times New Roman" w:eastAsia="Calibri" w:hAnsi="Times New Roman" w:cs="Times New Roman"/>
          <w:sz w:val="24"/>
          <w:szCs w:val="24"/>
        </w:rPr>
        <w:t>prethodno (ex-ante) provjerava Središnja agencija za financiranje i ugovaranje programa i projekata Europske unije, provode nadležna posrednička tijela, u skladu sa smjernicama</w:t>
      </w:r>
      <w:r w:rsidRPr="00B80CD8">
        <w:rPr>
          <w:rFonts w:ascii="Calibri" w:eastAsia="Calibri" w:hAnsi="Calibri" w:cs="Times New Roman"/>
        </w:rPr>
        <w:t xml:space="preserve"> </w:t>
      </w:r>
      <w:r w:rsidRPr="00B80CD8">
        <w:rPr>
          <w:rFonts w:ascii="Times New Roman" w:eastAsia="Calibri" w:hAnsi="Times New Roman" w:cs="Times New Roman"/>
          <w:sz w:val="24"/>
          <w:szCs w:val="24"/>
        </w:rPr>
        <w:t>iz članka 5. stavka 3. točke 3. ove Uredbe te njihovim internim procedurama.“.</w:t>
      </w:r>
    </w:p>
    <w:p w:rsidR="00083188" w:rsidRPr="00083188" w:rsidRDefault="00083188" w:rsidP="00083188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2DE" w:rsidRPr="002F0DF1" w:rsidRDefault="007F5B21" w:rsidP="002F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0D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4409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039AE" w:rsidRPr="00AC0D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C3030" w:rsidRPr="00562767" w:rsidRDefault="007F5B21" w:rsidP="005627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- Prikaz posredničkih tijela nadležnih za provedbu izabranih investicijskih prioriteta, po Operativnom programu, Prikaz 1 Operativni program »Konkurentnost i kohezija« koji je sastavni dio Uredbe o tijelima u sustavima upravljanja i kontrole korištenja Europskog socijalnog fonda, Europskog fonda za regionalni razvoj i Kohezijskog fonda, u vezi s ciljem »Ulaganje za rast i radna mjesta« (»Narodne novine«, broj 107/2014, 23/2015, 129/2015) zamjenjuje se novim Prilogom - Prikaz posredničkih tijela nadležnih za provedbu izabranih investicijskih prioriteta, po Operativnom programu, Prikazom 1 Operativni program »Konkurentnost i kohezija« koji je sastavni dio ove Uredbe.</w:t>
      </w:r>
    </w:p>
    <w:p w:rsidR="00BC3030" w:rsidRDefault="00BC3030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09DB" w:rsidRDefault="004409DB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09DB" w:rsidRDefault="004409DB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09DB" w:rsidRDefault="004409DB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09DB" w:rsidRDefault="004409DB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09DB" w:rsidRDefault="004409DB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C24F2" w:rsidRPr="002732DE" w:rsidRDefault="000C24F2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</w:t>
      </w:r>
    </w:p>
    <w:p w:rsidR="000C24F2" w:rsidRPr="002732DE" w:rsidRDefault="000C24F2" w:rsidP="00AC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PRIKAZ POSREDNIČKIH TIJELA NADLEŽNIH ZA PROVEDBU IZABRANIH</w:t>
      </w:r>
      <w:r w:rsidR="00EC3911" w:rsidRPr="002732D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INVESTICIJSKIH</w:t>
      </w:r>
      <w:r w:rsidRPr="002732D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PRIORITETA, PO OPERATIVNOM PROGRAMU</w:t>
      </w:r>
    </w:p>
    <w:tbl>
      <w:tblPr>
        <w:tblW w:w="5365" w:type="pct"/>
        <w:tblInd w:w="-299" w:type="dxa"/>
        <w:tblBorders>
          <w:top w:val="double" w:sz="4" w:space="0" w:color="666666"/>
          <w:left w:val="double" w:sz="4" w:space="0" w:color="666666"/>
          <w:bottom w:val="double" w:sz="4" w:space="0" w:color="666666"/>
          <w:right w:val="double" w:sz="4" w:space="0" w:color="666666"/>
          <w:insideH w:val="double" w:sz="4" w:space="0" w:color="666666"/>
          <w:insideV w:val="double" w:sz="4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757"/>
        <w:gridCol w:w="1224"/>
        <w:gridCol w:w="1623"/>
        <w:gridCol w:w="1424"/>
        <w:gridCol w:w="1430"/>
        <w:gridCol w:w="1768"/>
      </w:tblGrid>
      <w:tr w:rsidR="002732DE" w:rsidRPr="002732DE" w:rsidTr="00722DA9">
        <w:tc>
          <w:tcPr>
            <w:tcW w:w="1091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722DA9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Prikaz 1</w:t>
            </w: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Operativni program »Konkurentnost i kohezija«</w:t>
            </w:r>
          </w:p>
        </w:tc>
      </w:tr>
      <w:tr w:rsidR="002732DE" w:rsidRPr="002732DE" w:rsidTr="00722DA9">
        <w:tc>
          <w:tcPr>
            <w:tcW w:w="16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Prioritetna os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Izabrani investicijski prioritet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 specifičnog cilja (OSC)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specifičnog cilja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Posredničko tijelo razine 1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Posredničko tijelo razine 2</w:t>
            </w:r>
          </w:p>
        </w:tc>
        <w:tc>
          <w:tcPr>
            <w:tcW w:w="1768" w:type="dxa"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Posredničko tijelo </w:t>
            </w:r>
            <w:r w:rsidR="009D1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integriranih</w:t>
            </w:r>
            <w:r w:rsidRPr="0027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teritorijalnih ulaganja</w:t>
            </w: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Jačanje gospodarstva primjenom istraživanja i inovacija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infrastrukture i kapaciteta za istraživanje i inovacije s ciljem razvijanja uspješnosti istraživanja i inovacija te promoviranje centara za kompetencije, posebno onih od europskog interesa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Povećana sposobnost sektora istraživanja i razvoja (IR) za obnavljanje istraživanja vrhunske kvalitete i zadovoljavanje potreba gospodarstva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znanosti, obrazovanja i sporta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strukovno obrazovanje i obrazovanje odraslih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 w:val="restart"/>
            <w:noWrap/>
            <w:tcFitText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poslovnih ulaganja u inovacijama i istraživanjima te razvoj veza i sinergija između poduzeća, IR centara i visokog obrazovanja, posebno razvoja proizvoda i usluga,</w:t>
            </w:r>
            <w:r w:rsidR="0058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tehnološko povezivanje, socijalna inovacija, ekološka inovacija, usluge javnog servisa, zahtjevi za poticajima,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umrežavanje, klasteri i otvorena inovacija kroz pametnu specijalizaciju, tehnološko jačanje i primijenjeno istraživanje, pilot linije, pred proizvodna provjera valjanosti, napredne proizvodne mogućnosti i početne proizvodnje, posebno u Ključnim tehnologijama koje potiču razvoj i inovacije i širenje tehnologija za opću namjenu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1b1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 proizvodi i usluge kao rezultat djelatnosti istraživanja, razvoja i inovacija (IRI)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gospodarstva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agencija za malo gospodarstvo, inovacije i investicije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1b2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Jačanje djelatnosti istraživanja, razvoja i inovacija (IRI) poslovnog sektora kroz stvaranje povoljnog inovacijskog okruženja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Korištenje informacijskih i komunikacijskih tehnologija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Proširenje dostupnosti širokopojasnog pristupa i izgradnja mreža velikih brzina te podrška usvajanju novih tehnologija i mreža za digitalno gospodarstvo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infrastrukturne širokopojasne mreže sljedeće generacije u područjima bez infrastrukture širokopojasne mreže sljedeće generacije i bez dovoljno komercijalnog interesa, za maksimalno povećanje socijalne i ekonomske dobrobiti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Jačanje aplikacija informacijskih i komunikacijskih tehnologija za e–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upravu, e–učenje, e–uključenost, e–kulturu i e–zdravlje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2c1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korištenja IKT-a u komunikaciji između građana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 javne uprave putem uspostave IKT koordinacijske strukture i softverskih rješenja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Ministarstvo regionalnoga razvoja i fondova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Europske unije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Središnja agencija za financiranje i ugovaranje programa i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Poslovna konkurentnost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poduzetništva, posebno olakšavajući ekonomsko iskorištavanje novih ideja i poticanje stvaranja novih poduzeća, uključujući putem poslovnih inkubatora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Bolji pristup financiranju za male i srednje poduzetnike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poduzetništva i obrta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Hrvatska agencija za malo gospodarstvo, inovacije i investicije, 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Središnja agencija za financiranje i ugovaranje programa i projekata Europske unije </w:t>
            </w:r>
            <w:r w:rsidR="00CA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(a za specifični cilj 3a2</w:t>
            </w:r>
            <w:r w:rsidR="007F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CA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dijelu u kojem se provodi kao integrirano teritorijalno ulaganje - isključivo </w:t>
            </w:r>
            <w:r w:rsidR="00CA538D"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  <w:r w:rsidR="00CA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3a2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Omogućavanje povoljnog okruženja za razvoj poduzetništva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Align w:val="center"/>
          </w:tcPr>
          <w:p w:rsidR="005F54DF" w:rsidRDefault="005F54DF" w:rsidP="005F54DF">
            <w:pPr>
              <w:spacing w:after="160" w:line="257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 – ustrojstven</w:t>
            </w:r>
            <w:r w:rsidR="009D033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jedinic</w:t>
            </w:r>
            <w:r w:rsidR="009D033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unutar grada, središta urbanog područja u kojem se provod</w:t>
            </w:r>
            <w:r w:rsidR="009D033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</w:t>
            </w:r>
            <w:r w:rsidR="009D033D">
              <w:rPr>
                <w:rFonts w:ascii="Times New Roman" w:eastAsia="Calibri" w:hAnsi="Times New Roman" w:cs="Times New Roman"/>
                <w:sz w:val="24"/>
                <w:szCs w:val="24"/>
              </w:rPr>
              <w:t>egrirano teritorijalno ulaganje</w:t>
            </w:r>
          </w:p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Podupiranje kapaciteta MSP-ova za rast na regionalnom, nacionalnom i međunarodnom tržištu te angažiranost u inovacijskim procesima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3d1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Poboljšani razvoj i rast malih i srednjih poduzetnika na domaćem i stranim tržištima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 w:val="restart"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3d2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Poboljšana inovativnost malih i srednjih poduzetnika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Promicanje energetske učinkovitosti i obnovljivih izvora energije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energetske učinkovitosti i korištenja obnovljivih izvora energije u poduzećima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4b1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energetske učinkovitosti i korištenja OIE u proizvodnim industrijama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gospodarstva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3740" w:rsidRPr="002732DE" w:rsidRDefault="00243740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4b2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energetske učinkovitosti i korištenja OIE u privatnom uslužnom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sektoru (turizam i trgovina)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Podupiranje energetske učinkovitosti, pametnog upravljanja energijom i korištenja OIE u javnoj infrastrukturi, uključujući javne zgrade, i u stambenom sektoru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4c1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potrošnje energije u zgradama javnog sektora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4c2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potrošnje energije u stambenim zgradama (u višestambenim zgradama i obiteljskim kućama)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4c3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učinkovitosti sustava toplinarstva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gospodarstva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Fond za zaštitu okoliša i energetsku učinkovitost 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Središnja agencija za financiranje i ugovaranje programa i projekata Europske unije (za specifični cilj 4c3 koji se provodi kao </w:t>
            </w:r>
            <w:r w:rsidR="007F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ntegrirano teritorijalno ulaganje)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</w:tcPr>
          <w:p w:rsidR="00722DA9" w:rsidRDefault="00722DA9" w:rsidP="00722DA9">
            <w:pPr>
              <w:spacing w:after="160" w:line="257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 – ustrojstvena jedinica unutar grada, središta urbanog područja u kojem se provodi integrirano teritorijalno ulaganje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4c4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učinkovitosti javne rasvjete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 w:val="restart"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i provedba pametnih sustava distribucije koji djeluju pri niskim i srednjim razinama napona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4d1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Pilot-projekt uvođenja naprednih mreža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Klimatske promjene i upravljanje rizicima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Podupiranje ulaganja za prilagodbu na klimatske promjene, uključujući pristupe temeljene na ekosustavu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praćenja, predviđanja i planiranja mjera prilagodbe klimatskim promjenama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zaštite okoliša i prirode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ulaganja koja se odnose na posebne rizike, osiguranje otpornosti na katastrofe i razvoj sustava za upravljanje katastrofama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5b1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Jačanje sustava upravljanja katastrofama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poljoprivrede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Hrvatske vode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Zaštita okoliša i održivost resursa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Očuvanje, zaštita, promicanje i razvoj prirodne i kulturne baštine 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6c1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zapošljavanja i turističkih izdataka kroz unaprjeđenje kulturne baštine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Align w:val="center"/>
          </w:tcPr>
          <w:p w:rsidR="009D033D" w:rsidRDefault="009D033D" w:rsidP="009D033D">
            <w:pPr>
              <w:spacing w:after="160" w:line="257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 – ustrojstvena jedinica unutar grada, središta urbanog područja u kojem se provodi integrirano teritorijalno ulaganje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6c2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atraktivnosti, edukativnog kapaciteta i održivog upravljanja odredištima prirodne baštine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 w:val="restart"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Aktivnosti kojima se poboljšava urbani okoliš, revitalizacija gradova, obnova i dekontaminacija nekadašnjeg industrijskog zemljišta (uključujući prenamijenjena područja), smanjenje zagađenja zraka i promicanje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mjera za smanjenje buke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6e1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sustava upravljanja i praćenja kvalitete zraka sukladno Uredbi 2008/50/EZ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zaštite okoliša i prirode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F027C" w:rsidRPr="002732DE" w:rsidTr="00BF027C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6e2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Obnova brownfield lokacija (bivša vojna i/ili industrijska područja) unutar ITU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Align w:val="center"/>
          </w:tcPr>
          <w:p w:rsidR="009D033D" w:rsidRDefault="009D033D" w:rsidP="009D033D">
            <w:pPr>
              <w:spacing w:after="160" w:line="257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 – ustrojstvena jedinica unutar grada, središta urbanog područja u kojem se provodi integrirano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teritorijalno ulaganje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sektor otpada kako bi se ispunili zahtjevi pravne stečevine Unije u području okoliša i zadovoljile potrebe koje su utvrdile države članice za ulaganjem koje nadilazi te zahtjeve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Smanjena količina otpada koji se odlaže na odlagališta</w:t>
            </w:r>
          </w:p>
        </w:tc>
        <w:tc>
          <w:tcPr>
            <w:tcW w:w="14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zaštite okoliša i prirode</w:t>
            </w:r>
          </w:p>
        </w:tc>
        <w:tc>
          <w:tcPr>
            <w:tcW w:w="14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1768" w:type="dxa"/>
            <w:vMerge w:val="restart"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Ulaganje u vodni sektor kako bi se ispunili zahtjevi pravne stečevine Unije u području okoliša i zadovoljile potrebe koje su utvrdile države članice za ulaganjem koje nadilazi te zahtjeve 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Unaprjeđenje javnog vodoopskrbnog sustava u svrhu osiguranja kvalitete i sigurnosti usluga opskrbe pitkom vodom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poljoprivrede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Hrvatske vode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6ii2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sustava prikupljanja i obrade otpadnih voda s ciljem doprinosa poboljšanju stanja voda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i obnova biološke raznolikosti i tla te promicanje eko usluga, uključujući NATURA 2000 i »zelenu« infrastrukturu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6iii1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Poboljšano znanje o stanju bioraznolikosti kao temelja za učinkovito praćenje i upravljanje bioraznolikošću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zaštite okoliša i prirode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6iii2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Uspostava okvira za održivo upravljanje bioraznolikošću (primarno Natura 2000)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6iii3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Razminiranje, obnova i zaštita šuma i šumskog zemljišta u zaštićenim i Natura 2000 područjima 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Povezanost i mobilnost 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Podupiranje multimodalnog jedinstvenog europskog prometnog prostora ulaganjem u TEN–T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Unaprjeđenje cestovne mreže TEN–T i pristupa cestovnoj mreži TEN–T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pomorstva, prometa i infrastrukture</w:t>
            </w: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5CBD" w:rsidRDefault="007F5CB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pomorstva, prometa i infrastrukture</w:t>
            </w:r>
          </w:p>
          <w:p w:rsidR="002732DE" w:rsidRPr="002732DE" w:rsidRDefault="002732DE" w:rsidP="00895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Središnja agencija za financiranje i ugovaranje programa i projekata Europske unije (u dijelu u kojem se specifični cilj 7ii2 provodi kao </w:t>
            </w:r>
            <w:r w:rsidR="00E4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integrirano teritorijalno ulaganje)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Poboljšavanje regionalne mobilnosti povezivanjem sekundarnih i tercijarnih čvorišta s infrastrukturom TEN–T–a, uključujući multimodalna čvorišta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7b1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cestovne sigurnosti u dijelovima s visokom razinom mješovitog prometa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Podupiranje multimodalnog jedinstvenog europskog prometnog prostora ulaganjem u TEN–T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teretnog prometa na unutarnjim vodnim putovima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Razvoj i unapređenje prometnih sustava prihvatljivih za okoliš (uključujući one s niskom razinom buke), i prometni sustavi s niskim emisijama CO2, uključujući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unutarnje plovne putove i pomorski prijevoz, luke, multimodalne veze i aerodromsku infrastrukturu, radi promicanja održive regionalne i lokalne mobilnosti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7ii1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naseljenih otoka za njihove stanovnika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7ii2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broja putnika u javnom prijevozu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</w:tcPr>
          <w:p w:rsidR="009D033D" w:rsidRDefault="009D033D" w:rsidP="009D033D">
            <w:pPr>
              <w:spacing w:after="160" w:line="257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 – ustrojstvena jedinica unutar grada, središta urbanog područja u kojem se provodi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integrirano teritorijalno ulaganje</w:t>
            </w:r>
          </w:p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7ii3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Dubrovnika zrakom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 w:val="restart"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i obnova sveobuhvatnih, visokokvalitetnih i interoperabilnih željezničkih sustava te promicanje mjera za smanjenje buke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7iii1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uporabe i važnosti željezničke mreže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Socijalno uključivanje i zdravlje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zdravstvenu i socijalnu infrastrukturu što pridonosi nacionalnom, regionalnom i lokalnom razvoju, smanjujući nejednakosti u smislu zdravstvenog statusa, promičući socijalnu uključenost, kulturne i rekreativne usluge te prelazak s institucionalne skrbi na skrb u zajednici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pristupa primarnoj i hitnoj zdravstvenoj zaštiti, s fokusom na udaljena i deprivirana područja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9a2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učinkovitosti i dostupnosti bolničkog liječenja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9a3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Promicanje socijalne uključenosti i smanjenje nejednakosti kroz poboljšani pristup socijalnim uslugama te prelazak s institucionalne skrbi na skrb u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zajednici putem poboljšane socijalne infrastrukture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9a4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Provedba pilot aktivnosti koje imaju za cilj promociju socijalne uključenosti i smanjenje siromaštva ratnih veterana i civilnih žrtava Domovinskog rata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Pružanje podrške fizičkoj, gospodarskoj i socijalnoj obnovi ugroženih zajednica u urbanim i ruralnim područjima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9b1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Održiva fizička, socijalna i gospodarska regeneracija pet depriviranih pilot područja s ciljem smanjenja socijalnih nejednakosti, isključenosti i siromaštva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Obrazovanje, vještine i cjeloživotno učenje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obrazovanje, vještine i cjeloživotno učenje kroz razvoj infrastrukture za obrazovanje i osposobljavanje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digitalno zrelih škola koje su spremne za korištenje potencijala informacijsko komunikacijske tehnologije u obrazovanju i razvoju vještina za 21. stoljeće, potrebnih na tržištu rada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10a2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Modernizacija, unaprjeđenje i povećanje infrastrukture studentskog smještaja u visokom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obrazovanju s ciljem poboljšanja pristupa visokom obrazovanju te završetak studija za studente u nepovoljnom položaju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10a3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 relevantnosti strukovnog obrazovanja kroz poboljšanje uvjeta za stjecanje praktičnih vještina u ciljanim sektorima srednjeg strukovnog obrazovanja s ciljem postizanja veće zapošljivosti učenika srednjeg strukovnog obrazovanja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Tehnička pomoć </w:t>
            </w:r>
          </w:p>
        </w:tc>
        <w:tc>
          <w:tcPr>
            <w:tcW w:w="175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TA1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Osiguravanje odgovarajućih i učinkovitih ljudskih resursa za provedbu operativnih programa</w:t>
            </w:r>
          </w:p>
        </w:tc>
        <w:tc>
          <w:tcPr>
            <w:tcW w:w="142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143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TA2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Podrška učinkovitoj provedbi, praćenju i evaluaciji programa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32DE" w:rsidRPr="002732DE" w:rsidTr="00722DA9">
        <w:tc>
          <w:tcPr>
            <w:tcW w:w="169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TA3</w:t>
            </w:r>
          </w:p>
        </w:tc>
        <w:tc>
          <w:tcPr>
            <w:tcW w:w="16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2DE" w:rsidRPr="002732DE" w:rsidRDefault="002732DE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Podrška informiranju javnosti i </w:t>
            </w:r>
            <w:r w:rsidRPr="0027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podizanju kapaciteta potencijalnih korisnika za pripremu projekata i njihovu provedbu</w:t>
            </w:r>
          </w:p>
        </w:tc>
        <w:tc>
          <w:tcPr>
            <w:tcW w:w="1424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Merge/>
          </w:tcPr>
          <w:p w:rsidR="002732DE" w:rsidRPr="002732DE" w:rsidRDefault="002732DE" w:rsidP="009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D19E6" w:rsidRDefault="009D19E6" w:rsidP="0072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0FE" w:rsidRPr="002732DE" w:rsidRDefault="00C830FE" w:rsidP="00083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7230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D19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30FE" w:rsidRPr="002732DE" w:rsidRDefault="002E4207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stupa na snagu </w:t>
      </w:r>
      <w:r w:rsidR="003F0189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osmog </w:t>
      </w:r>
      <w:r w:rsidR="00926425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objave u Narodnim novinama</w:t>
      </w:r>
      <w:r w:rsidR="005F515C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članka 1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F515C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dijelu </w:t>
      </w:r>
      <w:r w:rsidR="00A42A02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kojem se dodaje članak </w:t>
      </w:r>
      <w:r w:rsidR="005F515C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9b.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koji stupa na snagu 1. </w:t>
      </w:r>
      <w:r w:rsidR="00367CF7"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Pr="00273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2016.</w:t>
      </w:r>
      <w:r w:rsidRPr="002732D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C830FE" w:rsidRPr="002732DE" w:rsidRDefault="00C830FE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C830FE" w:rsidRPr="002732DE" w:rsidRDefault="00C830FE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C830FE" w:rsidRPr="002732DE" w:rsidRDefault="0028295C" w:rsidP="009D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C830FE" w:rsidRPr="002732DE" w:rsidRDefault="00C830FE" w:rsidP="009D19E6">
      <w:pPr>
        <w:spacing w:before="100" w:beforeAutospacing="1" w:after="100" w:afterAutospacing="1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194477" w:rsidRPr="002732DE" w:rsidRDefault="00C830FE" w:rsidP="009D19E6">
      <w:pPr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194477" w:rsidRPr="002732DE" w:rsidSect="00086DEB">
          <w:pgSz w:w="11906" w:h="16838"/>
          <w:pgMar w:top="1106" w:right="851" w:bottom="1418" w:left="851" w:header="709" w:footer="709" w:gutter="0"/>
          <w:cols w:space="708"/>
          <w:docGrid w:linePitch="360"/>
        </w:sectPr>
      </w:pPr>
      <w:r w:rsidRPr="00273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Tihomir Orešković</w:t>
      </w:r>
      <w:r w:rsidR="00636441" w:rsidRPr="00273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636441" w:rsidRPr="002732DE">
        <w:rPr>
          <w:rFonts w:ascii="Times New Roman" w:eastAsia="Times New Roman" w:hAnsi="Times New Roman" w:cs="Times New Roman"/>
          <w:sz w:val="24"/>
          <w:szCs w:val="24"/>
          <w:lang w:eastAsia="hr-HR"/>
        </w:rPr>
        <w:t>v.r.</w:t>
      </w:r>
    </w:p>
    <w:p w:rsidR="00C939C3" w:rsidRPr="002732DE" w:rsidRDefault="00257250" w:rsidP="009D19E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2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:rsidR="00C939C3" w:rsidRPr="002732DE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9C3" w:rsidRPr="002732DE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Osnova za donošenje ove Uredbe sadržana je u članku 7. stavku 1. podstavku 1. Zakona o uspostavi institucionalnog okvira za provedbu europskih strukturnih i investicijskih fondova u Republici Hrvatskoj u financijskom razdoblju 2014. - 2020. („Narodne novine“, broj 92/</w:t>
      </w:r>
      <w:r w:rsidR="00257250" w:rsidRPr="00EC21C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14 od 28. srpnja 2014., u nastavku teksta: Zakon), koji je stupio na snagu 5. kolovoza 2014.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Opća pravila korištenja europskih strukturnih i investicijskih fondova (u daljnjem tekstu: ESI fondovi) propisana su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(u nastavku teksta: Uredba (EU) br. 1303/2013).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Zakonom se, u cilju osiguravanja provedbe Uredbe (EU) br. 1303/2013, uspostavlja institucionalni okvir za korištenje ESI fondova, kao osnovni preduvjet za korištenje alokacija dodijeljenih Republici Hrvatskoj u financijskom razdoblju 2014. – 2020, dok se Uredbom o tijelima u Sustavima upravljanja i kontrole korištenja Europskog socijalnog fonda, Europskog fonda za regionalni razvoj i Kohezijskog fonda, u vezi s ciljem „Ulaganje za rast i radna mjesta“ („Narodne novine“, broj 107/</w:t>
      </w:r>
      <w:r w:rsidR="00F36BAE" w:rsidRPr="00EC21C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14, 23/</w:t>
      </w:r>
      <w:r w:rsidR="00F36BAE" w:rsidRPr="00EC21C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66309" w:rsidRPr="00EC21CD">
        <w:rPr>
          <w:rFonts w:ascii="Times New Roman" w:eastAsia="Calibri" w:hAnsi="Times New Roman" w:cs="Times New Roman"/>
          <w:bCs/>
          <w:sz w:val="24"/>
          <w:szCs w:val="24"/>
        </w:rPr>
        <w:t>15 i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129/</w:t>
      </w:r>
      <w:r w:rsidR="00F36BAE" w:rsidRPr="00EC21C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15, u nastavku teksta: Uredba) razrađuju dužnosti pojedinih tijela u okviru pojedinog Sustava upravljanja i kontrole (u daljnjem tekstu: Sustav), ovisno o specifičnostima Operativnog programa „Konkurentnost i kohezija“ i Operativnog programa „Učinkoviti ljudski potencijali“. 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Uredbom se, dakle, utvrđuju institucije koje imaju ulogu tijela u Sustavima korištenja Europskog socijalnog fonda, Europskog fonda za regionalni razvoj i Kohezijskog fonda, vezano uz cilj „Ulaganje za rast i radn</w:t>
      </w:r>
      <w:r w:rsidR="00A25CDF">
        <w:rPr>
          <w:rFonts w:ascii="Times New Roman" w:eastAsia="Calibri" w:hAnsi="Times New Roman" w:cs="Times New Roman"/>
          <w:bCs/>
          <w:sz w:val="24"/>
          <w:szCs w:val="24"/>
        </w:rPr>
        <w:t>a mjesta“, navedene u članku 5. stavku 1.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podstavcima 2. i 3. Zakona te se, između ostaloga, dodatno razrađuju funkcije, zadaće i odgovornosti Posredničkog tijela razine 1 i Posredničkog tijela razine 2.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Također, Uredbom se, u pogledu operativnog programa iz članka 4. stavka 2. točke 1.</w:t>
      </w:r>
      <w:r w:rsidR="001633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podtočke 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a) Zakona (Operativni program „Konkurentnost i kohezija“), razrađuju funkcije, zadaće i odgovornosti Posredničkog tijela razine 1 i Posredničkog tijela razine 2 u odnosu na sve specifične ciljeve</w:t>
      </w:r>
      <w:r w:rsidR="00F36BAE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tog Operativnog programa.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Člankom 36. Uredbe (EU)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br. 1303/2013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predviđena je mogućnost primjene mehanizma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ntegriranih teritorijalnih ulaganja, u slučajevima kada strategija urbanog razvoja ili druga teritorijalna strategija zahtijevaju integrirani pristup koji uključuje investicije iz Europskog socijalnog fonda, Europskog fonda za regionalni razvoj ili Kohezijskog fonda, u okviru više od jedne prioritetne osi jednog ili više operativnih programa. </w:t>
      </w:r>
    </w:p>
    <w:p w:rsidR="007A4B78" w:rsidRPr="00EC21CD" w:rsidRDefault="007A4B78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166309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Predloženom dopunom Uredbe</w:t>
      </w:r>
      <w:r w:rsidR="00225AA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utvrđuje se da će se s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pecifični cilj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>evi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Operativnog programa „Konkurentnost i Kohezija“ 4c3 (Povećanje učinkovitosti sustava toplinarstva) i 6e2 (Obnova brownfield lokacija (bivša vojna i/ili industrijska područja) unutar ITU) </w:t>
      </w:r>
      <w:r w:rsidR="00453BAB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u cijelosti 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provoditi kao postupci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ntegriranih teritorijalnih ulaganja. 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225AAA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Također, s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pecifični ciljevi Operativnog prog</w:t>
      </w:r>
      <w:r w:rsidR="0016630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rama „Konkurentnost i Kohezija“ 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3a2 (Omogućavanje povoljnog okruženja za razvoj poduzetništva), 6c1 (Povećanje zapošljavanja i turističkih izdataka kroz unaprjeđenje kulturne baštine) i 7ii2 (Povećanje broja putnika u javnom prijevozu) će se, u cijelosti ili djelomično, provoditi kao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integrirana 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teritorijaln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ulaganja.</w:t>
      </w:r>
    </w:p>
    <w:p w:rsidR="00C939C3" w:rsidRPr="00EC21CD" w:rsidRDefault="00C939C3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523C" w:rsidRPr="00EC21CD" w:rsidRDefault="00166309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Predlaže se da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5E4E" w:rsidRPr="00B80CD8">
        <w:rPr>
          <w:rFonts w:ascii="Times New Roman" w:eastAsia="Calibri" w:hAnsi="Times New Roman" w:cs="Times New Roman"/>
          <w:bCs/>
          <w:sz w:val="24"/>
          <w:szCs w:val="24"/>
        </w:rPr>
        <w:t>Središnja agencija za financiranje i ugovaranje programa i projekata Europske unije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ima ulogu Posredničkog tijela razine 2</w:t>
      </w:r>
      <w:r w:rsidR="00615E4E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za sve </w:t>
      </w:r>
      <w:r w:rsidR="001633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specifične 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ciljeve u dijelu u kojem se oni provode kao aktivnosti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ntegriranih teritorijalnih ulaganja,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te se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omogućuje da se 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sporazumima </w:t>
      </w:r>
      <w:r w:rsidR="00C21035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Upravljačkog tijela 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>s P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osredničkim tijelima</w:t>
      </w:r>
      <w:r w:rsidR="0017027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integriranih teritorijalnih ulaganja na </w:t>
      </w:r>
      <w:r w:rsidR="00213950" w:rsidRPr="00EC21CD">
        <w:rPr>
          <w:rFonts w:ascii="Times New Roman" w:eastAsia="Calibri" w:hAnsi="Times New Roman" w:cs="Times New Roman"/>
          <w:bCs/>
          <w:sz w:val="24"/>
          <w:szCs w:val="24"/>
        </w:rPr>
        <w:t>navedena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Posrednička tijela</w:t>
      </w:r>
      <w:r w:rsidR="0003110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1035" w:rsidRPr="00EC21CD">
        <w:rPr>
          <w:rFonts w:ascii="Times New Roman" w:eastAsia="Calibri" w:hAnsi="Times New Roman" w:cs="Times New Roman"/>
          <w:bCs/>
          <w:sz w:val="24"/>
          <w:szCs w:val="24"/>
        </w:rPr>
        <w:t>prenesu određene aktivnosti vezane uz odabir projekata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(dodjelu bespovratnih sredstava), </w:t>
      </w:r>
      <w:r w:rsidR="00213950" w:rsidRPr="00EC21CD">
        <w:rPr>
          <w:rFonts w:ascii="Times New Roman" w:eastAsia="Calibri" w:hAnsi="Times New Roman" w:cs="Times New Roman"/>
          <w:bCs/>
          <w:sz w:val="24"/>
          <w:szCs w:val="24"/>
        </w:rPr>
        <w:t>uz obvezu prijenosa (</w:t>
      </w:r>
      <w:r w:rsidR="0003110A" w:rsidRPr="00EC21CD">
        <w:rPr>
          <w:rFonts w:ascii="Times New Roman" w:eastAsia="Calibri" w:hAnsi="Times New Roman" w:cs="Times New Roman"/>
          <w:bCs/>
          <w:sz w:val="24"/>
          <w:szCs w:val="24"/>
        </w:rPr>
        <w:t>dodjeljivanja</w:t>
      </w:r>
      <w:r w:rsidR="002139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03110A" w:rsidRPr="00EC21CD">
        <w:rPr>
          <w:rFonts w:ascii="Times New Roman" w:eastAsia="Calibri" w:hAnsi="Times New Roman" w:cs="Times New Roman"/>
          <w:bCs/>
          <w:sz w:val="24"/>
          <w:szCs w:val="24"/>
        </w:rPr>
        <w:t>aktivnosti koje se odnose na ocjenjivanje projektnih prijedloga.</w:t>
      </w:r>
    </w:p>
    <w:p w:rsidR="00EC21CD" w:rsidRPr="00EC21CD" w:rsidRDefault="00EC21CD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21CD" w:rsidRPr="00EC21CD" w:rsidRDefault="00EC21CD" w:rsidP="00EC21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Naime, prijenos aktivnosti ocjenjivanja kvalitete jest minimum koji mora biti zadovoljen u skladu s Uredbom (EU) br. 1303/2013 te Uredbom (EU) br. 1301/2013 Europskog parlamenta i Vijeća od 17. prosinca 2013. o Europskom fondu za regionalni razvoj i o posebnim odredbama o cilju „Ulaganje za rast i radna mjesta” te stavljanju izvan snage Uredbe (EZ) br. 1080/2006.</w:t>
      </w:r>
    </w:p>
    <w:p w:rsidR="0003110A" w:rsidRPr="00EC21CD" w:rsidRDefault="0003110A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1D27" w:rsidRPr="00EC21CD" w:rsidRDefault="0003110A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Nadalje,</w:t>
      </w:r>
      <w:r w:rsidR="002B523C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uvodi </w:t>
      </w:r>
      <w:r w:rsidR="009657E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se institut </w:t>
      </w:r>
      <w:r w:rsidR="007F5CBD" w:rsidRPr="00EC21CD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2B523C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osredničkih tijela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integriranih </w:t>
      </w:r>
      <w:r w:rsidR="002B523C" w:rsidRPr="00EC21CD">
        <w:rPr>
          <w:rFonts w:ascii="Times New Roman" w:eastAsia="Calibri" w:hAnsi="Times New Roman" w:cs="Times New Roman"/>
          <w:bCs/>
          <w:sz w:val="24"/>
          <w:szCs w:val="24"/>
        </w:rPr>
        <w:t>teritorijalnih ulaganja</w:t>
      </w:r>
      <w:r w:rsidR="009657E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53778" w:rsidRPr="00EC21CD">
        <w:rPr>
          <w:rFonts w:ascii="Times New Roman" w:eastAsia="Calibri" w:hAnsi="Times New Roman" w:cs="Times New Roman"/>
          <w:bCs/>
          <w:sz w:val="24"/>
          <w:szCs w:val="24"/>
        </w:rPr>
        <w:t>Definira</w:t>
      </w:r>
      <w:r w:rsidR="009657E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se da se takvim tijelom </w:t>
      </w:r>
      <w:r w:rsidR="00C53778" w:rsidRPr="00EC21CD">
        <w:rPr>
          <w:rFonts w:ascii="Times New Roman" w:eastAsia="Calibri" w:hAnsi="Times New Roman" w:cs="Times New Roman"/>
          <w:bCs/>
          <w:sz w:val="24"/>
          <w:szCs w:val="24"/>
        </w:rPr>
        <w:t>određuju</w:t>
      </w:r>
      <w:r w:rsidR="009657E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3778" w:rsidRPr="00EC21CD">
        <w:rPr>
          <w:rFonts w:ascii="Times New Roman" w:eastAsia="Calibri" w:hAnsi="Times New Roman" w:cs="Times New Roman"/>
          <w:bCs/>
          <w:sz w:val="24"/>
          <w:szCs w:val="24"/>
        </w:rPr>
        <w:t>gradovi – ustrojstvene jedinice unutar gradova, središta urbanog područja u kojem se provode integrirana teritorijalna ulaganja</w:t>
      </w:r>
      <w:r w:rsidR="006C3A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3AB3" w:rsidRPr="00EC21CD">
        <w:rPr>
          <w:rFonts w:ascii="Times New Roman" w:eastAsia="Calibri" w:hAnsi="Times New Roman" w:cs="Times New Roman"/>
          <w:bCs/>
          <w:sz w:val="24"/>
          <w:szCs w:val="24"/>
        </w:rPr>
        <w:t>(područja integriranih teritorijalnih ulaganja)</w:t>
      </w:r>
      <w:r w:rsidR="00C53778" w:rsidRPr="00EC21CD">
        <w:rPr>
          <w:rFonts w:ascii="Times New Roman" w:eastAsia="Calibri" w:hAnsi="Times New Roman" w:cs="Times New Roman"/>
          <w:bCs/>
          <w:sz w:val="24"/>
          <w:szCs w:val="24"/>
        </w:rPr>
        <w:t>. Sporazumom</w:t>
      </w:r>
      <w:r w:rsidR="00C21035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9657E1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Upravljačkim tijelom</w:t>
      </w:r>
      <w:r w:rsidR="00C53778" w:rsidRPr="00EC21C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91D27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definirati će se prava i obveze gradova</w:t>
      </w:r>
      <w:r w:rsidR="00EC21CD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(odnosno odgovarajućih ustrojstvenih jedinica gradova)</w:t>
      </w:r>
      <w:r w:rsidR="00A91D27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A75625" w:rsidRPr="00EC21CD">
        <w:rPr>
          <w:rFonts w:ascii="Times New Roman" w:eastAsia="Calibri" w:hAnsi="Times New Roman" w:cs="Times New Roman"/>
          <w:bCs/>
          <w:sz w:val="24"/>
          <w:szCs w:val="24"/>
        </w:rPr>
        <w:t>Posredničkih tijela integriranih teritorijalnih ulaganja</w:t>
      </w:r>
      <w:r w:rsidR="00A91D27" w:rsidRPr="00EC21C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F6DAF" w:rsidRPr="00EC21CD" w:rsidRDefault="00EF6DAF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392A" w:rsidRPr="00EC21CD" w:rsidRDefault="00EF6DAF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Također, definira se da se područja integriranih teritorijalnih ulaganja u pravilu izabiru na temelju poziva za odabir područja integriranih teritorijalnih ulaganja, a mogu i na drugi, odgovarajući način, o čemu će, u skladu</w:t>
      </w:r>
      <w:r w:rsidR="00EC21CD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sa svim primjenjivim propisima i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pravilima odlučiti Upravljačko tijelo. Pojašnjava se da se u donošenju navedene odluke uvijek vodi računa o svim primjenjivim nacionalnim propisima, kao i propisima Europske unije, te ostalim pravilima</w:t>
      </w:r>
      <w:r w:rsidR="00EC21CD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(uključujući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i smjernic</w:t>
      </w:r>
      <w:r w:rsidR="00EC21CD" w:rsidRPr="00EC21C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(tzv. soft law) koji uređuju dotično područje</w:t>
      </w:r>
      <w:r w:rsidR="00EC21CD" w:rsidRPr="00EC21C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F6DAF" w:rsidRPr="00EC21CD" w:rsidRDefault="00EF6DAF" w:rsidP="009D19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9C3" w:rsidRPr="00EC21CD" w:rsidRDefault="000A45DD" w:rsidP="00EF6D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>Nadalje, p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reporukama predstavnika Europske </w:t>
      </w:r>
      <w:r w:rsidR="00834603" w:rsidRPr="00EC21CD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C939C3" w:rsidRPr="00EC21CD">
        <w:rPr>
          <w:rFonts w:ascii="Times New Roman" w:eastAsia="Calibri" w:hAnsi="Times New Roman" w:cs="Times New Roman"/>
          <w:bCs/>
          <w:sz w:val="24"/>
          <w:szCs w:val="24"/>
        </w:rPr>
        <w:t>omisije ukazana je potreba za uspostavom posebne ustrojstvene jedinice za obavljanje poslova vezanih uz ostvarenje specifičnog cilja 2a1 Operativnog programa „Konkurentnost i kohezija“ (</w:t>
      </w:r>
      <w:r w:rsidR="00C939C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Razvoj infrastrukturne širokopojasne mreže sljedeće generacije u područjima bez infrastrukture širokopojasne mreže sljedeće generacije i bez dovoljno komercijalnog interesa, za maksimalno povećanje socijalne i ekonomske dobrobiti). </w:t>
      </w:r>
      <w:r w:rsidR="00225AAA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Na temelju </w:t>
      </w:r>
      <w:r w:rsidR="00EC21CD">
        <w:rPr>
          <w:rFonts w:ascii="Times New Roman" w:eastAsia="Calibri" w:hAnsi="Times New Roman" w:cs="Times New Roman"/>
          <w:bCs/>
          <w:sz w:val="24"/>
          <w:szCs w:val="24"/>
        </w:rPr>
        <w:t>izloženog</w:t>
      </w:r>
      <w:r w:rsidR="00C939C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nakon što su se dodatno razmotrile sve okolnosti vezane uz provedbu </w:t>
      </w:r>
      <w:r w:rsidR="00225AAA" w:rsidRPr="002732DE">
        <w:rPr>
          <w:rFonts w:ascii="Times New Roman" w:eastAsia="Calibri" w:hAnsi="Times New Roman" w:cs="Times New Roman"/>
          <w:bCs/>
          <w:sz w:val="24"/>
          <w:szCs w:val="24"/>
        </w:rPr>
        <w:t>predmetnog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specifičnog cilja,</w:t>
      </w:r>
      <w:r w:rsidR="007A4B7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posebice administrativni kapaciteti za provedbu potrebnih aktivnosti,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a uz prethodn</w:t>
      </w:r>
      <w:r w:rsidR="00225AAA" w:rsidRPr="002732DE">
        <w:rPr>
          <w:rFonts w:ascii="Times New Roman" w:eastAsia="Calibri" w:hAnsi="Times New Roman" w:cs="Times New Roman"/>
          <w:bCs/>
          <w:sz w:val="24"/>
          <w:szCs w:val="24"/>
        </w:rPr>
        <w:t>o usuglašavanje s Ministarstvom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pomorstva, prometa</w:t>
      </w:r>
      <w:r w:rsidR="007A4B7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i infrastrukture, predloženom izmjenom U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>redbe</w:t>
      </w:r>
      <w:r w:rsidR="001633FA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uloga Posredničkog tijela razine 1 dodjeljuje Ministarstvu regionalnog</w:t>
      </w:r>
      <w:r w:rsidR="00BF45C0" w:rsidRPr="002732D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3460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razvoja i fondova Europske unije, a Posredničkog tijela razine 2 Središnjoj agenciji za financiranje i ugovaranje programa i projekata Europske unije</w:t>
      </w:r>
      <w:r w:rsidR="001633FA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F7EFA" w:rsidRPr="002732DE" w:rsidRDefault="001F7EFA" w:rsidP="009D19E6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7050" w:rsidRPr="00EC21CD" w:rsidRDefault="00EC21CD" w:rsidP="00EC21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U odnosu na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Operativne programe iz članka 4. stavka 2. točke 1. podtočke a) i b) Zakona</w:t>
      </w:r>
      <w:r w:rsidR="00225AA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(Operativni program „Konkurentnost i kohezija“ i Operativni program „Učinkoviti ljudski potencijali“)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>uvodi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45DD" w:rsidRPr="00EC21CD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obveza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Središnj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agencij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za financiranje i ugovaranje programa i projekata Europske unije</w:t>
      </w:r>
      <w:r w:rsidR="00C5037C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obavljati</w:t>
      </w:r>
      <w:r w:rsidR="001F7E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prethodnu (ex-ante) provjeru </w:t>
      </w:r>
      <w:r w:rsidR="003F018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javnih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nabava koje se provode u okviru projekata, pri čemu će kriterije na temelju kojih će se odrediti </w:t>
      </w:r>
      <w:r w:rsidR="003F018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javne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nabave koje će se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prethodno (ex-ante) provjeravati odrediti Upravljačko tijelo za svaki </w:t>
      </w:r>
      <w:r w:rsidR="00225AA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od navedenih 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Operativni</w:t>
      </w:r>
      <w:r w:rsidR="00225AAA" w:rsidRPr="00EC21C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program</w:t>
      </w:r>
      <w:r w:rsidR="00225AAA" w:rsidRPr="00EC21CD">
        <w:rPr>
          <w:rFonts w:ascii="Times New Roman" w:eastAsia="Calibri" w:hAnsi="Times New Roman" w:cs="Times New Roman"/>
          <w:bCs/>
          <w:sz w:val="24"/>
          <w:szCs w:val="24"/>
        </w:rPr>
        <w:t>a.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E7050" w:rsidRPr="002732DE" w:rsidRDefault="009E7050" w:rsidP="009D19E6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4207" w:rsidRPr="00EC21CD" w:rsidRDefault="00C35F32" w:rsidP="00EC21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Naime, </w:t>
      </w:r>
      <w:r w:rsidR="003E25FB" w:rsidRPr="00EC21CD">
        <w:rPr>
          <w:rFonts w:ascii="Times New Roman" w:eastAsia="Calibri" w:hAnsi="Times New Roman" w:cs="Times New Roman"/>
          <w:bCs/>
          <w:sz w:val="24"/>
          <w:szCs w:val="24"/>
        </w:rPr>
        <w:t>Europsk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E25FB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komisij</w:t>
      </w:r>
      <w:r w:rsidR="009E7050" w:rsidRPr="00EC21C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0A45DD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je naglasila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potreb</w:t>
      </w:r>
      <w:r w:rsidR="000A45DD" w:rsidRPr="00EC21CD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45DD" w:rsidRPr="00EC21CD">
        <w:rPr>
          <w:rFonts w:ascii="Times New Roman" w:eastAsia="Calibri" w:hAnsi="Times New Roman" w:cs="Times New Roman"/>
          <w:bCs/>
          <w:sz w:val="24"/>
          <w:szCs w:val="24"/>
        </w:rPr>
        <w:t>da navedene provjere, u pogledu određenih projekata,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6441" w:rsidRPr="00EC21CD">
        <w:rPr>
          <w:rFonts w:ascii="Times New Roman" w:eastAsia="Calibri" w:hAnsi="Times New Roman" w:cs="Times New Roman"/>
          <w:bCs/>
          <w:sz w:val="24"/>
          <w:szCs w:val="24"/>
        </w:rPr>
        <w:t>obavljaju stručnjaci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33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jedinstvenog tijela, 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sa 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dugogodišnjim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iskustvom u 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području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postupaka javne nabave. </w:t>
      </w:r>
      <w:r w:rsidRPr="00EC21CD">
        <w:rPr>
          <w:rFonts w:ascii="Times New Roman" w:eastAsia="Calibri" w:hAnsi="Times New Roman" w:cs="Times New Roman"/>
          <w:bCs/>
          <w:sz w:val="24"/>
          <w:szCs w:val="24"/>
        </w:rPr>
        <w:t>Prihvaćajući stajališta Europske komisije</w:t>
      </w:r>
      <w:r w:rsidR="001633FA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14792">
        <w:rPr>
          <w:rFonts w:ascii="Times New Roman" w:eastAsia="Calibri" w:hAnsi="Times New Roman" w:cs="Times New Roman"/>
          <w:bCs/>
          <w:sz w:val="24"/>
          <w:szCs w:val="24"/>
        </w:rPr>
        <w:t xml:space="preserve">uvažavajući obavljenu 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>analiz</w:t>
      </w:r>
      <w:r w:rsidR="00214792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BA0549" w:rsidRPr="00EC21CD">
        <w:rPr>
          <w:rFonts w:ascii="Times New Roman" w:eastAsia="Calibri" w:hAnsi="Times New Roman" w:cs="Times New Roman"/>
          <w:bCs/>
          <w:sz w:val="24"/>
          <w:szCs w:val="24"/>
        </w:rPr>
        <w:t xml:space="preserve"> konkretnog slučaja, ocjenjeno je da Središnja agencija za financiranje i ugovaranje programa i projekata Europske unije raspolaže </w:t>
      </w:r>
      <w:r w:rsidR="000A45DD" w:rsidRPr="00EC21CD">
        <w:rPr>
          <w:rFonts w:ascii="Times New Roman" w:eastAsia="Calibri" w:hAnsi="Times New Roman" w:cs="Times New Roman"/>
          <w:bCs/>
          <w:sz w:val="24"/>
          <w:szCs w:val="24"/>
        </w:rPr>
        <w:t>odgovarajućim znanjima, vještinama i kapacitetima, koji će se unaprjeđivati i u budućnosti.</w:t>
      </w:r>
    </w:p>
    <w:p w:rsidR="002E1069" w:rsidRPr="002732DE" w:rsidRDefault="002E1069" w:rsidP="009D19E6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32DE" w:rsidRDefault="000A45DD" w:rsidP="009D19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32DE">
        <w:rPr>
          <w:rFonts w:ascii="Times New Roman" w:eastAsia="Calibri" w:hAnsi="Times New Roman" w:cs="Times New Roman"/>
          <w:bCs/>
          <w:sz w:val="24"/>
          <w:szCs w:val="24"/>
        </w:rPr>
        <w:t>Vezano uz izmjenu koja se odnosi na  prioritetnu os 3</w:t>
      </w:r>
      <w:r w:rsidR="00636441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oslovna konkurentnost, predlaže se kao Posredničko tijelo razine 2 </w:t>
      </w:r>
      <w:r w:rsidR="00225AAA" w:rsidRPr="002732DE">
        <w:rPr>
          <w:rFonts w:ascii="Times New Roman" w:eastAsia="Calibri" w:hAnsi="Times New Roman" w:cs="Times New Roman"/>
          <w:bCs/>
          <w:sz w:val="24"/>
          <w:szCs w:val="24"/>
        </w:rPr>
        <w:t>odrediti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i Središnju agenciju za financiranje i ugovaranje programa i projekata Europske unije. Naime, Ministarstvo poduzetništva i obrta, kao Posredničko tijelo razine 1 je nadležno za prioritetnu os 3, koja uključuje četiri specifična cilja (3a1, 3a2, 3d1, 3d2). 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Budući da 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navedeno ministarstvo provodi 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>veliki broj poziva na dodjelu bespovratnih sredstava (u daljnjem tekstu: poziv), a kako bi se u budućnosti osiguralo da se ne produljuje rok u kojem navedeni postupak mora b</w:t>
      </w:r>
      <w:r w:rsidR="00D16D12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iti dovršen, uočena je potreba 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>za „institucionalnim pojačanjem“ u okviru navedene prioritetne osi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>Razlog zbog kojega je kao novo tijelo u okviru predmetne osi uvedena Središnja agencija za financiranje i ugovaranje programa i projekata Europske unije</w:t>
      </w:r>
      <w:r w:rsidR="00225AAA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(pored toga što raspolaže odgovarajućim kadrom)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jest i činjenica da je 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>jedan od po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ziva koje se namjerava provesti, </w:t>
      </w:r>
      <w:r w:rsidR="00214792">
        <w:rPr>
          <w:rFonts w:ascii="Times New Roman" w:eastAsia="Calibri" w:hAnsi="Times New Roman" w:cs="Times New Roman"/>
          <w:bCs/>
          <w:sz w:val="24"/>
          <w:szCs w:val="24"/>
        </w:rPr>
        <w:t>koji se odnosi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na razvoj poslovne infrastrukture, 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po svom opsegu i sadržaju gotovo identičan pozivu 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koji se provodio u okviru financijskog </w:t>
      </w:r>
      <w:r w:rsidRPr="002732DE">
        <w:rPr>
          <w:rFonts w:ascii="Times New Roman" w:eastAsia="Calibri" w:hAnsi="Times New Roman" w:cs="Times New Roman"/>
          <w:bCs/>
          <w:sz w:val="24"/>
          <w:szCs w:val="24"/>
        </w:rPr>
        <w:t>razdoblja 2007. – 2013.</w:t>
      </w:r>
      <w:r w:rsidR="00274308" w:rsidRPr="002732DE">
        <w:rPr>
          <w:rFonts w:ascii="Times New Roman" w:eastAsia="Calibri" w:hAnsi="Times New Roman" w:cs="Times New Roman"/>
          <w:bCs/>
          <w:sz w:val="24"/>
          <w:szCs w:val="24"/>
        </w:rPr>
        <w:t>, u kojem je sudjelovala i navedena agencija, koja u tom pogledu raspolaže prethodnim iskustvom.</w:t>
      </w:r>
    </w:p>
    <w:p w:rsidR="00A75625" w:rsidRPr="00EC21CD" w:rsidRDefault="00A75625" w:rsidP="009D19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283C" w:rsidRDefault="00A10DE9" w:rsidP="009D19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odnosu na</w:t>
      </w:r>
      <w:r w:rsidR="00101CB3" w:rsidRPr="00B80CD8">
        <w:rPr>
          <w:rFonts w:ascii="Times New Roman" w:eastAsia="Calibri" w:hAnsi="Times New Roman" w:cs="Times New Roman"/>
          <w:bCs/>
          <w:sz w:val="24"/>
          <w:szCs w:val="24"/>
        </w:rPr>
        <w:t xml:space="preserve"> odgodi učinak stupanja na snagu članka 9b.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(dopuna u smislu članka 9b.)</w:t>
      </w:r>
      <w:r w:rsidR="00101CB3" w:rsidRPr="00B80C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pojašnjava </w:t>
      </w:r>
      <w:r w:rsidR="00101CB3" w:rsidRPr="00B80CD8">
        <w:rPr>
          <w:rFonts w:ascii="Times New Roman" w:eastAsia="Calibri" w:hAnsi="Times New Roman" w:cs="Times New Roman"/>
          <w:bCs/>
          <w:sz w:val="24"/>
          <w:szCs w:val="24"/>
        </w:rPr>
        <w:t>se da će Središnja agencij</w:t>
      </w:r>
      <w:r w:rsidR="00101CB3" w:rsidRPr="002732DE">
        <w:rPr>
          <w:rFonts w:ascii="Times New Roman" w:eastAsia="Calibri" w:hAnsi="Times New Roman" w:cs="Times New Roman"/>
          <w:bCs/>
          <w:sz w:val="24"/>
          <w:szCs w:val="24"/>
        </w:rPr>
        <w:t>a za financiranje i ugovaranje prog</w:t>
      </w:r>
      <w:r w:rsidR="004C6660" w:rsidRPr="002732DE">
        <w:rPr>
          <w:rFonts w:ascii="Times New Roman" w:eastAsia="Calibri" w:hAnsi="Times New Roman" w:cs="Times New Roman"/>
          <w:bCs/>
          <w:sz w:val="24"/>
          <w:szCs w:val="24"/>
        </w:rPr>
        <w:t>rama i projekata Europske unije</w:t>
      </w:r>
      <w:r w:rsidR="00101CB3" w:rsidRPr="002732DE">
        <w:rPr>
          <w:rFonts w:ascii="Times New Roman" w:eastAsia="Calibri" w:hAnsi="Times New Roman" w:cs="Times New Roman"/>
          <w:bCs/>
          <w:sz w:val="24"/>
          <w:szCs w:val="24"/>
        </w:rPr>
        <w:t xml:space="preserve"> poslove prethodne (ex-ante) provjere postupaka nabave, u skladu s predloženom dopunom Uredbe, početi obavljati 1. studenog 2016.</w:t>
      </w:r>
    </w:p>
    <w:p w:rsidR="00A10DE9" w:rsidRDefault="00A10DE9" w:rsidP="009D19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DE9" w:rsidRPr="00EC21CD" w:rsidRDefault="00A10DE9" w:rsidP="00A10DE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Naposljetku, predlagatelj je, u svrhu preglednosti propisa i njegova lakšeg razumijevanja, u članku 2. predložio izmjenu na način da se </w:t>
      </w:r>
      <w:r w:rsidRPr="00D207BA">
        <w:rPr>
          <w:rFonts w:ascii="Times New Roman" w:eastAsia="Calibri" w:hAnsi="Times New Roman" w:cs="Times New Roman"/>
          <w:bCs/>
          <w:sz w:val="24"/>
          <w:szCs w:val="24"/>
        </w:rPr>
        <w:t>Prilog - Prikaz posredničkih tijela nadležnih za provedbu izabranih investicijskih prioriteta, po Operativnom programu, Prikaz 1 Operativni program »Konkurentnost i kohezija« koji je sastavni dio Uredbe zamjenjuje novim Prilogom - Prikaz posredničkih tijela nadležnih za provedbu izabranih investicijskih prioriteta, po Operativnom programu, Prikazom 1 Operativni program »Konkurentnost i kohezija« koji je sastavni dio ove Uredbe.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Smatra se da je na opisani način osigurano jednostavnije praćenje izmjena i dopuna propisa, kao i njegova nomotehnička usklađenost.  </w:t>
      </w:r>
    </w:p>
    <w:p w:rsidR="00A10DE9" w:rsidRPr="006233D3" w:rsidRDefault="00A10DE9" w:rsidP="009D19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A10DE9" w:rsidRPr="006233D3" w:rsidSect="001F46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FF" w:rsidRDefault="004428FF" w:rsidP="00933B62">
      <w:pPr>
        <w:spacing w:after="0" w:line="240" w:lineRule="auto"/>
      </w:pPr>
      <w:r>
        <w:separator/>
      </w:r>
    </w:p>
  </w:endnote>
  <w:endnote w:type="continuationSeparator" w:id="0">
    <w:p w:rsidR="004428FF" w:rsidRDefault="004428FF" w:rsidP="009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FF" w:rsidRDefault="004428FF" w:rsidP="00933B62">
      <w:pPr>
        <w:spacing w:after="0" w:line="240" w:lineRule="auto"/>
      </w:pPr>
      <w:r>
        <w:separator/>
      </w:r>
    </w:p>
  </w:footnote>
  <w:footnote w:type="continuationSeparator" w:id="0">
    <w:p w:rsidR="004428FF" w:rsidRDefault="004428FF" w:rsidP="0093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7151"/>
    <w:multiLevelType w:val="hybridMultilevel"/>
    <w:tmpl w:val="76169F20"/>
    <w:lvl w:ilvl="0" w:tplc="D74CF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0F7C"/>
    <w:multiLevelType w:val="hybridMultilevel"/>
    <w:tmpl w:val="786E95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1428C"/>
    <w:multiLevelType w:val="hybridMultilevel"/>
    <w:tmpl w:val="4A4813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8"/>
    <w:rsid w:val="00001BEC"/>
    <w:rsid w:val="00010288"/>
    <w:rsid w:val="000142A3"/>
    <w:rsid w:val="000224BB"/>
    <w:rsid w:val="00025261"/>
    <w:rsid w:val="00030261"/>
    <w:rsid w:val="0003110A"/>
    <w:rsid w:val="000629EA"/>
    <w:rsid w:val="00076E96"/>
    <w:rsid w:val="00081CF5"/>
    <w:rsid w:val="00083188"/>
    <w:rsid w:val="000866DD"/>
    <w:rsid w:val="00086DEB"/>
    <w:rsid w:val="00092B97"/>
    <w:rsid w:val="000A45DD"/>
    <w:rsid w:val="000B5F3B"/>
    <w:rsid w:val="000C24F2"/>
    <w:rsid w:val="000C592F"/>
    <w:rsid w:val="000D2C4E"/>
    <w:rsid w:val="000D350A"/>
    <w:rsid w:val="000F17DA"/>
    <w:rsid w:val="00101CB3"/>
    <w:rsid w:val="0011758E"/>
    <w:rsid w:val="00126495"/>
    <w:rsid w:val="00126611"/>
    <w:rsid w:val="00143818"/>
    <w:rsid w:val="00153E68"/>
    <w:rsid w:val="00157167"/>
    <w:rsid w:val="001633FA"/>
    <w:rsid w:val="00166309"/>
    <w:rsid w:val="00170271"/>
    <w:rsid w:val="00173565"/>
    <w:rsid w:val="0017552E"/>
    <w:rsid w:val="001759FE"/>
    <w:rsid w:val="001803C7"/>
    <w:rsid w:val="00181AF2"/>
    <w:rsid w:val="00185EA2"/>
    <w:rsid w:val="00194477"/>
    <w:rsid w:val="001976EF"/>
    <w:rsid w:val="001A18FB"/>
    <w:rsid w:val="001A6D69"/>
    <w:rsid w:val="001B29A7"/>
    <w:rsid w:val="001B7EF7"/>
    <w:rsid w:val="001D744E"/>
    <w:rsid w:val="001E3503"/>
    <w:rsid w:val="001E41F4"/>
    <w:rsid w:val="001F4611"/>
    <w:rsid w:val="001F4FA9"/>
    <w:rsid w:val="001F6FE6"/>
    <w:rsid w:val="001F7EFA"/>
    <w:rsid w:val="002012C6"/>
    <w:rsid w:val="00213950"/>
    <w:rsid w:val="00214792"/>
    <w:rsid w:val="00215C5B"/>
    <w:rsid w:val="00225AAA"/>
    <w:rsid w:val="00227888"/>
    <w:rsid w:val="00237F36"/>
    <w:rsid w:val="00241866"/>
    <w:rsid w:val="00243740"/>
    <w:rsid w:val="00243932"/>
    <w:rsid w:val="00245969"/>
    <w:rsid w:val="00250473"/>
    <w:rsid w:val="00257250"/>
    <w:rsid w:val="002609B6"/>
    <w:rsid w:val="00266C50"/>
    <w:rsid w:val="0026701C"/>
    <w:rsid w:val="00273101"/>
    <w:rsid w:val="002732DE"/>
    <w:rsid w:val="00274308"/>
    <w:rsid w:val="00282002"/>
    <w:rsid w:val="0028295C"/>
    <w:rsid w:val="0028521B"/>
    <w:rsid w:val="002B523C"/>
    <w:rsid w:val="002C2346"/>
    <w:rsid w:val="002D08F7"/>
    <w:rsid w:val="002D5525"/>
    <w:rsid w:val="002E05AE"/>
    <w:rsid w:val="002E1069"/>
    <w:rsid w:val="002E4207"/>
    <w:rsid w:val="002F0DF1"/>
    <w:rsid w:val="002F3C08"/>
    <w:rsid w:val="002F77CF"/>
    <w:rsid w:val="00301535"/>
    <w:rsid w:val="00321189"/>
    <w:rsid w:val="003212B4"/>
    <w:rsid w:val="00327B91"/>
    <w:rsid w:val="003347BF"/>
    <w:rsid w:val="003403BB"/>
    <w:rsid w:val="00345A71"/>
    <w:rsid w:val="00361BC2"/>
    <w:rsid w:val="00367278"/>
    <w:rsid w:val="00367CF7"/>
    <w:rsid w:val="00385E3E"/>
    <w:rsid w:val="003957D1"/>
    <w:rsid w:val="003B33A5"/>
    <w:rsid w:val="003C6026"/>
    <w:rsid w:val="003C74E6"/>
    <w:rsid w:val="003C763B"/>
    <w:rsid w:val="003D078D"/>
    <w:rsid w:val="003D3443"/>
    <w:rsid w:val="003D4A88"/>
    <w:rsid w:val="003D6B4E"/>
    <w:rsid w:val="003E25FB"/>
    <w:rsid w:val="003E3C77"/>
    <w:rsid w:val="003E4142"/>
    <w:rsid w:val="003E41EE"/>
    <w:rsid w:val="003F0189"/>
    <w:rsid w:val="003F73BA"/>
    <w:rsid w:val="004038BF"/>
    <w:rsid w:val="00410E3A"/>
    <w:rsid w:val="004208F3"/>
    <w:rsid w:val="00420DD2"/>
    <w:rsid w:val="004241F1"/>
    <w:rsid w:val="004409DB"/>
    <w:rsid w:val="004412F5"/>
    <w:rsid w:val="00441B3C"/>
    <w:rsid w:val="004428FF"/>
    <w:rsid w:val="00445D9E"/>
    <w:rsid w:val="00453BAB"/>
    <w:rsid w:val="00455444"/>
    <w:rsid w:val="00477D19"/>
    <w:rsid w:val="004853B6"/>
    <w:rsid w:val="0048622F"/>
    <w:rsid w:val="00493C32"/>
    <w:rsid w:val="004A51D9"/>
    <w:rsid w:val="004B10A7"/>
    <w:rsid w:val="004B3296"/>
    <w:rsid w:val="004C6660"/>
    <w:rsid w:val="004C7940"/>
    <w:rsid w:val="004D68AF"/>
    <w:rsid w:val="004F1A66"/>
    <w:rsid w:val="004F7472"/>
    <w:rsid w:val="005129B4"/>
    <w:rsid w:val="005260B4"/>
    <w:rsid w:val="00540942"/>
    <w:rsid w:val="00541381"/>
    <w:rsid w:val="00546769"/>
    <w:rsid w:val="0054705A"/>
    <w:rsid w:val="00562767"/>
    <w:rsid w:val="005627E9"/>
    <w:rsid w:val="00563EA8"/>
    <w:rsid w:val="00574A00"/>
    <w:rsid w:val="00577491"/>
    <w:rsid w:val="00587AF2"/>
    <w:rsid w:val="00590A6A"/>
    <w:rsid w:val="00592501"/>
    <w:rsid w:val="00592EA2"/>
    <w:rsid w:val="00595037"/>
    <w:rsid w:val="005A2BFE"/>
    <w:rsid w:val="005B49BA"/>
    <w:rsid w:val="005B628C"/>
    <w:rsid w:val="005C2022"/>
    <w:rsid w:val="005C5B30"/>
    <w:rsid w:val="005D3552"/>
    <w:rsid w:val="005E5721"/>
    <w:rsid w:val="005E60F8"/>
    <w:rsid w:val="005F515C"/>
    <w:rsid w:val="005F54DF"/>
    <w:rsid w:val="006152A9"/>
    <w:rsid w:val="00615E4E"/>
    <w:rsid w:val="006233D3"/>
    <w:rsid w:val="00636441"/>
    <w:rsid w:val="0063776C"/>
    <w:rsid w:val="00642430"/>
    <w:rsid w:val="00650820"/>
    <w:rsid w:val="006665AE"/>
    <w:rsid w:val="00666853"/>
    <w:rsid w:val="00672305"/>
    <w:rsid w:val="00676746"/>
    <w:rsid w:val="006810DF"/>
    <w:rsid w:val="00684029"/>
    <w:rsid w:val="0068461B"/>
    <w:rsid w:val="00687541"/>
    <w:rsid w:val="00691176"/>
    <w:rsid w:val="0069491A"/>
    <w:rsid w:val="006A1CEF"/>
    <w:rsid w:val="006A5E53"/>
    <w:rsid w:val="006C3AB3"/>
    <w:rsid w:val="006C5E76"/>
    <w:rsid w:val="006D1D7F"/>
    <w:rsid w:val="006E25E9"/>
    <w:rsid w:val="006F1B6C"/>
    <w:rsid w:val="006F609B"/>
    <w:rsid w:val="007017F4"/>
    <w:rsid w:val="0070295E"/>
    <w:rsid w:val="00716F90"/>
    <w:rsid w:val="0072010F"/>
    <w:rsid w:val="00722DA9"/>
    <w:rsid w:val="00726493"/>
    <w:rsid w:val="00733348"/>
    <w:rsid w:val="00737298"/>
    <w:rsid w:val="007520E7"/>
    <w:rsid w:val="0076399E"/>
    <w:rsid w:val="007670E4"/>
    <w:rsid w:val="00775C6C"/>
    <w:rsid w:val="007932FD"/>
    <w:rsid w:val="007A4B78"/>
    <w:rsid w:val="007B0044"/>
    <w:rsid w:val="007B4CC3"/>
    <w:rsid w:val="007B7BEE"/>
    <w:rsid w:val="007E1C5B"/>
    <w:rsid w:val="007E3136"/>
    <w:rsid w:val="007E4172"/>
    <w:rsid w:val="007E49AF"/>
    <w:rsid w:val="007E62F5"/>
    <w:rsid w:val="007F5B21"/>
    <w:rsid w:val="007F5CBD"/>
    <w:rsid w:val="007F60F6"/>
    <w:rsid w:val="007F6CF2"/>
    <w:rsid w:val="00800BAC"/>
    <w:rsid w:val="00804030"/>
    <w:rsid w:val="00810319"/>
    <w:rsid w:val="00811D3F"/>
    <w:rsid w:val="00817C7A"/>
    <w:rsid w:val="0082340B"/>
    <w:rsid w:val="00834603"/>
    <w:rsid w:val="00842CD4"/>
    <w:rsid w:val="008514A3"/>
    <w:rsid w:val="008559D5"/>
    <w:rsid w:val="0086062A"/>
    <w:rsid w:val="00862CC6"/>
    <w:rsid w:val="00871A8B"/>
    <w:rsid w:val="00871F2C"/>
    <w:rsid w:val="00877BDD"/>
    <w:rsid w:val="008839D8"/>
    <w:rsid w:val="008953D6"/>
    <w:rsid w:val="008A2176"/>
    <w:rsid w:val="008A241D"/>
    <w:rsid w:val="008A7922"/>
    <w:rsid w:val="008B1F4D"/>
    <w:rsid w:val="008B2F1C"/>
    <w:rsid w:val="008B41DC"/>
    <w:rsid w:val="008C258E"/>
    <w:rsid w:val="008C33B1"/>
    <w:rsid w:val="008D59A8"/>
    <w:rsid w:val="008F6E85"/>
    <w:rsid w:val="008F749E"/>
    <w:rsid w:val="009039AE"/>
    <w:rsid w:val="0092168E"/>
    <w:rsid w:val="00923F49"/>
    <w:rsid w:val="009259F1"/>
    <w:rsid w:val="00926425"/>
    <w:rsid w:val="00926715"/>
    <w:rsid w:val="00931B5E"/>
    <w:rsid w:val="00933B62"/>
    <w:rsid w:val="00933CA4"/>
    <w:rsid w:val="00946276"/>
    <w:rsid w:val="009504DE"/>
    <w:rsid w:val="00954051"/>
    <w:rsid w:val="00962BF4"/>
    <w:rsid w:val="009657E1"/>
    <w:rsid w:val="00973E05"/>
    <w:rsid w:val="0097636C"/>
    <w:rsid w:val="00981566"/>
    <w:rsid w:val="00982150"/>
    <w:rsid w:val="00982CFB"/>
    <w:rsid w:val="00984638"/>
    <w:rsid w:val="009851AF"/>
    <w:rsid w:val="00986604"/>
    <w:rsid w:val="00987527"/>
    <w:rsid w:val="0099264B"/>
    <w:rsid w:val="009A10D7"/>
    <w:rsid w:val="009B09D7"/>
    <w:rsid w:val="009C03D6"/>
    <w:rsid w:val="009C0D18"/>
    <w:rsid w:val="009C3DA0"/>
    <w:rsid w:val="009C48FC"/>
    <w:rsid w:val="009C70E3"/>
    <w:rsid w:val="009D033D"/>
    <w:rsid w:val="009D19E6"/>
    <w:rsid w:val="009D3CFA"/>
    <w:rsid w:val="009D6EB6"/>
    <w:rsid w:val="009E2C81"/>
    <w:rsid w:val="009E4DE3"/>
    <w:rsid w:val="009E666C"/>
    <w:rsid w:val="009E7050"/>
    <w:rsid w:val="009F48E3"/>
    <w:rsid w:val="00A10DE9"/>
    <w:rsid w:val="00A160FB"/>
    <w:rsid w:val="00A25CDF"/>
    <w:rsid w:val="00A26C67"/>
    <w:rsid w:val="00A42A02"/>
    <w:rsid w:val="00A44AF9"/>
    <w:rsid w:val="00A5500F"/>
    <w:rsid w:val="00A5553B"/>
    <w:rsid w:val="00A57D15"/>
    <w:rsid w:val="00A75625"/>
    <w:rsid w:val="00A76C72"/>
    <w:rsid w:val="00A81536"/>
    <w:rsid w:val="00A83231"/>
    <w:rsid w:val="00A87220"/>
    <w:rsid w:val="00A91D27"/>
    <w:rsid w:val="00A964E0"/>
    <w:rsid w:val="00A9689E"/>
    <w:rsid w:val="00AA6278"/>
    <w:rsid w:val="00AC0AC5"/>
    <w:rsid w:val="00AC0DC7"/>
    <w:rsid w:val="00AD3A91"/>
    <w:rsid w:val="00AF3522"/>
    <w:rsid w:val="00B035A2"/>
    <w:rsid w:val="00B241E6"/>
    <w:rsid w:val="00B2486A"/>
    <w:rsid w:val="00B46883"/>
    <w:rsid w:val="00B54373"/>
    <w:rsid w:val="00B577D3"/>
    <w:rsid w:val="00B66E59"/>
    <w:rsid w:val="00B73D8C"/>
    <w:rsid w:val="00B80CD8"/>
    <w:rsid w:val="00B81B5D"/>
    <w:rsid w:val="00B87793"/>
    <w:rsid w:val="00BA0549"/>
    <w:rsid w:val="00BA1549"/>
    <w:rsid w:val="00BA30CE"/>
    <w:rsid w:val="00BA7D04"/>
    <w:rsid w:val="00BB0D82"/>
    <w:rsid w:val="00BB2B00"/>
    <w:rsid w:val="00BC3030"/>
    <w:rsid w:val="00BD6E97"/>
    <w:rsid w:val="00BE5C8D"/>
    <w:rsid w:val="00BF027C"/>
    <w:rsid w:val="00BF2468"/>
    <w:rsid w:val="00BF45C0"/>
    <w:rsid w:val="00C0361D"/>
    <w:rsid w:val="00C03FFA"/>
    <w:rsid w:val="00C113A1"/>
    <w:rsid w:val="00C14E9C"/>
    <w:rsid w:val="00C21035"/>
    <w:rsid w:val="00C2403D"/>
    <w:rsid w:val="00C27DF3"/>
    <w:rsid w:val="00C31AA3"/>
    <w:rsid w:val="00C35A47"/>
    <w:rsid w:val="00C35F32"/>
    <w:rsid w:val="00C361C1"/>
    <w:rsid w:val="00C5037C"/>
    <w:rsid w:val="00C53778"/>
    <w:rsid w:val="00C6417A"/>
    <w:rsid w:val="00C67BDA"/>
    <w:rsid w:val="00C72EDF"/>
    <w:rsid w:val="00C8201E"/>
    <w:rsid w:val="00C830FE"/>
    <w:rsid w:val="00C84B51"/>
    <w:rsid w:val="00C939C3"/>
    <w:rsid w:val="00C95780"/>
    <w:rsid w:val="00C96AD7"/>
    <w:rsid w:val="00CA3A9D"/>
    <w:rsid w:val="00CA538D"/>
    <w:rsid w:val="00CB1F9B"/>
    <w:rsid w:val="00CB392A"/>
    <w:rsid w:val="00CC0E05"/>
    <w:rsid w:val="00CC5681"/>
    <w:rsid w:val="00CE7D09"/>
    <w:rsid w:val="00CF06E9"/>
    <w:rsid w:val="00CF58C5"/>
    <w:rsid w:val="00D019FF"/>
    <w:rsid w:val="00D042AF"/>
    <w:rsid w:val="00D147E6"/>
    <w:rsid w:val="00D16D12"/>
    <w:rsid w:val="00D27965"/>
    <w:rsid w:val="00D37545"/>
    <w:rsid w:val="00D40EF8"/>
    <w:rsid w:val="00D42E88"/>
    <w:rsid w:val="00D46FD5"/>
    <w:rsid w:val="00D5283C"/>
    <w:rsid w:val="00D71E6E"/>
    <w:rsid w:val="00D76E06"/>
    <w:rsid w:val="00D77322"/>
    <w:rsid w:val="00D90902"/>
    <w:rsid w:val="00D94D28"/>
    <w:rsid w:val="00DA627B"/>
    <w:rsid w:val="00DB1E98"/>
    <w:rsid w:val="00DB4D58"/>
    <w:rsid w:val="00DC5249"/>
    <w:rsid w:val="00DD0C90"/>
    <w:rsid w:val="00DE32CF"/>
    <w:rsid w:val="00DE37CC"/>
    <w:rsid w:val="00DE68DE"/>
    <w:rsid w:val="00DE6934"/>
    <w:rsid w:val="00DF4C18"/>
    <w:rsid w:val="00DF7076"/>
    <w:rsid w:val="00E17AB1"/>
    <w:rsid w:val="00E17FF1"/>
    <w:rsid w:val="00E2270E"/>
    <w:rsid w:val="00E40984"/>
    <w:rsid w:val="00E41706"/>
    <w:rsid w:val="00E4300F"/>
    <w:rsid w:val="00E4690D"/>
    <w:rsid w:val="00E469C1"/>
    <w:rsid w:val="00E5587D"/>
    <w:rsid w:val="00E70D90"/>
    <w:rsid w:val="00E76FAB"/>
    <w:rsid w:val="00E8077B"/>
    <w:rsid w:val="00E836E5"/>
    <w:rsid w:val="00E93FE1"/>
    <w:rsid w:val="00EB437A"/>
    <w:rsid w:val="00EC21CD"/>
    <w:rsid w:val="00EC3267"/>
    <w:rsid w:val="00EC3911"/>
    <w:rsid w:val="00EC4CA9"/>
    <w:rsid w:val="00EF3E58"/>
    <w:rsid w:val="00EF6DAF"/>
    <w:rsid w:val="00F00BC2"/>
    <w:rsid w:val="00F1529A"/>
    <w:rsid w:val="00F271FB"/>
    <w:rsid w:val="00F3261E"/>
    <w:rsid w:val="00F36BAE"/>
    <w:rsid w:val="00F5080B"/>
    <w:rsid w:val="00F73D0F"/>
    <w:rsid w:val="00F7447B"/>
    <w:rsid w:val="00F76A3A"/>
    <w:rsid w:val="00F8008A"/>
    <w:rsid w:val="00F91928"/>
    <w:rsid w:val="00FA0013"/>
    <w:rsid w:val="00FB2532"/>
    <w:rsid w:val="00FC0A66"/>
    <w:rsid w:val="00FE1FD7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4B79-4522-4259-B4F1-2A3F423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3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3B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33B62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9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1B"/>
    <w:rPr>
      <w:rFonts w:ascii="Tahoma" w:hAnsi="Tahoma" w:cs="Tahoma"/>
      <w:sz w:val="16"/>
      <w:szCs w:val="16"/>
    </w:rPr>
  </w:style>
  <w:style w:type="character" w:customStyle="1" w:styleId="Bodytext313pt">
    <w:name w:val="Body text (3) + 13 pt"/>
    <w:basedOn w:val="DefaultParagraphFont"/>
    <w:rsid w:val="008A792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Bodytext13ptNotBold">
    <w:name w:val="Body text + 13 pt;Not Bold"/>
    <w:basedOn w:val="DefaultParagraphFont"/>
    <w:rsid w:val="008A792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F2"/>
  </w:style>
  <w:style w:type="paragraph" w:styleId="Footer">
    <w:name w:val="footer"/>
    <w:basedOn w:val="Normal"/>
    <w:link w:val="FooterChar"/>
    <w:uiPriority w:val="99"/>
    <w:unhideWhenUsed/>
    <w:rsid w:val="000C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F2"/>
  </w:style>
  <w:style w:type="character" w:styleId="CommentReference">
    <w:name w:val="annotation reference"/>
    <w:basedOn w:val="DefaultParagraphFont"/>
    <w:uiPriority w:val="99"/>
    <w:semiHidden/>
    <w:unhideWhenUsed/>
    <w:rsid w:val="003D344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344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344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D344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344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0D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8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C2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F084-2FCD-4601-AE4A-34B15AA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Ivana Jelavić</cp:lastModifiedBy>
  <cp:revision>2</cp:revision>
  <cp:lastPrinted>2016-07-15T13:52:00Z</cp:lastPrinted>
  <dcterms:created xsi:type="dcterms:W3CDTF">2016-07-18T08:23:00Z</dcterms:created>
  <dcterms:modified xsi:type="dcterms:W3CDTF">2016-07-18T08:23:00Z</dcterms:modified>
</cp:coreProperties>
</file>