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81343" w14:textId="10B79FB6" w:rsidR="00263511" w:rsidRPr="00534601" w:rsidRDefault="00342C38" w:rsidP="00534601">
      <w:pPr>
        <w:pStyle w:val="Title"/>
        <w:jc w:val="both"/>
        <w:rPr>
          <w:rFonts w:ascii="Arial" w:hAnsi="Arial" w:cs="Arial"/>
          <w:sz w:val="22"/>
          <w:szCs w:val="22"/>
        </w:rPr>
      </w:pPr>
      <w:r w:rsidRPr="00534601">
        <w:rPr>
          <w:rFonts w:ascii="Arial" w:hAnsi="Arial" w:cs="Arial"/>
          <w:sz w:val="22"/>
          <w:szCs w:val="22"/>
        </w:rPr>
        <w:t xml:space="preserve">Na temelju članka </w:t>
      </w:r>
      <w:r w:rsidR="00057CBE" w:rsidRPr="00534601">
        <w:rPr>
          <w:rFonts w:ascii="Arial" w:hAnsi="Arial" w:cs="Arial"/>
          <w:sz w:val="22"/>
          <w:szCs w:val="22"/>
        </w:rPr>
        <w:t>335. stavka 1. Zakona o otvorenim investicijskim fondovima s javnom ponudom (</w:t>
      </w:r>
      <w:r w:rsidR="00A446BD" w:rsidRPr="00534601">
        <w:rPr>
          <w:rFonts w:ascii="Arial" w:hAnsi="Arial" w:cs="Arial"/>
          <w:sz w:val="22"/>
          <w:szCs w:val="22"/>
        </w:rPr>
        <w:t>„</w:t>
      </w:r>
      <w:r w:rsidR="00057CBE" w:rsidRPr="00534601">
        <w:rPr>
          <w:rFonts w:ascii="Arial" w:hAnsi="Arial" w:cs="Arial"/>
          <w:sz w:val="22"/>
          <w:szCs w:val="22"/>
        </w:rPr>
        <w:t>Narodne novine</w:t>
      </w:r>
      <w:r w:rsidR="00A446BD" w:rsidRPr="00534601">
        <w:rPr>
          <w:rFonts w:ascii="Arial" w:hAnsi="Arial" w:cs="Arial"/>
          <w:sz w:val="22"/>
          <w:szCs w:val="22"/>
        </w:rPr>
        <w:t>“</w:t>
      </w:r>
      <w:r w:rsidR="00057CBE" w:rsidRPr="00534601">
        <w:rPr>
          <w:rFonts w:ascii="Arial" w:hAnsi="Arial" w:cs="Arial"/>
          <w:sz w:val="22"/>
          <w:szCs w:val="22"/>
        </w:rPr>
        <w:t xml:space="preserve"> broj 44/2016, dalje: Zakon)</w:t>
      </w:r>
      <w:r w:rsidR="00263511" w:rsidRPr="00534601">
        <w:rPr>
          <w:rFonts w:ascii="Arial" w:hAnsi="Arial" w:cs="Arial"/>
          <w:sz w:val="22"/>
          <w:szCs w:val="22"/>
        </w:rPr>
        <w:t xml:space="preserve">, </w:t>
      </w:r>
      <w:r w:rsidR="006131CE" w:rsidRPr="00534601">
        <w:rPr>
          <w:rFonts w:ascii="Arial" w:hAnsi="Arial" w:cs="Arial"/>
          <w:sz w:val="22"/>
          <w:szCs w:val="22"/>
        </w:rPr>
        <w:t>Hrvatska agencija za nadzor financijskih usluga (dalje: Agencija)</w:t>
      </w:r>
      <w:r w:rsidR="00484369" w:rsidRPr="00534601">
        <w:rPr>
          <w:rFonts w:ascii="Arial" w:hAnsi="Arial" w:cs="Arial"/>
          <w:sz w:val="22"/>
          <w:szCs w:val="22"/>
        </w:rPr>
        <w:t>,</w:t>
      </w:r>
      <w:r w:rsidR="006131CE" w:rsidRPr="00534601">
        <w:rPr>
          <w:rFonts w:ascii="Arial" w:hAnsi="Arial" w:cs="Arial"/>
          <w:sz w:val="22"/>
          <w:szCs w:val="22"/>
        </w:rPr>
        <w:t xml:space="preserve"> na sjednici Upravnog vijeća održanoj </w:t>
      </w:r>
      <w:r w:rsidR="00A446BD" w:rsidRPr="00534601">
        <w:rPr>
          <w:rFonts w:ascii="Arial" w:hAnsi="Arial" w:cs="Arial"/>
          <w:sz w:val="22"/>
          <w:szCs w:val="22"/>
        </w:rPr>
        <w:t>xx. xx. 2016.</w:t>
      </w:r>
      <w:r w:rsidR="006131CE" w:rsidRPr="00534601">
        <w:rPr>
          <w:rFonts w:ascii="Arial" w:hAnsi="Arial" w:cs="Arial"/>
          <w:sz w:val="22"/>
          <w:szCs w:val="22"/>
        </w:rPr>
        <w:t xml:space="preserve"> godine</w:t>
      </w:r>
      <w:r w:rsidR="00484369" w:rsidRPr="00534601">
        <w:rPr>
          <w:rFonts w:ascii="Arial" w:hAnsi="Arial" w:cs="Arial"/>
          <w:sz w:val="22"/>
          <w:szCs w:val="22"/>
        </w:rPr>
        <w:t>,</w:t>
      </w:r>
      <w:r w:rsidR="006131CE" w:rsidRPr="00534601">
        <w:rPr>
          <w:rFonts w:ascii="Arial" w:hAnsi="Arial" w:cs="Arial"/>
          <w:sz w:val="22"/>
          <w:szCs w:val="22"/>
        </w:rPr>
        <w:t xml:space="preserve"> donijela je sljedeći</w:t>
      </w:r>
    </w:p>
    <w:p w14:paraId="5BFC26F9" w14:textId="77777777" w:rsidR="00534601" w:rsidRDefault="00534601" w:rsidP="00534601">
      <w:pPr>
        <w:pStyle w:val="Title"/>
        <w:jc w:val="center"/>
        <w:rPr>
          <w:rFonts w:ascii="Arial" w:hAnsi="Arial" w:cs="Arial"/>
          <w:b/>
          <w:sz w:val="22"/>
          <w:szCs w:val="22"/>
        </w:rPr>
      </w:pPr>
    </w:p>
    <w:p w14:paraId="5447E507" w14:textId="77777777" w:rsidR="00263511" w:rsidRPr="00534601" w:rsidRDefault="00263511" w:rsidP="00534601">
      <w:pPr>
        <w:pStyle w:val="Title"/>
        <w:jc w:val="center"/>
        <w:rPr>
          <w:rFonts w:ascii="Arial" w:hAnsi="Arial" w:cs="Arial"/>
          <w:b/>
          <w:sz w:val="22"/>
          <w:szCs w:val="22"/>
        </w:rPr>
      </w:pPr>
      <w:r w:rsidRPr="00534601">
        <w:rPr>
          <w:rFonts w:ascii="Arial" w:hAnsi="Arial" w:cs="Arial"/>
          <w:b/>
          <w:sz w:val="22"/>
          <w:szCs w:val="22"/>
        </w:rPr>
        <w:t>PRAVILNIK</w:t>
      </w:r>
      <w:r w:rsidR="00486F20" w:rsidRPr="00534601">
        <w:rPr>
          <w:rFonts w:ascii="Arial" w:hAnsi="Arial" w:cs="Arial"/>
          <w:b/>
          <w:sz w:val="22"/>
          <w:szCs w:val="22"/>
        </w:rPr>
        <w:t xml:space="preserve"> </w:t>
      </w:r>
      <w:r w:rsidRPr="00534601">
        <w:rPr>
          <w:rFonts w:ascii="Arial" w:hAnsi="Arial" w:cs="Arial"/>
          <w:b/>
          <w:sz w:val="22"/>
          <w:szCs w:val="22"/>
        </w:rPr>
        <w:t>O GLAVNIM I NAPAJAJUĆIM UCITS FONDOVIMA</w:t>
      </w:r>
    </w:p>
    <w:p w14:paraId="605328D2" w14:textId="77777777" w:rsidR="00A446BD" w:rsidRPr="00534601" w:rsidRDefault="00A446BD" w:rsidP="00534601">
      <w:pPr>
        <w:pStyle w:val="Title"/>
        <w:rPr>
          <w:rFonts w:ascii="Arial" w:hAnsi="Arial" w:cs="Arial"/>
          <w:b/>
          <w:sz w:val="22"/>
          <w:szCs w:val="22"/>
        </w:rPr>
      </w:pPr>
    </w:p>
    <w:p w14:paraId="652A28C3" w14:textId="77777777" w:rsidR="00263511" w:rsidRPr="00534601" w:rsidRDefault="00263511" w:rsidP="00534601">
      <w:pPr>
        <w:pStyle w:val="Heading1"/>
        <w:rPr>
          <w:rFonts w:ascii="Arial" w:hAnsi="Arial" w:cs="Arial"/>
          <w:sz w:val="22"/>
          <w:szCs w:val="22"/>
        </w:rPr>
      </w:pPr>
      <w:r w:rsidRPr="00534601">
        <w:rPr>
          <w:rFonts w:ascii="Arial" w:hAnsi="Arial" w:cs="Arial"/>
          <w:sz w:val="22"/>
          <w:szCs w:val="22"/>
        </w:rPr>
        <w:t>OPĆE ODREDBE</w:t>
      </w:r>
    </w:p>
    <w:p w14:paraId="1D6ABE46" w14:textId="77777777" w:rsidR="00263511" w:rsidRPr="00CD61EB" w:rsidRDefault="00263511" w:rsidP="00CD61EB">
      <w:pPr>
        <w:pStyle w:val="Heading2"/>
        <w:rPr>
          <w:rFonts w:ascii="Arial" w:hAnsi="Arial" w:cs="Arial"/>
          <w:sz w:val="22"/>
          <w:szCs w:val="22"/>
        </w:rPr>
      </w:pPr>
      <w:r w:rsidRPr="00CD61EB">
        <w:rPr>
          <w:rFonts w:ascii="Arial" w:hAnsi="Arial" w:cs="Arial"/>
          <w:sz w:val="22"/>
          <w:szCs w:val="22"/>
        </w:rPr>
        <w:t>Članak 1.</w:t>
      </w:r>
    </w:p>
    <w:p w14:paraId="23123975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(1) Ovim Pravilnikom se propisuje:</w:t>
      </w:r>
    </w:p>
    <w:p w14:paraId="0D32EF8F" w14:textId="436890B2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a) sadržaj sporazuma o razmjeni informacija između društva za upravljanje glavnim i društva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2C6D4C">
        <w:rPr>
          <w:rFonts w:ascii="Arial" w:hAnsi="Arial" w:cs="Arial"/>
          <w:sz w:val="22"/>
          <w:szCs w:val="22"/>
        </w:rPr>
        <w:t>UCITS f</w:t>
      </w:r>
      <w:r w:rsidRPr="009762AB">
        <w:rPr>
          <w:rFonts w:ascii="Arial" w:hAnsi="Arial" w:cs="Arial"/>
          <w:sz w:val="22"/>
          <w:szCs w:val="22"/>
        </w:rPr>
        <w:t xml:space="preserve">ondom iz članka </w:t>
      </w:r>
      <w:r w:rsidR="00327832">
        <w:rPr>
          <w:rFonts w:ascii="Arial" w:hAnsi="Arial" w:cs="Arial"/>
          <w:sz w:val="22"/>
          <w:szCs w:val="22"/>
        </w:rPr>
        <w:t>303</w:t>
      </w:r>
      <w:r w:rsidRPr="009762AB">
        <w:rPr>
          <w:rFonts w:ascii="Arial" w:hAnsi="Arial" w:cs="Arial"/>
          <w:sz w:val="22"/>
          <w:szCs w:val="22"/>
        </w:rPr>
        <w:t xml:space="preserve">. Zakona, odnosno sadržaj internih pravila poslovanja propisanih </w:t>
      </w:r>
      <w:r w:rsidR="007F58B7">
        <w:rPr>
          <w:rFonts w:ascii="Arial" w:hAnsi="Arial" w:cs="Arial"/>
          <w:sz w:val="22"/>
          <w:szCs w:val="22"/>
        </w:rPr>
        <w:t>tim</w:t>
      </w:r>
      <w:r w:rsidRPr="009762AB">
        <w:rPr>
          <w:rFonts w:ascii="Arial" w:hAnsi="Arial" w:cs="Arial"/>
          <w:sz w:val="22"/>
          <w:szCs w:val="22"/>
        </w:rPr>
        <w:t xml:space="preserve"> člankom Zakona,</w:t>
      </w:r>
    </w:p>
    <w:p w14:paraId="761D014F" w14:textId="6652DE53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b) sadržaj sporazuma o razmjeni informacija između depozitara glavnog i depozitara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E75FF0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iz članka </w:t>
      </w:r>
      <w:r w:rsidR="00E75FF0">
        <w:rPr>
          <w:rFonts w:ascii="Arial" w:hAnsi="Arial" w:cs="Arial"/>
          <w:sz w:val="22"/>
          <w:szCs w:val="22"/>
        </w:rPr>
        <w:t>304</w:t>
      </w:r>
      <w:r w:rsidRPr="009762AB">
        <w:rPr>
          <w:rFonts w:ascii="Arial" w:hAnsi="Arial" w:cs="Arial"/>
          <w:sz w:val="22"/>
          <w:szCs w:val="22"/>
        </w:rPr>
        <w:t>. Zakona,</w:t>
      </w:r>
    </w:p>
    <w:p w14:paraId="51C83506" w14:textId="7163014B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c) sadržaj sporazuma o razmjeni informacija između </w:t>
      </w:r>
      <w:r w:rsidR="009D2D16" w:rsidRPr="009762AB">
        <w:rPr>
          <w:rFonts w:ascii="Arial" w:hAnsi="Arial" w:cs="Arial"/>
          <w:sz w:val="22"/>
          <w:szCs w:val="22"/>
        </w:rPr>
        <w:t>revizor</w:t>
      </w:r>
      <w:r w:rsidR="009D2D16">
        <w:rPr>
          <w:rFonts w:ascii="Arial" w:hAnsi="Arial" w:cs="Arial"/>
          <w:sz w:val="22"/>
          <w:szCs w:val="22"/>
        </w:rPr>
        <w:t>a</w:t>
      </w:r>
      <w:r w:rsidR="009D2D16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glavnog i </w:t>
      </w:r>
      <w:r w:rsidR="009D2D16" w:rsidRPr="009762AB">
        <w:rPr>
          <w:rFonts w:ascii="Arial" w:hAnsi="Arial" w:cs="Arial"/>
          <w:sz w:val="22"/>
          <w:szCs w:val="22"/>
        </w:rPr>
        <w:t>revizor</w:t>
      </w:r>
      <w:r w:rsidR="009D2D16">
        <w:rPr>
          <w:rFonts w:ascii="Arial" w:hAnsi="Arial" w:cs="Arial"/>
          <w:sz w:val="22"/>
          <w:szCs w:val="22"/>
        </w:rPr>
        <w:t>a</w:t>
      </w:r>
      <w:r w:rsidR="009D2D16" w:rsidRPr="009762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FE18D3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iz članka </w:t>
      </w:r>
      <w:r w:rsidR="00FE18D3">
        <w:rPr>
          <w:rFonts w:ascii="Arial" w:hAnsi="Arial" w:cs="Arial"/>
          <w:sz w:val="22"/>
          <w:szCs w:val="22"/>
        </w:rPr>
        <w:t>306</w:t>
      </w:r>
      <w:r w:rsidRPr="009762AB">
        <w:rPr>
          <w:rFonts w:ascii="Arial" w:hAnsi="Arial" w:cs="Arial"/>
          <w:sz w:val="22"/>
          <w:szCs w:val="22"/>
        </w:rPr>
        <w:t>. Zakona,</w:t>
      </w:r>
    </w:p>
    <w:p w14:paraId="740DDE3A" w14:textId="7A3C79FE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(2) Ovim Pravilnikom se u pravni sustav Republike Hrvatske </w:t>
      </w:r>
      <w:r w:rsidRPr="009F4113">
        <w:rPr>
          <w:rFonts w:ascii="Arial" w:hAnsi="Arial" w:cs="Arial"/>
          <w:sz w:val="22"/>
          <w:szCs w:val="22"/>
        </w:rPr>
        <w:t>prenos</w:t>
      </w:r>
      <w:r w:rsidR="006501FC" w:rsidRPr="009F4113">
        <w:rPr>
          <w:rFonts w:ascii="Arial" w:hAnsi="Arial" w:cs="Arial"/>
          <w:sz w:val="22"/>
          <w:szCs w:val="22"/>
        </w:rPr>
        <w:t xml:space="preserve">e </w:t>
      </w:r>
      <w:r w:rsidR="005E3BFB" w:rsidRPr="009F4113">
        <w:rPr>
          <w:rFonts w:ascii="Arial" w:hAnsi="Arial" w:cs="Arial"/>
          <w:sz w:val="22"/>
          <w:szCs w:val="22"/>
        </w:rPr>
        <w:t>članci 8. do 19.</w:t>
      </w:r>
      <w:r w:rsidR="003B28B2">
        <w:rPr>
          <w:rFonts w:ascii="Arial" w:hAnsi="Arial" w:cs="Arial"/>
          <w:sz w:val="22"/>
          <w:szCs w:val="22"/>
        </w:rPr>
        <w:t xml:space="preserve">, </w:t>
      </w:r>
      <w:r w:rsidR="000334A0" w:rsidRPr="009F4113">
        <w:rPr>
          <w:rFonts w:ascii="Arial" w:hAnsi="Arial" w:cs="Arial"/>
          <w:sz w:val="22"/>
          <w:szCs w:val="22"/>
        </w:rPr>
        <w:t>24.</w:t>
      </w:r>
      <w:r w:rsidR="000F5544" w:rsidRPr="009F4113">
        <w:rPr>
          <w:rFonts w:ascii="Arial" w:hAnsi="Arial" w:cs="Arial"/>
          <w:sz w:val="22"/>
          <w:szCs w:val="22"/>
        </w:rPr>
        <w:t xml:space="preserve">, 25., 27. i </w:t>
      </w:r>
      <w:r w:rsidR="000334A0" w:rsidRPr="009F4113">
        <w:rPr>
          <w:rFonts w:ascii="Arial" w:hAnsi="Arial" w:cs="Arial"/>
          <w:sz w:val="22"/>
          <w:szCs w:val="22"/>
        </w:rPr>
        <w:t xml:space="preserve">28. </w:t>
      </w:r>
      <w:r w:rsidR="000A023A" w:rsidRPr="009F4113">
        <w:rPr>
          <w:rStyle w:val="Strong"/>
          <w:rFonts w:ascii="Arial" w:hAnsi="Arial" w:cs="Arial"/>
          <w:b w:val="0"/>
          <w:sz w:val="22"/>
          <w:szCs w:val="22"/>
        </w:rPr>
        <w:t>Direktive Komisije 2010/44/EU od 1. srpnja</w:t>
      </w:r>
      <w:r w:rsidR="000A023A" w:rsidRPr="00810C37">
        <w:rPr>
          <w:rStyle w:val="Strong"/>
          <w:rFonts w:ascii="Arial" w:hAnsi="Arial" w:cs="Arial"/>
          <w:b w:val="0"/>
          <w:sz w:val="22"/>
          <w:szCs w:val="22"/>
        </w:rPr>
        <w:t xml:space="preserve"> 2010. o provedbi Direktive 2009/65/EZ Europskog parlamenta i Vijeća u vezi određenih odredbi o pripajanjima ili spajanjima fondova, strukturama glavnih i </w:t>
      </w:r>
      <w:proofErr w:type="spellStart"/>
      <w:r w:rsidR="000A023A" w:rsidRPr="00810C37">
        <w:rPr>
          <w:rStyle w:val="Strong"/>
          <w:rFonts w:ascii="Arial" w:hAnsi="Arial" w:cs="Arial"/>
          <w:b w:val="0"/>
          <w:sz w:val="22"/>
          <w:szCs w:val="22"/>
        </w:rPr>
        <w:t>napajajućih</w:t>
      </w:r>
      <w:proofErr w:type="spellEnd"/>
      <w:r w:rsidR="000A023A" w:rsidRPr="00810C37">
        <w:rPr>
          <w:rStyle w:val="Strong"/>
          <w:rFonts w:ascii="Arial" w:hAnsi="Arial" w:cs="Arial"/>
          <w:b w:val="0"/>
          <w:sz w:val="22"/>
          <w:szCs w:val="22"/>
        </w:rPr>
        <w:t xml:space="preserve"> fondova i postupku obavješćivanja</w:t>
      </w:r>
      <w:r w:rsidRPr="000A023A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(SL L 176, 10. 7. 2010.).</w:t>
      </w:r>
    </w:p>
    <w:p w14:paraId="53134032" w14:textId="77777777" w:rsidR="00263511" w:rsidRPr="00534601" w:rsidRDefault="00263511" w:rsidP="00534601">
      <w:pPr>
        <w:pStyle w:val="Heading1"/>
        <w:rPr>
          <w:rFonts w:ascii="Arial" w:hAnsi="Arial" w:cs="Arial"/>
          <w:sz w:val="22"/>
          <w:szCs w:val="22"/>
        </w:rPr>
      </w:pPr>
      <w:r w:rsidRPr="00534601">
        <w:rPr>
          <w:rFonts w:ascii="Arial" w:hAnsi="Arial" w:cs="Arial"/>
          <w:sz w:val="22"/>
          <w:szCs w:val="22"/>
        </w:rPr>
        <w:t>SADRŽAJ SPORAZUMA O RAZMJENI INFORMACIJA IZMEĐU DRUŠTAVA ZA UPRAVLJANJE GLAVNIM I NAPAJAJUĆIM UCITS FONDOM</w:t>
      </w:r>
    </w:p>
    <w:p w14:paraId="24929D8D" w14:textId="77777777" w:rsidR="00263511" w:rsidRPr="00CD61EB" w:rsidRDefault="00263511" w:rsidP="00CD61EB">
      <w:pPr>
        <w:pStyle w:val="Heading2"/>
        <w:rPr>
          <w:rFonts w:ascii="Arial" w:hAnsi="Arial" w:cs="Arial"/>
          <w:sz w:val="22"/>
          <w:szCs w:val="22"/>
        </w:rPr>
      </w:pPr>
      <w:r w:rsidRPr="00CD61EB">
        <w:rPr>
          <w:rFonts w:ascii="Arial" w:hAnsi="Arial" w:cs="Arial"/>
          <w:sz w:val="22"/>
          <w:szCs w:val="22"/>
        </w:rPr>
        <w:t>Članak 2.</w:t>
      </w:r>
    </w:p>
    <w:p w14:paraId="27B2E678" w14:textId="6121BB32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(1) Društva za upravljanje glavnim i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98227E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fondom dužna su sklopiti sporazum o razmjeni svih informacija i dokumentacije koja je potrebna da napajajući </w:t>
      </w:r>
      <w:r w:rsidR="00C2273F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 i njegovo društvo za upravljanje ispunjavaju zahtjeve i obveze određene Zakonom i </w:t>
      </w:r>
      <w:proofErr w:type="spellStart"/>
      <w:r w:rsidRPr="009762AB">
        <w:rPr>
          <w:rFonts w:ascii="Arial" w:hAnsi="Arial" w:cs="Arial"/>
          <w:sz w:val="22"/>
          <w:szCs w:val="22"/>
        </w:rPr>
        <w:t>podzakonskim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aktima.</w:t>
      </w:r>
    </w:p>
    <w:p w14:paraId="15403E92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(2) Sadržaj sporazuma iz prethodnog stavka uključuje:</w:t>
      </w:r>
    </w:p>
    <w:p w14:paraId="5CAD2A9F" w14:textId="2A665914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1. informacije o načinu i rokovima u kojima društvo za upravljanje glavnim </w:t>
      </w:r>
      <w:r w:rsidR="006966C9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fondom dostavlja društvu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6966C9" w:rsidRPr="006966C9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fondom primjerak svojih pravila fonda, prospekt i ključne podatke za </w:t>
      </w:r>
      <w:proofErr w:type="spellStart"/>
      <w:r w:rsidRPr="009762AB">
        <w:rPr>
          <w:rFonts w:ascii="Arial" w:hAnsi="Arial" w:cs="Arial"/>
          <w:sz w:val="22"/>
          <w:szCs w:val="22"/>
        </w:rPr>
        <w:t>ulagatelje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ili sve </w:t>
      </w:r>
      <w:r w:rsidR="007F58B7">
        <w:rPr>
          <w:rFonts w:ascii="Arial" w:hAnsi="Arial" w:cs="Arial"/>
          <w:sz w:val="22"/>
          <w:szCs w:val="22"/>
        </w:rPr>
        <w:t xml:space="preserve">njihove </w:t>
      </w:r>
      <w:r w:rsidRPr="009762AB">
        <w:rPr>
          <w:rFonts w:ascii="Arial" w:hAnsi="Arial" w:cs="Arial"/>
          <w:sz w:val="22"/>
          <w:szCs w:val="22"/>
        </w:rPr>
        <w:t>izmjene i dopune,</w:t>
      </w:r>
    </w:p>
    <w:p w14:paraId="7A490FD1" w14:textId="7189088F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2. informacije o načinu i rokovima u kojima društvo za upravljanje glavnim </w:t>
      </w:r>
      <w:r w:rsidR="00F135D5" w:rsidRPr="00F135D5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fondom obavještava društvo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F135D5" w:rsidRPr="00F135D5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fondom o delegiranju poslova upravljanja imovinom i upravljanja rizicima,</w:t>
      </w:r>
    </w:p>
    <w:p w14:paraId="5FF0C101" w14:textId="1B869501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3. kada je to primjenjivo, informacije o načinu i rokovima u kojima društvo za upravljanje glavnim </w:t>
      </w:r>
      <w:r w:rsidR="000B6659" w:rsidRPr="000B6659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fondom dostavlja društvu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="000B6659">
        <w:rPr>
          <w:rFonts w:ascii="Arial" w:hAnsi="Arial" w:cs="Arial"/>
          <w:sz w:val="22"/>
          <w:szCs w:val="22"/>
        </w:rPr>
        <w:t xml:space="preserve"> </w:t>
      </w:r>
      <w:r w:rsidR="000B6659" w:rsidRPr="006966C9">
        <w:rPr>
          <w:rFonts w:ascii="Arial" w:hAnsi="Arial" w:cs="Arial"/>
          <w:sz w:val="22"/>
          <w:szCs w:val="22"/>
        </w:rPr>
        <w:t>UCITS</w:t>
      </w:r>
      <w:r w:rsidRPr="009762AB">
        <w:rPr>
          <w:rFonts w:ascii="Arial" w:hAnsi="Arial" w:cs="Arial"/>
          <w:sz w:val="22"/>
          <w:szCs w:val="22"/>
        </w:rPr>
        <w:t xml:space="preserve"> fondom internu dokumentaciju kojom su opisani procesi i poslovi te postupanja i odgovornosti u području upravljanja rizicima i praćenju usklađenosti s relevantnom zakonskom regulativom,</w:t>
      </w:r>
    </w:p>
    <w:p w14:paraId="32293BC6" w14:textId="33742EEE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4. informacije o načinu i rokovima u kojima društvo za upravljanje glavnim</w:t>
      </w:r>
      <w:r w:rsidR="00D96633" w:rsidRPr="00D96633">
        <w:rPr>
          <w:rFonts w:ascii="Arial" w:hAnsi="Arial" w:cs="Arial"/>
          <w:sz w:val="22"/>
          <w:szCs w:val="22"/>
        </w:rPr>
        <w:t xml:space="preserve"> </w:t>
      </w:r>
      <w:r w:rsidR="00D96633" w:rsidRPr="006966C9">
        <w:rPr>
          <w:rFonts w:ascii="Arial" w:hAnsi="Arial" w:cs="Arial"/>
          <w:sz w:val="22"/>
          <w:szCs w:val="22"/>
        </w:rPr>
        <w:t>UCITS</w:t>
      </w:r>
      <w:r w:rsidRPr="009762AB">
        <w:rPr>
          <w:rFonts w:ascii="Arial" w:hAnsi="Arial" w:cs="Arial"/>
          <w:sz w:val="22"/>
          <w:szCs w:val="22"/>
        </w:rPr>
        <w:t xml:space="preserve"> fondom obavještava društvo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D96633" w:rsidRPr="006966C9">
        <w:rPr>
          <w:rFonts w:ascii="Arial" w:hAnsi="Arial" w:cs="Arial"/>
          <w:sz w:val="22"/>
          <w:szCs w:val="22"/>
        </w:rPr>
        <w:t>UCITS</w:t>
      </w:r>
      <w:r w:rsidR="00D96633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fondom o kršenju zakona i/ili pravila </w:t>
      </w:r>
      <w:r w:rsidRPr="009762AB">
        <w:rPr>
          <w:rFonts w:ascii="Arial" w:hAnsi="Arial" w:cs="Arial"/>
          <w:sz w:val="22"/>
          <w:szCs w:val="22"/>
        </w:rPr>
        <w:lastRenderedPageBreak/>
        <w:t>fonda te sporazuma iz stavka 1. ovog članka</w:t>
      </w:r>
      <w:r w:rsidR="007F58B7">
        <w:rPr>
          <w:rFonts w:ascii="Arial" w:hAnsi="Arial" w:cs="Arial"/>
          <w:sz w:val="22"/>
          <w:szCs w:val="22"/>
        </w:rPr>
        <w:t>,</w:t>
      </w:r>
      <w:r w:rsidRPr="009762AB">
        <w:rPr>
          <w:rFonts w:ascii="Arial" w:hAnsi="Arial" w:cs="Arial"/>
          <w:sz w:val="22"/>
          <w:szCs w:val="22"/>
        </w:rPr>
        <w:t xml:space="preserve"> od strane društva za upravljanje glavnim </w:t>
      </w:r>
      <w:r w:rsidR="00D96633" w:rsidRPr="006966C9">
        <w:rPr>
          <w:rFonts w:ascii="Arial" w:hAnsi="Arial" w:cs="Arial"/>
          <w:sz w:val="22"/>
          <w:szCs w:val="22"/>
        </w:rPr>
        <w:t>UCITS</w:t>
      </w:r>
      <w:r w:rsidR="00D96633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fondom,</w:t>
      </w:r>
    </w:p>
    <w:p w14:paraId="72E6F0CB" w14:textId="73C82103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5. kada napajajući </w:t>
      </w:r>
      <w:r w:rsidR="00D96633" w:rsidRPr="006966C9">
        <w:rPr>
          <w:rFonts w:ascii="Arial" w:hAnsi="Arial" w:cs="Arial"/>
          <w:sz w:val="22"/>
          <w:szCs w:val="22"/>
        </w:rPr>
        <w:t>UCITS</w:t>
      </w:r>
      <w:r w:rsidR="00D96633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 koristi financijske izvedenice u svrhu zaštite od rizika, informacije o načinu i rokovima u kojima društvo za upravljanje glavnim </w:t>
      </w:r>
      <w:r w:rsidR="00D96633" w:rsidRPr="006966C9">
        <w:rPr>
          <w:rFonts w:ascii="Arial" w:hAnsi="Arial" w:cs="Arial"/>
          <w:sz w:val="22"/>
          <w:szCs w:val="22"/>
        </w:rPr>
        <w:t>UCITS</w:t>
      </w:r>
      <w:r w:rsidR="00D96633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fondom obavještava društvo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D96633" w:rsidRPr="006966C9">
        <w:rPr>
          <w:rFonts w:ascii="Arial" w:hAnsi="Arial" w:cs="Arial"/>
          <w:sz w:val="22"/>
          <w:szCs w:val="22"/>
        </w:rPr>
        <w:t>UCITS</w:t>
      </w:r>
      <w:r w:rsidR="00D96633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fondom o svojoj stvarnoj izloženosti prema financijskim izvedenicama, kako bi omogućio </w:t>
      </w:r>
      <w:proofErr w:type="spellStart"/>
      <w:r w:rsidRPr="009762AB">
        <w:rPr>
          <w:rFonts w:ascii="Arial" w:hAnsi="Arial" w:cs="Arial"/>
          <w:sz w:val="22"/>
          <w:szCs w:val="22"/>
        </w:rPr>
        <w:t>napajajućem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D96633" w:rsidRPr="006966C9">
        <w:rPr>
          <w:rFonts w:ascii="Arial" w:hAnsi="Arial" w:cs="Arial"/>
          <w:sz w:val="22"/>
          <w:szCs w:val="22"/>
        </w:rPr>
        <w:t>UCITS</w:t>
      </w:r>
      <w:r w:rsidR="00D96633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fondu da izračuna svoju ukupnu izloženost u skladu s člankom </w:t>
      </w:r>
      <w:r w:rsidR="00B554C9">
        <w:rPr>
          <w:rFonts w:ascii="Arial" w:hAnsi="Arial" w:cs="Arial"/>
          <w:sz w:val="22"/>
          <w:szCs w:val="22"/>
        </w:rPr>
        <w:t>308</w:t>
      </w:r>
      <w:r w:rsidRPr="009762AB">
        <w:rPr>
          <w:rFonts w:ascii="Arial" w:hAnsi="Arial" w:cs="Arial"/>
          <w:sz w:val="22"/>
          <w:szCs w:val="22"/>
        </w:rPr>
        <w:t>. Zakona,</w:t>
      </w:r>
    </w:p>
    <w:p w14:paraId="20B0A218" w14:textId="33EDD19E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6. </w:t>
      </w:r>
      <w:r w:rsidR="003C1712">
        <w:rPr>
          <w:rFonts w:ascii="Arial" w:hAnsi="Arial" w:cs="Arial"/>
          <w:sz w:val="22"/>
          <w:szCs w:val="22"/>
        </w:rPr>
        <w:t>obvezu</w:t>
      </w:r>
      <w:r w:rsidR="003C1712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društva za upravljanje glavnim </w:t>
      </w:r>
      <w:r w:rsidR="000E0A36" w:rsidRPr="006966C9">
        <w:rPr>
          <w:rFonts w:ascii="Arial" w:hAnsi="Arial" w:cs="Arial"/>
          <w:sz w:val="22"/>
          <w:szCs w:val="22"/>
        </w:rPr>
        <w:t>UCITS</w:t>
      </w:r>
      <w:r w:rsidR="000E0A36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fondom </w:t>
      </w:r>
      <w:r w:rsidR="003C1712">
        <w:rPr>
          <w:rFonts w:ascii="Arial" w:hAnsi="Arial" w:cs="Arial"/>
          <w:sz w:val="22"/>
          <w:szCs w:val="22"/>
        </w:rPr>
        <w:t>da</w:t>
      </w:r>
      <w:r w:rsidR="003C1712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obavještava društvo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0E0A36" w:rsidRPr="006966C9">
        <w:rPr>
          <w:rFonts w:ascii="Arial" w:hAnsi="Arial" w:cs="Arial"/>
          <w:sz w:val="22"/>
          <w:szCs w:val="22"/>
        </w:rPr>
        <w:t>UCITS</w:t>
      </w:r>
      <w:r w:rsidR="000E0A36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fondom o svim sporazumima o razmjeni informacija koje je zaključilo s trećim osobama te, kada je to primjenjivo, način i rokove u kojima navedene sporazume dostavlja društvu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0E0A36" w:rsidRPr="006966C9">
        <w:rPr>
          <w:rFonts w:ascii="Arial" w:hAnsi="Arial" w:cs="Arial"/>
          <w:sz w:val="22"/>
          <w:szCs w:val="22"/>
        </w:rPr>
        <w:t>UCITS</w:t>
      </w:r>
      <w:r w:rsidR="000E0A36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fondom,</w:t>
      </w:r>
    </w:p>
    <w:p w14:paraId="3347406C" w14:textId="17E73BE1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7. izjavu o klasama udjela glavnog </w:t>
      </w:r>
      <w:r w:rsidR="000E0A36" w:rsidRPr="000E0A36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u koje napajajući </w:t>
      </w:r>
      <w:r w:rsidR="000E0A36" w:rsidRPr="006966C9">
        <w:rPr>
          <w:rFonts w:ascii="Arial" w:hAnsi="Arial" w:cs="Arial"/>
          <w:sz w:val="22"/>
          <w:szCs w:val="22"/>
        </w:rPr>
        <w:t>UCITS</w:t>
      </w:r>
      <w:r w:rsidR="000E0A36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 može uložiti imovinu,</w:t>
      </w:r>
    </w:p>
    <w:p w14:paraId="4F7F3092" w14:textId="458F6660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8. naknade i troškove koje će snositi napajajući </w:t>
      </w:r>
      <w:r w:rsidR="000E0A36" w:rsidRPr="006966C9">
        <w:rPr>
          <w:rFonts w:ascii="Arial" w:hAnsi="Arial" w:cs="Arial"/>
          <w:sz w:val="22"/>
          <w:szCs w:val="22"/>
        </w:rPr>
        <w:t>UCITS</w:t>
      </w:r>
      <w:r w:rsidR="000E0A36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 te pojedinosti o mogućim snižavanjima ili povratima naknada ili troškova od strane glavnog </w:t>
      </w:r>
      <w:r w:rsidR="000E0A36" w:rsidRPr="006966C9">
        <w:rPr>
          <w:rFonts w:ascii="Arial" w:hAnsi="Arial" w:cs="Arial"/>
          <w:sz w:val="22"/>
          <w:szCs w:val="22"/>
        </w:rPr>
        <w:t>UCITS</w:t>
      </w:r>
      <w:r w:rsidR="000E0A36" w:rsidRPr="009762AB">
        <w:rPr>
          <w:rFonts w:ascii="Arial" w:hAnsi="Arial" w:cs="Arial"/>
          <w:sz w:val="22"/>
          <w:szCs w:val="22"/>
        </w:rPr>
        <w:t xml:space="preserve"> </w:t>
      </w:r>
      <w:r w:rsidR="000E0A36">
        <w:rPr>
          <w:rFonts w:ascii="Arial" w:hAnsi="Arial" w:cs="Arial"/>
          <w:sz w:val="22"/>
          <w:szCs w:val="22"/>
        </w:rPr>
        <w:t>f</w:t>
      </w:r>
      <w:r w:rsidRPr="009762AB">
        <w:rPr>
          <w:rFonts w:ascii="Arial" w:hAnsi="Arial" w:cs="Arial"/>
          <w:sz w:val="22"/>
          <w:szCs w:val="22"/>
        </w:rPr>
        <w:t>onda,</w:t>
      </w:r>
    </w:p>
    <w:p w14:paraId="5D7739DD" w14:textId="0C893B44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9. kada je to primjenjivo, uvjete u skladu s kojima se može provesti početni ili naknadni prijenos imovine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fonda na glavni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fond,</w:t>
      </w:r>
    </w:p>
    <w:p w14:paraId="41F3B18C" w14:textId="7D20FF6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10. mjere koje je potrebno poduzeti u svrhu poštivanja odredbi članka </w:t>
      </w:r>
      <w:r w:rsidR="003D0D66">
        <w:rPr>
          <w:rFonts w:ascii="Arial" w:hAnsi="Arial" w:cs="Arial"/>
          <w:sz w:val="22"/>
          <w:szCs w:val="22"/>
        </w:rPr>
        <w:t>309</w:t>
      </w:r>
      <w:r w:rsidRPr="009762AB">
        <w:rPr>
          <w:rFonts w:ascii="Arial" w:hAnsi="Arial" w:cs="Arial"/>
          <w:sz w:val="22"/>
          <w:szCs w:val="22"/>
        </w:rPr>
        <w:t>. Zakona te usklađenja učestalosti i vremena za izračun neto vrijednosti imovine i objavu cijene udjela,</w:t>
      </w:r>
    </w:p>
    <w:p w14:paraId="3CEF0EAB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11. pojedinosti oko izvršenja zahtjeva za izdavanje i otkup udjela, uključujući, kada je to primjenjivo, i uloge trećih osoba,</w:t>
      </w:r>
    </w:p>
    <w:p w14:paraId="3A12828C" w14:textId="49D3217C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12. mjere koje je potrebno poduzeti ako je jedan od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fondova ili su oba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fonda uvršteni ili se njihovim udjelima trguje na sekundarnom tržištu,</w:t>
      </w:r>
    </w:p>
    <w:p w14:paraId="73271930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13. kada je to primjenjivo, ostale mjere koje je potrebno poduzeti za usklađivanje vremena za izračun i objavu neto vrijednosti imovine, kako bi se spriječile moguće zloupotrebe razlika u njihovim cijenama udjela,</w:t>
      </w:r>
    </w:p>
    <w:p w14:paraId="3DFE2898" w14:textId="2111FA4A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14. kad</w:t>
      </w:r>
      <w:r w:rsidR="00651C1A">
        <w:rPr>
          <w:rFonts w:ascii="Arial" w:hAnsi="Arial" w:cs="Arial"/>
          <w:sz w:val="22"/>
          <w:szCs w:val="22"/>
        </w:rPr>
        <w:t>a</w:t>
      </w:r>
      <w:r w:rsidRPr="009762AB">
        <w:rPr>
          <w:rFonts w:ascii="Arial" w:hAnsi="Arial" w:cs="Arial"/>
          <w:sz w:val="22"/>
          <w:szCs w:val="22"/>
        </w:rPr>
        <w:t xml:space="preserve"> su udjeli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i glavnog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fonda denominirani u različitim valutama, tečaj po kojem će se konvertirati </w:t>
      </w:r>
      <w:r w:rsidR="008A54DE">
        <w:rPr>
          <w:rFonts w:ascii="Arial" w:hAnsi="Arial" w:cs="Arial"/>
          <w:sz w:val="22"/>
          <w:szCs w:val="22"/>
        </w:rPr>
        <w:t>uplate</w:t>
      </w:r>
      <w:r w:rsidR="007F58B7">
        <w:rPr>
          <w:rFonts w:ascii="Arial" w:hAnsi="Arial" w:cs="Arial"/>
          <w:sz w:val="22"/>
          <w:szCs w:val="22"/>
        </w:rPr>
        <w:t>,</w:t>
      </w:r>
      <w:r w:rsidR="008A54DE">
        <w:rPr>
          <w:rFonts w:ascii="Arial" w:hAnsi="Arial" w:cs="Arial"/>
          <w:sz w:val="22"/>
          <w:szCs w:val="22"/>
        </w:rPr>
        <w:t xml:space="preserve"> odnosno isplate prilikom </w:t>
      </w:r>
      <w:r w:rsidR="008A54DE" w:rsidRPr="009762AB">
        <w:rPr>
          <w:rFonts w:ascii="Arial" w:hAnsi="Arial" w:cs="Arial"/>
          <w:sz w:val="22"/>
          <w:szCs w:val="22"/>
        </w:rPr>
        <w:t>izdavanj</w:t>
      </w:r>
      <w:r w:rsidR="008A54DE">
        <w:rPr>
          <w:rFonts w:ascii="Arial" w:hAnsi="Arial" w:cs="Arial"/>
          <w:sz w:val="22"/>
          <w:szCs w:val="22"/>
        </w:rPr>
        <w:t>a</w:t>
      </w:r>
      <w:r w:rsidR="008A54DE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i otkup</w:t>
      </w:r>
      <w:r w:rsidR="008A54DE">
        <w:rPr>
          <w:rFonts w:ascii="Arial" w:hAnsi="Arial" w:cs="Arial"/>
          <w:sz w:val="22"/>
          <w:szCs w:val="22"/>
        </w:rPr>
        <w:t>a</w:t>
      </w:r>
      <w:r w:rsidRPr="009762AB">
        <w:rPr>
          <w:rFonts w:ascii="Arial" w:hAnsi="Arial" w:cs="Arial"/>
          <w:sz w:val="22"/>
          <w:szCs w:val="22"/>
        </w:rPr>
        <w:t xml:space="preserve"> udjela,</w:t>
      </w:r>
    </w:p>
    <w:p w14:paraId="5A682742" w14:textId="49BBA294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15. pojedinosti i rokove plaćanja pri izdavanju i otkupu udjela glavnog </w:t>
      </w:r>
      <w:r w:rsidR="00420CBC" w:rsidRPr="00420CB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fonda, uključujući, kad je </w:t>
      </w:r>
      <w:r w:rsidR="001965A3" w:rsidRPr="009762AB">
        <w:rPr>
          <w:rFonts w:ascii="Arial" w:hAnsi="Arial" w:cs="Arial"/>
          <w:sz w:val="22"/>
          <w:szCs w:val="22"/>
        </w:rPr>
        <w:t>t</w:t>
      </w:r>
      <w:r w:rsidR="001965A3">
        <w:rPr>
          <w:rFonts w:ascii="Arial" w:hAnsi="Arial" w:cs="Arial"/>
          <w:sz w:val="22"/>
          <w:szCs w:val="22"/>
        </w:rPr>
        <w:t>ako</w:t>
      </w:r>
      <w:r w:rsidR="001965A3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dogovoreno između ugovornih strana, uvjete po kojima glavni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 može namiriti zahtjeve za isplatu prijenosom imovine na napajajući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fond, osobito u slučajevima </w:t>
      </w:r>
      <w:r w:rsidR="00143DE9">
        <w:rPr>
          <w:rFonts w:ascii="Arial" w:hAnsi="Arial" w:cs="Arial"/>
          <w:sz w:val="22"/>
          <w:szCs w:val="22"/>
        </w:rPr>
        <w:t xml:space="preserve">likvidacije ili </w:t>
      </w:r>
      <w:r w:rsidR="00F03773">
        <w:rPr>
          <w:rFonts w:ascii="Arial" w:hAnsi="Arial" w:cs="Arial"/>
          <w:sz w:val="22"/>
          <w:szCs w:val="22"/>
        </w:rPr>
        <w:t>statusne promjene glavnog UCITS fonda</w:t>
      </w:r>
      <w:r w:rsidRPr="009762AB">
        <w:rPr>
          <w:rFonts w:ascii="Arial" w:hAnsi="Arial" w:cs="Arial"/>
          <w:sz w:val="22"/>
          <w:szCs w:val="22"/>
        </w:rPr>
        <w:t>,</w:t>
      </w:r>
    </w:p>
    <w:p w14:paraId="68B6F939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16. postupke koji osiguravaju da se s upitima i pritužbama </w:t>
      </w:r>
      <w:proofErr w:type="spellStart"/>
      <w:r w:rsidRPr="009762AB">
        <w:rPr>
          <w:rFonts w:ascii="Arial" w:hAnsi="Arial" w:cs="Arial"/>
          <w:sz w:val="22"/>
          <w:szCs w:val="22"/>
        </w:rPr>
        <w:t>ulagatelja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primjereno postupa,</w:t>
      </w:r>
    </w:p>
    <w:p w14:paraId="4E83EF46" w14:textId="1A912A3B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17. kada pravila i/ili prospekt glavnog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fonda daju određena prava ili ovlaštenja </w:t>
      </w:r>
      <w:proofErr w:type="spellStart"/>
      <w:r w:rsidRPr="009762AB">
        <w:rPr>
          <w:rFonts w:ascii="Arial" w:hAnsi="Arial" w:cs="Arial"/>
          <w:sz w:val="22"/>
          <w:szCs w:val="22"/>
        </w:rPr>
        <w:t>ulagateljima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, a društvo za upravljanje glavnim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fondom odluči ograničiti ili uskratiti sva ili neka takva prava i ovlaštenja </w:t>
      </w:r>
      <w:proofErr w:type="spellStart"/>
      <w:r w:rsidRPr="009762AB">
        <w:rPr>
          <w:rFonts w:ascii="Arial" w:hAnsi="Arial" w:cs="Arial"/>
          <w:sz w:val="22"/>
          <w:szCs w:val="22"/>
        </w:rPr>
        <w:t>napajajućem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fondu, </w:t>
      </w:r>
      <w:r w:rsidR="00B66E46">
        <w:rPr>
          <w:rFonts w:ascii="Arial" w:hAnsi="Arial" w:cs="Arial"/>
          <w:sz w:val="22"/>
          <w:szCs w:val="22"/>
        </w:rPr>
        <w:t>način i</w:t>
      </w:r>
      <w:r w:rsidRPr="009762AB">
        <w:rPr>
          <w:rFonts w:ascii="Arial" w:hAnsi="Arial" w:cs="Arial"/>
          <w:sz w:val="22"/>
          <w:szCs w:val="22"/>
        </w:rPr>
        <w:t xml:space="preserve"> </w:t>
      </w:r>
      <w:r w:rsidR="00B66E46" w:rsidRPr="009762AB">
        <w:rPr>
          <w:rFonts w:ascii="Arial" w:hAnsi="Arial" w:cs="Arial"/>
          <w:sz w:val="22"/>
          <w:szCs w:val="22"/>
        </w:rPr>
        <w:t>uvjet</w:t>
      </w:r>
      <w:r w:rsidR="00B66E46">
        <w:rPr>
          <w:rFonts w:ascii="Arial" w:hAnsi="Arial" w:cs="Arial"/>
          <w:sz w:val="22"/>
          <w:szCs w:val="22"/>
        </w:rPr>
        <w:t>e</w:t>
      </w:r>
      <w:r w:rsidR="00B66E46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pod kojima se takva odluka donosi,</w:t>
      </w:r>
    </w:p>
    <w:p w14:paraId="367F3C07" w14:textId="48A14918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18. informacije o načinu i rokovima obavještavanja o privremenoj obustavi i nastavku otkupa ili izdavanja udjela glavnog odnosno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420CBC" w:rsidRPr="00420CB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fonda,</w:t>
      </w:r>
    </w:p>
    <w:p w14:paraId="4A2EAC16" w14:textId="0291D749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lastRenderedPageBreak/>
        <w:t xml:space="preserve">19. mjere koje će se poduzimati s ciljem obavještavanja i otklanjanja uočenih nepravilnosti prilikom vrednovanja imovine </w:t>
      </w:r>
      <w:r w:rsidR="00035E3D" w:rsidRPr="009762AB">
        <w:rPr>
          <w:rFonts w:ascii="Arial" w:hAnsi="Arial" w:cs="Arial"/>
          <w:sz w:val="22"/>
          <w:szCs w:val="22"/>
        </w:rPr>
        <w:t>glavno</w:t>
      </w:r>
      <w:r w:rsidR="00035E3D">
        <w:rPr>
          <w:rFonts w:ascii="Arial" w:hAnsi="Arial" w:cs="Arial"/>
          <w:sz w:val="22"/>
          <w:szCs w:val="22"/>
        </w:rPr>
        <w:t>g</w:t>
      </w:r>
      <w:r w:rsidR="00035E3D" w:rsidRPr="009762AB">
        <w:rPr>
          <w:rFonts w:ascii="Arial" w:hAnsi="Arial" w:cs="Arial"/>
          <w:sz w:val="22"/>
          <w:szCs w:val="22"/>
        </w:rPr>
        <w:t xml:space="preserve">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="00035E3D" w:rsidRPr="009762AB">
        <w:rPr>
          <w:rFonts w:ascii="Arial" w:hAnsi="Arial" w:cs="Arial"/>
          <w:sz w:val="22"/>
          <w:szCs w:val="22"/>
        </w:rPr>
        <w:t>fond</w:t>
      </w:r>
      <w:r w:rsidR="00035E3D">
        <w:rPr>
          <w:rFonts w:ascii="Arial" w:hAnsi="Arial" w:cs="Arial"/>
          <w:sz w:val="22"/>
          <w:szCs w:val="22"/>
        </w:rPr>
        <w:t>a</w:t>
      </w:r>
      <w:r w:rsidRPr="009762AB">
        <w:rPr>
          <w:rFonts w:ascii="Arial" w:hAnsi="Arial" w:cs="Arial"/>
          <w:sz w:val="22"/>
          <w:szCs w:val="22"/>
        </w:rPr>
        <w:t>,</w:t>
      </w:r>
    </w:p>
    <w:p w14:paraId="7B8CB622" w14:textId="4B497F1D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20. kad napajajući i glavni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 imaju iste poslovne godine, informacije o usklađenosti izrade njihovih periodičkih izvještaja,</w:t>
      </w:r>
    </w:p>
    <w:p w14:paraId="60343700" w14:textId="1D216265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21. kad napajajući i glavni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 imaju različite poslovne godine, uvjete koji omogućuju društvu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fondom da dobije sve potrebne informacije od društva za upravljanje glavnim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fondom kako bi moglo pravodobno izraditi svoje periodičke izvještaje te koji osiguravaju da je revizor glavnog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fonda u mogućnosti izraditi dodatno izvješće sa istim datumom za koji se sastavlja revizorsko izvješće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420CBC" w:rsidRPr="00420CB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fonda, u skladu s člankom </w:t>
      </w:r>
      <w:r w:rsidR="00866C3B">
        <w:rPr>
          <w:rFonts w:ascii="Arial" w:hAnsi="Arial" w:cs="Arial"/>
          <w:sz w:val="22"/>
          <w:szCs w:val="22"/>
        </w:rPr>
        <w:t>306</w:t>
      </w:r>
      <w:r w:rsidRPr="009762AB">
        <w:rPr>
          <w:rFonts w:ascii="Arial" w:hAnsi="Arial" w:cs="Arial"/>
          <w:sz w:val="22"/>
          <w:szCs w:val="22"/>
        </w:rPr>
        <w:t>. Zakona,</w:t>
      </w:r>
    </w:p>
    <w:p w14:paraId="4E2EF68E" w14:textId="24C87CC2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22. informacije o načinu i rokovima u kojima društvo za upravljanje glavnim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fondom obavještava društvo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fondom o predloženim i provedenim izmjenama i/ili dopunama svojih pravila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fonda, prospekta i ključnih informacija za </w:t>
      </w:r>
      <w:proofErr w:type="spellStart"/>
      <w:r w:rsidRPr="009762AB">
        <w:rPr>
          <w:rFonts w:ascii="Arial" w:hAnsi="Arial" w:cs="Arial"/>
          <w:sz w:val="22"/>
          <w:szCs w:val="22"/>
        </w:rPr>
        <w:t>ulagatelje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, ako se te pojedinosti razlikuju od dogovorenih uvjeta za obavještavanje </w:t>
      </w:r>
      <w:proofErr w:type="spellStart"/>
      <w:r w:rsidRPr="009762AB">
        <w:rPr>
          <w:rFonts w:ascii="Arial" w:hAnsi="Arial" w:cs="Arial"/>
          <w:sz w:val="22"/>
          <w:szCs w:val="22"/>
        </w:rPr>
        <w:t>ulagatelja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koji su propisani pravilima ili prospektom glavnog </w:t>
      </w:r>
      <w:r w:rsidR="00420CBC" w:rsidRPr="00420CB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fonda,</w:t>
      </w:r>
    </w:p>
    <w:p w14:paraId="7AB59394" w14:textId="498684CB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23. informacije o načinu i rokovima u kojima društvo za upravljanje glavnim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fondom obavještava društvo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fondom o planiranoj ili predloženoj likvidaciji</w:t>
      </w:r>
      <w:r w:rsidR="00BB03EB">
        <w:rPr>
          <w:rFonts w:ascii="Arial" w:hAnsi="Arial" w:cs="Arial"/>
          <w:sz w:val="22"/>
          <w:szCs w:val="22"/>
        </w:rPr>
        <w:t xml:space="preserve"> ili </w:t>
      </w:r>
      <w:r w:rsidRPr="009762AB">
        <w:rPr>
          <w:rFonts w:ascii="Arial" w:hAnsi="Arial" w:cs="Arial"/>
          <w:sz w:val="22"/>
          <w:szCs w:val="22"/>
        </w:rPr>
        <w:t xml:space="preserve">statusnoj promjeni glavnog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fonda,</w:t>
      </w:r>
    </w:p>
    <w:p w14:paraId="22EB877C" w14:textId="598CBA95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24. informacije o načinu i rokovima u kojima društvo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, odnosno društvo za upravljanje glavnim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fondom</w:t>
      </w:r>
      <w:r w:rsidR="002C781E">
        <w:rPr>
          <w:rFonts w:ascii="Arial" w:hAnsi="Arial" w:cs="Arial"/>
          <w:sz w:val="22"/>
          <w:szCs w:val="22"/>
        </w:rPr>
        <w:t>,</w:t>
      </w:r>
      <w:r w:rsidRPr="009762AB">
        <w:rPr>
          <w:rFonts w:ascii="Arial" w:hAnsi="Arial" w:cs="Arial"/>
          <w:sz w:val="22"/>
          <w:szCs w:val="22"/>
        </w:rPr>
        <w:t xml:space="preserve"> obavještava drugo društvo da su prestali ili da će prestati postojati uvjeti prema kojima se fond smatra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="007F58B7">
        <w:rPr>
          <w:rFonts w:ascii="Arial" w:hAnsi="Arial" w:cs="Arial"/>
          <w:sz w:val="22"/>
          <w:szCs w:val="22"/>
        </w:rPr>
        <w:t>,</w:t>
      </w:r>
      <w:r w:rsidRPr="009762AB">
        <w:rPr>
          <w:rFonts w:ascii="Arial" w:hAnsi="Arial" w:cs="Arial"/>
          <w:sz w:val="22"/>
          <w:szCs w:val="22"/>
        </w:rPr>
        <w:t xml:space="preserve"> odnosno glavnim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fondom,</w:t>
      </w:r>
    </w:p>
    <w:p w14:paraId="40B9571F" w14:textId="2FFCC3F1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25. informacije o načinu i rokovima u kojima društvo za upravljanje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, odnosno društvo za upravljanje glavnim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fondom</w:t>
      </w:r>
      <w:r w:rsidR="00A02EC6">
        <w:rPr>
          <w:rFonts w:ascii="Arial" w:hAnsi="Arial" w:cs="Arial"/>
          <w:sz w:val="22"/>
          <w:szCs w:val="22"/>
        </w:rPr>
        <w:t>,</w:t>
      </w:r>
      <w:r w:rsidRPr="009762AB">
        <w:rPr>
          <w:rFonts w:ascii="Arial" w:hAnsi="Arial" w:cs="Arial"/>
          <w:sz w:val="22"/>
          <w:szCs w:val="22"/>
        </w:rPr>
        <w:t xml:space="preserve"> obavještava drugo društvo da fond namjerava promijeniti društvo za upravljanje, depozitara, revizora i/ili bilo koju treću osobu na koju su delegirani poslovi upravljanja imovinom i upravljanja rizicima,</w:t>
      </w:r>
    </w:p>
    <w:p w14:paraId="21500725" w14:textId="1762F1BC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26. informacije o načinu i rokovima obavještavanja o drugim promjenama utvrđenih uvjeta poslovanja za koje se glavni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 obvezao da će ih dostaviti,</w:t>
      </w:r>
    </w:p>
    <w:p w14:paraId="162EE9D7" w14:textId="217FA80F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27. izričitu odredbu, </w:t>
      </w:r>
      <w:r w:rsidR="007F58B7">
        <w:rPr>
          <w:rFonts w:ascii="Arial" w:hAnsi="Arial" w:cs="Arial"/>
          <w:sz w:val="22"/>
          <w:szCs w:val="22"/>
        </w:rPr>
        <w:t>ako</w:t>
      </w:r>
      <w:r w:rsidRPr="009762AB">
        <w:rPr>
          <w:rFonts w:ascii="Arial" w:hAnsi="Arial" w:cs="Arial"/>
          <w:sz w:val="22"/>
          <w:szCs w:val="22"/>
        </w:rPr>
        <w:t xml:space="preserve"> su glavni i napajajući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 osnovani u istoj državi članici, da je mjerodavno pravo za tumačenje i primjenu </w:t>
      </w:r>
      <w:r w:rsidR="006D6AED">
        <w:rPr>
          <w:rFonts w:ascii="Arial" w:hAnsi="Arial" w:cs="Arial"/>
          <w:sz w:val="22"/>
          <w:szCs w:val="22"/>
        </w:rPr>
        <w:t xml:space="preserve">ovoga </w:t>
      </w:r>
      <w:r w:rsidRPr="009762AB">
        <w:rPr>
          <w:rFonts w:ascii="Arial" w:hAnsi="Arial" w:cs="Arial"/>
          <w:sz w:val="22"/>
          <w:szCs w:val="22"/>
        </w:rPr>
        <w:t>sporazuma pravo te države članice, te izričitu odredbu da su obje ugovorne strane suglasne s isključivom nadležnošću sudova te države članice,</w:t>
      </w:r>
    </w:p>
    <w:p w14:paraId="20CD96F4" w14:textId="03C11AC8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28. izričitu odredbu, </w:t>
      </w:r>
      <w:r w:rsidR="007F58B7">
        <w:rPr>
          <w:rFonts w:ascii="Arial" w:hAnsi="Arial" w:cs="Arial"/>
          <w:sz w:val="22"/>
          <w:szCs w:val="22"/>
        </w:rPr>
        <w:t>ako</w:t>
      </w:r>
      <w:r w:rsidRPr="009762AB">
        <w:rPr>
          <w:rFonts w:ascii="Arial" w:hAnsi="Arial" w:cs="Arial"/>
          <w:sz w:val="22"/>
          <w:szCs w:val="22"/>
        </w:rPr>
        <w:t xml:space="preserve"> su glavni i napajajući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 osnovani u različitim državama članicama, da je mjerodavno pravo za tumačenje i primjenu </w:t>
      </w:r>
      <w:r w:rsidR="006D6AED">
        <w:rPr>
          <w:rFonts w:ascii="Arial" w:hAnsi="Arial" w:cs="Arial"/>
          <w:sz w:val="22"/>
          <w:szCs w:val="22"/>
        </w:rPr>
        <w:t xml:space="preserve">ovoga </w:t>
      </w:r>
      <w:r w:rsidRPr="009762AB">
        <w:rPr>
          <w:rFonts w:ascii="Arial" w:hAnsi="Arial" w:cs="Arial"/>
          <w:sz w:val="22"/>
          <w:szCs w:val="22"/>
        </w:rPr>
        <w:t xml:space="preserve">sporazuma pravo države članice u kojoj je osnovan glavni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fond ili pravo države članice u kojoj je osnovan napajajući </w:t>
      </w:r>
      <w:r w:rsidR="00420CBC" w:rsidRPr="006966C9">
        <w:rPr>
          <w:rFonts w:ascii="Arial" w:hAnsi="Arial" w:cs="Arial"/>
          <w:sz w:val="22"/>
          <w:szCs w:val="22"/>
        </w:rPr>
        <w:t>UCITS</w:t>
      </w:r>
      <w:r w:rsidR="00420CBC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 te izričitu odredbu da su obje ugovorne strane suglasne s isključivom nadležnošću sudova drž</w:t>
      </w:r>
      <w:r w:rsidR="007F58B7">
        <w:rPr>
          <w:rFonts w:ascii="Arial" w:hAnsi="Arial" w:cs="Arial"/>
          <w:sz w:val="22"/>
          <w:szCs w:val="22"/>
        </w:rPr>
        <w:t xml:space="preserve">ave članice čiju su </w:t>
      </w:r>
      <w:proofErr w:type="spellStart"/>
      <w:r w:rsidR="007F58B7">
        <w:rPr>
          <w:rFonts w:ascii="Arial" w:hAnsi="Arial" w:cs="Arial"/>
          <w:sz w:val="22"/>
          <w:szCs w:val="22"/>
        </w:rPr>
        <w:t>materijalno</w:t>
      </w:r>
      <w:r w:rsidRPr="009762AB">
        <w:rPr>
          <w:rFonts w:ascii="Arial" w:hAnsi="Arial" w:cs="Arial"/>
          <w:sz w:val="22"/>
          <w:szCs w:val="22"/>
        </w:rPr>
        <w:t>pravnu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nadležnost sporazumom utvrdili.</w:t>
      </w:r>
    </w:p>
    <w:p w14:paraId="0A24CAD0" w14:textId="77777777" w:rsidR="00263511" w:rsidRPr="00534601" w:rsidRDefault="00263511" w:rsidP="00534601">
      <w:pPr>
        <w:pStyle w:val="Heading1"/>
        <w:rPr>
          <w:rFonts w:ascii="Arial" w:hAnsi="Arial" w:cs="Arial"/>
          <w:sz w:val="22"/>
          <w:szCs w:val="22"/>
        </w:rPr>
      </w:pPr>
      <w:r w:rsidRPr="00534601">
        <w:rPr>
          <w:rFonts w:ascii="Arial" w:hAnsi="Arial" w:cs="Arial"/>
          <w:sz w:val="22"/>
          <w:szCs w:val="22"/>
        </w:rPr>
        <w:t>SADRŽAJ INTERNIH PRAVILA POSLOVANJA DRUŠTVA ZA UPRAVLJANJE GLAVNIM I NAPAJAJUĆIM UCITS FONDOM</w:t>
      </w:r>
    </w:p>
    <w:p w14:paraId="40853B92" w14:textId="77777777" w:rsidR="00263511" w:rsidRPr="00CD61EB" w:rsidRDefault="00263511" w:rsidP="00CD61EB">
      <w:pPr>
        <w:pStyle w:val="Heading2"/>
        <w:rPr>
          <w:rFonts w:ascii="Arial" w:hAnsi="Arial" w:cs="Arial"/>
          <w:sz w:val="22"/>
          <w:szCs w:val="22"/>
        </w:rPr>
      </w:pPr>
      <w:r w:rsidRPr="00CD61EB">
        <w:rPr>
          <w:rFonts w:ascii="Arial" w:hAnsi="Arial" w:cs="Arial"/>
          <w:sz w:val="22"/>
          <w:szCs w:val="22"/>
        </w:rPr>
        <w:t>Članak 3.</w:t>
      </w:r>
    </w:p>
    <w:p w14:paraId="524B17BF" w14:textId="2476A398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(1) U slučaju kada isto društvo za upravljanje upravlja glavnim i </w:t>
      </w:r>
      <w:proofErr w:type="spellStart"/>
      <w:r w:rsidRPr="009762AB">
        <w:rPr>
          <w:rFonts w:ascii="Arial" w:hAnsi="Arial" w:cs="Arial"/>
          <w:sz w:val="22"/>
          <w:szCs w:val="22"/>
        </w:rPr>
        <w:t>napajajućim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7D1014" w:rsidRPr="007D1014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fondom, sporazum iz članka 2. ovog Pravilnika zamjenjuju interna pravila poslovanja.</w:t>
      </w:r>
    </w:p>
    <w:p w14:paraId="25DACDB5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lastRenderedPageBreak/>
        <w:t>(2) Sadržaj internih pravila poslovanja iz prethodnog stavka uključuje:</w:t>
      </w:r>
    </w:p>
    <w:p w14:paraId="561271FE" w14:textId="5367AF9F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1. mjere za sprječavanje potencijalnog sukoba interesa između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i glavnog </w:t>
      </w:r>
      <w:r w:rsidR="007D1014" w:rsidRPr="007D1014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fonda, te između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7D1014" w:rsidRPr="007D1014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i </w:t>
      </w:r>
      <w:proofErr w:type="spellStart"/>
      <w:r w:rsidRPr="009762AB">
        <w:rPr>
          <w:rFonts w:ascii="Arial" w:hAnsi="Arial" w:cs="Arial"/>
          <w:sz w:val="22"/>
          <w:szCs w:val="22"/>
        </w:rPr>
        <w:t>ulagatelja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u glavnom </w:t>
      </w:r>
      <w:r w:rsidR="007D1014" w:rsidRPr="007D1014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fondu, kada one nisu dovoljno riješene mjerama iz članka </w:t>
      </w:r>
      <w:r w:rsidR="00064CC9" w:rsidRPr="009762AB">
        <w:rPr>
          <w:rFonts w:ascii="Arial" w:hAnsi="Arial" w:cs="Arial"/>
          <w:sz w:val="22"/>
          <w:szCs w:val="22"/>
        </w:rPr>
        <w:t>4</w:t>
      </w:r>
      <w:r w:rsidR="00064CC9">
        <w:rPr>
          <w:rFonts w:ascii="Arial" w:hAnsi="Arial" w:cs="Arial"/>
          <w:sz w:val="22"/>
          <w:szCs w:val="22"/>
        </w:rPr>
        <w:t>7</w:t>
      </w:r>
      <w:r w:rsidRPr="009762AB">
        <w:rPr>
          <w:rFonts w:ascii="Arial" w:hAnsi="Arial" w:cs="Arial"/>
          <w:sz w:val="22"/>
          <w:szCs w:val="22"/>
        </w:rPr>
        <w:t xml:space="preserve">. </w:t>
      </w:r>
      <w:r w:rsidR="00064CC9" w:rsidRPr="009762AB">
        <w:rPr>
          <w:rFonts w:ascii="Arial" w:hAnsi="Arial" w:cs="Arial"/>
          <w:sz w:val="22"/>
          <w:szCs w:val="22"/>
        </w:rPr>
        <w:t>stav</w:t>
      </w:r>
      <w:r w:rsidR="00064CC9">
        <w:rPr>
          <w:rFonts w:ascii="Arial" w:hAnsi="Arial" w:cs="Arial"/>
          <w:sz w:val="22"/>
          <w:szCs w:val="22"/>
        </w:rPr>
        <w:t>ka</w:t>
      </w:r>
      <w:r w:rsidR="00064CC9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1. </w:t>
      </w:r>
      <w:r w:rsidR="00064CC9" w:rsidRPr="009762AB">
        <w:rPr>
          <w:rFonts w:ascii="Arial" w:hAnsi="Arial" w:cs="Arial"/>
          <w:sz w:val="22"/>
          <w:szCs w:val="22"/>
        </w:rPr>
        <w:t>točk</w:t>
      </w:r>
      <w:r w:rsidR="00064CC9">
        <w:rPr>
          <w:rFonts w:ascii="Arial" w:hAnsi="Arial" w:cs="Arial"/>
          <w:sz w:val="22"/>
          <w:szCs w:val="22"/>
        </w:rPr>
        <w:t>e</w:t>
      </w:r>
      <w:r w:rsidR="00064CC9" w:rsidRPr="009762AB">
        <w:rPr>
          <w:rFonts w:ascii="Arial" w:hAnsi="Arial" w:cs="Arial"/>
          <w:sz w:val="22"/>
          <w:szCs w:val="22"/>
        </w:rPr>
        <w:t xml:space="preserve"> </w:t>
      </w:r>
      <w:r w:rsidR="00064CC9">
        <w:rPr>
          <w:rFonts w:ascii="Arial" w:hAnsi="Arial" w:cs="Arial"/>
          <w:sz w:val="22"/>
          <w:szCs w:val="22"/>
        </w:rPr>
        <w:t>5</w:t>
      </w:r>
      <w:r w:rsidRPr="009762AB">
        <w:rPr>
          <w:rFonts w:ascii="Arial" w:hAnsi="Arial" w:cs="Arial"/>
          <w:sz w:val="22"/>
          <w:szCs w:val="22"/>
        </w:rPr>
        <w:t xml:space="preserve">. i članka </w:t>
      </w:r>
      <w:r w:rsidR="00362E9D">
        <w:rPr>
          <w:rFonts w:ascii="Arial" w:hAnsi="Arial" w:cs="Arial"/>
          <w:sz w:val="22"/>
          <w:szCs w:val="22"/>
        </w:rPr>
        <w:t>49</w:t>
      </w:r>
      <w:r w:rsidRPr="009762AB">
        <w:rPr>
          <w:rFonts w:ascii="Arial" w:hAnsi="Arial" w:cs="Arial"/>
          <w:sz w:val="22"/>
          <w:szCs w:val="22"/>
        </w:rPr>
        <w:t xml:space="preserve">. Zakona, te mjerama propisanim pravilnikom iz članka </w:t>
      </w:r>
      <w:r w:rsidR="00C2061E" w:rsidRPr="009762AB">
        <w:rPr>
          <w:rFonts w:ascii="Arial" w:hAnsi="Arial" w:cs="Arial"/>
          <w:sz w:val="22"/>
          <w:szCs w:val="22"/>
        </w:rPr>
        <w:t>6</w:t>
      </w:r>
      <w:r w:rsidR="00C2061E">
        <w:rPr>
          <w:rFonts w:ascii="Arial" w:hAnsi="Arial" w:cs="Arial"/>
          <w:sz w:val="22"/>
          <w:szCs w:val="22"/>
        </w:rPr>
        <w:t>6</w:t>
      </w:r>
      <w:r w:rsidRPr="009762AB">
        <w:rPr>
          <w:rFonts w:ascii="Arial" w:hAnsi="Arial" w:cs="Arial"/>
          <w:sz w:val="22"/>
          <w:szCs w:val="22"/>
        </w:rPr>
        <w:t>. Zakona,</w:t>
      </w:r>
    </w:p>
    <w:p w14:paraId="1CAC03ED" w14:textId="0CBA3028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2. izjavu o klasama udjela glavnog </w:t>
      </w:r>
      <w:r w:rsidR="007D1014" w:rsidRPr="007D1014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koje su na raspolaganju za ulaganje </w:t>
      </w:r>
      <w:proofErr w:type="spellStart"/>
      <w:r w:rsidRPr="009762AB">
        <w:rPr>
          <w:rFonts w:ascii="Arial" w:hAnsi="Arial" w:cs="Arial"/>
          <w:sz w:val="22"/>
          <w:szCs w:val="22"/>
        </w:rPr>
        <w:t>napajajućem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7D1014" w:rsidRPr="007D1014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fondu,</w:t>
      </w:r>
    </w:p>
    <w:p w14:paraId="0E1F6F18" w14:textId="2F61B302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3. naknade i troškove koje će snositi napajajući</w:t>
      </w:r>
      <w:r w:rsidR="007D1014" w:rsidRPr="007D101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D1014" w:rsidRPr="007D1014">
        <w:rPr>
          <w:rFonts w:ascii="Arial" w:hAnsi="Arial" w:cs="Arial"/>
          <w:sz w:val="22"/>
          <w:szCs w:val="22"/>
        </w:rPr>
        <w:t>UCITS</w:t>
      </w:r>
      <w:r w:rsidRPr="009762AB">
        <w:rPr>
          <w:rFonts w:ascii="Arial" w:hAnsi="Arial" w:cs="Arial"/>
          <w:sz w:val="22"/>
          <w:szCs w:val="22"/>
        </w:rPr>
        <w:t xml:space="preserve"> fond te pojedinosti o mogućim snižavanjima ili povratima naknada ili troškova od strane glavnog </w:t>
      </w:r>
      <w:r w:rsidR="007D1014" w:rsidRPr="007D1014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fonda,</w:t>
      </w:r>
    </w:p>
    <w:p w14:paraId="66F5B6F2" w14:textId="53FDE13C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4. kada je to primjenjivo, uvjete u skladu s kojima se može provesti početni ili naknadni prijenos imovine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7D1014" w:rsidRPr="007D1014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na glavni </w:t>
      </w:r>
      <w:r w:rsidR="007D1014" w:rsidRPr="007D1014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fond,</w:t>
      </w:r>
    </w:p>
    <w:p w14:paraId="7B7849D6" w14:textId="4BC95A8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5. mjere koje je potrebno poduzeti u svrhu udovoljavanja članku </w:t>
      </w:r>
      <w:r w:rsidR="006B0238">
        <w:rPr>
          <w:rFonts w:ascii="Arial" w:hAnsi="Arial" w:cs="Arial"/>
          <w:sz w:val="22"/>
          <w:szCs w:val="22"/>
        </w:rPr>
        <w:t>30</w:t>
      </w:r>
      <w:r w:rsidR="006602F0">
        <w:rPr>
          <w:rFonts w:ascii="Arial" w:hAnsi="Arial" w:cs="Arial"/>
          <w:sz w:val="22"/>
          <w:szCs w:val="22"/>
        </w:rPr>
        <w:t>9</w:t>
      </w:r>
      <w:r w:rsidRPr="009762AB">
        <w:rPr>
          <w:rFonts w:ascii="Arial" w:hAnsi="Arial" w:cs="Arial"/>
          <w:sz w:val="22"/>
          <w:szCs w:val="22"/>
        </w:rPr>
        <w:t>. Zakona te usklađenje učestalosti i vremena za izračun neto vrijednosti imovine i objavu cijene udjela,</w:t>
      </w:r>
    </w:p>
    <w:p w14:paraId="50B59479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6. pojedinosti oko izvršenja zahtjeva za izdavanje i otkup udjela, uključujući, kada je to primjenjivo, i uloge trećih osoba,</w:t>
      </w:r>
    </w:p>
    <w:p w14:paraId="610DB800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7. mjere koje je potrebno poduzeti ako je jedan od fondova ili su oba fonda uvršteni ili se njihovim udjelima trguje na sekundarnom tržištu,</w:t>
      </w:r>
    </w:p>
    <w:p w14:paraId="6658D43B" w14:textId="2B9B15F5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8. kad su udjeli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i glavnog </w:t>
      </w:r>
      <w:r w:rsidR="007D1014" w:rsidRPr="007D1014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denominirani u različitim valutama, tečaj po kojem će se konvertirati </w:t>
      </w:r>
      <w:r w:rsidR="00C17C3E">
        <w:rPr>
          <w:rFonts w:ascii="Arial" w:hAnsi="Arial" w:cs="Arial"/>
          <w:sz w:val="22"/>
          <w:szCs w:val="22"/>
        </w:rPr>
        <w:t>uplate</w:t>
      </w:r>
      <w:r w:rsidR="007F58B7">
        <w:rPr>
          <w:rFonts w:ascii="Arial" w:hAnsi="Arial" w:cs="Arial"/>
          <w:sz w:val="22"/>
          <w:szCs w:val="22"/>
        </w:rPr>
        <w:t>,</w:t>
      </w:r>
      <w:r w:rsidR="00C17C3E">
        <w:rPr>
          <w:rFonts w:ascii="Arial" w:hAnsi="Arial" w:cs="Arial"/>
          <w:sz w:val="22"/>
          <w:szCs w:val="22"/>
        </w:rPr>
        <w:t xml:space="preserve"> odnosno isplate  prilikom </w:t>
      </w:r>
      <w:r w:rsidR="00C17C3E" w:rsidRPr="009762AB">
        <w:rPr>
          <w:rFonts w:ascii="Arial" w:hAnsi="Arial" w:cs="Arial"/>
          <w:sz w:val="22"/>
          <w:szCs w:val="22"/>
        </w:rPr>
        <w:t>izdavanj</w:t>
      </w:r>
      <w:r w:rsidR="00C17C3E">
        <w:rPr>
          <w:rFonts w:ascii="Arial" w:hAnsi="Arial" w:cs="Arial"/>
          <w:sz w:val="22"/>
          <w:szCs w:val="22"/>
        </w:rPr>
        <w:t>a</w:t>
      </w:r>
      <w:r w:rsidR="00C17C3E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i otkup udjela,</w:t>
      </w:r>
    </w:p>
    <w:p w14:paraId="78D2BB6A" w14:textId="3E431819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9. pojedinosti i rokove pri izdavanju i otkupu udjela glavnog </w:t>
      </w:r>
      <w:r w:rsidR="00AD551C" w:rsidRPr="00AD551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fonda, uključujući, kad je to dogovoreno između ugovornih strana, uvjete po kojima glavni </w:t>
      </w:r>
      <w:r w:rsidR="00AD551C" w:rsidRPr="00AD551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 može namiriti zahtjeve za isplatu prijenosom imovine na napajajući</w:t>
      </w:r>
      <w:r w:rsidR="00AD551C" w:rsidRPr="00AD551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551C" w:rsidRPr="00AD551C">
        <w:rPr>
          <w:rFonts w:ascii="Arial" w:hAnsi="Arial" w:cs="Arial"/>
          <w:sz w:val="22"/>
          <w:szCs w:val="22"/>
        </w:rPr>
        <w:t>UCITS</w:t>
      </w:r>
      <w:r w:rsidRPr="009762AB">
        <w:rPr>
          <w:rFonts w:ascii="Arial" w:hAnsi="Arial" w:cs="Arial"/>
          <w:sz w:val="22"/>
          <w:szCs w:val="22"/>
        </w:rPr>
        <w:t xml:space="preserve"> fond, osobito u slučajevima </w:t>
      </w:r>
      <w:r w:rsidR="00350346">
        <w:rPr>
          <w:rFonts w:ascii="Arial" w:hAnsi="Arial" w:cs="Arial"/>
          <w:sz w:val="22"/>
          <w:szCs w:val="22"/>
        </w:rPr>
        <w:t>likvidacije ili statusne promjene glavnog UCITS fonda</w:t>
      </w:r>
      <w:r w:rsidRPr="009762AB">
        <w:rPr>
          <w:rFonts w:ascii="Arial" w:hAnsi="Arial" w:cs="Arial"/>
          <w:sz w:val="22"/>
          <w:szCs w:val="22"/>
        </w:rPr>
        <w:t>,</w:t>
      </w:r>
    </w:p>
    <w:p w14:paraId="476CC57F" w14:textId="39080C99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10. kada pravila i prospekt glavnog </w:t>
      </w:r>
      <w:r w:rsidR="00AD551C" w:rsidRPr="00AD551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daju određena prava ili ovlaštenja </w:t>
      </w:r>
      <w:proofErr w:type="spellStart"/>
      <w:r w:rsidRPr="009762AB">
        <w:rPr>
          <w:rFonts w:ascii="Arial" w:hAnsi="Arial" w:cs="Arial"/>
          <w:sz w:val="22"/>
          <w:szCs w:val="22"/>
        </w:rPr>
        <w:t>ulagateljima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, a glavni </w:t>
      </w:r>
      <w:r w:rsidR="00AD551C" w:rsidRPr="00AD551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 odluči ograničiti ili se odreći svih ili nekih takvih prava i ovlaštenja u odnosu na </w:t>
      </w:r>
      <w:proofErr w:type="spellStart"/>
      <w:r w:rsidRPr="009762AB">
        <w:rPr>
          <w:rFonts w:ascii="Arial" w:hAnsi="Arial" w:cs="Arial"/>
          <w:sz w:val="22"/>
          <w:szCs w:val="22"/>
        </w:rPr>
        <w:t>ulagatelje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AD551C" w:rsidRPr="00AD551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fonda, </w:t>
      </w:r>
      <w:r w:rsidR="00996999">
        <w:rPr>
          <w:rFonts w:ascii="Arial" w:hAnsi="Arial" w:cs="Arial"/>
          <w:sz w:val="22"/>
          <w:szCs w:val="22"/>
        </w:rPr>
        <w:t xml:space="preserve">način i </w:t>
      </w:r>
      <w:r w:rsidR="00996999" w:rsidRPr="009762AB">
        <w:rPr>
          <w:rFonts w:ascii="Arial" w:hAnsi="Arial" w:cs="Arial"/>
          <w:sz w:val="22"/>
          <w:szCs w:val="22"/>
        </w:rPr>
        <w:t>uvjet</w:t>
      </w:r>
      <w:r w:rsidR="00996999">
        <w:rPr>
          <w:rFonts w:ascii="Arial" w:hAnsi="Arial" w:cs="Arial"/>
          <w:sz w:val="22"/>
          <w:szCs w:val="22"/>
        </w:rPr>
        <w:t xml:space="preserve">e </w:t>
      </w:r>
      <w:r w:rsidRPr="009762AB">
        <w:rPr>
          <w:rFonts w:ascii="Arial" w:hAnsi="Arial" w:cs="Arial"/>
          <w:sz w:val="22"/>
          <w:szCs w:val="22"/>
        </w:rPr>
        <w:t>pod kojima se takva odluka donosi,</w:t>
      </w:r>
    </w:p>
    <w:p w14:paraId="32E179DF" w14:textId="00AF53E8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11. informacije o načinu i rokovima obavještavanja o privremenoj obustavi i nastavku otkupa, ili izdavanja udjela glavnog odnosno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AD551C" w:rsidRPr="00AD551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fonda,</w:t>
      </w:r>
    </w:p>
    <w:p w14:paraId="0F0D2699" w14:textId="6AE376A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12. mjere koje će se poduzimati sa ciljem obavještavanja i otklanjanja uočenih nepravilnosti prilikom vrednovanja imovine </w:t>
      </w:r>
      <w:r w:rsidR="00AD551C" w:rsidRPr="009762AB">
        <w:rPr>
          <w:rFonts w:ascii="Arial" w:hAnsi="Arial" w:cs="Arial"/>
          <w:sz w:val="22"/>
          <w:szCs w:val="22"/>
        </w:rPr>
        <w:t>glavno</w:t>
      </w:r>
      <w:r w:rsidR="00AD551C">
        <w:rPr>
          <w:rFonts w:ascii="Arial" w:hAnsi="Arial" w:cs="Arial"/>
          <w:sz w:val="22"/>
          <w:szCs w:val="22"/>
        </w:rPr>
        <w:t>g</w:t>
      </w:r>
      <w:r w:rsidR="00AD551C" w:rsidRPr="009762AB">
        <w:rPr>
          <w:rFonts w:ascii="Arial" w:hAnsi="Arial" w:cs="Arial"/>
          <w:sz w:val="22"/>
          <w:szCs w:val="22"/>
        </w:rPr>
        <w:t xml:space="preserve"> </w:t>
      </w:r>
      <w:r w:rsidR="00AD551C" w:rsidRPr="00AD551C">
        <w:rPr>
          <w:rFonts w:ascii="Arial" w:hAnsi="Arial" w:cs="Arial"/>
          <w:sz w:val="22"/>
          <w:szCs w:val="22"/>
        </w:rPr>
        <w:t xml:space="preserve">UCITS </w:t>
      </w:r>
      <w:r w:rsidR="00AD551C" w:rsidRPr="009762AB">
        <w:rPr>
          <w:rFonts w:ascii="Arial" w:hAnsi="Arial" w:cs="Arial"/>
          <w:sz w:val="22"/>
          <w:szCs w:val="22"/>
        </w:rPr>
        <w:t>fond</w:t>
      </w:r>
      <w:r w:rsidR="00AD551C">
        <w:rPr>
          <w:rFonts w:ascii="Arial" w:hAnsi="Arial" w:cs="Arial"/>
          <w:sz w:val="22"/>
          <w:szCs w:val="22"/>
        </w:rPr>
        <w:t>a</w:t>
      </w:r>
      <w:r w:rsidRPr="009762AB">
        <w:rPr>
          <w:rFonts w:ascii="Arial" w:hAnsi="Arial" w:cs="Arial"/>
          <w:sz w:val="22"/>
          <w:szCs w:val="22"/>
        </w:rPr>
        <w:t>,</w:t>
      </w:r>
    </w:p>
    <w:p w14:paraId="068E731C" w14:textId="6C6D6D82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13. kad napajajući i glavni </w:t>
      </w:r>
      <w:r w:rsidR="00AD551C" w:rsidRPr="00AD551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 imaju iste poslovne godine, informacije o usklađenosti izrade njihovih periodičkih izvještaja,</w:t>
      </w:r>
    </w:p>
    <w:p w14:paraId="21E29D24" w14:textId="04D82154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14. kad napajajući i glavni </w:t>
      </w:r>
      <w:r w:rsidR="00AD551C" w:rsidRPr="00AD551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 imaju različite poslovne godine, uvjete koji omogućuju pravodobnu izradu periodičkih izvještaja te koji osiguravaju da je revizor glavnog </w:t>
      </w:r>
      <w:r w:rsidR="00AD551C" w:rsidRPr="00AD551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u mogućnosti izraditi dodatno izvješće sa istim datumom za koji se sastavlja revizorsko izvješće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AD551C" w:rsidRPr="00AD551C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fonda, u skladu s člankom </w:t>
      </w:r>
      <w:r w:rsidR="00AC3B56">
        <w:rPr>
          <w:rFonts w:ascii="Arial" w:hAnsi="Arial" w:cs="Arial"/>
          <w:sz w:val="22"/>
          <w:szCs w:val="22"/>
        </w:rPr>
        <w:t>306</w:t>
      </w:r>
      <w:r w:rsidRPr="009762AB">
        <w:rPr>
          <w:rFonts w:ascii="Arial" w:hAnsi="Arial" w:cs="Arial"/>
          <w:sz w:val="22"/>
          <w:szCs w:val="22"/>
        </w:rPr>
        <w:t>. Zakona.</w:t>
      </w:r>
    </w:p>
    <w:p w14:paraId="0DB328C0" w14:textId="77777777" w:rsidR="00263511" w:rsidRPr="00534601" w:rsidRDefault="00263511" w:rsidP="00534601">
      <w:pPr>
        <w:pStyle w:val="Heading1"/>
        <w:rPr>
          <w:rFonts w:ascii="Arial" w:hAnsi="Arial" w:cs="Arial"/>
          <w:sz w:val="22"/>
          <w:szCs w:val="22"/>
        </w:rPr>
      </w:pPr>
      <w:r w:rsidRPr="00534601">
        <w:rPr>
          <w:rFonts w:ascii="Arial" w:hAnsi="Arial" w:cs="Arial"/>
          <w:sz w:val="22"/>
          <w:szCs w:val="22"/>
        </w:rPr>
        <w:lastRenderedPageBreak/>
        <w:t>SADRŽAJ SPORAZUMA O RAZMJENI INFORMACIJA IZMEĐU DEPOZITARA GLAVNOG I NAPAJAJUĆEG UCITS FONDA</w:t>
      </w:r>
    </w:p>
    <w:p w14:paraId="2D2F09D8" w14:textId="77777777" w:rsidR="00263511" w:rsidRPr="00CD61EB" w:rsidRDefault="00263511" w:rsidP="00CD61EB">
      <w:pPr>
        <w:pStyle w:val="Heading2"/>
        <w:rPr>
          <w:rFonts w:ascii="Arial" w:hAnsi="Arial" w:cs="Arial"/>
          <w:sz w:val="22"/>
          <w:szCs w:val="22"/>
        </w:rPr>
      </w:pPr>
      <w:r w:rsidRPr="00CD61EB">
        <w:rPr>
          <w:rFonts w:ascii="Arial" w:hAnsi="Arial" w:cs="Arial"/>
          <w:sz w:val="22"/>
          <w:szCs w:val="22"/>
        </w:rPr>
        <w:t>Članak 4.</w:t>
      </w:r>
    </w:p>
    <w:p w14:paraId="009970E0" w14:textId="16A40C9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(1) Ako glavni i napajajući </w:t>
      </w:r>
      <w:r w:rsidR="00234439" w:rsidRPr="00234439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 imaju različite depozitare, njihovi su depozitari dužni sklopiti sporazum o razmjeni svih informacija potrebnih da oba depozitara ispunjavaju zahtjeve i obveze određene Zakonom i na temelju njega donesenim </w:t>
      </w:r>
      <w:proofErr w:type="spellStart"/>
      <w:r w:rsidRPr="009762AB">
        <w:rPr>
          <w:rFonts w:ascii="Arial" w:hAnsi="Arial" w:cs="Arial"/>
          <w:sz w:val="22"/>
          <w:szCs w:val="22"/>
        </w:rPr>
        <w:t>podzakonskim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propisima.</w:t>
      </w:r>
    </w:p>
    <w:p w14:paraId="198BE6D8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(2) Sadržaj sporazuma iz prethodnog stavka uključuje:</w:t>
      </w:r>
    </w:p>
    <w:p w14:paraId="2723990E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1. definiranje dokumentacije i informacija koje depozitari redovito međusobno razmjenjuju i informacije o tome da li takve dokumente dostavlja jedan depozitar drugome ili su dostupni na zahtjev,</w:t>
      </w:r>
    </w:p>
    <w:p w14:paraId="1BB36FFD" w14:textId="04E21278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2. informacije o načinu i rokovima u kojima se takve informacije i dokumentacija razmjenjuju između depozitara glavnog i depozitara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8B1489" w:rsidRPr="008B1489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fonda,</w:t>
      </w:r>
    </w:p>
    <w:p w14:paraId="4DDBFA17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3. informacije vezane uz usklađivanje poslovanja oba depozitara u operativnim pitanjima, s posebnim osvrtom na:</w:t>
      </w:r>
    </w:p>
    <w:p w14:paraId="0B1616E4" w14:textId="2FBD871C" w:rsidR="00263511" w:rsidRPr="009762AB" w:rsidRDefault="00263511" w:rsidP="001612F8">
      <w:pPr>
        <w:pStyle w:val="t-9-8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postupak izračun</w:t>
      </w:r>
      <w:r w:rsidR="00CF235C">
        <w:rPr>
          <w:rFonts w:ascii="Arial" w:hAnsi="Arial" w:cs="Arial"/>
          <w:sz w:val="22"/>
          <w:szCs w:val="22"/>
        </w:rPr>
        <w:t>a</w:t>
      </w:r>
      <w:r w:rsidRPr="009762AB">
        <w:rPr>
          <w:rFonts w:ascii="Arial" w:hAnsi="Arial" w:cs="Arial"/>
          <w:sz w:val="22"/>
          <w:szCs w:val="22"/>
        </w:rPr>
        <w:t xml:space="preserve"> neto vrijednosti imovine svakog fonda, uključujući sve primjerene mjere za sprječavanje zloupotrebe razlika u cijeni u skladu s člankom </w:t>
      </w:r>
      <w:r w:rsidR="00364455">
        <w:rPr>
          <w:rFonts w:ascii="Arial" w:hAnsi="Arial" w:cs="Arial"/>
          <w:sz w:val="22"/>
          <w:szCs w:val="22"/>
        </w:rPr>
        <w:t>309</w:t>
      </w:r>
      <w:r w:rsidRPr="009762AB">
        <w:rPr>
          <w:rFonts w:ascii="Arial" w:hAnsi="Arial" w:cs="Arial"/>
          <w:sz w:val="22"/>
          <w:szCs w:val="22"/>
        </w:rPr>
        <w:t>. Zakona,</w:t>
      </w:r>
    </w:p>
    <w:p w14:paraId="6978F268" w14:textId="14F4FF69" w:rsidR="00263511" w:rsidRPr="009762AB" w:rsidRDefault="00263511" w:rsidP="001612F8">
      <w:pPr>
        <w:pStyle w:val="t-9-8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obradu uputa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8B1489" w:rsidRPr="008B1489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za izdavanje ili otkup udjela u glavnom </w:t>
      </w:r>
      <w:r w:rsidR="008B1489" w:rsidRPr="008B1489">
        <w:rPr>
          <w:rFonts w:ascii="Arial" w:hAnsi="Arial" w:cs="Arial"/>
          <w:sz w:val="22"/>
          <w:szCs w:val="22"/>
        </w:rPr>
        <w:t>UCITS</w:t>
      </w:r>
      <w:r w:rsidR="008B1489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fondu te namiru takvih transakcija, uključujući sve dogovorene uvjete za prijenos imovine,</w:t>
      </w:r>
    </w:p>
    <w:p w14:paraId="5FF867DB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4. usklađivanje postupaka pri zaključenju poslovne godine,</w:t>
      </w:r>
    </w:p>
    <w:p w14:paraId="57B521DC" w14:textId="22C5F5A6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5. pojedinosti kršenja Zakona i pravila fonda od strane glavnog </w:t>
      </w:r>
      <w:r w:rsidR="004B4A07" w:rsidRPr="004B4A07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koje mora dostaviti depozitar glavnog </w:t>
      </w:r>
      <w:r w:rsidR="004B4A07" w:rsidRPr="004B4A07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depozitaru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4B4A07" w:rsidRPr="004B4A07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fonda te način i rokove njihove dostave,</w:t>
      </w:r>
    </w:p>
    <w:p w14:paraId="5AE0E4F0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6. procedure postupanja s </w:t>
      </w:r>
      <w:r w:rsidRPr="004B4A07">
        <w:rPr>
          <w:rFonts w:ascii="Arial" w:hAnsi="Arial" w:cs="Arial"/>
          <w:i/>
          <w:sz w:val="22"/>
          <w:szCs w:val="22"/>
        </w:rPr>
        <w:t xml:space="preserve">ad </w:t>
      </w:r>
      <w:proofErr w:type="spellStart"/>
      <w:r w:rsidRPr="004B4A07">
        <w:rPr>
          <w:rFonts w:ascii="Arial" w:hAnsi="Arial" w:cs="Arial"/>
          <w:i/>
          <w:sz w:val="22"/>
          <w:szCs w:val="22"/>
        </w:rPr>
        <w:t>hoc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zahtjevima za pomoć koje jedan depozitar zatraži od drugoga,</w:t>
      </w:r>
    </w:p>
    <w:p w14:paraId="00BBBA3C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7. definiranje o kojim posebnim nepredvidivim događajima se depozitari moraju međusobno obavještavati na </w:t>
      </w:r>
      <w:r w:rsidRPr="004B4A07">
        <w:rPr>
          <w:rFonts w:ascii="Arial" w:hAnsi="Arial" w:cs="Arial"/>
          <w:i/>
          <w:sz w:val="22"/>
          <w:szCs w:val="22"/>
        </w:rPr>
        <w:t xml:space="preserve">ad </w:t>
      </w:r>
      <w:proofErr w:type="spellStart"/>
      <w:r w:rsidRPr="004B4A07">
        <w:rPr>
          <w:rFonts w:ascii="Arial" w:hAnsi="Arial" w:cs="Arial"/>
          <w:i/>
          <w:sz w:val="22"/>
          <w:szCs w:val="22"/>
        </w:rPr>
        <w:t>hoc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osnovi te način i rokove obavještavanja (npr. u slučajevima više sile),</w:t>
      </w:r>
    </w:p>
    <w:p w14:paraId="3CE44A9E" w14:textId="2C56260E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8. kada je zaključen sporazum iz članka 2. ovog Pravilnika, odredbu da je za sporazum između depozitara glavnog i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0C0241" w:rsidRPr="000C0241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također mjerodavno pravo države članice koje je mjerodavno za sporazum iz članka 2. stavka 2. točke 27. </w:t>
      </w:r>
      <w:r w:rsidR="007F58B7">
        <w:rPr>
          <w:rFonts w:ascii="Arial" w:hAnsi="Arial" w:cs="Arial"/>
          <w:sz w:val="22"/>
          <w:szCs w:val="22"/>
        </w:rPr>
        <w:t xml:space="preserve">ovog Pravilnika </w:t>
      </w:r>
      <w:r w:rsidRPr="009762AB">
        <w:rPr>
          <w:rFonts w:ascii="Arial" w:hAnsi="Arial" w:cs="Arial"/>
          <w:sz w:val="22"/>
          <w:szCs w:val="22"/>
        </w:rPr>
        <w:t>i da su oba depozitara suglasna s isključivom nadležnošću sudova te države članice,</w:t>
      </w:r>
    </w:p>
    <w:p w14:paraId="1D0F596E" w14:textId="0F5C4215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9. kada je sporazum iz članka 2. ovog Pravilnika zamijenjen internim pravilima poslovanja u skladu s člankom 3. ovog Pravilnika, odredbu kojom se definira da je za sporazum između depozitara glavnog i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0C0241" w:rsidRPr="000C0241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mjerodavno pravo države članice u kojoj je osnovan napajajući </w:t>
      </w:r>
      <w:r w:rsidR="000C0241" w:rsidRPr="000C0241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 ili pravo države članice u kojoj je osnovan glavni </w:t>
      </w:r>
      <w:r w:rsidR="000C0241" w:rsidRPr="006966C9">
        <w:rPr>
          <w:rFonts w:ascii="Arial" w:hAnsi="Arial" w:cs="Arial"/>
          <w:sz w:val="22"/>
          <w:szCs w:val="22"/>
        </w:rPr>
        <w:t>UCITS</w:t>
      </w:r>
      <w:r w:rsidR="000C0241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 i da su oba depozitara suglasna s isključivom nadležnošću sudova te države članice.</w:t>
      </w:r>
    </w:p>
    <w:p w14:paraId="6A2CE138" w14:textId="3F35892D" w:rsidR="00263511" w:rsidRPr="00534601" w:rsidRDefault="00263511" w:rsidP="00534601">
      <w:pPr>
        <w:pStyle w:val="Heading1"/>
        <w:rPr>
          <w:rFonts w:ascii="Arial" w:hAnsi="Arial" w:cs="Arial"/>
          <w:sz w:val="22"/>
          <w:szCs w:val="22"/>
        </w:rPr>
      </w:pPr>
      <w:r w:rsidRPr="00534601">
        <w:rPr>
          <w:rFonts w:ascii="Arial" w:hAnsi="Arial" w:cs="Arial"/>
          <w:sz w:val="22"/>
          <w:szCs w:val="22"/>
        </w:rPr>
        <w:lastRenderedPageBreak/>
        <w:t xml:space="preserve">SADRŽAJ SPORAZUMA O RAZMJENI INFORMACIJA IZMEĐU </w:t>
      </w:r>
      <w:r w:rsidR="00C24544" w:rsidRPr="00534601">
        <w:rPr>
          <w:rFonts w:ascii="Arial" w:hAnsi="Arial" w:cs="Arial"/>
          <w:sz w:val="22"/>
          <w:szCs w:val="22"/>
        </w:rPr>
        <w:t xml:space="preserve">REVIZORA </w:t>
      </w:r>
      <w:r w:rsidRPr="00534601">
        <w:rPr>
          <w:rFonts w:ascii="Arial" w:hAnsi="Arial" w:cs="Arial"/>
          <w:sz w:val="22"/>
          <w:szCs w:val="22"/>
        </w:rPr>
        <w:t>GLAVNOG I NAPAJAJUĆEG UCITS FONDA</w:t>
      </w:r>
    </w:p>
    <w:p w14:paraId="56C911F6" w14:textId="03DC67E8" w:rsidR="00263511" w:rsidRPr="00CD61EB" w:rsidRDefault="00263511" w:rsidP="00CD61EB">
      <w:pPr>
        <w:pStyle w:val="Heading2"/>
        <w:rPr>
          <w:rFonts w:ascii="Arial" w:hAnsi="Arial" w:cs="Arial"/>
          <w:sz w:val="22"/>
          <w:szCs w:val="22"/>
        </w:rPr>
      </w:pPr>
      <w:r w:rsidRPr="00CD61EB">
        <w:rPr>
          <w:rFonts w:ascii="Arial" w:hAnsi="Arial" w:cs="Arial"/>
          <w:sz w:val="22"/>
          <w:szCs w:val="22"/>
        </w:rPr>
        <w:t xml:space="preserve">Članak </w:t>
      </w:r>
      <w:r w:rsidR="00A010C9" w:rsidRPr="00CD61EB">
        <w:rPr>
          <w:rFonts w:ascii="Arial" w:hAnsi="Arial" w:cs="Arial"/>
          <w:sz w:val="22"/>
          <w:szCs w:val="22"/>
        </w:rPr>
        <w:t>5</w:t>
      </w:r>
      <w:r w:rsidRPr="00CD61EB">
        <w:rPr>
          <w:rFonts w:ascii="Arial" w:hAnsi="Arial" w:cs="Arial"/>
          <w:sz w:val="22"/>
          <w:szCs w:val="22"/>
        </w:rPr>
        <w:t>.</w:t>
      </w:r>
    </w:p>
    <w:p w14:paraId="7AC2E46D" w14:textId="122552D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(1) Ako glavni i napajajući fond imaju </w:t>
      </w:r>
      <w:r w:rsidR="00C24544" w:rsidRPr="009762AB">
        <w:rPr>
          <w:rFonts w:ascii="Arial" w:hAnsi="Arial" w:cs="Arial"/>
          <w:sz w:val="22"/>
          <w:szCs w:val="22"/>
        </w:rPr>
        <w:t>različit</w:t>
      </w:r>
      <w:r w:rsidR="00C24544">
        <w:rPr>
          <w:rFonts w:ascii="Arial" w:hAnsi="Arial" w:cs="Arial"/>
          <w:sz w:val="22"/>
          <w:szCs w:val="22"/>
        </w:rPr>
        <w:t>e</w:t>
      </w:r>
      <w:r w:rsidR="00C24544" w:rsidRPr="009762AB">
        <w:rPr>
          <w:rFonts w:ascii="Arial" w:hAnsi="Arial" w:cs="Arial"/>
          <w:sz w:val="22"/>
          <w:szCs w:val="22"/>
        </w:rPr>
        <w:t xml:space="preserve"> revizor</w:t>
      </w:r>
      <w:r w:rsidR="00C24544">
        <w:rPr>
          <w:rFonts w:ascii="Arial" w:hAnsi="Arial" w:cs="Arial"/>
          <w:sz w:val="22"/>
          <w:szCs w:val="22"/>
        </w:rPr>
        <w:t>e</w:t>
      </w:r>
      <w:r w:rsidRPr="009762AB">
        <w:rPr>
          <w:rFonts w:ascii="Arial" w:hAnsi="Arial" w:cs="Arial"/>
          <w:sz w:val="22"/>
          <w:szCs w:val="22"/>
        </w:rPr>
        <w:t xml:space="preserve">, </w:t>
      </w:r>
      <w:r w:rsidR="00C24544" w:rsidRPr="009762AB">
        <w:rPr>
          <w:rFonts w:ascii="Arial" w:hAnsi="Arial" w:cs="Arial"/>
          <w:sz w:val="22"/>
          <w:szCs w:val="22"/>
        </w:rPr>
        <w:t>njihov</w:t>
      </w:r>
      <w:r w:rsidR="00C24544">
        <w:rPr>
          <w:rFonts w:ascii="Arial" w:hAnsi="Arial" w:cs="Arial"/>
          <w:sz w:val="22"/>
          <w:szCs w:val="22"/>
        </w:rPr>
        <w:t>i</w:t>
      </w:r>
      <w:r w:rsidR="00C24544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su </w:t>
      </w:r>
      <w:r w:rsidR="00C24544" w:rsidRPr="009762AB">
        <w:rPr>
          <w:rFonts w:ascii="Arial" w:hAnsi="Arial" w:cs="Arial"/>
          <w:sz w:val="22"/>
          <w:szCs w:val="22"/>
        </w:rPr>
        <w:t>revizor</w:t>
      </w:r>
      <w:r w:rsidR="00C24544">
        <w:rPr>
          <w:rFonts w:ascii="Arial" w:hAnsi="Arial" w:cs="Arial"/>
          <w:sz w:val="22"/>
          <w:szCs w:val="22"/>
        </w:rPr>
        <w:t>i</w:t>
      </w:r>
      <w:r w:rsidR="00C24544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dužn</w:t>
      </w:r>
      <w:r w:rsidR="00C24544">
        <w:rPr>
          <w:rFonts w:ascii="Arial" w:hAnsi="Arial" w:cs="Arial"/>
          <w:sz w:val="22"/>
          <w:szCs w:val="22"/>
        </w:rPr>
        <w:t>i</w:t>
      </w:r>
      <w:r w:rsidRPr="009762AB">
        <w:rPr>
          <w:rFonts w:ascii="Arial" w:hAnsi="Arial" w:cs="Arial"/>
          <w:sz w:val="22"/>
          <w:szCs w:val="22"/>
        </w:rPr>
        <w:t xml:space="preserve"> sklopiti sporazum o razmjeni svih informacija potrebnih da oba </w:t>
      </w:r>
      <w:r w:rsidR="00C24544" w:rsidRPr="009762AB">
        <w:rPr>
          <w:rFonts w:ascii="Arial" w:hAnsi="Arial" w:cs="Arial"/>
          <w:sz w:val="22"/>
          <w:szCs w:val="22"/>
        </w:rPr>
        <w:t>revizor</w:t>
      </w:r>
      <w:r w:rsidR="00C24544">
        <w:rPr>
          <w:rFonts w:ascii="Arial" w:hAnsi="Arial" w:cs="Arial"/>
          <w:sz w:val="22"/>
          <w:szCs w:val="22"/>
        </w:rPr>
        <w:t>a</w:t>
      </w:r>
      <w:r w:rsidR="00C24544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ispunjavaju zahtjeve i obveze određene Zakonom.</w:t>
      </w:r>
    </w:p>
    <w:p w14:paraId="21C2368A" w14:textId="7777777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(2) Sadržaj sporazuma iz prethodnog stavka uključuje:</w:t>
      </w:r>
    </w:p>
    <w:p w14:paraId="32B3193C" w14:textId="232A846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1. definiranje dokumentacije i informacija koje </w:t>
      </w:r>
      <w:r w:rsidR="00C24544" w:rsidRPr="009762AB">
        <w:rPr>
          <w:rFonts w:ascii="Arial" w:hAnsi="Arial" w:cs="Arial"/>
          <w:sz w:val="22"/>
          <w:szCs w:val="22"/>
        </w:rPr>
        <w:t>revizor</w:t>
      </w:r>
      <w:r w:rsidR="00C24544">
        <w:rPr>
          <w:rFonts w:ascii="Arial" w:hAnsi="Arial" w:cs="Arial"/>
          <w:sz w:val="22"/>
          <w:szCs w:val="22"/>
        </w:rPr>
        <w:t>i</w:t>
      </w:r>
      <w:r w:rsidR="00C24544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trebaju redovito razmjenjivati,</w:t>
      </w:r>
    </w:p>
    <w:p w14:paraId="1BDBE91E" w14:textId="6BCE487E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2. odredbu da li te informacije i dokumentaciju </w:t>
      </w:r>
      <w:r w:rsidR="00C24544" w:rsidRPr="009762AB">
        <w:rPr>
          <w:rFonts w:ascii="Arial" w:hAnsi="Arial" w:cs="Arial"/>
          <w:sz w:val="22"/>
          <w:szCs w:val="22"/>
        </w:rPr>
        <w:t>jed</w:t>
      </w:r>
      <w:r w:rsidR="00C24544">
        <w:rPr>
          <w:rFonts w:ascii="Arial" w:hAnsi="Arial" w:cs="Arial"/>
          <w:sz w:val="22"/>
          <w:szCs w:val="22"/>
        </w:rPr>
        <w:t>an</w:t>
      </w:r>
      <w:r w:rsidR="00C24544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revizor redovno dostavlja drugome ili su dostupni na zahtjev,</w:t>
      </w:r>
    </w:p>
    <w:p w14:paraId="5E8AE0F7" w14:textId="394D755B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3. informacije o načinu i rokovima u kojima informacije i dokumentaciju revizor glavnog dostavlja </w:t>
      </w:r>
      <w:r w:rsidR="00C24544" w:rsidRPr="009762AB">
        <w:rPr>
          <w:rFonts w:ascii="Arial" w:hAnsi="Arial" w:cs="Arial"/>
          <w:sz w:val="22"/>
          <w:szCs w:val="22"/>
        </w:rPr>
        <w:t>revizor</w:t>
      </w:r>
      <w:r w:rsidR="00C24544">
        <w:rPr>
          <w:rFonts w:ascii="Arial" w:hAnsi="Arial" w:cs="Arial"/>
          <w:sz w:val="22"/>
          <w:szCs w:val="22"/>
        </w:rPr>
        <w:t>u</w:t>
      </w:r>
      <w:r w:rsidR="00C24544" w:rsidRPr="009762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CA1521" w:rsidRPr="006966C9">
        <w:rPr>
          <w:rFonts w:ascii="Arial" w:hAnsi="Arial" w:cs="Arial"/>
          <w:sz w:val="22"/>
          <w:szCs w:val="22"/>
        </w:rPr>
        <w:t>UCITS</w:t>
      </w:r>
      <w:r w:rsidR="00CA1521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fonda,</w:t>
      </w:r>
    </w:p>
    <w:p w14:paraId="10E53EFF" w14:textId="57DE8F74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4. način usklađivanja djelovanja </w:t>
      </w:r>
      <w:r w:rsidR="00C24544" w:rsidRPr="009762AB">
        <w:rPr>
          <w:rFonts w:ascii="Arial" w:hAnsi="Arial" w:cs="Arial"/>
          <w:sz w:val="22"/>
          <w:szCs w:val="22"/>
        </w:rPr>
        <w:t>revizor</w:t>
      </w:r>
      <w:r w:rsidR="00C24544">
        <w:rPr>
          <w:rFonts w:ascii="Arial" w:hAnsi="Arial" w:cs="Arial"/>
          <w:sz w:val="22"/>
          <w:szCs w:val="22"/>
        </w:rPr>
        <w:t>a</w:t>
      </w:r>
      <w:r w:rsidR="00C24544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>u postupcima pri zaključenju poslovne godine za svaki pojedini fond,</w:t>
      </w:r>
    </w:p>
    <w:p w14:paraId="45AE7941" w14:textId="23980015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5. definiranje činjenica koje se smatraju nezakonitostima i nepravilnostima objavljenim u revizorskom izvješću </w:t>
      </w:r>
      <w:r w:rsidR="00C24544" w:rsidRPr="009762AB">
        <w:rPr>
          <w:rFonts w:ascii="Arial" w:hAnsi="Arial" w:cs="Arial"/>
          <w:sz w:val="22"/>
          <w:szCs w:val="22"/>
        </w:rPr>
        <w:t>revizor</w:t>
      </w:r>
      <w:r w:rsidR="00C24544">
        <w:rPr>
          <w:rFonts w:ascii="Arial" w:hAnsi="Arial" w:cs="Arial"/>
          <w:sz w:val="22"/>
          <w:szCs w:val="22"/>
        </w:rPr>
        <w:t>a</w:t>
      </w:r>
      <w:r w:rsidR="00C24544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glavnog </w:t>
      </w:r>
      <w:r w:rsidR="00A83462" w:rsidRPr="00A83462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fonda, u smislu članka </w:t>
      </w:r>
      <w:r w:rsidR="00F6783D">
        <w:rPr>
          <w:rFonts w:ascii="Arial" w:hAnsi="Arial" w:cs="Arial"/>
          <w:sz w:val="22"/>
          <w:szCs w:val="22"/>
        </w:rPr>
        <w:t>306</w:t>
      </w:r>
      <w:r w:rsidRPr="009762AB">
        <w:rPr>
          <w:rFonts w:ascii="Arial" w:hAnsi="Arial" w:cs="Arial"/>
          <w:sz w:val="22"/>
          <w:szCs w:val="22"/>
        </w:rPr>
        <w:t>. Zakona,</w:t>
      </w:r>
    </w:p>
    <w:p w14:paraId="516E8A6E" w14:textId="420511C7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6. način i rok za postupanje s </w:t>
      </w:r>
      <w:r w:rsidRPr="00654FC4">
        <w:rPr>
          <w:rStyle w:val="kurziv"/>
          <w:rFonts w:ascii="Arial" w:hAnsi="Arial" w:cs="Arial"/>
          <w:i/>
          <w:sz w:val="22"/>
          <w:szCs w:val="22"/>
        </w:rPr>
        <w:t xml:space="preserve">ad </w:t>
      </w:r>
      <w:proofErr w:type="spellStart"/>
      <w:r w:rsidRPr="00654FC4">
        <w:rPr>
          <w:rStyle w:val="kurziv"/>
          <w:rFonts w:ascii="Arial" w:hAnsi="Arial" w:cs="Arial"/>
          <w:i/>
          <w:sz w:val="22"/>
          <w:szCs w:val="22"/>
        </w:rPr>
        <w:t>hoc</w:t>
      </w:r>
      <w:proofErr w:type="spellEnd"/>
      <w:r w:rsidRPr="009762AB">
        <w:rPr>
          <w:rStyle w:val="kurziv"/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zahtjevima za pomoć koje </w:t>
      </w:r>
      <w:r w:rsidR="00C24544" w:rsidRPr="009762AB">
        <w:rPr>
          <w:rFonts w:ascii="Arial" w:hAnsi="Arial" w:cs="Arial"/>
          <w:sz w:val="22"/>
          <w:szCs w:val="22"/>
        </w:rPr>
        <w:t>jed</w:t>
      </w:r>
      <w:r w:rsidR="00C24544">
        <w:rPr>
          <w:rFonts w:ascii="Arial" w:hAnsi="Arial" w:cs="Arial"/>
          <w:sz w:val="22"/>
          <w:szCs w:val="22"/>
        </w:rPr>
        <w:t>an</w:t>
      </w:r>
      <w:r w:rsidR="00C24544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revizor zatraži od drugog, uključujući zahtjeve za dodatnim informacijama o nepravilnostima objavljenim u revizijskom izvješću </w:t>
      </w:r>
      <w:r w:rsidR="00C24544" w:rsidRPr="009762AB">
        <w:rPr>
          <w:rFonts w:ascii="Arial" w:hAnsi="Arial" w:cs="Arial"/>
          <w:sz w:val="22"/>
          <w:szCs w:val="22"/>
        </w:rPr>
        <w:t>revizor</w:t>
      </w:r>
      <w:r w:rsidR="00C24544">
        <w:rPr>
          <w:rFonts w:ascii="Arial" w:hAnsi="Arial" w:cs="Arial"/>
          <w:sz w:val="22"/>
          <w:szCs w:val="22"/>
        </w:rPr>
        <w:t>a</w:t>
      </w:r>
      <w:r w:rsidR="00C24544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glavnog </w:t>
      </w:r>
      <w:r w:rsidR="002A5C94" w:rsidRPr="002A5C94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fonda,</w:t>
      </w:r>
    </w:p>
    <w:p w14:paraId="18C1734F" w14:textId="5046EA7B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7. odredbe o sastavljanju revizijskih izvješća na temelju članaka </w:t>
      </w:r>
      <w:r w:rsidR="00F6783D">
        <w:rPr>
          <w:rFonts w:ascii="Arial" w:hAnsi="Arial" w:cs="Arial"/>
          <w:sz w:val="22"/>
          <w:szCs w:val="22"/>
        </w:rPr>
        <w:t>306</w:t>
      </w:r>
      <w:r w:rsidRPr="009762AB">
        <w:rPr>
          <w:rFonts w:ascii="Arial" w:hAnsi="Arial" w:cs="Arial"/>
          <w:sz w:val="22"/>
          <w:szCs w:val="22"/>
        </w:rPr>
        <w:t xml:space="preserve">. i </w:t>
      </w:r>
      <w:r w:rsidR="00A219FC" w:rsidRPr="009762AB">
        <w:rPr>
          <w:rFonts w:ascii="Arial" w:hAnsi="Arial" w:cs="Arial"/>
          <w:sz w:val="22"/>
          <w:szCs w:val="22"/>
        </w:rPr>
        <w:t>20</w:t>
      </w:r>
      <w:r w:rsidR="00A219FC">
        <w:rPr>
          <w:rFonts w:ascii="Arial" w:hAnsi="Arial" w:cs="Arial"/>
          <w:sz w:val="22"/>
          <w:szCs w:val="22"/>
        </w:rPr>
        <w:t>6</w:t>
      </w:r>
      <w:r w:rsidRPr="009762AB">
        <w:rPr>
          <w:rFonts w:ascii="Arial" w:hAnsi="Arial" w:cs="Arial"/>
          <w:sz w:val="22"/>
          <w:szCs w:val="22"/>
        </w:rPr>
        <w:t xml:space="preserve">. stavak 1. Zakona te o načinu i vremenu dostave revizijskog izvješća glavnog </w:t>
      </w:r>
      <w:r w:rsidR="00182D76" w:rsidRPr="00182D76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i njegovih nacrta </w:t>
      </w:r>
      <w:r w:rsidR="00C24544" w:rsidRPr="009762AB">
        <w:rPr>
          <w:rFonts w:ascii="Arial" w:hAnsi="Arial" w:cs="Arial"/>
          <w:sz w:val="22"/>
          <w:szCs w:val="22"/>
        </w:rPr>
        <w:t>revizor</w:t>
      </w:r>
      <w:r w:rsidR="00C24544">
        <w:rPr>
          <w:rFonts w:ascii="Arial" w:hAnsi="Arial" w:cs="Arial"/>
          <w:sz w:val="22"/>
          <w:szCs w:val="22"/>
        </w:rPr>
        <w:t>u</w:t>
      </w:r>
      <w:r w:rsidR="00C24544" w:rsidRPr="009762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182D76" w:rsidRPr="00182D76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fonda,</w:t>
      </w:r>
    </w:p>
    <w:p w14:paraId="50714CE7" w14:textId="5BDAB5D1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8. kad napajajući i glavni </w:t>
      </w:r>
      <w:r w:rsidR="007249CD" w:rsidRPr="007249CD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 imaju različite datume zaključenja poslovne godine, </w:t>
      </w:r>
      <w:r w:rsidR="007249CD">
        <w:rPr>
          <w:rFonts w:ascii="Arial" w:hAnsi="Arial" w:cs="Arial"/>
          <w:sz w:val="22"/>
          <w:szCs w:val="22"/>
        </w:rPr>
        <w:t xml:space="preserve">ovaj </w:t>
      </w:r>
      <w:r w:rsidRPr="009762AB">
        <w:rPr>
          <w:rFonts w:ascii="Arial" w:hAnsi="Arial" w:cs="Arial"/>
          <w:sz w:val="22"/>
          <w:szCs w:val="22"/>
        </w:rPr>
        <w:t xml:space="preserve">sporazum mora uključivati način i rokove do kojih revizor glavnog </w:t>
      </w:r>
      <w:r w:rsidR="007249CD" w:rsidRPr="007249CD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treba izraditi dodatno izvješće u skladu s člankom </w:t>
      </w:r>
      <w:r w:rsidR="00F6783D">
        <w:rPr>
          <w:rFonts w:ascii="Arial" w:hAnsi="Arial" w:cs="Arial"/>
          <w:sz w:val="22"/>
          <w:szCs w:val="22"/>
        </w:rPr>
        <w:t>306</w:t>
      </w:r>
      <w:r w:rsidRPr="009762AB">
        <w:rPr>
          <w:rFonts w:ascii="Arial" w:hAnsi="Arial" w:cs="Arial"/>
          <w:sz w:val="22"/>
          <w:szCs w:val="22"/>
        </w:rPr>
        <w:t xml:space="preserve">. stavkom </w:t>
      </w:r>
      <w:r w:rsidR="00CA40D4">
        <w:rPr>
          <w:rFonts w:ascii="Arial" w:hAnsi="Arial" w:cs="Arial"/>
          <w:sz w:val="22"/>
          <w:szCs w:val="22"/>
        </w:rPr>
        <w:t>4</w:t>
      </w:r>
      <w:r w:rsidRPr="009762AB">
        <w:rPr>
          <w:rFonts w:ascii="Arial" w:hAnsi="Arial" w:cs="Arial"/>
          <w:sz w:val="22"/>
          <w:szCs w:val="22"/>
        </w:rPr>
        <w:t xml:space="preserve">. Zakona i dostaviti navedeno izvješće i njegove nacrte </w:t>
      </w:r>
      <w:r w:rsidR="00D24521" w:rsidRPr="009762AB">
        <w:rPr>
          <w:rFonts w:ascii="Arial" w:hAnsi="Arial" w:cs="Arial"/>
          <w:sz w:val="22"/>
          <w:szCs w:val="22"/>
        </w:rPr>
        <w:t>revizor</w:t>
      </w:r>
      <w:r w:rsidR="00D24521">
        <w:rPr>
          <w:rFonts w:ascii="Arial" w:hAnsi="Arial" w:cs="Arial"/>
          <w:sz w:val="22"/>
          <w:szCs w:val="22"/>
        </w:rPr>
        <w:t>u</w:t>
      </w:r>
      <w:r w:rsidR="00D24521" w:rsidRPr="009762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8E6D21" w:rsidRPr="008E6D21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fonda,</w:t>
      </w:r>
    </w:p>
    <w:p w14:paraId="25A02465" w14:textId="194C87EE" w:rsidR="00263511" w:rsidRPr="009762AB" w:rsidRDefault="00263511" w:rsidP="00263511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>9. kada je zaključen sporazum iz članka 2. ovog Pravilnika, odredbu da je za sporazum između revizor</w:t>
      </w:r>
      <w:r w:rsidR="00DD032E">
        <w:rPr>
          <w:rFonts w:ascii="Arial" w:hAnsi="Arial" w:cs="Arial"/>
          <w:sz w:val="22"/>
          <w:szCs w:val="22"/>
        </w:rPr>
        <w:t>a</w:t>
      </w:r>
      <w:r w:rsidRPr="009762AB">
        <w:rPr>
          <w:rFonts w:ascii="Arial" w:hAnsi="Arial" w:cs="Arial"/>
          <w:sz w:val="22"/>
          <w:szCs w:val="22"/>
        </w:rPr>
        <w:t xml:space="preserve"> glavnog i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025605" w:rsidRPr="00025605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također mjerodavno pravo države članice koje je mjerodavno za sporazum iz članka 2. stavka 2. točke 27. </w:t>
      </w:r>
      <w:r w:rsidR="007F58B7">
        <w:rPr>
          <w:rFonts w:ascii="Arial" w:hAnsi="Arial" w:cs="Arial"/>
          <w:sz w:val="22"/>
          <w:szCs w:val="22"/>
        </w:rPr>
        <w:t xml:space="preserve">ovog Pravilnika </w:t>
      </w:r>
      <w:r w:rsidRPr="009762AB">
        <w:rPr>
          <w:rFonts w:ascii="Arial" w:hAnsi="Arial" w:cs="Arial"/>
          <w:sz w:val="22"/>
          <w:szCs w:val="22"/>
        </w:rPr>
        <w:t>i da su oba revizora suglasna s isključivom nadležnošću sudova te države članice,</w:t>
      </w:r>
    </w:p>
    <w:p w14:paraId="6C391A49" w14:textId="08DD677D" w:rsidR="00263511" w:rsidRPr="009762AB" w:rsidRDefault="00263511" w:rsidP="00AE7CF9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10. kada je sporazum iz članka 2. ovog Pravilnika zamijenjen internim pravilima poslovanja u skladu s člankom 3. ovog Pravilnika, odredbu kojom se definira da je za sporazum između </w:t>
      </w:r>
      <w:r w:rsidR="00DD032E" w:rsidRPr="009762AB">
        <w:rPr>
          <w:rFonts w:ascii="Arial" w:hAnsi="Arial" w:cs="Arial"/>
          <w:sz w:val="22"/>
          <w:szCs w:val="22"/>
        </w:rPr>
        <w:t>revizor</w:t>
      </w:r>
      <w:r w:rsidR="00DD032E">
        <w:rPr>
          <w:rFonts w:ascii="Arial" w:hAnsi="Arial" w:cs="Arial"/>
          <w:sz w:val="22"/>
          <w:szCs w:val="22"/>
        </w:rPr>
        <w:t>a</w:t>
      </w:r>
      <w:r w:rsidR="00DD032E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glavnog i </w:t>
      </w:r>
      <w:proofErr w:type="spellStart"/>
      <w:r w:rsidRPr="009762AB">
        <w:rPr>
          <w:rFonts w:ascii="Arial" w:hAnsi="Arial" w:cs="Arial"/>
          <w:sz w:val="22"/>
          <w:szCs w:val="22"/>
        </w:rPr>
        <w:t>napajajućeg</w:t>
      </w:r>
      <w:proofErr w:type="spellEnd"/>
      <w:r w:rsidRPr="009762AB">
        <w:rPr>
          <w:rFonts w:ascii="Arial" w:hAnsi="Arial" w:cs="Arial"/>
          <w:sz w:val="22"/>
          <w:szCs w:val="22"/>
        </w:rPr>
        <w:t xml:space="preserve"> </w:t>
      </w:r>
      <w:r w:rsidR="00025605" w:rsidRPr="00025605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fonda mjerodavno pravo države članice u kojoj je osnovan napajajući </w:t>
      </w:r>
      <w:r w:rsidR="00E532D5" w:rsidRPr="00E532D5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 xml:space="preserve">fond ili pravo države članice u kojoj je osnovan glavni </w:t>
      </w:r>
      <w:r w:rsidR="00E532D5" w:rsidRPr="00E532D5">
        <w:rPr>
          <w:rFonts w:ascii="Arial" w:hAnsi="Arial" w:cs="Arial"/>
          <w:sz w:val="22"/>
          <w:szCs w:val="22"/>
        </w:rPr>
        <w:t xml:space="preserve">UCITS </w:t>
      </w:r>
      <w:r w:rsidRPr="009762AB">
        <w:rPr>
          <w:rFonts w:ascii="Arial" w:hAnsi="Arial" w:cs="Arial"/>
          <w:sz w:val="22"/>
          <w:szCs w:val="22"/>
        </w:rPr>
        <w:t>fond i da su oba revizora suglasna s isključivom nadležnošću sudova te države članice.</w:t>
      </w:r>
    </w:p>
    <w:p w14:paraId="7B484564" w14:textId="53BC8855" w:rsidR="00263511" w:rsidRPr="00534601" w:rsidRDefault="005177AF" w:rsidP="00534601">
      <w:pPr>
        <w:pStyle w:val="Heading1"/>
        <w:rPr>
          <w:rFonts w:ascii="Arial" w:hAnsi="Arial" w:cs="Arial"/>
          <w:sz w:val="22"/>
          <w:szCs w:val="22"/>
        </w:rPr>
      </w:pPr>
      <w:r w:rsidRPr="009762AB" w:rsidDel="005177AF">
        <w:t xml:space="preserve"> </w:t>
      </w:r>
      <w:r w:rsidR="00263511" w:rsidRPr="00534601">
        <w:rPr>
          <w:rFonts w:ascii="Arial" w:hAnsi="Arial" w:cs="Arial"/>
          <w:sz w:val="22"/>
          <w:szCs w:val="22"/>
        </w:rPr>
        <w:t>ZAVRŠNE ODREDBE</w:t>
      </w:r>
    </w:p>
    <w:p w14:paraId="1E9B0B23" w14:textId="02C70B63" w:rsidR="00263511" w:rsidRPr="00CD61EB" w:rsidRDefault="00263511" w:rsidP="00CD61EB">
      <w:pPr>
        <w:pStyle w:val="Heading2"/>
        <w:rPr>
          <w:rFonts w:ascii="Arial" w:hAnsi="Arial" w:cs="Arial"/>
          <w:sz w:val="22"/>
          <w:szCs w:val="22"/>
        </w:rPr>
      </w:pPr>
      <w:r w:rsidRPr="00CD61EB">
        <w:rPr>
          <w:rFonts w:ascii="Arial" w:hAnsi="Arial" w:cs="Arial"/>
          <w:sz w:val="22"/>
          <w:szCs w:val="22"/>
        </w:rPr>
        <w:t xml:space="preserve">Članak </w:t>
      </w:r>
      <w:r w:rsidR="00A010C9" w:rsidRPr="00CD61EB">
        <w:rPr>
          <w:rFonts w:ascii="Arial" w:hAnsi="Arial" w:cs="Arial"/>
          <w:sz w:val="22"/>
          <w:szCs w:val="22"/>
        </w:rPr>
        <w:t>6</w:t>
      </w:r>
      <w:r w:rsidRPr="00CD61EB">
        <w:rPr>
          <w:rFonts w:ascii="Arial" w:hAnsi="Arial" w:cs="Arial"/>
          <w:sz w:val="22"/>
          <w:szCs w:val="22"/>
        </w:rPr>
        <w:t>.</w:t>
      </w:r>
    </w:p>
    <w:p w14:paraId="3D06F04B" w14:textId="2F6F02DB" w:rsidR="00B76240" w:rsidRDefault="00263511" w:rsidP="00311BA0">
      <w:pPr>
        <w:pStyle w:val="t-9-8"/>
        <w:jc w:val="both"/>
        <w:rPr>
          <w:rFonts w:ascii="Arial" w:hAnsi="Arial" w:cs="Arial"/>
          <w:sz w:val="22"/>
          <w:szCs w:val="22"/>
        </w:rPr>
      </w:pPr>
      <w:r w:rsidRPr="009762AB">
        <w:rPr>
          <w:rFonts w:ascii="Arial" w:hAnsi="Arial" w:cs="Arial"/>
          <w:sz w:val="22"/>
          <w:szCs w:val="22"/>
        </w:rPr>
        <w:t xml:space="preserve">Ovaj Pravilnik stupa na snagu </w:t>
      </w:r>
      <w:r w:rsidR="00BD183E">
        <w:rPr>
          <w:rFonts w:ascii="Arial" w:hAnsi="Arial" w:cs="Arial"/>
          <w:sz w:val="22"/>
          <w:szCs w:val="22"/>
        </w:rPr>
        <w:t>osmog</w:t>
      </w:r>
      <w:r w:rsidR="00BD183E" w:rsidRPr="009762AB">
        <w:rPr>
          <w:rFonts w:ascii="Arial" w:hAnsi="Arial" w:cs="Arial"/>
          <w:sz w:val="22"/>
          <w:szCs w:val="22"/>
        </w:rPr>
        <w:t xml:space="preserve"> </w:t>
      </w:r>
      <w:r w:rsidRPr="009762AB">
        <w:rPr>
          <w:rFonts w:ascii="Arial" w:hAnsi="Arial" w:cs="Arial"/>
          <w:sz w:val="22"/>
          <w:szCs w:val="22"/>
        </w:rPr>
        <w:t xml:space="preserve">dana od dana objave u </w:t>
      </w:r>
      <w:r w:rsidR="00953F72">
        <w:rPr>
          <w:rFonts w:ascii="Arial" w:hAnsi="Arial" w:cs="Arial"/>
          <w:sz w:val="22"/>
          <w:szCs w:val="22"/>
        </w:rPr>
        <w:t>„</w:t>
      </w:r>
      <w:r w:rsidRPr="009762AB">
        <w:rPr>
          <w:rFonts w:ascii="Arial" w:hAnsi="Arial" w:cs="Arial"/>
          <w:sz w:val="22"/>
          <w:szCs w:val="22"/>
        </w:rPr>
        <w:t>Narodnim novinama</w:t>
      </w:r>
      <w:r w:rsidR="00953F72">
        <w:rPr>
          <w:rFonts w:ascii="Arial" w:hAnsi="Arial" w:cs="Arial"/>
          <w:sz w:val="22"/>
          <w:szCs w:val="22"/>
        </w:rPr>
        <w:t>“</w:t>
      </w:r>
      <w:bookmarkStart w:id="0" w:name="_GoBack"/>
      <w:bookmarkEnd w:id="0"/>
      <w:r w:rsidRPr="009762AB">
        <w:rPr>
          <w:rFonts w:ascii="Arial" w:hAnsi="Arial" w:cs="Arial"/>
          <w:sz w:val="22"/>
          <w:szCs w:val="22"/>
        </w:rPr>
        <w:t>.</w:t>
      </w:r>
    </w:p>
    <w:p w14:paraId="6DFED224" w14:textId="77777777" w:rsidR="00A446BD" w:rsidRDefault="00A446BD" w:rsidP="005346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Klasa: </w:t>
      </w:r>
    </w:p>
    <w:p w14:paraId="63D0A6D0" w14:textId="77777777" w:rsidR="00A446BD" w:rsidRDefault="00A446BD" w:rsidP="00534601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 xml:space="preserve">: </w:t>
      </w:r>
    </w:p>
    <w:p w14:paraId="569C5D97" w14:textId="77777777" w:rsidR="00A446BD" w:rsidRDefault="00A446BD" w:rsidP="005346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Zagreb, xx. xx. 2016.</w:t>
      </w:r>
    </w:p>
    <w:p w14:paraId="47BF5680" w14:textId="77777777" w:rsidR="00A446BD" w:rsidRDefault="00A446BD" w:rsidP="00534601">
      <w:pPr>
        <w:spacing w:after="0" w:line="240" w:lineRule="auto"/>
        <w:ind w:left="4248"/>
        <w:jc w:val="right"/>
        <w:rPr>
          <w:rFonts w:ascii="Arial" w:eastAsia="Times New Roman" w:hAnsi="Arial" w:cs="Arial"/>
          <w:b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 xml:space="preserve">                PREDSJEDNIK UPRAVNOG VIJEĆA</w:t>
      </w:r>
    </w:p>
    <w:p w14:paraId="126654E1" w14:textId="77777777" w:rsidR="00A446BD" w:rsidRDefault="00A446BD" w:rsidP="00534601">
      <w:pPr>
        <w:spacing w:after="0" w:line="240" w:lineRule="auto"/>
        <w:jc w:val="right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ab/>
      </w:r>
      <w:r>
        <w:rPr>
          <w:rFonts w:ascii="Arial" w:eastAsia="Times New Roman" w:hAnsi="Arial" w:cs="Arial"/>
          <w:noProof/>
          <w:lang w:eastAsia="hr-HR"/>
        </w:rPr>
        <w:tab/>
      </w:r>
      <w:r>
        <w:rPr>
          <w:rFonts w:ascii="Arial" w:eastAsia="Times New Roman" w:hAnsi="Arial" w:cs="Arial"/>
          <w:noProof/>
          <w:lang w:eastAsia="hr-HR"/>
        </w:rPr>
        <w:tab/>
      </w:r>
      <w:r>
        <w:rPr>
          <w:rFonts w:ascii="Arial" w:eastAsia="Times New Roman" w:hAnsi="Arial" w:cs="Arial"/>
          <w:noProof/>
          <w:lang w:eastAsia="hr-HR"/>
        </w:rPr>
        <w:tab/>
      </w:r>
      <w:r>
        <w:rPr>
          <w:rFonts w:ascii="Arial" w:eastAsia="Times New Roman" w:hAnsi="Arial" w:cs="Arial"/>
          <w:noProof/>
          <w:lang w:eastAsia="hr-HR"/>
        </w:rPr>
        <w:tab/>
        <w:t xml:space="preserve">    </w:t>
      </w:r>
    </w:p>
    <w:p w14:paraId="7AD2F02F" w14:textId="77777777" w:rsidR="00A446BD" w:rsidRDefault="00A446BD" w:rsidP="00534601">
      <w:pPr>
        <w:spacing w:after="0" w:line="240" w:lineRule="auto"/>
        <w:ind w:left="1440" w:firstLine="720"/>
        <w:jc w:val="right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                                                </w:t>
      </w:r>
      <w:r>
        <w:rPr>
          <w:rFonts w:ascii="Arial" w:eastAsia="Times New Roman" w:hAnsi="Arial" w:cs="Arial"/>
          <w:b/>
          <w:noProof/>
          <w:lang w:eastAsia="hr-HR"/>
        </w:rPr>
        <w:t>Petar-Pierre Matek</w:t>
      </w:r>
    </w:p>
    <w:p w14:paraId="095540FA" w14:textId="77777777" w:rsidR="00A446BD" w:rsidRDefault="00A446BD" w:rsidP="00A446BD">
      <w:pPr>
        <w:rPr>
          <w:rFonts w:ascii="Arial" w:hAnsi="Arial" w:cs="Arial"/>
          <w:lang w:val="en-US"/>
        </w:rPr>
      </w:pPr>
    </w:p>
    <w:p w14:paraId="6C1AE26F" w14:textId="77777777" w:rsidR="00A446BD" w:rsidRDefault="00A446BD" w:rsidP="00311BA0">
      <w:pPr>
        <w:pStyle w:val="t-9-8"/>
        <w:jc w:val="both"/>
        <w:rPr>
          <w:rFonts w:ascii="Arial" w:hAnsi="Arial" w:cs="Arial"/>
          <w:sz w:val="22"/>
          <w:szCs w:val="22"/>
        </w:rPr>
      </w:pPr>
    </w:p>
    <w:p w14:paraId="502944D6" w14:textId="77777777" w:rsidR="00B76240" w:rsidRPr="00B76240" w:rsidRDefault="00B76240" w:rsidP="00B76240">
      <w:pPr>
        <w:rPr>
          <w:lang w:eastAsia="hr-HR"/>
        </w:rPr>
      </w:pPr>
    </w:p>
    <w:sectPr w:rsidR="00B76240" w:rsidRPr="00B7624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CDC24" w14:textId="77777777" w:rsidR="00EE5D9F" w:rsidRDefault="00EE5D9F" w:rsidP="00EE5D9F">
      <w:pPr>
        <w:spacing w:after="0" w:line="240" w:lineRule="auto"/>
      </w:pPr>
      <w:r>
        <w:separator/>
      </w:r>
    </w:p>
  </w:endnote>
  <w:endnote w:type="continuationSeparator" w:id="0">
    <w:p w14:paraId="5443442E" w14:textId="77777777" w:rsidR="00EE5D9F" w:rsidRDefault="00EE5D9F" w:rsidP="00EE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34AEC" w14:textId="089DAB7E" w:rsidR="00EE5D9F" w:rsidRDefault="00EE5D9F">
    <w:pPr>
      <w:pStyle w:val="Footer"/>
      <w:jc w:val="right"/>
    </w:pPr>
  </w:p>
  <w:p w14:paraId="3C5BA699" w14:textId="77777777" w:rsidR="00EE5D9F" w:rsidRDefault="00EE5D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DCF04" w14:textId="77777777" w:rsidR="00EE5D9F" w:rsidRDefault="00EE5D9F" w:rsidP="00EE5D9F">
      <w:pPr>
        <w:spacing w:after="0" w:line="240" w:lineRule="auto"/>
      </w:pPr>
      <w:r>
        <w:separator/>
      </w:r>
    </w:p>
  </w:footnote>
  <w:footnote w:type="continuationSeparator" w:id="0">
    <w:p w14:paraId="1D73E535" w14:textId="77777777" w:rsidR="00EE5D9F" w:rsidRDefault="00EE5D9F" w:rsidP="00EE5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3131"/>
    <w:multiLevelType w:val="hybridMultilevel"/>
    <w:tmpl w:val="D9E85D0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57479"/>
    <w:multiLevelType w:val="hybridMultilevel"/>
    <w:tmpl w:val="494A20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D1"/>
    <w:rsid w:val="000061AF"/>
    <w:rsid w:val="00025605"/>
    <w:rsid w:val="0002588A"/>
    <w:rsid w:val="000313C2"/>
    <w:rsid w:val="000334A0"/>
    <w:rsid w:val="00035E3D"/>
    <w:rsid w:val="00045C02"/>
    <w:rsid w:val="00050C73"/>
    <w:rsid w:val="00057CBE"/>
    <w:rsid w:val="00064CC9"/>
    <w:rsid w:val="000A023A"/>
    <w:rsid w:val="000B6659"/>
    <w:rsid w:val="000B711D"/>
    <w:rsid w:val="000C0241"/>
    <w:rsid w:val="000D3333"/>
    <w:rsid w:val="000E0617"/>
    <w:rsid w:val="000E0A36"/>
    <w:rsid w:val="000F5544"/>
    <w:rsid w:val="0012393E"/>
    <w:rsid w:val="00143DE9"/>
    <w:rsid w:val="0015022D"/>
    <w:rsid w:val="001612F8"/>
    <w:rsid w:val="0016137D"/>
    <w:rsid w:val="0016731D"/>
    <w:rsid w:val="00173998"/>
    <w:rsid w:val="00182D76"/>
    <w:rsid w:val="001965A3"/>
    <w:rsid w:val="001E26B8"/>
    <w:rsid w:val="001F5A8A"/>
    <w:rsid w:val="001F611D"/>
    <w:rsid w:val="001F7134"/>
    <w:rsid w:val="00222D72"/>
    <w:rsid w:val="00231B8F"/>
    <w:rsid w:val="00234439"/>
    <w:rsid w:val="00253FCF"/>
    <w:rsid w:val="0025543F"/>
    <w:rsid w:val="00263511"/>
    <w:rsid w:val="00263F92"/>
    <w:rsid w:val="002A3169"/>
    <w:rsid w:val="002A5C94"/>
    <w:rsid w:val="002B7881"/>
    <w:rsid w:val="002C3599"/>
    <w:rsid w:val="002C6D4C"/>
    <w:rsid w:val="002C781E"/>
    <w:rsid w:val="00311BA0"/>
    <w:rsid w:val="0032166C"/>
    <w:rsid w:val="00327832"/>
    <w:rsid w:val="00342C38"/>
    <w:rsid w:val="00350346"/>
    <w:rsid w:val="00352C8F"/>
    <w:rsid w:val="00360955"/>
    <w:rsid w:val="00362E9D"/>
    <w:rsid w:val="00364455"/>
    <w:rsid w:val="00373050"/>
    <w:rsid w:val="00380829"/>
    <w:rsid w:val="00382D1A"/>
    <w:rsid w:val="003964A5"/>
    <w:rsid w:val="003A5C8A"/>
    <w:rsid w:val="003B28B2"/>
    <w:rsid w:val="003B2A3E"/>
    <w:rsid w:val="003C1712"/>
    <w:rsid w:val="003D0D66"/>
    <w:rsid w:val="003E1E52"/>
    <w:rsid w:val="003F1742"/>
    <w:rsid w:val="00414DF0"/>
    <w:rsid w:val="00420CBC"/>
    <w:rsid w:val="00433E23"/>
    <w:rsid w:val="00434FDA"/>
    <w:rsid w:val="004546B6"/>
    <w:rsid w:val="00463C44"/>
    <w:rsid w:val="00465965"/>
    <w:rsid w:val="00484369"/>
    <w:rsid w:val="00486F20"/>
    <w:rsid w:val="004A46C7"/>
    <w:rsid w:val="004B157C"/>
    <w:rsid w:val="004B4A07"/>
    <w:rsid w:val="004C7E77"/>
    <w:rsid w:val="004D763C"/>
    <w:rsid w:val="004E2EBE"/>
    <w:rsid w:val="004F1BDC"/>
    <w:rsid w:val="005177AF"/>
    <w:rsid w:val="005213AC"/>
    <w:rsid w:val="00534601"/>
    <w:rsid w:val="0055098A"/>
    <w:rsid w:val="005D2F30"/>
    <w:rsid w:val="005E3BFB"/>
    <w:rsid w:val="0060593C"/>
    <w:rsid w:val="00606328"/>
    <w:rsid w:val="006126F9"/>
    <w:rsid w:val="006131CE"/>
    <w:rsid w:val="006210EA"/>
    <w:rsid w:val="00631E1C"/>
    <w:rsid w:val="00632569"/>
    <w:rsid w:val="006501FC"/>
    <w:rsid w:val="00651C1A"/>
    <w:rsid w:val="00654FC4"/>
    <w:rsid w:val="006602F0"/>
    <w:rsid w:val="00670521"/>
    <w:rsid w:val="00695168"/>
    <w:rsid w:val="006966C9"/>
    <w:rsid w:val="00696E2E"/>
    <w:rsid w:val="006A3A4B"/>
    <w:rsid w:val="006B0238"/>
    <w:rsid w:val="006B05E6"/>
    <w:rsid w:val="006D1186"/>
    <w:rsid w:val="006D6AED"/>
    <w:rsid w:val="00700261"/>
    <w:rsid w:val="00703C8E"/>
    <w:rsid w:val="0072264D"/>
    <w:rsid w:val="00722BE0"/>
    <w:rsid w:val="007249CD"/>
    <w:rsid w:val="007354F4"/>
    <w:rsid w:val="0075056F"/>
    <w:rsid w:val="00763210"/>
    <w:rsid w:val="00772EAA"/>
    <w:rsid w:val="00776D47"/>
    <w:rsid w:val="00780936"/>
    <w:rsid w:val="007B3B2A"/>
    <w:rsid w:val="007B4A99"/>
    <w:rsid w:val="007D1014"/>
    <w:rsid w:val="007E306B"/>
    <w:rsid w:val="007E7FE5"/>
    <w:rsid w:val="007F58B7"/>
    <w:rsid w:val="00810C37"/>
    <w:rsid w:val="008141A3"/>
    <w:rsid w:val="008242E0"/>
    <w:rsid w:val="00833EA4"/>
    <w:rsid w:val="00837F5D"/>
    <w:rsid w:val="00856CA3"/>
    <w:rsid w:val="0086290F"/>
    <w:rsid w:val="00866C3B"/>
    <w:rsid w:val="00880F16"/>
    <w:rsid w:val="00887926"/>
    <w:rsid w:val="008A54DE"/>
    <w:rsid w:val="008A6AFF"/>
    <w:rsid w:val="008B1489"/>
    <w:rsid w:val="008B5686"/>
    <w:rsid w:val="008B7181"/>
    <w:rsid w:val="008C52CC"/>
    <w:rsid w:val="008E6D21"/>
    <w:rsid w:val="009231B0"/>
    <w:rsid w:val="00926C47"/>
    <w:rsid w:val="00937848"/>
    <w:rsid w:val="0095162A"/>
    <w:rsid w:val="00951780"/>
    <w:rsid w:val="00953F72"/>
    <w:rsid w:val="009762AB"/>
    <w:rsid w:val="0098227E"/>
    <w:rsid w:val="009873EC"/>
    <w:rsid w:val="0099162C"/>
    <w:rsid w:val="00996999"/>
    <w:rsid w:val="009A6EA3"/>
    <w:rsid w:val="009C62D0"/>
    <w:rsid w:val="009D2D16"/>
    <w:rsid w:val="009F4113"/>
    <w:rsid w:val="00A010C9"/>
    <w:rsid w:val="00A02EC6"/>
    <w:rsid w:val="00A10682"/>
    <w:rsid w:val="00A219FC"/>
    <w:rsid w:val="00A23298"/>
    <w:rsid w:val="00A446BD"/>
    <w:rsid w:val="00A473D2"/>
    <w:rsid w:val="00A504B4"/>
    <w:rsid w:val="00A50D83"/>
    <w:rsid w:val="00A538F8"/>
    <w:rsid w:val="00A63DF7"/>
    <w:rsid w:val="00A67AA8"/>
    <w:rsid w:val="00A718C3"/>
    <w:rsid w:val="00A74D96"/>
    <w:rsid w:val="00A83462"/>
    <w:rsid w:val="00A85B11"/>
    <w:rsid w:val="00A9722F"/>
    <w:rsid w:val="00AB1C1C"/>
    <w:rsid w:val="00AB6078"/>
    <w:rsid w:val="00AC3B56"/>
    <w:rsid w:val="00AD551C"/>
    <w:rsid w:val="00AE7CF9"/>
    <w:rsid w:val="00B13CDA"/>
    <w:rsid w:val="00B46227"/>
    <w:rsid w:val="00B554C9"/>
    <w:rsid w:val="00B66159"/>
    <w:rsid w:val="00B66E46"/>
    <w:rsid w:val="00B76240"/>
    <w:rsid w:val="00B7731F"/>
    <w:rsid w:val="00B8087D"/>
    <w:rsid w:val="00BA055D"/>
    <w:rsid w:val="00BA3D84"/>
    <w:rsid w:val="00BB03EB"/>
    <w:rsid w:val="00BB1692"/>
    <w:rsid w:val="00BB5C1F"/>
    <w:rsid w:val="00BD183E"/>
    <w:rsid w:val="00BD25F1"/>
    <w:rsid w:val="00BE57FF"/>
    <w:rsid w:val="00BF028E"/>
    <w:rsid w:val="00C17C3E"/>
    <w:rsid w:val="00C2061E"/>
    <w:rsid w:val="00C2273F"/>
    <w:rsid w:val="00C243A7"/>
    <w:rsid w:val="00C24544"/>
    <w:rsid w:val="00C32AC2"/>
    <w:rsid w:val="00C82BE4"/>
    <w:rsid w:val="00CA1521"/>
    <w:rsid w:val="00CA40D4"/>
    <w:rsid w:val="00CC189C"/>
    <w:rsid w:val="00CC6964"/>
    <w:rsid w:val="00CD068A"/>
    <w:rsid w:val="00CD0AC0"/>
    <w:rsid w:val="00CD61EB"/>
    <w:rsid w:val="00CF235C"/>
    <w:rsid w:val="00CF65AF"/>
    <w:rsid w:val="00CF766C"/>
    <w:rsid w:val="00D1498F"/>
    <w:rsid w:val="00D24521"/>
    <w:rsid w:val="00D3499C"/>
    <w:rsid w:val="00D351E4"/>
    <w:rsid w:val="00D46971"/>
    <w:rsid w:val="00D51FD1"/>
    <w:rsid w:val="00D61282"/>
    <w:rsid w:val="00D65E98"/>
    <w:rsid w:val="00D66D70"/>
    <w:rsid w:val="00D92949"/>
    <w:rsid w:val="00D96633"/>
    <w:rsid w:val="00DA0043"/>
    <w:rsid w:val="00DA60BE"/>
    <w:rsid w:val="00DD032E"/>
    <w:rsid w:val="00DF33B4"/>
    <w:rsid w:val="00DF72D3"/>
    <w:rsid w:val="00DF7D25"/>
    <w:rsid w:val="00E05CC8"/>
    <w:rsid w:val="00E11D6F"/>
    <w:rsid w:val="00E12781"/>
    <w:rsid w:val="00E24410"/>
    <w:rsid w:val="00E31900"/>
    <w:rsid w:val="00E4173A"/>
    <w:rsid w:val="00E5244D"/>
    <w:rsid w:val="00E532D5"/>
    <w:rsid w:val="00E628AF"/>
    <w:rsid w:val="00E75FF0"/>
    <w:rsid w:val="00E960B4"/>
    <w:rsid w:val="00EA03D4"/>
    <w:rsid w:val="00EB361A"/>
    <w:rsid w:val="00EE1CF6"/>
    <w:rsid w:val="00EE5D9F"/>
    <w:rsid w:val="00EF1403"/>
    <w:rsid w:val="00EF2E93"/>
    <w:rsid w:val="00F03773"/>
    <w:rsid w:val="00F126D1"/>
    <w:rsid w:val="00F135D5"/>
    <w:rsid w:val="00F536EA"/>
    <w:rsid w:val="00F6783D"/>
    <w:rsid w:val="00F8040F"/>
    <w:rsid w:val="00FB3377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4D4B"/>
  <w15:chartTrackingRefBased/>
  <w15:docId w15:val="{2A184C01-F45A-48B5-8520-5B4CA952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6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1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26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26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6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26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26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26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26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263511"/>
  </w:style>
  <w:style w:type="paragraph" w:customStyle="1" w:styleId="klasa2">
    <w:name w:val="klasa2"/>
    <w:basedOn w:val="Normal"/>
    <w:rsid w:val="0026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26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263511"/>
  </w:style>
  <w:style w:type="character" w:styleId="CommentReference">
    <w:name w:val="annotation reference"/>
    <w:basedOn w:val="DefaultParagraphFont"/>
    <w:uiPriority w:val="99"/>
    <w:semiHidden/>
    <w:unhideWhenUsed/>
    <w:rsid w:val="007E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6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A02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5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9F"/>
  </w:style>
  <w:style w:type="paragraph" w:styleId="Footer">
    <w:name w:val="footer"/>
    <w:basedOn w:val="Normal"/>
    <w:link w:val="FooterChar"/>
    <w:uiPriority w:val="99"/>
    <w:unhideWhenUsed/>
    <w:rsid w:val="00EE5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9F"/>
  </w:style>
  <w:style w:type="paragraph" w:styleId="Title">
    <w:name w:val="Title"/>
    <w:basedOn w:val="Normal"/>
    <w:next w:val="Normal"/>
    <w:link w:val="TitleChar"/>
    <w:uiPriority w:val="10"/>
    <w:qFormat/>
    <w:rsid w:val="005346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46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61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16.37</BrKolegija>
    <VrstaPredmeta xmlns="d8745bc5-821e-4205-946a-621c2da728c8">Zakonski i podzakonski akti</VrstaPredmeta>
    <TipPredmeta xmlns="d8745bc5-821e-4205-946a-621c2da728c8">Neupravni</TipPredmeta>
    <Prezentira xmlns="d8745bc5-821e-4205-946a-621c2da728c8">
      <UserInfo>
        <DisplayName>i:0#.w|hanfa\ajosipovic</DisplayName>
        <AccountId>83</AccountId>
        <AccountType/>
      </UserInfo>
      <UserInfo>
        <DisplayName>i:0#.w|hanfa\mderencinovic</DisplayName>
        <AccountId>93</AccountId>
        <AccountType/>
      </UserInfo>
      <UserInfo>
        <DisplayName>i:0#.w|hanfa\mvuksic</DisplayName>
        <AccountId>135</AccountId>
        <AccountType/>
      </UserInfo>
    </Prezentira>
    <VrstaDokumenta xmlns="d8745bc5-821e-4205-946a-621c2da728c8">Pravilnik nacrt (za javnu raspravu)</VrstaDokumenta>
    <KategorijaPoslovanja xmlns="d8745bc5-821e-4205-946a-621c2da728c8">
      <Value>Fondovi</Value>
    </KategorijaPoslovanja>
    <Dileme xmlns="d8745bc5-821e-4205-946a-621c2da728c8" xsi:nil="true"/>
    <PrijedlogPostupanja xmlns="d8745bc5-821e-4205-946a-621c2da728c8" xsi:nil="true"/>
    <Izradio xmlns="d8745bc5-821e-4205-946a-621c2da728c8">
      <UserInfo>
        <DisplayName>i:0#.w|hanfa\mvuksic</DisplayName>
        <AccountId>135</AccountId>
        <AccountType/>
      </UserInfo>
    </Izradio>
    <Sazetak xmlns="d8745bc5-821e-4205-946a-621c2da728c8" xsi:nil="true"/>
    <NamjenaDokumenta xmlns="d8745bc5-821e-4205-946a-621c2da728c8">
      <Value>Interno</Value>
      <Value>Kolegij</Value>
    </NamjenaDokumenta>
    <Godina xmlns="d8745bc5-821e-4205-946a-621c2da728c8">2016</Godina>
    <NaslovTocke xmlns="fb73d67a-ef9b-4070-a30f-7dc6f9d2849c">SIMF-L-02 Pravilnik o glavnim i napajajućim UCITS fondovima</NaslovTocke>
    <Izreka xmlns="d8745bc5-821e-4205-946a-621c2da728c8" xsi:nil="true"/>
    <KolegijIteracija xmlns="d8745bc5-821e-4205-946a-621c2da728c8">Pregledano</KolegijIteracija>
    <PregledRadakovic xmlns="d8745bc5-821e-4205-946a-621c2da728c8">-</PregledRadakovic>
    <PregledBjedovKostelac xmlns="d8745bc5-821e-4205-946a-621c2da728c8">Komentar</PregledBjedovKostelac>
    <PregledaoMatek xmlns="d8745bc5-821e-4205-946a-621c2da728c8">Komentar</PregledaoMatek>
    <PregledBozic xmlns="d8745bc5-821e-4205-946a-621c2da728c8">U redu</PregledBozic>
    <BrSjednice xmlns="d8745bc5-821e-4205-946a-621c2da728c8">14</BrSjednice>
    <PregledLetica xmlns="d8745bc5-821e-4205-946a-621c2da728c8">U redu</PregledLetica>
    <StatusDokumentaSjednica xmlns="d8745bc5-821e-4205-946a-621c2da728c8">-</StatusDokumentaSjednic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EF2E89D4154A8D7DD13DB3BC4AA6" ma:contentTypeVersion="39" ma:contentTypeDescription="Create a new document." ma:contentTypeScope="" ma:versionID="9f69d0f4e7705b528f688afa51c278c6">
  <xsd:schema xmlns:xsd="http://www.w3.org/2001/XMLSchema" xmlns:xs="http://www.w3.org/2001/XMLSchema" xmlns:p="http://schemas.microsoft.com/office/2006/metadata/properties" xmlns:ns2="fb73d67a-ef9b-4070-a30f-7dc6f9d2849c" xmlns:ns3="d8745bc5-821e-4205-946a-621c2da728c8" targetNamespace="http://schemas.microsoft.com/office/2006/metadata/properties" ma:root="true" ma:fieldsID="9dd754c6783a146499d79c8079789a72" ns2:_="" ns3:_="">
    <xsd:import namespace="fb73d67a-ef9b-4070-a30f-7dc6f9d2849c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KolegijIteracija"/>
                <xsd:element ref="ns3:Vrsta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PregledBjedovKostelac"/>
                <xsd:element ref="ns3:PregledBozic"/>
                <xsd:element ref="ns3:PregledLetica"/>
                <xsd:element ref="ns3:PregledaoMatek"/>
                <xsd:element ref="ns3:PregledRadakovic"/>
                <xsd:element ref="ns3:BrSjednice"/>
                <xsd:element ref="ns3:StatusDokumentaSjednica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3d67a-ef9b-4070-a30f-7dc6f9d2849c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BrKolegija" ma:index="3" ma:displayName="BrKolegija" ma:decimals="2" ma:default="14" ma:description="Broj kolegija u YY.NN formatu (npr. 14.01)" ma:indexed="true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4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5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6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7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8" nillable="true" ma:displayName="Dileme" ma:description="Dileme" ma:internalName="Dileme">
      <xsd:simpleType>
        <xsd:restriction base="dms:Note">
          <xsd:maxLength value="255"/>
        </xsd:restriction>
      </xsd:simpleType>
    </xsd:element>
    <xsd:element name="KolegijIteracija" ma:index="9" ma:displayName="StatusDokumentaKolegij" ma:default="Za pregled" ma:description="Status dokumenta na kolegiju" ma:format="Dropdown" ma:indexed="true" ma:internalName="KolegijIteracija">
      <xsd:simpleType>
        <xsd:restriction base="dms:Choice">
          <xsd:enumeration value="Za pregled"/>
          <xsd:enumeration value="Pregledano"/>
          <xsd:enumeration value="Za doradu"/>
          <xsd:enumeration value="Dorađeno"/>
          <xsd:enumeration value="Za odlučiti"/>
        </xsd:restriction>
      </xsd:simpleType>
    </xsd:element>
    <xsd:element name="VrstaDokumenta" ma:index="10" ma:displayName="VrstaDokumenta" ma:default="-" ma:description="Precizna vrsta dokumenta" ma:format="Dropdown" ma:indexed="true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VrstaPredmeta" ma:index="11" ma:displayName="VrstaPredmeta" ma:default="-" ma:description="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2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13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14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-"/>
        </xsd:restriction>
      </xsd:simpleType>
    </xsd:element>
    <xsd:element name="PregledBjedovKostelac" ma:index="15" ma:displayName="PregledBjedovKostelac" ma:default="-" ma:description="Komentar Branke Bjedov Kostelac" ma:format="Dropdown" ma:indexed="true" ma:internalName="PregledBjedovKostela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Bozic" ma:index="16" ma:displayName="PregledBozic" ma:default="-" ma:description="Komentar Silvane Božić" ma:format="Dropdown" ma:indexed="true" ma:internalName="PregledBozi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Letica" ma:index="17" ma:displayName="PregledLetica" ma:default="-" ma:description="Komentar Gordane Letice" ma:format="Dropdown" ma:indexed="true" ma:internalName="PregledLetica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aoMatek" ma:index="18" ma:displayName="PregledMatek" ma:default="-" ma:description="Komentar Petra-Pierra Mateka" ma:format="Dropdown" ma:indexed="true" ma:internalName="PregledaoMatek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Radakovic" ma:index="19" ma:displayName="PregledRadakovic" ma:default="-" ma:description="Komentar Maria Radakovića" ma:format="Dropdown" ma:indexed="true" ma:internalName="PregledRadakovi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BrSjednice" ma:index="20" ma:displayName="BrSjednice" ma:decimals="2" ma:default="14" ma:description="Broj sjednice u YY.NN formatu (npr. 14.01)" ma:internalName="BrSjednice" ma:percentage="FALSE">
      <xsd:simpleType>
        <xsd:restriction base="dms:Number">
          <xsd:maxInclusive value="20"/>
          <xsd:minInclusive value="10"/>
        </xsd:restriction>
      </xsd:simpleType>
    </xsd:element>
    <xsd:element name="StatusDokumentaSjednica" ma:index="21" ma:displayName="StatusDokumentaSjednica" ma:default="-" ma:description="Status dokumenta na sjednici" ma:format="Dropdown" ma:internalName="StatusDokumentaSjednica">
      <xsd:simpleType>
        <xsd:restriction base="dms:Choice">
          <xsd:enumeration value="-"/>
          <xsd:enumeration value="Prihvaćen"/>
          <xsd:enumeration value="Odbijen"/>
          <xsd:enumeration value="Izvršten"/>
        </xsd:restriction>
      </xsd:simpleType>
    </xsd:element>
    <xsd:element name="Izreka" ma:index="29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CB3AD-E6D6-47A1-9222-56D1398480F9}">
  <ds:schemaRefs>
    <ds:schemaRef ds:uri="http://purl.org/dc/terms/"/>
    <ds:schemaRef ds:uri="d8745bc5-821e-4205-946a-621c2da728c8"/>
    <ds:schemaRef ds:uri="fb73d67a-ef9b-4070-a30f-7dc6f9d2849c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B74EA4-B450-4939-95D6-B1EF1356D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3d67a-ef9b-4070-a30f-7dc6f9d2849c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5CB6A-9EEC-46C1-80F6-0533DC34D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17030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Vukšić</dc:creator>
  <cp:keywords/>
  <dc:description/>
  <cp:lastModifiedBy>Anita Bešlić Gadžo</cp:lastModifiedBy>
  <cp:revision>5</cp:revision>
  <dcterms:created xsi:type="dcterms:W3CDTF">2016-09-14T08:30:00Z</dcterms:created>
  <dcterms:modified xsi:type="dcterms:W3CDTF">2016-09-14T10:27:00Z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0x010100FCD3EF2E89D4154A8D7DD13DB3BC4AA6</vt:lpwstr>
  </property>
  <property fmtid="{D5CDD505-2E9C-101B-9397-08002B2CF9AE}" pid="3" name="Order">
    <vt:r8>19198400</vt:r8>
  </property>
  <property fmtid="{D5CDD505-2E9C-101B-9397-08002B2CF9AE}" pid="4" name="xd_ProgID">
    <vt:lpwstr/>
  </property>
  <property fmtid="{D5CDD505-2E9C-101B-9397-08002B2CF9AE}" pid="5" name="StatusDokumenta">
    <vt:lpwstr>Autorizirano</vt:lpwstr>
  </property>
  <property fmtid="{D5CDD505-2E9C-101B-9397-08002B2CF9AE}" pid="6" name="TemplateUrl">
    <vt:lpwstr/>
  </property>
  <property fmtid="{D5CDD505-2E9C-101B-9397-08002B2CF9AE}" pid="7" name="_CopySource">
    <vt:lpwstr>https://hanfanet.hanfa.local/s/imf/D/OPĆI POSLOVI/PROJEKTI/Izmjene ZOIFJP-ZAIF (UCITS V)/ZOIFJP 2016 Pravilnici/Pravilnici Final/Pravilnik o glavnim i napajajućim UCITS fondovima_clean.docx</vt:lpwstr>
  </property>
</Properties>
</file>