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85DDE" w14:textId="62E76494" w:rsidR="0067046D" w:rsidRPr="00D77A83" w:rsidRDefault="007A4DF6" w:rsidP="004E444F">
      <w:pPr>
        <w:pStyle w:val="Title"/>
        <w:jc w:val="both"/>
        <w:rPr>
          <w:rFonts w:ascii="Arial" w:hAnsi="Arial" w:cs="Arial"/>
          <w:sz w:val="22"/>
          <w:szCs w:val="22"/>
        </w:rPr>
      </w:pPr>
      <w:r w:rsidRPr="00D77A83">
        <w:rPr>
          <w:rFonts w:ascii="Arial" w:hAnsi="Arial" w:cs="Arial"/>
          <w:sz w:val="22"/>
          <w:szCs w:val="22"/>
        </w:rPr>
        <w:t>N</w:t>
      </w:r>
      <w:r w:rsidR="0067046D" w:rsidRPr="00D77A83">
        <w:rPr>
          <w:rFonts w:ascii="Arial" w:hAnsi="Arial" w:cs="Arial"/>
          <w:sz w:val="22"/>
          <w:szCs w:val="22"/>
        </w:rPr>
        <w:t xml:space="preserve">a temelju članka </w:t>
      </w:r>
      <w:r w:rsidR="00F54170" w:rsidRPr="00D77A83">
        <w:rPr>
          <w:rFonts w:ascii="Arial" w:hAnsi="Arial" w:cs="Arial"/>
          <w:sz w:val="22"/>
          <w:szCs w:val="22"/>
        </w:rPr>
        <w:t xml:space="preserve">3. stavka </w:t>
      </w:r>
      <w:r w:rsidR="00EF7B09" w:rsidRPr="00D77A83">
        <w:rPr>
          <w:rFonts w:ascii="Arial" w:hAnsi="Arial" w:cs="Arial"/>
          <w:sz w:val="22"/>
          <w:szCs w:val="22"/>
        </w:rPr>
        <w:t>1</w:t>
      </w:r>
      <w:r w:rsidR="00F54170" w:rsidRPr="00D77A83">
        <w:rPr>
          <w:rFonts w:ascii="Arial" w:hAnsi="Arial" w:cs="Arial"/>
          <w:sz w:val="22"/>
          <w:szCs w:val="22"/>
        </w:rPr>
        <w:t xml:space="preserve">., </w:t>
      </w:r>
      <w:r w:rsidR="00B2495F" w:rsidRPr="00D77A83">
        <w:rPr>
          <w:rFonts w:ascii="Arial" w:hAnsi="Arial" w:cs="Arial"/>
          <w:sz w:val="22"/>
          <w:szCs w:val="22"/>
        </w:rPr>
        <w:t>108</w:t>
      </w:r>
      <w:r w:rsidR="00B8113A" w:rsidRPr="00D77A83">
        <w:rPr>
          <w:rFonts w:ascii="Arial" w:hAnsi="Arial" w:cs="Arial"/>
          <w:sz w:val="22"/>
          <w:szCs w:val="22"/>
        </w:rPr>
        <w:t xml:space="preserve">. stavka 7., </w:t>
      </w:r>
      <w:r w:rsidR="00FA7236" w:rsidRPr="00D77A83">
        <w:rPr>
          <w:rFonts w:ascii="Arial" w:hAnsi="Arial" w:cs="Arial"/>
          <w:sz w:val="22"/>
          <w:szCs w:val="22"/>
        </w:rPr>
        <w:t>član</w:t>
      </w:r>
      <w:bookmarkStart w:id="0" w:name="_GoBack"/>
      <w:bookmarkEnd w:id="0"/>
      <w:r w:rsidR="00FA7236" w:rsidRPr="00D77A83">
        <w:rPr>
          <w:rFonts w:ascii="Arial" w:hAnsi="Arial" w:cs="Arial"/>
          <w:sz w:val="22"/>
          <w:szCs w:val="22"/>
        </w:rPr>
        <w:t xml:space="preserve">ka </w:t>
      </w:r>
      <w:r w:rsidR="00B2495F" w:rsidRPr="00D77A83">
        <w:rPr>
          <w:rFonts w:ascii="Arial" w:hAnsi="Arial" w:cs="Arial"/>
          <w:sz w:val="22"/>
          <w:szCs w:val="22"/>
        </w:rPr>
        <w:t>252</w:t>
      </w:r>
      <w:r w:rsidR="00B8113A" w:rsidRPr="00D77A83">
        <w:rPr>
          <w:rFonts w:ascii="Arial" w:hAnsi="Arial" w:cs="Arial"/>
          <w:sz w:val="22"/>
          <w:szCs w:val="22"/>
        </w:rPr>
        <w:t>. stavka</w:t>
      </w:r>
      <w:r w:rsidR="0067046D" w:rsidRPr="00D77A83">
        <w:rPr>
          <w:rFonts w:ascii="Arial" w:hAnsi="Arial" w:cs="Arial"/>
          <w:sz w:val="22"/>
          <w:szCs w:val="22"/>
        </w:rPr>
        <w:t xml:space="preserve"> </w:t>
      </w:r>
      <w:r w:rsidRPr="00D77A83">
        <w:rPr>
          <w:rFonts w:ascii="Arial" w:hAnsi="Arial" w:cs="Arial"/>
          <w:sz w:val="22"/>
          <w:szCs w:val="22"/>
        </w:rPr>
        <w:t>5</w:t>
      </w:r>
      <w:r w:rsidR="0067046D" w:rsidRPr="00D77A83">
        <w:rPr>
          <w:rFonts w:ascii="Arial" w:hAnsi="Arial" w:cs="Arial"/>
          <w:sz w:val="22"/>
          <w:szCs w:val="22"/>
        </w:rPr>
        <w:t>.</w:t>
      </w:r>
      <w:r w:rsidRPr="00D77A83">
        <w:rPr>
          <w:rFonts w:ascii="Arial" w:hAnsi="Arial" w:cs="Arial"/>
          <w:sz w:val="22"/>
          <w:szCs w:val="22"/>
        </w:rPr>
        <w:t xml:space="preserve">, </w:t>
      </w:r>
      <w:r w:rsidR="00FA7236" w:rsidRPr="00D77A83">
        <w:rPr>
          <w:rFonts w:ascii="Arial" w:hAnsi="Arial" w:cs="Arial"/>
          <w:sz w:val="22"/>
          <w:szCs w:val="22"/>
        </w:rPr>
        <w:t xml:space="preserve">članka </w:t>
      </w:r>
      <w:r w:rsidR="00B2495F" w:rsidRPr="00D77A83">
        <w:rPr>
          <w:rFonts w:ascii="Arial" w:hAnsi="Arial" w:cs="Arial"/>
          <w:sz w:val="22"/>
          <w:szCs w:val="22"/>
        </w:rPr>
        <w:t>253.</w:t>
      </w:r>
      <w:r w:rsidR="00B8113A" w:rsidRPr="00D77A83">
        <w:rPr>
          <w:rFonts w:ascii="Arial" w:hAnsi="Arial" w:cs="Arial"/>
          <w:sz w:val="22"/>
          <w:szCs w:val="22"/>
        </w:rPr>
        <w:t xml:space="preserve"> stav</w:t>
      </w:r>
      <w:r w:rsidR="0067046D" w:rsidRPr="00D77A83">
        <w:rPr>
          <w:rFonts w:ascii="Arial" w:hAnsi="Arial" w:cs="Arial"/>
          <w:sz w:val="22"/>
          <w:szCs w:val="22"/>
        </w:rPr>
        <w:t>k</w:t>
      </w:r>
      <w:r w:rsidR="00B8113A" w:rsidRPr="00D77A83">
        <w:rPr>
          <w:rFonts w:ascii="Arial" w:hAnsi="Arial" w:cs="Arial"/>
          <w:sz w:val="22"/>
          <w:szCs w:val="22"/>
        </w:rPr>
        <w:t>a</w:t>
      </w:r>
      <w:r w:rsidR="0067046D" w:rsidRPr="00D77A83">
        <w:rPr>
          <w:rFonts w:ascii="Arial" w:hAnsi="Arial" w:cs="Arial"/>
          <w:sz w:val="22"/>
          <w:szCs w:val="22"/>
        </w:rPr>
        <w:t xml:space="preserve"> 9.</w:t>
      </w:r>
      <w:r w:rsidRPr="00D77A83">
        <w:rPr>
          <w:rFonts w:ascii="Arial" w:hAnsi="Arial" w:cs="Arial"/>
          <w:sz w:val="22"/>
          <w:szCs w:val="22"/>
        </w:rPr>
        <w:t xml:space="preserve"> i članka </w:t>
      </w:r>
      <w:r w:rsidR="00B2495F" w:rsidRPr="00D77A83">
        <w:rPr>
          <w:rFonts w:ascii="Arial" w:hAnsi="Arial" w:cs="Arial"/>
          <w:sz w:val="22"/>
          <w:szCs w:val="22"/>
        </w:rPr>
        <w:t>260.</w:t>
      </w:r>
      <w:r w:rsidR="0067046D" w:rsidRPr="00D77A83">
        <w:rPr>
          <w:rFonts w:ascii="Arial" w:hAnsi="Arial" w:cs="Arial"/>
          <w:sz w:val="22"/>
          <w:szCs w:val="22"/>
        </w:rPr>
        <w:t xml:space="preserve"> Zakona o otvorenim investicijskim fondovima s javnom ponudom (</w:t>
      </w:r>
      <w:r w:rsidR="00D77A83" w:rsidRPr="00D77A83">
        <w:rPr>
          <w:rFonts w:ascii="Arial" w:hAnsi="Arial" w:cs="Arial"/>
          <w:sz w:val="22"/>
          <w:szCs w:val="22"/>
        </w:rPr>
        <w:t>„</w:t>
      </w:r>
      <w:r w:rsidR="0067046D" w:rsidRPr="00D77A83">
        <w:rPr>
          <w:rFonts w:ascii="Arial" w:hAnsi="Arial" w:cs="Arial"/>
          <w:sz w:val="22"/>
          <w:szCs w:val="22"/>
        </w:rPr>
        <w:t>Narodne novine</w:t>
      </w:r>
      <w:r w:rsidR="00D77A83" w:rsidRPr="00D77A83">
        <w:rPr>
          <w:rFonts w:ascii="Arial" w:hAnsi="Arial" w:cs="Arial"/>
          <w:sz w:val="22"/>
          <w:szCs w:val="22"/>
        </w:rPr>
        <w:t>“</w:t>
      </w:r>
      <w:r w:rsidR="00DF3F61" w:rsidRPr="00D77A83">
        <w:rPr>
          <w:rFonts w:ascii="Arial" w:hAnsi="Arial" w:cs="Arial"/>
          <w:sz w:val="22"/>
          <w:szCs w:val="22"/>
        </w:rPr>
        <w:t xml:space="preserve"> br.</w:t>
      </w:r>
      <w:r w:rsidR="0067046D" w:rsidRPr="00D77A83">
        <w:rPr>
          <w:rFonts w:ascii="Arial" w:hAnsi="Arial" w:cs="Arial"/>
          <w:sz w:val="22"/>
          <w:szCs w:val="22"/>
        </w:rPr>
        <w:t xml:space="preserve"> </w:t>
      </w:r>
      <w:r w:rsidR="00B2495F" w:rsidRPr="00D77A83">
        <w:rPr>
          <w:rFonts w:ascii="Arial" w:hAnsi="Arial" w:cs="Arial"/>
          <w:sz w:val="22"/>
          <w:szCs w:val="22"/>
        </w:rPr>
        <w:t>44/2016</w:t>
      </w:r>
      <w:r w:rsidRPr="00D77A83">
        <w:rPr>
          <w:rFonts w:ascii="Arial" w:hAnsi="Arial" w:cs="Arial"/>
          <w:sz w:val="22"/>
          <w:szCs w:val="22"/>
        </w:rPr>
        <w:t>, dalje: Zakon</w:t>
      </w:r>
      <w:r w:rsidR="004A6A52" w:rsidRPr="00D77A83">
        <w:rPr>
          <w:rFonts w:ascii="Arial" w:hAnsi="Arial" w:cs="Arial"/>
          <w:sz w:val="22"/>
          <w:szCs w:val="22"/>
        </w:rPr>
        <w:t>),</w:t>
      </w:r>
      <w:r w:rsidR="0067046D" w:rsidRPr="00D77A83">
        <w:rPr>
          <w:rFonts w:ascii="Arial" w:hAnsi="Arial" w:cs="Arial"/>
          <w:sz w:val="22"/>
          <w:szCs w:val="22"/>
        </w:rPr>
        <w:t xml:space="preserve"> </w:t>
      </w:r>
      <w:r w:rsidRPr="00D77A83">
        <w:rPr>
          <w:rFonts w:ascii="Arial" w:hAnsi="Arial" w:cs="Arial"/>
          <w:sz w:val="22"/>
          <w:szCs w:val="22"/>
        </w:rPr>
        <w:t xml:space="preserve">Hrvatska agencija za nadzor financijskih usluga (dalje: Agencija) </w:t>
      </w:r>
      <w:r w:rsidR="0067046D" w:rsidRPr="00D77A83">
        <w:rPr>
          <w:rFonts w:ascii="Arial" w:hAnsi="Arial" w:cs="Arial"/>
          <w:sz w:val="22"/>
          <w:szCs w:val="22"/>
        </w:rPr>
        <w:t>na sjednici Upravnog vijeća održanoj</w:t>
      </w:r>
      <w:r w:rsidR="007A627B" w:rsidRPr="00D77A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627B" w:rsidRPr="00D77A83">
        <w:rPr>
          <w:rFonts w:ascii="Arial" w:hAnsi="Arial" w:cs="Arial"/>
          <w:sz w:val="22"/>
          <w:szCs w:val="22"/>
        </w:rPr>
        <w:t>xx</w:t>
      </w:r>
      <w:r w:rsidRPr="00D77A83">
        <w:rPr>
          <w:rFonts w:ascii="Arial" w:hAnsi="Arial" w:cs="Arial"/>
          <w:sz w:val="22"/>
          <w:szCs w:val="22"/>
        </w:rPr>
        <w:t>.</w:t>
      </w:r>
      <w:r w:rsidR="007A627B" w:rsidRPr="00D77A83">
        <w:rPr>
          <w:rFonts w:ascii="Arial" w:hAnsi="Arial" w:cs="Arial"/>
          <w:sz w:val="22"/>
          <w:szCs w:val="22"/>
        </w:rPr>
        <w:t>xx.2016</w:t>
      </w:r>
      <w:proofErr w:type="spellEnd"/>
      <w:r w:rsidR="007A627B" w:rsidRPr="00D77A83">
        <w:rPr>
          <w:rFonts w:ascii="Arial" w:hAnsi="Arial" w:cs="Arial"/>
          <w:sz w:val="22"/>
          <w:szCs w:val="22"/>
        </w:rPr>
        <w:t>.</w:t>
      </w:r>
      <w:r w:rsidR="0067046D" w:rsidRPr="00D77A83">
        <w:rPr>
          <w:rFonts w:ascii="Arial" w:hAnsi="Arial" w:cs="Arial"/>
          <w:sz w:val="22"/>
          <w:szCs w:val="22"/>
        </w:rPr>
        <w:t xml:space="preserve"> godine </w:t>
      </w:r>
      <w:r w:rsidRPr="00D77A83">
        <w:rPr>
          <w:rFonts w:ascii="Arial" w:hAnsi="Arial" w:cs="Arial"/>
          <w:sz w:val="22"/>
          <w:szCs w:val="22"/>
        </w:rPr>
        <w:t xml:space="preserve">donijela je  </w:t>
      </w:r>
    </w:p>
    <w:p w14:paraId="74960049" w14:textId="77777777" w:rsidR="0067046D" w:rsidRPr="00D77A83" w:rsidRDefault="0067046D" w:rsidP="00D77A83">
      <w:pPr>
        <w:pStyle w:val="Title"/>
        <w:rPr>
          <w:rFonts w:ascii="Arial" w:hAnsi="Arial" w:cs="Arial"/>
          <w:b/>
          <w:sz w:val="22"/>
          <w:szCs w:val="22"/>
        </w:rPr>
      </w:pPr>
    </w:p>
    <w:p w14:paraId="1F08B5C4" w14:textId="77777777" w:rsidR="00CC1F41" w:rsidRPr="00D77A83" w:rsidRDefault="00CC1F41" w:rsidP="00D77A83">
      <w:pPr>
        <w:pStyle w:val="Title"/>
        <w:rPr>
          <w:rFonts w:ascii="Arial" w:hAnsi="Arial" w:cs="Arial"/>
          <w:b/>
          <w:sz w:val="22"/>
          <w:szCs w:val="22"/>
        </w:rPr>
      </w:pPr>
    </w:p>
    <w:p w14:paraId="3995ED47" w14:textId="77777777" w:rsidR="00E91FFB" w:rsidRPr="00203950" w:rsidRDefault="00E91FFB" w:rsidP="00D77A83">
      <w:pPr>
        <w:pStyle w:val="Title"/>
        <w:jc w:val="center"/>
        <w:rPr>
          <w:rFonts w:ascii="Arial" w:hAnsi="Arial" w:cs="Arial"/>
          <w:sz w:val="22"/>
          <w:szCs w:val="22"/>
        </w:rPr>
      </w:pPr>
      <w:r w:rsidRPr="00203950">
        <w:rPr>
          <w:rFonts w:ascii="Arial" w:hAnsi="Arial" w:cs="Arial"/>
          <w:sz w:val="22"/>
          <w:szCs w:val="22"/>
        </w:rPr>
        <w:t>PRAVILNIK O DOZVOLJENIM ULAGANJIMA I OGRANI</w:t>
      </w:r>
      <w:r w:rsidRPr="00203950">
        <w:rPr>
          <w:rFonts w:ascii="Arial" w:eastAsia="TimesNewRoman" w:hAnsi="Arial" w:cs="Arial"/>
          <w:sz w:val="22"/>
          <w:szCs w:val="22"/>
        </w:rPr>
        <w:t>Č</w:t>
      </w:r>
      <w:r w:rsidRPr="00203950">
        <w:rPr>
          <w:rFonts w:ascii="Arial" w:hAnsi="Arial" w:cs="Arial"/>
          <w:sz w:val="22"/>
          <w:szCs w:val="22"/>
        </w:rPr>
        <w:t>ENJIMA</w:t>
      </w:r>
    </w:p>
    <w:p w14:paraId="47BC80E7" w14:textId="772BE926" w:rsidR="00E91FFB" w:rsidRPr="00203950" w:rsidRDefault="00E91FFB" w:rsidP="00D77A83">
      <w:pPr>
        <w:pStyle w:val="Title"/>
        <w:jc w:val="center"/>
        <w:rPr>
          <w:rFonts w:ascii="Arial" w:hAnsi="Arial" w:cs="Arial"/>
          <w:sz w:val="22"/>
          <w:szCs w:val="22"/>
        </w:rPr>
      </w:pPr>
      <w:r w:rsidRPr="00203950">
        <w:rPr>
          <w:rFonts w:ascii="Arial" w:hAnsi="Arial" w:cs="Arial"/>
          <w:sz w:val="22"/>
          <w:szCs w:val="22"/>
        </w:rPr>
        <w:t xml:space="preserve">ULAGANJA </w:t>
      </w:r>
      <w:proofErr w:type="spellStart"/>
      <w:r w:rsidR="00D77631" w:rsidRPr="00203950">
        <w:rPr>
          <w:rFonts w:ascii="Arial" w:hAnsi="Arial" w:cs="Arial"/>
          <w:sz w:val="22"/>
          <w:szCs w:val="22"/>
        </w:rPr>
        <w:t>UCITS</w:t>
      </w:r>
      <w:proofErr w:type="spellEnd"/>
      <w:r w:rsidRPr="00203950">
        <w:rPr>
          <w:rFonts w:ascii="Arial" w:hAnsi="Arial" w:cs="Arial"/>
          <w:sz w:val="22"/>
          <w:szCs w:val="22"/>
        </w:rPr>
        <w:t xml:space="preserve"> FONDA</w:t>
      </w:r>
    </w:p>
    <w:p w14:paraId="25A9FC08" w14:textId="77777777" w:rsidR="00E91FFB" w:rsidRPr="00E55BAA" w:rsidRDefault="00E91FFB" w:rsidP="00DF3F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9DE1F7" w14:textId="6D40772F" w:rsidR="00B60199" w:rsidRPr="00B36180" w:rsidRDefault="00157914" w:rsidP="00B36180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B36180">
        <w:rPr>
          <w:rFonts w:ascii="Arial" w:hAnsi="Arial" w:cs="Arial"/>
          <w:b w:val="0"/>
          <w:sz w:val="22"/>
          <w:szCs w:val="22"/>
        </w:rPr>
        <w:t>DIO PRVI</w:t>
      </w:r>
    </w:p>
    <w:p w14:paraId="45D6961D" w14:textId="1FB258E9" w:rsidR="00B60199" w:rsidRPr="00B36180" w:rsidRDefault="0094661D" w:rsidP="00B36180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B36180">
        <w:rPr>
          <w:rFonts w:ascii="Arial" w:hAnsi="Arial" w:cs="Arial"/>
          <w:b w:val="0"/>
          <w:sz w:val="22"/>
          <w:szCs w:val="22"/>
        </w:rPr>
        <w:t>Članak 1.</w:t>
      </w:r>
    </w:p>
    <w:p w14:paraId="5449B146" w14:textId="77777777" w:rsidR="00754173" w:rsidRDefault="001F2A54" w:rsidP="00DF3F6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Ovim p</w:t>
      </w:r>
      <w:r w:rsidR="0094661D" w:rsidRPr="00E55BAA">
        <w:rPr>
          <w:rFonts w:ascii="Arial" w:hAnsi="Arial" w:cs="Arial"/>
          <w:sz w:val="22"/>
          <w:szCs w:val="22"/>
        </w:rPr>
        <w:t xml:space="preserve">ravilnikom </w:t>
      </w:r>
      <w:r w:rsidR="00BD3E00" w:rsidRPr="00E55BAA">
        <w:rPr>
          <w:rFonts w:ascii="Arial" w:hAnsi="Arial" w:cs="Arial"/>
          <w:sz w:val="22"/>
          <w:szCs w:val="22"/>
        </w:rPr>
        <w:t xml:space="preserve">detaljnije se </w:t>
      </w:r>
      <w:r w:rsidR="0094661D" w:rsidRPr="00E55BAA">
        <w:rPr>
          <w:rFonts w:ascii="Arial" w:hAnsi="Arial" w:cs="Arial"/>
          <w:sz w:val="22"/>
          <w:szCs w:val="22"/>
        </w:rPr>
        <w:t>pr</w:t>
      </w:r>
      <w:r w:rsidR="00AC002B" w:rsidRPr="00E55BAA">
        <w:rPr>
          <w:rFonts w:ascii="Arial" w:hAnsi="Arial" w:cs="Arial"/>
          <w:sz w:val="22"/>
          <w:szCs w:val="22"/>
        </w:rPr>
        <w:t>opisuju</w:t>
      </w:r>
      <w:r w:rsidR="00754173" w:rsidRPr="00E55BAA">
        <w:rPr>
          <w:rFonts w:ascii="Arial" w:hAnsi="Arial" w:cs="Arial"/>
          <w:sz w:val="22"/>
          <w:szCs w:val="22"/>
        </w:rPr>
        <w:t>:</w:t>
      </w:r>
    </w:p>
    <w:p w14:paraId="60C6A13E" w14:textId="27BC7BBA" w:rsidR="00F10785" w:rsidRDefault="00F10785" w:rsidP="00881AC2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81AC2">
        <w:rPr>
          <w:rFonts w:ascii="Arial" w:hAnsi="Arial" w:cs="Arial"/>
          <w:sz w:val="22"/>
          <w:szCs w:val="22"/>
        </w:rPr>
        <w:t>tržišta koja se smatraju uređenima</w:t>
      </w:r>
      <w:r w:rsidR="005D33BC">
        <w:rPr>
          <w:rFonts w:ascii="Arial" w:hAnsi="Arial" w:cs="Arial"/>
          <w:sz w:val="22"/>
          <w:szCs w:val="22"/>
        </w:rPr>
        <w:t>,</w:t>
      </w:r>
    </w:p>
    <w:p w14:paraId="21348D6E" w14:textId="7E68B0A8" w:rsidR="005D33BC" w:rsidRPr="00F10785" w:rsidRDefault="00F10785" w:rsidP="00F10785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dozvoljena ulaganja i ograničenja ulaganja </w:t>
      </w:r>
      <w:proofErr w:type="spellStart"/>
      <w:r>
        <w:rPr>
          <w:rFonts w:ascii="Arial" w:hAnsi="Arial" w:cs="Arial"/>
          <w:sz w:val="22"/>
          <w:szCs w:val="22"/>
        </w:rPr>
        <w:t>UCITS</w:t>
      </w:r>
      <w:proofErr w:type="spellEnd"/>
      <w:r>
        <w:rPr>
          <w:rFonts w:ascii="Arial" w:hAnsi="Arial" w:cs="Arial"/>
          <w:sz w:val="22"/>
          <w:szCs w:val="22"/>
        </w:rPr>
        <w:t xml:space="preserve"> fonda, </w:t>
      </w:r>
    </w:p>
    <w:p w14:paraId="2A22A2FF" w14:textId="1326ED44" w:rsidR="00054EF7" w:rsidRPr="005D33BC" w:rsidRDefault="005D33BC" w:rsidP="005D33BC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uvjeti i ograničenja vezani za tehnike i instrumente za efikasno upravljanje imovinom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</w:t>
      </w:r>
      <w:r>
        <w:rPr>
          <w:rFonts w:ascii="Arial" w:hAnsi="Arial" w:cs="Arial"/>
          <w:sz w:val="22"/>
          <w:szCs w:val="22"/>
        </w:rPr>
        <w:t>,</w:t>
      </w:r>
      <w:r w:rsidRPr="005D33BC" w:rsidDel="005D33BC">
        <w:rPr>
          <w:rFonts w:ascii="Arial" w:hAnsi="Arial" w:cs="Arial"/>
          <w:sz w:val="22"/>
          <w:szCs w:val="22"/>
        </w:rPr>
        <w:t xml:space="preserve"> </w:t>
      </w:r>
    </w:p>
    <w:p w14:paraId="21FE0581" w14:textId="4A880434" w:rsidR="00054EF7" w:rsidRPr="00E55BAA" w:rsidRDefault="00054EF7" w:rsidP="00DF3F61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institucije koje se smatraju drugom ugovornom stranom u transakcijama s </w:t>
      </w:r>
      <w:proofErr w:type="spellStart"/>
      <w:r w:rsidRPr="00E55BAA">
        <w:rPr>
          <w:rFonts w:ascii="Arial" w:hAnsi="Arial" w:cs="Arial"/>
          <w:sz w:val="22"/>
          <w:szCs w:val="22"/>
        </w:rPr>
        <w:t>OTC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izvedenicama</w:t>
      </w:r>
      <w:r w:rsidR="005D33BC">
        <w:rPr>
          <w:rFonts w:ascii="Arial" w:hAnsi="Arial" w:cs="Arial"/>
          <w:sz w:val="22"/>
          <w:szCs w:val="22"/>
        </w:rPr>
        <w:t>.</w:t>
      </w:r>
    </w:p>
    <w:p w14:paraId="01400943" w14:textId="77777777" w:rsidR="00133363" w:rsidRDefault="00133363" w:rsidP="00DF3F6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0E565DD" w14:textId="6C1D8BF5" w:rsidR="000F7325" w:rsidRPr="00B36180" w:rsidRDefault="000F7325" w:rsidP="00B36180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B36180">
        <w:rPr>
          <w:rFonts w:ascii="Arial" w:hAnsi="Arial" w:cs="Arial"/>
          <w:b w:val="0"/>
          <w:sz w:val="22"/>
          <w:szCs w:val="22"/>
        </w:rPr>
        <w:t>Članak 2.</w:t>
      </w:r>
    </w:p>
    <w:p w14:paraId="34F92948" w14:textId="366032CE" w:rsidR="000F7325" w:rsidRPr="007053D9" w:rsidRDefault="000F7325" w:rsidP="000F73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Ovim Pravilnikom </w:t>
      </w:r>
      <w:r w:rsidRPr="000F7325">
        <w:rPr>
          <w:rFonts w:ascii="Arial" w:hAnsi="Arial" w:cs="Arial"/>
          <w:sz w:val="22"/>
          <w:szCs w:val="22"/>
        </w:rPr>
        <w:t>se u pravni sustav Republike Hrvatske prenosi Direktiva</w:t>
      </w:r>
      <w:r>
        <w:rPr>
          <w:rFonts w:ascii="Arial" w:hAnsi="Arial" w:cs="Arial"/>
          <w:sz w:val="22"/>
          <w:szCs w:val="22"/>
        </w:rPr>
        <w:t xml:space="preserve"> </w:t>
      </w:r>
      <w:r w:rsidRPr="007053D9">
        <w:rPr>
          <w:rFonts w:ascii="Arial" w:hAnsi="Arial" w:cs="Arial"/>
          <w:sz w:val="22"/>
          <w:szCs w:val="22"/>
        </w:rPr>
        <w:t>Komisije 2007/16/EZ od 19. ožujka 2007. o provedbi Direktive Vijeća 85/611/EEZ o usklađivanju zakona i drugih propisa u odnosu na subjekte za zajednička ulaganja u prenosive vrijednosne papire (</w:t>
      </w:r>
      <w:proofErr w:type="spellStart"/>
      <w:r w:rsidRPr="007053D9">
        <w:rPr>
          <w:rFonts w:ascii="Arial" w:hAnsi="Arial" w:cs="Arial"/>
          <w:sz w:val="22"/>
          <w:szCs w:val="22"/>
        </w:rPr>
        <w:t>UCITS</w:t>
      </w:r>
      <w:proofErr w:type="spellEnd"/>
      <w:r w:rsidRPr="007053D9">
        <w:rPr>
          <w:rFonts w:ascii="Arial" w:hAnsi="Arial" w:cs="Arial"/>
          <w:sz w:val="22"/>
          <w:szCs w:val="22"/>
        </w:rPr>
        <w:t>) s obzirom na razjašnjenje nekih definicija</w:t>
      </w:r>
      <w:r w:rsidR="007053D9">
        <w:rPr>
          <w:rFonts w:ascii="Arial" w:hAnsi="Arial" w:cs="Arial"/>
          <w:sz w:val="22"/>
          <w:szCs w:val="22"/>
        </w:rPr>
        <w:t>.</w:t>
      </w:r>
    </w:p>
    <w:p w14:paraId="2F555F10" w14:textId="5F13B1EC" w:rsidR="000F7325" w:rsidRDefault="000F7325" w:rsidP="000F73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D917EEC" w14:textId="73CD11F7" w:rsidR="00B46340" w:rsidRDefault="00B46340" w:rsidP="00DF3F61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</w:p>
    <w:p w14:paraId="5A65DBC8" w14:textId="3B9BA893" w:rsidR="007053D9" w:rsidRPr="00B96EEC" w:rsidRDefault="003B5D66" w:rsidP="00B96EEC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B96EEC">
        <w:rPr>
          <w:rFonts w:ascii="Arial" w:hAnsi="Arial" w:cs="Arial"/>
          <w:b w:val="0"/>
          <w:sz w:val="22"/>
          <w:szCs w:val="22"/>
        </w:rPr>
        <w:t xml:space="preserve">DIO </w:t>
      </w:r>
      <w:r w:rsidR="00157914" w:rsidRPr="00B96EEC">
        <w:rPr>
          <w:rFonts w:ascii="Arial" w:hAnsi="Arial" w:cs="Arial"/>
          <w:b w:val="0"/>
          <w:sz w:val="22"/>
          <w:szCs w:val="22"/>
        </w:rPr>
        <w:t>DRUGI</w:t>
      </w:r>
    </w:p>
    <w:p w14:paraId="015FBC34" w14:textId="5153D74B" w:rsidR="001A0A78" w:rsidRPr="00B96EEC" w:rsidRDefault="001A0A78" w:rsidP="00B96EEC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B96EEC">
        <w:rPr>
          <w:rFonts w:ascii="Arial" w:hAnsi="Arial" w:cs="Arial"/>
          <w:b w:val="0"/>
          <w:sz w:val="22"/>
          <w:szCs w:val="22"/>
        </w:rPr>
        <w:t>Uređena tržišta</w:t>
      </w:r>
    </w:p>
    <w:p w14:paraId="50C3BF93" w14:textId="77777777" w:rsidR="0094661D" w:rsidRPr="00B96EEC" w:rsidRDefault="0094661D" w:rsidP="00B96EEC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B96EEC">
        <w:rPr>
          <w:rFonts w:ascii="Arial" w:hAnsi="Arial" w:cs="Arial"/>
          <w:b w:val="0"/>
          <w:sz w:val="22"/>
          <w:szCs w:val="22"/>
        </w:rPr>
        <w:t xml:space="preserve">Članak </w:t>
      </w:r>
      <w:r w:rsidR="003B6AE1" w:rsidRPr="00B96EEC">
        <w:rPr>
          <w:rFonts w:ascii="Arial" w:hAnsi="Arial" w:cs="Arial"/>
          <w:b w:val="0"/>
          <w:sz w:val="22"/>
          <w:szCs w:val="22"/>
        </w:rPr>
        <w:t>3</w:t>
      </w:r>
      <w:r w:rsidRPr="00B96EEC">
        <w:rPr>
          <w:rFonts w:ascii="Arial" w:hAnsi="Arial" w:cs="Arial"/>
          <w:b w:val="0"/>
          <w:sz w:val="22"/>
          <w:szCs w:val="22"/>
        </w:rPr>
        <w:t>.</w:t>
      </w:r>
    </w:p>
    <w:p w14:paraId="00995C73" w14:textId="77777777" w:rsidR="00E727B0" w:rsidRPr="00E55BAA" w:rsidRDefault="00E727B0" w:rsidP="00DF3F61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</w:p>
    <w:p w14:paraId="167C51E4" w14:textId="5B727F6C" w:rsidR="00B076BE" w:rsidRPr="00E55BAA" w:rsidRDefault="00083FFD" w:rsidP="00DF3F6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Uređeno tržište </w:t>
      </w:r>
      <w:r w:rsidR="003065BE" w:rsidRPr="00E55BAA">
        <w:rPr>
          <w:rFonts w:ascii="Arial" w:hAnsi="Arial" w:cs="Arial"/>
          <w:sz w:val="22"/>
          <w:szCs w:val="22"/>
        </w:rPr>
        <w:t>u smislu</w:t>
      </w:r>
      <w:r w:rsidR="00131BDD" w:rsidRPr="00E55BAA">
        <w:rPr>
          <w:rFonts w:ascii="Arial" w:hAnsi="Arial" w:cs="Arial"/>
          <w:sz w:val="22"/>
          <w:szCs w:val="22"/>
        </w:rPr>
        <w:t xml:space="preserve"> Zakona je </w:t>
      </w:r>
      <w:r w:rsidRPr="00E55BAA">
        <w:rPr>
          <w:rFonts w:ascii="Arial" w:hAnsi="Arial" w:cs="Arial"/>
          <w:sz w:val="22"/>
          <w:szCs w:val="22"/>
        </w:rPr>
        <w:t xml:space="preserve">tržište </w:t>
      </w:r>
      <w:r w:rsidR="005B2ABE" w:rsidRPr="00E55BAA">
        <w:rPr>
          <w:rFonts w:ascii="Arial" w:hAnsi="Arial" w:cs="Arial"/>
          <w:sz w:val="22"/>
          <w:szCs w:val="22"/>
        </w:rPr>
        <w:t>koj</w:t>
      </w:r>
      <w:r w:rsidR="003065BE" w:rsidRPr="00E55BAA">
        <w:rPr>
          <w:rFonts w:ascii="Arial" w:hAnsi="Arial" w:cs="Arial"/>
          <w:sz w:val="22"/>
          <w:szCs w:val="22"/>
        </w:rPr>
        <w:t>e ispunjava uvjete za</w:t>
      </w:r>
      <w:r w:rsidR="005B2ABE" w:rsidRPr="00E55BAA">
        <w:rPr>
          <w:rFonts w:ascii="Arial" w:hAnsi="Arial" w:cs="Arial"/>
          <w:sz w:val="22"/>
          <w:szCs w:val="22"/>
        </w:rPr>
        <w:t xml:space="preserve"> uređe</w:t>
      </w:r>
      <w:r w:rsidR="003065BE" w:rsidRPr="00E55BAA">
        <w:rPr>
          <w:rFonts w:ascii="Arial" w:hAnsi="Arial" w:cs="Arial"/>
          <w:sz w:val="22"/>
          <w:szCs w:val="22"/>
        </w:rPr>
        <w:t>no</w:t>
      </w:r>
      <w:r w:rsidR="005B2ABE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>tržišt</w:t>
      </w:r>
      <w:r w:rsidR="005B2ABE" w:rsidRPr="00E55BAA">
        <w:rPr>
          <w:rFonts w:ascii="Arial" w:hAnsi="Arial" w:cs="Arial"/>
          <w:sz w:val="22"/>
          <w:szCs w:val="22"/>
        </w:rPr>
        <w:t>e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3065BE" w:rsidRPr="00E55BAA">
        <w:rPr>
          <w:rFonts w:ascii="Arial" w:hAnsi="Arial" w:cs="Arial"/>
          <w:sz w:val="22"/>
          <w:szCs w:val="22"/>
        </w:rPr>
        <w:t xml:space="preserve">u </w:t>
      </w:r>
      <w:r w:rsidR="00ED66F2" w:rsidRPr="00E55BAA">
        <w:rPr>
          <w:rFonts w:ascii="Arial" w:hAnsi="Arial" w:cs="Arial"/>
          <w:sz w:val="22"/>
          <w:szCs w:val="22"/>
        </w:rPr>
        <w:t>skladu s</w:t>
      </w:r>
      <w:r w:rsidR="003065BE" w:rsidRPr="00E55BAA">
        <w:rPr>
          <w:rFonts w:ascii="Arial" w:hAnsi="Arial" w:cs="Arial"/>
          <w:sz w:val="22"/>
          <w:szCs w:val="22"/>
        </w:rPr>
        <w:t xml:space="preserve"> odredb</w:t>
      </w:r>
      <w:r w:rsidR="00ED66F2" w:rsidRPr="00E55BAA">
        <w:rPr>
          <w:rFonts w:ascii="Arial" w:hAnsi="Arial" w:cs="Arial"/>
          <w:sz w:val="22"/>
          <w:szCs w:val="22"/>
        </w:rPr>
        <w:t>ama</w:t>
      </w:r>
      <w:r w:rsidR="003065BE" w:rsidRPr="00E55BAA">
        <w:rPr>
          <w:rFonts w:ascii="Arial" w:hAnsi="Arial" w:cs="Arial"/>
          <w:sz w:val="22"/>
          <w:szCs w:val="22"/>
        </w:rPr>
        <w:t xml:space="preserve"> zakona koji uređuje tržište </w:t>
      </w:r>
      <w:r w:rsidRPr="00E55BAA">
        <w:rPr>
          <w:rFonts w:ascii="Arial" w:hAnsi="Arial" w:cs="Arial"/>
          <w:sz w:val="22"/>
          <w:szCs w:val="22"/>
        </w:rPr>
        <w:t>kapitala</w:t>
      </w:r>
      <w:r w:rsidR="004529B6" w:rsidRPr="00E55BAA">
        <w:rPr>
          <w:rFonts w:ascii="Arial" w:hAnsi="Arial" w:cs="Arial"/>
          <w:sz w:val="22"/>
          <w:szCs w:val="22"/>
        </w:rPr>
        <w:t xml:space="preserve"> u Republici Hrvatskoj i/ili </w:t>
      </w:r>
      <w:r w:rsidR="003065BE" w:rsidRPr="00E55BAA">
        <w:rPr>
          <w:rFonts w:ascii="Arial" w:hAnsi="Arial" w:cs="Arial"/>
          <w:sz w:val="22"/>
          <w:szCs w:val="22"/>
        </w:rPr>
        <w:t xml:space="preserve">drugoj </w:t>
      </w:r>
      <w:r w:rsidR="004529B6" w:rsidRPr="00E55BAA">
        <w:rPr>
          <w:rFonts w:ascii="Arial" w:hAnsi="Arial" w:cs="Arial"/>
          <w:sz w:val="22"/>
          <w:szCs w:val="22"/>
        </w:rPr>
        <w:t>državi članici</w:t>
      </w:r>
      <w:r w:rsidR="00131BDD" w:rsidRPr="00E55BAA">
        <w:rPr>
          <w:rFonts w:ascii="Arial" w:hAnsi="Arial" w:cs="Arial"/>
          <w:sz w:val="22"/>
          <w:szCs w:val="22"/>
        </w:rPr>
        <w:t>.</w:t>
      </w:r>
    </w:p>
    <w:p w14:paraId="3A5E4E74" w14:textId="77777777" w:rsidR="001F0D2F" w:rsidRPr="00E55BAA" w:rsidRDefault="001F0D2F" w:rsidP="00DF3F6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4EF48714" w14:textId="42CEFA98" w:rsidR="001F0D2F" w:rsidRPr="00E55BAA" w:rsidRDefault="001F0D2F" w:rsidP="00DF3F6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S</w:t>
      </w:r>
      <w:r w:rsidR="00F9440B" w:rsidRPr="00E55BAA">
        <w:rPr>
          <w:rFonts w:ascii="Arial" w:hAnsi="Arial" w:cs="Arial"/>
          <w:sz w:val="22"/>
          <w:szCs w:val="22"/>
        </w:rPr>
        <w:t>lužbena kotacija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DB0096" w:rsidRPr="00E55BAA">
        <w:rPr>
          <w:rFonts w:ascii="Arial" w:hAnsi="Arial" w:cs="Arial"/>
          <w:sz w:val="22"/>
          <w:szCs w:val="22"/>
        </w:rPr>
        <w:t>u smislu Zakona</w:t>
      </w:r>
      <w:r w:rsidR="00F9440B" w:rsidRPr="00E55BAA">
        <w:rPr>
          <w:rFonts w:ascii="Arial" w:hAnsi="Arial" w:cs="Arial"/>
          <w:sz w:val="22"/>
          <w:szCs w:val="22"/>
        </w:rPr>
        <w:t xml:space="preserve"> je kotacija burze</w:t>
      </w:r>
      <w:r w:rsidRPr="00E55BAA">
        <w:rPr>
          <w:rFonts w:ascii="Arial" w:hAnsi="Arial" w:cs="Arial"/>
          <w:sz w:val="22"/>
          <w:szCs w:val="22"/>
        </w:rPr>
        <w:t xml:space="preserve"> sa sjedištem</w:t>
      </w:r>
      <w:r w:rsidR="00F9440B" w:rsidRPr="00E55BAA">
        <w:rPr>
          <w:rFonts w:ascii="Arial" w:hAnsi="Arial" w:cs="Arial"/>
          <w:sz w:val="22"/>
          <w:szCs w:val="22"/>
        </w:rPr>
        <w:t xml:space="preserve"> u trećoj državi koja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ED66F2" w:rsidRPr="00E55BAA">
        <w:rPr>
          <w:rFonts w:ascii="Arial" w:hAnsi="Arial" w:cs="Arial"/>
          <w:sz w:val="22"/>
          <w:szCs w:val="22"/>
        </w:rPr>
        <w:t xml:space="preserve">minimalno </w:t>
      </w:r>
      <w:r w:rsidR="00F9440B" w:rsidRPr="00E55BAA">
        <w:rPr>
          <w:rFonts w:ascii="Arial" w:hAnsi="Arial" w:cs="Arial"/>
          <w:sz w:val="22"/>
          <w:szCs w:val="22"/>
        </w:rPr>
        <w:t>ispunjava</w:t>
      </w:r>
      <w:r w:rsidRPr="00E55BAA">
        <w:rPr>
          <w:rFonts w:ascii="Arial" w:hAnsi="Arial" w:cs="Arial"/>
          <w:sz w:val="22"/>
          <w:szCs w:val="22"/>
        </w:rPr>
        <w:t xml:space="preserve"> uvjete</w:t>
      </w:r>
      <w:r w:rsidR="00A13166" w:rsidRPr="00E55BAA">
        <w:rPr>
          <w:rFonts w:ascii="Arial" w:hAnsi="Arial" w:cs="Arial"/>
          <w:sz w:val="22"/>
          <w:szCs w:val="22"/>
        </w:rPr>
        <w:t xml:space="preserve"> za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F9440B" w:rsidRPr="00E55BAA">
        <w:rPr>
          <w:rFonts w:ascii="Arial" w:hAnsi="Arial" w:cs="Arial"/>
          <w:sz w:val="22"/>
          <w:szCs w:val="22"/>
        </w:rPr>
        <w:t>uređeno tržište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ED66F2" w:rsidRPr="00E55BAA">
        <w:rPr>
          <w:rFonts w:ascii="Arial" w:hAnsi="Arial" w:cs="Arial"/>
          <w:sz w:val="22"/>
          <w:szCs w:val="22"/>
        </w:rPr>
        <w:t xml:space="preserve">propisane </w:t>
      </w:r>
      <w:r w:rsidRPr="00E55BAA">
        <w:rPr>
          <w:rFonts w:ascii="Arial" w:hAnsi="Arial" w:cs="Arial"/>
          <w:sz w:val="22"/>
          <w:szCs w:val="22"/>
        </w:rPr>
        <w:t>zakon</w:t>
      </w:r>
      <w:r w:rsidR="00ED66F2" w:rsidRPr="00E55BAA">
        <w:rPr>
          <w:rFonts w:ascii="Arial" w:hAnsi="Arial" w:cs="Arial"/>
          <w:sz w:val="22"/>
          <w:szCs w:val="22"/>
        </w:rPr>
        <w:t>om</w:t>
      </w:r>
      <w:r w:rsidRPr="00E55BAA">
        <w:rPr>
          <w:rFonts w:ascii="Arial" w:hAnsi="Arial" w:cs="Arial"/>
          <w:sz w:val="22"/>
          <w:szCs w:val="22"/>
        </w:rPr>
        <w:t xml:space="preserve"> koji uređuje tržište kapitala u Republici Hrvatskoj i/ili </w:t>
      </w:r>
      <w:r w:rsidR="002F2FC3" w:rsidRPr="00E55BAA">
        <w:rPr>
          <w:rFonts w:ascii="Arial" w:hAnsi="Arial" w:cs="Arial"/>
          <w:sz w:val="22"/>
          <w:szCs w:val="22"/>
        </w:rPr>
        <w:t xml:space="preserve">drugoj </w:t>
      </w:r>
      <w:r w:rsidRPr="00E55BAA">
        <w:rPr>
          <w:rFonts w:ascii="Arial" w:hAnsi="Arial" w:cs="Arial"/>
          <w:sz w:val="22"/>
          <w:szCs w:val="22"/>
        </w:rPr>
        <w:t>državi članici.</w:t>
      </w:r>
    </w:p>
    <w:p w14:paraId="15EEDEA3" w14:textId="77777777" w:rsidR="001F0D2F" w:rsidRPr="00E55BAA" w:rsidRDefault="001F0D2F" w:rsidP="00DF3F6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DE630E" w14:textId="46804F5D" w:rsidR="00FF6B55" w:rsidRPr="00E55BAA" w:rsidRDefault="00EA4882" w:rsidP="00DF3F6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Druga</w:t>
      </w:r>
      <w:r w:rsidR="00131BDD" w:rsidRPr="00E55BAA">
        <w:rPr>
          <w:rFonts w:ascii="Arial" w:hAnsi="Arial" w:cs="Arial"/>
          <w:sz w:val="22"/>
          <w:szCs w:val="22"/>
        </w:rPr>
        <w:t xml:space="preserve"> uređe</w:t>
      </w:r>
      <w:r w:rsidRPr="00E55BAA">
        <w:rPr>
          <w:rFonts w:ascii="Arial" w:hAnsi="Arial" w:cs="Arial"/>
          <w:sz w:val="22"/>
          <w:szCs w:val="22"/>
        </w:rPr>
        <w:t>na tržišta</w:t>
      </w:r>
      <w:r w:rsidR="008B4FDB" w:rsidRPr="00E55BAA">
        <w:rPr>
          <w:rFonts w:ascii="Arial" w:hAnsi="Arial" w:cs="Arial"/>
          <w:sz w:val="22"/>
          <w:szCs w:val="22"/>
        </w:rPr>
        <w:t xml:space="preserve"> </w:t>
      </w:r>
      <w:r w:rsidR="00DB0096" w:rsidRPr="00E55BAA">
        <w:rPr>
          <w:rFonts w:ascii="Arial" w:hAnsi="Arial" w:cs="Arial"/>
          <w:sz w:val="22"/>
          <w:szCs w:val="22"/>
        </w:rPr>
        <w:t>u smislu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131BDD" w:rsidRPr="00E55BAA">
        <w:rPr>
          <w:rFonts w:ascii="Arial" w:hAnsi="Arial" w:cs="Arial"/>
          <w:sz w:val="22"/>
          <w:szCs w:val="22"/>
        </w:rPr>
        <w:t xml:space="preserve">Zakona </w:t>
      </w:r>
      <w:r w:rsidRPr="00E55BAA">
        <w:rPr>
          <w:rFonts w:ascii="Arial" w:hAnsi="Arial" w:cs="Arial"/>
          <w:sz w:val="22"/>
          <w:szCs w:val="22"/>
        </w:rPr>
        <w:t>su ona koja ispunjavaju sljedeće uvjete:</w:t>
      </w:r>
    </w:p>
    <w:p w14:paraId="3B8AE953" w14:textId="77777777" w:rsidR="00CC4081" w:rsidRPr="00E55BAA" w:rsidRDefault="00B241CF" w:rsidP="00DF3F6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u vezi s </w:t>
      </w:r>
      <w:r w:rsidR="00EA4882" w:rsidRPr="00E55BAA">
        <w:rPr>
          <w:rFonts w:ascii="Arial" w:hAnsi="Arial" w:cs="Arial"/>
          <w:sz w:val="22"/>
          <w:szCs w:val="22"/>
        </w:rPr>
        <w:t>njima</w:t>
      </w:r>
      <w:r w:rsidRPr="00E55BAA">
        <w:rPr>
          <w:rFonts w:ascii="Arial" w:hAnsi="Arial" w:cs="Arial"/>
          <w:sz w:val="22"/>
          <w:szCs w:val="22"/>
        </w:rPr>
        <w:t xml:space="preserve"> društvo za upravljanje ima propisane sve potrebne procedure i postupke koji osiguravaju postupanje pažnjom dobrog stručnjaka </w:t>
      </w:r>
      <w:r w:rsidR="00B2449F" w:rsidRPr="00E55BAA">
        <w:rPr>
          <w:rFonts w:ascii="Arial" w:hAnsi="Arial" w:cs="Arial"/>
          <w:sz w:val="22"/>
          <w:szCs w:val="22"/>
        </w:rPr>
        <w:t xml:space="preserve">u skladu s </w:t>
      </w:r>
      <w:r w:rsidRPr="00E55BAA">
        <w:rPr>
          <w:rFonts w:ascii="Arial" w:hAnsi="Arial" w:cs="Arial"/>
          <w:sz w:val="22"/>
          <w:szCs w:val="22"/>
        </w:rPr>
        <w:t>pravil</w:t>
      </w:r>
      <w:r w:rsidR="00B2449F" w:rsidRPr="00E55BAA">
        <w:rPr>
          <w:rFonts w:ascii="Arial" w:hAnsi="Arial" w:cs="Arial"/>
          <w:sz w:val="22"/>
          <w:szCs w:val="22"/>
        </w:rPr>
        <w:t>ima</w:t>
      </w:r>
      <w:r w:rsidRPr="00E55BAA">
        <w:rPr>
          <w:rFonts w:ascii="Arial" w:hAnsi="Arial" w:cs="Arial"/>
          <w:sz w:val="22"/>
          <w:szCs w:val="22"/>
        </w:rPr>
        <w:t xml:space="preserve"> ponašanja </w:t>
      </w:r>
      <w:r w:rsidR="00B2449F" w:rsidRPr="00E55BAA">
        <w:rPr>
          <w:rFonts w:ascii="Arial" w:hAnsi="Arial" w:cs="Arial"/>
          <w:sz w:val="22"/>
          <w:szCs w:val="22"/>
        </w:rPr>
        <w:t>propisanim Zakonom i pravilnikom koji uređuje organizacijske zahtjeve društva za upravljanje,</w:t>
      </w:r>
    </w:p>
    <w:p w14:paraId="5B25FBCE" w14:textId="77777777" w:rsidR="00E408A9" w:rsidRPr="00E55BAA" w:rsidRDefault="00B2449F" w:rsidP="00DF3F6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u vezi s </w:t>
      </w:r>
      <w:r w:rsidR="00EA4882" w:rsidRPr="00E55BAA">
        <w:rPr>
          <w:rFonts w:ascii="Arial" w:hAnsi="Arial" w:cs="Arial"/>
          <w:sz w:val="22"/>
          <w:szCs w:val="22"/>
        </w:rPr>
        <w:t>njima</w:t>
      </w:r>
      <w:r w:rsidRPr="00E55BAA">
        <w:rPr>
          <w:rFonts w:ascii="Arial" w:hAnsi="Arial" w:cs="Arial"/>
          <w:sz w:val="22"/>
          <w:szCs w:val="22"/>
        </w:rPr>
        <w:t xml:space="preserve"> depozitar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 ima propisane sve potrebne procedure i postupke za namiru vrijednosnih papira</w:t>
      </w:r>
      <w:r w:rsidR="00EA4882" w:rsidRPr="00E55BAA">
        <w:rPr>
          <w:rFonts w:ascii="Arial" w:hAnsi="Arial" w:cs="Arial"/>
          <w:sz w:val="22"/>
          <w:szCs w:val="22"/>
        </w:rPr>
        <w:t>,</w:t>
      </w:r>
    </w:p>
    <w:p w14:paraId="5B39E1D4" w14:textId="77777777" w:rsidR="00EA4882" w:rsidRPr="00E55BAA" w:rsidRDefault="00E408A9" w:rsidP="00DF3F6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imaju odobrenje, regulirana su i </w:t>
      </w:r>
      <w:r w:rsidR="00EA4882" w:rsidRPr="00E55BAA">
        <w:rPr>
          <w:rFonts w:ascii="Arial" w:hAnsi="Arial" w:cs="Arial"/>
          <w:sz w:val="22"/>
          <w:szCs w:val="22"/>
        </w:rPr>
        <w:t xml:space="preserve">predmet su nadzora od strane nadležnih tijela </w:t>
      </w:r>
      <w:r w:rsidR="00FC261D" w:rsidRPr="00E55BAA">
        <w:rPr>
          <w:rFonts w:ascii="Arial" w:hAnsi="Arial" w:cs="Arial"/>
          <w:sz w:val="22"/>
          <w:szCs w:val="22"/>
        </w:rPr>
        <w:t xml:space="preserve">sukladno nacionalnom zakonodavstvu država u kojima imaju sjedište, </w:t>
      </w:r>
    </w:p>
    <w:p w14:paraId="5699739B" w14:textId="77777777" w:rsidR="00E408A9" w:rsidRPr="00E55BAA" w:rsidRDefault="00E408A9" w:rsidP="00DF3F6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lastRenderedPageBreak/>
        <w:t>njihovi članovi i operater središnjeg registra nematerijaliziranih financijskih instrumenata su predmet nadzora od strane nadležnih tijela</w:t>
      </w:r>
      <w:r w:rsidR="00810F6A" w:rsidRPr="00E55BAA">
        <w:rPr>
          <w:rFonts w:ascii="Arial" w:hAnsi="Arial" w:cs="Arial"/>
          <w:sz w:val="22"/>
          <w:szCs w:val="22"/>
        </w:rPr>
        <w:t xml:space="preserve"> sukladno nacionalnom zakonodavstvu država u kojima imaju </w:t>
      </w:r>
      <w:r w:rsidR="0078538F" w:rsidRPr="00E55BAA">
        <w:rPr>
          <w:rFonts w:ascii="Arial" w:hAnsi="Arial" w:cs="Arial"/>
          <w:sz w:val="22"/>
          <w:szCs w:val="22"/>
        </w:rPr>
        <w:t>sjedište</w:t>
      </w:r>
      <w:r w:rsidRPr="00E55BAA">
        <w:rPr>
          <w:rFonts w:ascii="Arial" w:hAnsi="Arial" w:cs="Arial"/>
          <w:sz w:val="22"/>
          <w:szCs w:val="22"/>
        </w:rPr>
        <w:t>,</w:t>
      </w:r>
    </w:p>
    <w:p w14:paraId="57F4E93C" w14:textId="77777777" w:rsidR="00E408A9" w:rsidRPr="00E55BAA" w:rsidRDefault="00353C03" w:rsidP="00DF3F6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namira</w:t>
      </w:r>
      <w:r w:rsidR="00E408A9" w:rsidRPr="00E55BAA">
        <w:rPr>
          <w:rFonts w:ascii="Arial" w:hAnsi="Arial" w:cs="Arial"/>
          <w:sz w:val="22"/>
          <w:szCs w:val="22"/>
        </w:rPr>
        <w:t xml:space="preserve"> transakcija</w:t>
      </w:r>
      <w:r w:rsidRPr="00E55BAA">
        <w:rPr>
          <w:rFonts w:ascii="Arial" w:hAnsi="Arial" w:cs="Arial"/>
          <w:sz w:val="22"/>
          <w:szCs w:val="22"/>
        </w:rPr>
        <w:t xml:space="preserve"> izvršava se u prihvatljivom vremenskom roku</w:t>
      </w:r>
      <w:r w:rsidR="00E408A9" w:rsidRPr="00E55BAA">
        <w:rPr>
          <w:rFonts w:ascii="Arial" w:hAnsi="Arial" w:cs="Arial"/>
          <w:sz w:val="22"/>
          <w:szCs w:val="22"/>
        </w:rPr>
        <w:t>,</w:t>
      </w:r>
    </w:p>
    <w:p w14:paraId="69A47A29" w14:textId="77777777" w:rsidR="00353C03" w:rsidRPr="00E55BAA" w:rsidRDefault="00353C03" w:rsidP="00DF3F6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na njima je dozvoljeno </w:t>
      </w:r>
      <w:r w:rsidR="007122CC" w:rsidRPr="00E55BAA">
        <w:rPr>
          <w:rFonts w:ascii="Arial" w:hAnsi="Arial" w:cs="Arial"/>
          <w:sz w:val="22"/>
          <w:szCs w:val="22"/>
        </w:rPr>
        <w:t xml:space="preserve">ulagati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</w:t>
      </w:r>
      <w:r w:rsidR="00846EF3" w:rsidRPr="00E55BAA">
        <w:rPr>
          <w:rFonts w:ascii="Arial" w:hAnsi="Arial" w:cs="Arial"/>
          <w:sz w:val="22"/>
          <w:szCs w:val="22"/>
        </w:rPr>
        <w:t xml:space="preserve">fondu </w:t>
      </w:r>
      <w:r w:rsidR="003346D0" w:rsidRPr="00E55BAA">
        <w:rPr>
          <w:rFonts w:ascii="Arial" w:hAnsi="Arial" w:cs="Arial"/>
          <w:sz w:val="22"/>
          <w:szCs w:val="22"/>
        </w:rPr>
        <w:t xml:space="preserve">odnosno </w:t>
      </w:r>
      <w:r w:rsidR="00EB169A" w:rsidRPr="00E55BAA">
        <w:rPr>
          <w:rFonts w:ascii="Arial" w:hAnsi="Arial" w:cs="Arial"/>
          <w:sz w:val="22"/>
          <w:szCs w:val="22"/>
        </w:rPr>
        <w:t>otvoren</w:t>
      </w:r>
      <w:r w:rsidR="00846EF3" w:rsidRPr="00E55BAA">
        <w:rPr>
          <w:rFonts w:ascii="Arial" w:hAnsi="Arial" w:cs="Arial"/>
          <w:sz w:val="22"/>
          <w:szCs w:val="22"/>
        </w:rPr>
        <w:t>om</w:t>
      </w:r>
      <w:r w:rsidR="00EB169A" w:rsidRPr="00E55BAA">
        <w:rPr>
          <w:rFonts w:ascii="Arial" w:hAnsi="Arial" w:cs="Arial"/>
          <w:sz w:val="22"/>
          <w:szCs w:val="22"/>
        </w:rPr>
        <w:t xml:space="preserve"> investicijsk</w:t>
      </w:r>
      <w:r w:rsidR="00846EF3" w:rsidRPr="00E55BAA">
        <w:rPr>
          <w:rFonts w:ascii="Arial" w:hAnsi="Arial" w:cs="Arial"/>
          <w:sz w:val="22"/>
          <w:szCs w:val="22"/>
        </w:rPr>
        <w:t>om</w:t>
      </w:r>
      <w:r w:rsidR="00EB169A" w:rsidRPr="00E55BAA">
        <w:rPr>
          <w:rFonts w:ascii="Arial" w:hAnsi="Arial" w:cs="Arial"/>
          <w:sz w:val="22"/>
          <w:szCs w:val="22"/>
        </w:rPr>
        <w:t xml:space="preserve"> </w:t>
      </w:r>
      <w:r w:rsidR="003346D0" w:rsidRPr="00E55BAA">
        <w:rPr>
          <w:rFonts w:ascii="Arial" w:hAnsi="Arial" w:cs="Arial"/>
          <w:sz w:val="22"/>
          <w:szCs w:val="22"/>
        </w:rPr>
        <w:t>fond</w:t>
      </w:r>
      <w:r w:rsidR="00846EF3" w:rsidRPr="00E55BAA">
        <w:rPr>
          <w:rFonts w:ascii="Arial" w:hAnsi="Arial" w:cs="Arial"/>
          <w:sz w:val="22"/>
          <w:szCs w:val="22"/>
        </w:rPr>
        <w:t>u</w:t>
      </w:r>
      <w:r w:rsidR="00EB169A" w:rsidRPr="00E55BAA">
        <w:rPr>
          <w:rFonts w:ascii="Arial" w:hAnsi="Arial" w:cs="Arial"/>
          <w:sz w:val="22"/>
          <w:szCs w:val="22"/>
        </w:rPr>
        <w:t xml:space="preserve"> s javnom ponudom </w:t>
      </w:r>
      <w:r w:rsidRPr="00E55BAA">
        <w:rPr>
          <w:rFonts w:ascii="Arial" w:hAnsi="Arial" w:cs="Arial"/>
          <w:sz w:val="22"/>
          <w:szCs w:val="22"/>
        </w:rPr>
        <w:t>iz države sjedišta tog</w:t>
      </w:r>
      <w:r w:rsidR="00ED2C00" w:rsidRPr="00E55BAA">
        <w:rPr>
          <w:rFonts w:ascii="Arial" w:hAnsi="Arial" w:cs="Arial"/>
          <w:sz w:val="22"/>
          <w:szCs w:val="22"/>
        </w:rPr>
        <w:t>a</w:t>
      </w:r>
      <w:r w:rsidRPr="00E55BAA">
        <w:rPr>
          <w:rFonts w:ascii="Arial" w:hAnsi="Arial" w:cs="Arial"/>
          <w:sz w:val="22"/>
          <w:szCs w:val="22"/>
        </w:rPr>
        <w:t xml:space="preserve"> tržišta</w:t>
      </w:r>
      <w:r w:rsidR="00ED2C00" w:rsidRPr="00E55BAA">
        <w:rPr>
          <w:rFonts w:ascii="Arial" w:hAnsi="Arial" w:cs="Arial"/>
          <w:sz w:val="22"/>
          <w:szCs w:val="22"/>
        </w:rPr>
        <w:t>,</w:t>
      </w:r>
    </w:p>
    <w:p w14:paraId="65EF6F27" w14:textId="77777777" w:rsidR="00E408A9" w:rsidRPr="00E55BAA" w:rsidRDefault="00E677BB" w:rsidP="00DF3F6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redovito posluju odnosno </w:t>
      </w:r>
      <w:r w:rsidR="00353C03" w:rsidRPr="00E55BAA">
        <w:rPr>
          <w:rFonts w:ascii="Arial" w:hAnsi="Arial" w:cs="Arial"/>
          <w:sz w:val="22"/>
          <w:szCs w:val="22"/>
        </w:rPr>
        <w:t xml:space="preserve">na </w:t>
      </w:r>
      <w:r w:rsidRPr="00E55BAA">
        <w:rPr>
          <w:rFonts w:ascii="Arial" w:hAnsi="Arial" w:cs="Arial"/>
          <w:sz w:val="22"/>
          <w:szCs w:val="22"/>
        </w:rPr>
        <w:t>njima</w:t>
      </w:r>
      <w:r w:rsidR="00353C03" w:rsidRPr="00E55BAA">
        <w:rPr>
          <w:rFonts w:ascii="Arial" w:hAnsi="Arial" w:cs="Arial"/>
          <w:sz w:val="22"/>
          <w:szCs w:val="22"/>
        </w:rPr>
        <w:t xml:space="preserve"> se kontinuirano u propisanom vremenu odvija trgovanje</w:t>
      </w:r>
      <w:r w:rsidR="00ED2C00" w:rsidRPr="00E55BAA">
        <w:rPr>
          <w:rFonts w:ascii="Arial" w:hAnsi="Arial" w:cs="Arial"/>
          <w:sz w:val="22"/>
          <w:szCs w:val="22"/>
        </w:rPr>
        <w:t>,</w:t>
      </w:r>
    </w:p>
    <w:p w14:paraId="2D881977" w14:textId="77777777" w:rsidR="00CF7599" w:rsidRPr="00E55BAA" w:rsidRDefault="00CF7599" w:rsidP="00DF3F6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zadovoljava</w:t>
      </w:r>
      <w:r w:rsidR="00E677BB" w:rsidRPr="00E55BAA">
        <w:rPr>
          <w:rFonts w:ascii="Arial" w:hAnsi="Arial" w:cs="Arial"/>
          <w:sz w:val="22"/>
          <w:szCs w:val="22"/>
        </w:rPr>
        <w:t>ju</w:t>
      </w:r>
      <w:r w:rsidRPr="00E55BAA">
        <w:rPr>
          <w:rFonts w:ascii="Arial" w:hAnsi="Arial" w:cs="Arial"/>
          <w:sz w:val="22"/>
          <w:szCs w:val="22"/>
        </w:rPr>
        <w:t xml:space="preserve"> uvjete likvidnosti na tržištu uzimajući u obzir broj sudionika i mogućnost kontinuiranog utvrđivanja fer cijena financijskih instrumenata kojima se na </w:t>
      </w:r>
      <w:r w:rsidR="00E677BB" w:rsidRPr="00E55BAA">
        <w:rPr>
          <w:rFonts w:ascii="Arial" w:hAnsi="Arial" w:cs="Arial"/>
          <w:sz w:val="22"/>
          <w:szCs w:val="22"/>
        </w:rPr>
        <w:t>njima</w:t>
      </w:r>
      <w:r w:rsidRPr="00E55BAA">
        <w:rPr>
          <w:rFonts w:ascii="Arial" w:hAnsi="Arial" w:cs="Arial"/>
          <w:sz w:val="22"/>
          <w:szCs w:val="22"/>
        </w:rPr>
        <w:t xml:space="preserve"> trguje,</w:t>
      </w:r>
    </w:p>
    <w:p w14:paraId="5945AC17" w14:textId="77777777" w:rsidR="00E677BB" w:rsidRPr="00E55BAA" w:rsidRDefault="00E677BB" w:rsidP="00DF3F6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otvorena su za javnost</w:t>
      </w:r>
      <w:r w:rsidR="00651644" w:rsidRPr="00E55BAA">
        <w:rPr>
          <w:rFonts w:ascii="Arial" w:hAnsi="Arial" w:cs="Arial"/>
          <w:sz w:val="22"/>
          <w:szCs w:val="22"/>
        </w:rPr>
        <w:t>.</w:t>
      </w:r>
    </w:p>
    <w:p w14:paraId="5D1D2EE6" w14:textId="40DFA688" w:rsidR="007053D9" w:rsidRDefault="007053D9" w:rsidP="003B5D6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262C1165" w14:textId="44490313" w:rsidR="00A75C99" w:rsidRPr="00B96EEC" w:rsidRDefault="003B5D66" w:rsidP="00B96EEC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B96EEC">
        <w:rPr>
          <w:rFonts w:ascii="Arial" w:hAnsi="Arial" w:cs="Arial"/>
          <w:b w:val="0"/>
          <w:sz w:val="22"/>
          <w:szCs w:val="22"/>
        </w:rPr>
        <w:t xml:space="preserve">DIO </w:t>
      </w:r>
      <w:r w:rsidR="00157914" w:rsidRPr="00B96EEC">
        <w:rPr>
          <w:rFonts w:ascii="Arial" w:hAnsi="Arial" w:cs="Arial"/>
          <w:b w:val="0"/>
          <w:sz w:val="22"/>
          <w:szCs w:val="22"/>
        </w:rPr>
        <w:t>TREĆI</w:t>
      </w:r>
    </w:p>
    <w:p w14:paraId="403EC9C9" w14:textId="77777777" w:rsidR="007A627B" w:rsidRPr="00B96EEC" w:rsidRDefault="003E6544" w:rsidP="00B96EEC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B96EEC">
        <w:rPr>
          <w:rFonts w:ascii="Arial" w:hAnsi="Arial" w:cs="Arial"/>
          <w:b w:val="0"/>
          <w:sz w:val="22"/>
          <w:szCs w:val="22"/>
        </w:rPr>
        <w:t>Dozvoljena</w:t>
      </w:r>
      <w:r w:rsidR="008D407B" w:rsidRPr="00B96EEC">
        <w:rPr>
          <w:rFonts w:ascii="Arial" w:hAnsi="Arial" w:cs="Arial"/>
          <w:b w:val="0"/>
          <w:sz w:val="22"/>
          <w:szCs w:val="22"/>
        </w:rPr>
        <w:t xml:space="preserve"> ulaganja </w:t>
      </w:r>
      <w:proofErr w:type="spellStart"/>
      <w:r w:rsidR="008D407B" w:rsidRPr="00B96EEC">
        <w:rPr>
          <w:rFonts w:ascii="Arial" w:hAnsi="Arial" w:cs="Arial"/>
          <w:b w:val="0"/>
          <w:sz w:val="22"/>
          <w:szCs w:val="22"/>
        </w:rPr>
        <w:t>UCITS</w:t>
      </w:r>
      <w:proofErr w:type="spellEnd"/>
      <w:r w:rsidR="008D407B" w:rsidRPr="00B96EEC">
        <w:rPr>
          <w:rFonts w:ascii="Arial" w:hAnsi="Arial" w:cs="Arial"/>
          <w:b w:val="0"/>
          <w:sz w:val="22"/>
          <w:szCs w:val="22"/>
        </w:rPr>
        <w:t xml:space="preserve"> fonda</w:t>
      </w:r>
    </w:p>
    <w:p w14:paraId="1C21F57E" w14:textId="0C8958DA" w:rsidR="007053D9" w:rsidRPr="00203950" w:rsidRDefault="007053D9" w:rsidP="00203950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B96EEC">
        <w:rPr>
          <w:rFonts w:ascii="Arial" w:hAnsi="Arial" w:cs="Arial"/>
          <w:b w:val="0"/>
          <w:sz w:val="22"/>
          <w:szCs w:val="22"/>
        </w:rPr>
        <w:t xml:space="preserve">Članak 4. </w:t>
      </w:r>
    </w:p>
    <w:p w14:paraId="36DD2CE3" w14:textId="62891859" w:rsidR="007053D9" w:rsidRDefault="003E6544" w:rsidP="007053D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7053D9" w:rsidRPr="00E55BAA">
        <w:rPr>
          <w:rFonts w:ascii="Arial" w:hAnsi="Arial" w:cs="Arial"/>
          <w:sz w:val="22"/>
          <w:szCs w:val="22"/>
        </w:rPr>
        <w:t xml:space="preserve">Društvo za upravljanje dužno se prilikom upravljanja imovinom </w:t>
      </w:r>
      <w:proofErr w:type="spellStart"/>
      <w:r w:rsidR="007053D9" w:rsidRPr="00E55BAA">
        <w:rPr>
          <w:rFonts w:ascii="Arial" w:hAnsi="Arial" w:cs="Arial"/>
          <w:sz w:val="22"/>
          <w:szCs w:val="22"/>
        </w:rPr>
        <w:t>UCITS</w:t>
      </w:r>
      <w:proofErr w:type="spellEnd"/>
      <w:r w:rsidR="007053D9" w:rsidRPr="00E55BAA">
        <w:rPr>
          <w:rFonts w:ascii="Arial" w:hAnsi="Arial" w:cs="Arial"/>
          <w:sz w:val="22"/>
          <w:szCs w:val="22"/>
        </w:rPr>
        <w:t xml:space="preserve"> fonda pridržavati svih odredbi prospekta predmetnog </w:t>
      </w:r>
      <w:proofErr w:type="spellStart"/>
      <w:r w:rsidR="007053D9" w:rsidRPr="00E55BAA">
        <w:rPr>
          <w:rFonts w:ascii="Arial" w:hAnsi="Arial" w:cs="Arial"/>
          <w:sz w:val="22"/>
          <w:szCs w:val="22"/>
        </w:rPr>
        <w:t>UCITS</w:t>
      </w:r>
      <w:proofErr w:type="spellEnd"/>
      <w:r w:rsidR="007053D9" w:rsidRPr="00E55BAA">
        <w:rPr>
          <w:rFonts w:ascii="Arial" w:hAnsi="Arial" w:cs="Arial"/>
          <w:sz w:val="22"/>
          <w:szCs w:val="22"/>
        </w:rPr>
        <w:t xml:space="preserve"> fonda koje se odnose na vrste imovine u koje je </w:t>
      </w:r>
      <w:r>
        <w:rPr>
          <w:rFonts w:ascii="Arial" w:hAnsi="Arial" w:cs="Arial"/>
          <w:sz w:val="22"/>
          <w:szCs w:val="22"/>
        </w:rPr>
        <w:t>dozvoljeno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7053D9" w:rsidRPr="00E55BAA">
        <w:rPr>
          <w:rFonts w:ascii="Arial" w:hAnsi="Arial" w:cs="Arial"/>
          <w:sz w:val="22"/>
          <w:szCs w:val="22"/>
        </w:rPr>
        <w:t xml:space="preserve">ulagati, </w:t>
      </w:r>
      <w:r w:rsidR="007053D9">
        <w:rPr>
          <w:rFonts w:ascii="Arial" w:hAnsi="Arial" w:cs="Arial"/>
          <w:sz w:val="22"/>
          <w:szCs w:val="22"/>
        </w:rPr>
        <w:t xml:space="preserve">korištenje </w:t>
      </w:r>
      <w:r w:rsidR="007053D9" w:rsidRPr="00E55BAA">
        <w:rPr>
          <w:rFonts w:ascii="Arial" w:hAnsi="Arial" w:cs="Arial"/>
          <w:sz w:val="22"/>
          <w:szCs w:val="22"/>
        </w:rPr>
        <w:t>tehnik</w:t>
      </w:r>
      <w:r w:rsidR="007053D9">
        <w:rPr>
          <w:rFonts w:ascii="Arial" w:hAnsi="Arial" w:cs="Arial"/>
          <w:sz w:val="22"/>
          <w:szCs w:val="22"/>
        </w:rPr>
        <w:t>a</w:t>
      </w:r>
      <w:r w:rsidR="007053D9" w:rsidRPr="00E55BAA">
        <w:rPr>
          <w:rFonts w:ascii="Arial" w:hAnsi="Arial" w:cs="Arial"/>
          <w:sz w:val="22"/>
          <w:szCs w:val="22"/>
        </w:rPr>
        <w:t xml:space="preserve"> i instrumen</w:t>
      </w:r>
      <w:r w:rsidR="007053D9">
        <w:rPr>
          <w:rFonts w:ascii="Arial" w:hAnsi="Arial" w:cs="Arial"/>
          <w:sz w:val="22"/>
          <w:szCs w:val="22"/>
        </w:rPr>
        <w:t>ata</w:t>
      </w:r>
      <w:r w:rsidR="007053D9" w:rsidRPr="00E55BAA">
        <w:rPr>
          <w:rFonts w:ascii="Arial" w:hAnsi="Arial" w:cs="Arial"/>
          <w:sz w:val="22"/>
          <w:szCs w:val="22"/>
        </w:rPr>
        <w:t xml:space="preserve"> za efikasno upravljanje imovinom </w:t>
      </w:r>
      <w:proofErr w:type="spellStart"/>
      <w:r w:rsidR="007053D9" w:rsidRPr="00E55BAA">
        <w:rPr>
          <w:rFonts w:ascii="Arial" w:hAnsi="Arial" w:cs="Arial"/>
          <w:sz w:val="22"/>
          <w:szCs w:val="22"/>
        </w:rPr>
        <w:t>UCITS</w:t>
      </w:r>
      <w:proofErr w:type="spellEnd"/>
      <w:r w:rsidR="007053D9" w:rsidRPr="00E55BAA">
        <w:rPr>
          <w:rFonts w:ascii="Arial" w:hAnsi="Arial" w:cs="Arial"/>
          <w:sz w:val="22"/>
          <w:szCs w:val="22"/>
        </w:rPr>
        <w:t xml:space="preserve"> fonda i na ograničenja ulaganja </w:t>
      </w:r>
      <w:proofErr w:type="spellStart"/>
      <w:r w:rsidR="007053D9" w:rsidRPr="00E55BAA">
        <w:rPr>
          <w:rFonts w:ascii="Arial" w:hAnsi="Arial" w:cs="Arial"/>
          <w:sz w:val="22"/>
          <w:szCs w:val="22"/>
        </w:rPr>
        <w:t>UCITS</w:t>
      </w:r>
      <w:proofErr w:type="spellEnd"/>
      <w:r w:rsidR="007053D9" w:rsidRPr="00E55BAA">
        <w:rPr>
          <w:rFonts w:ascii="Arial" w:hAnsi="Arial" w:cs="Arial"/>
          <w:sz w:val="22"/>
          <w:szCs w:val="22"/>
        </w:rPr>
        <w:t xml:space="preserve"> fonda. </w:t>
      </w:r>
    </w:p>
    <w:p w14:paraId="65ABE9FA" w14:textId="1BE27360" w:rsidR="003E6544" w:rsidRPr="007A627B" w:rsidRDefault="003E6544" w:rsidP="007053D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7A627B">
        <w:rPr>
          <w:rFonts w:ascii="Arial" w:hAnsi="Arial" w:cs="Arial"/>
          <w:sz w:val="22"/>
          <w:szCs w:val="22"/>
        </w:rPr>
        <w:t xml:space="preserve">Društvo za upravljanje dužno je prilikom upravljanja imovinom </w:t>
      </w:r>
      <w:proofErr w:type="spellStart"/>
      <w:r w:rsidRPr="007A627B">
        <w:rPr>
          <w:rFonts w:ascii="Arial" w:hAnsi="Arial" w:cs="Arial"/>
          <w:sz w:val="22"/>
          <w:szCs w:val="22"/>
        </w:rPr>
        <w:t>UCITS</w:t>
      </w:r>
      <w:proofErr w:type="spellEnd"/>
      <w:r w:rsidRPr="007A627B">
        <w:rPr>
          <w:rFonts w:ascii="Arial" w:hAnsi="Arial" w:cs="Arial"/>
          <w:sz w:val="22"/>
          <w:szCs w:val="22"/>
        </w:rPr>
        <w:t xml:space="preserve"> fonda poduzeti sve potrebne aktivnosti radi u</w:t>
      </w:r>
      <w:r w:rsidR="00F27837" w:rsidRPr="007A627B">
        <w:rPr>
          <w:rFonts w:ascii="Arial" w:hAnsi="Arial" w:cs="Arial"/>
          <w:sz w:val="22"/>
          <w:szCs w:val="22"/>
        </w:rPr>
        <w:t xml:space="preserve">sklađenja sa </w:t>
      </w:r>
      <w:r w:rsidRPr="007A627B">
        <w:rPr>
          <w:rFonts w:ascii="Arial" w:hAnsi="Arial" w:cs="Arial"/>
          <w:sz w:val="22"/>
          <w:szCs w:val="22"/>
        </w:rPr>
        <w:t>Smjernicama o investicijskim fondovima čijim se dionicama trguje na burzi (</w:t>
      </w:r>
      <w:proofErr w:type="spellStart"/>
      <w:r w:rsidRPr="007A627B">
        <w:rPr>
          <w:rFonts w:ascii="Arial" w:hAnsi="Arial" w:cs="Arial"/>
          <w:sz w:val="22"/>
          <w:szCs w:val="22"/>
        </w:rPr>
        <w:t>ETF</w:t>
      </w:r>
      <w:proofErr w:type="spellEnd"/>
      <w:r w:rsidRPr="007A627B">
        <w:rPr>
          <w:rFonts w:ascii="Arial" w:hAnsi="Arial" w:cs="Arial"/>
          <w:sz w:val="22"/>
          <w:szCs w:val="22"/>
        </w:rPr>
        <w:t xml:space="preserve">-ovima) i drugim pitanjima u vezi s </w:t>
      </w:r>
      <w:proofErr w:type="spellStart"/>
      <w:r w:rsidRPr="007A627B">
        <w:rPr>
          <w:rFonts w:ascii="Arial" w:hAnsi="Arial" w:cs="Arial"/>
          <w:sz w:val="22"/>
          <w:szCs w:val="22"/>
        </w:rPr>
        <w:t>UCITS</w:t>
      </w:r>
      <w:proofErr w:type="spellEnd"/>
      <w:r w:rsidRPr="007A627B">
        <w:rPr>
          <w:rFonts w:ascii="Arial" w:hAnsi="Arial" w:cs="Arial"/>
          <w:sz w:val="22"/>
          <w:szCs w:val="22"/>
        </w:rPr>
        <w:t xml:space="preserve"> fondovima</w:t>
      </w:r>
      <w:r w:rsidR="00C21FE2" w:rsidRPr="007A627B">
        <w:rPr>
          <w:rFonts w:ascii="Arial" w:hAnsi="Arial" w:cs="Arial"/>
          <w:sz w:val="22"/>
          <w:szCs w:val="22"/>
        </w:rPr>
        <w:t>,</w:t>
      </w:r>
      <w:r w:rsidR="00713196" w:rsidRPr="007A627B">
        <w:rPr>
          <w:rFonts w:ascii="Arial" w:hAnsi="Arial" w:cs="Arial"/>
          <w:sz w:val="22"/>
          <w:szCs w:val="22"/>
        </w:rPr>
        <w:t xml:space="preserve"> </w:t>
      </w:r>
      <w:r w:rsidR="00C21FE2" w:rsidRPr="007A627B">
        <w:rPr>
          <w:rFonts w:ascii="Arial" w:hAnsi="Arial" w:cs="Arial"/>
          <w:sz w:val="22"/>
          <w:szCs w:val="22"/>
        </w:rPr>
        <w:t xml:space="preserve">ESMA/2014/937 od 1. kolovoza 2014. koje je donijela </w:t>
      </w:r>
      <w:r w:rsidR="00F27837" w:rsidRPr="007A627B">
        <w:rPr>
          <w:rFonts w:ascii="Arial" w:hAnsi="Arial" w:cs="Arial"/>
          <w:sz w:val="22"/>
          <w:szCs w:val="22"/>
        </w:rPr>
        <w:t>Europsk</w:t>
      </w:r>
      <w:r w:rsidR="00C21FE2" w:rsidRPr="007A627B">
        <w:rPr>
          <w:rFonts w:ascii="Arial" w:hAnsi="Arial" w:cs="Arial"/>
          <w:sz w:val="22"/>
          <w:szCs w:val="22"/>
        </w:rPr>
        <w:t>a</w:t>
      </w:r>
      <w:r w:rsidR="00F27837" w:rsidRPr="007A627B">
        <w:rPr>
          <w:rFonts w:ascii="Arial" w:hAnsi="Arial" w:cs="Arial"/>
          <w:sz w:val="22"/>
          <w:szCs w:val="22"/>
        </w:rPr>
        <w:t xml:space="preserve"> agencij</w:t>
      </w:r>
      <w:r w:rsidR="00C21FE2" w:rsidRPr="007A627B">
        <w:rPr>
          <w:rFonts w:ascii="Arial" w:hAnsi="Arial" w:cs="Arial"/>
          <w:sz w:val="22"/>
          <w:szCs w:val="22"/>
        </w:rPr>
        <w:t>a</w:t>
      </w:r>
      <w:r w:rsidR="00F27837" w:rsidRPr="007A627B">
        <w:rPr>
          <w:rFonts w:ascii="Arial" w:hAnsi="Arial" w:cs="Arial"/>
          <w:sz w:val="22"/>
          <w:szCs w:val="22"/>
        </w:rPr>
        <w:t xml:space="preserve"> za nadzor vrijednosnih papira i tržišta kapitala </w:t>
      </w:r>
      <w:r w:rsidR="00EE3BDE" w:rsidRPr="007A627B">
        <w:rPr>
          <w:rFonts w:ascii="Arial" w:hAnsi="Arial" w:cs="Arial"/>
          <w:sz w:val="22"/>
          <w:szCs w:val="22"/>
        </w:rPr>
        <w:t xml:space="preserve">(ESMA) </w:t>
      </w:r>
      <w:r w:rsidR="00713196" w:rsidRPr="007A627B">
        <w:rPr>
          <w:rFonts w:ascii="Arial" w:hAnsi="Arial" w:cs="Arial"/>
          <w:sz w:val="22"/>
          <w:szCs w:val="22"/>
        </w:rPr>
        <w:t xml:space="preserve">i Smjernicama o dozvoljenim ulaganjima </w:t>
      </w:r>
      <w:proofErr w:type="spellStart"/>
      <w:r w:rsidR="00713196" w:rsidRPr="007A627B">
        <w:rPr>
          <w:rFonts w:ascii="Arial" w:hAnsi="Arial" w:cs="Arial"/>
          <w:sz w:val="22"/>
          <w:szCs w:val="22"/>
        </w:rPr>
        <w:t>UCITS</w:t>
      </w:r>
      <w:proofErr w:type="spellEnd"/>
      <w:r w:rsidR="00713196" w:rsidRPr="007A627B">
        <w:rPr>
          <w:rFonts w:ascii="Arial" w:hAnsi="Arial" w:cs="Arial"/>
          <w:sz w:val="22"/>
          <w:szCs w:val="22"/>
        </w:rPr>
        <w:t xml:space="preserve"> fonda</w:t>
      </w:r>
      <w:r w:rsidR="00C21FE2" w:rsidRPr="007A627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21FE2" w:rsidRPr="007A627B">
        <w:rPr>
          <w:rFonts w:ascii="Arial" w:hAnsi="Arial" w:cs="Arial"/>
          <w:sz w:val="22"/>
          <w:szCs w:val="22"/>
        </w:rPr>
        <w:t>CESR</w:t>
      </w:r>
      <w:proofErr w:type="spellEnd"/>
      <w:r w:rsidR="00C21FE2" w:rsidRPr="007A627B">
        <w:rPr>
          <w:rFonts w:ascii="Arial" w:hAnsi="Arial" w:cs="Arial"/>
          <w:sz w:val="22"/>
          <w:szCs w:val="22"/>
        </w:rPr>
        <w:t>/07-</w:t>
      </w:r>
      <w:proofErr w:type="spellStart"/>
      <w:r w:rsidR="00C21FE2" w:rsidRPr="007A627B">
        <w:rPr>
          <w:rFonts w:ascii="Arial" w:hAnsi="Arial" w:cs="Arial"/>
          <w:sz w:val="22"/>
          <w:szCs w:val="22"/>
        </w:rPr>
        <w:t>044b</w:t>
      </w:r>
      <w:proofErr w:type="spellEnd"/>
      <w:r w:rsidR="00C21FE2" w:rsidRPr="007A627B">
        <w:rPr>
          <w:rFonts w:ascii="Arial" w:hAnsi="Arial" w:cs="Arial"/>
          <w:sz w:val="22"/>
          <w:szCs w:val="22"/>
        </w:rPr>
        <w:t xml:space="preserve"> od 19.3.2007. i 17.7.2007.</w:t>
      </w:r>
      <w:r w:rsidR="00EE3BDE" w:rsidRPr="007A627B">
        <w:rPr>
          <w:rFonts w:ascii="Arial" w:hAnsi="Arial" w:cs="Arial"/>
          <w:sz w:val="22"/>
          <w:szCs w:val="22"/>
        </w:rPr>
        <w:t xml:space="preserve"> </w:t>
      </w:r>
      <w:r w:rsidR="00C21FE2" w:rsidRPr="007A627B">
        <w:rPr>
          <w:rFonts w:ascii="Arial" w:hAnsi="Arial" w:cs="Arial"/>
          <w:sz w:val="22"/>
          <w:szCs w:val="22"/>
        </w:rPr>
        <w:t xml:space="preserve">koje je donio </w:t>
      </w:r>
      <w:r w:rsidR="00CD2B11" w:rsidRPr="007A627B">
        <w:rPr>
          <w:rFonts w:ascii="Arial" w:hAnsi="Arial" w:cs="Arial"/>
          <w:sz w:val="22"/>
          <w:szCs w:val="22"/>
        </w:rPr>
        <w:t>Odbor europskih regulatora za vrijednosne papire (</w:t>
      </w:r>
      <w:proofErr w:type="spellStart"/>
      <w:r w:rsidR="00CD2B11" w:rsidRPr="007A627B">
        <w:rPr>
          <w:rFonts w:ascii="Arial" w:hAnsi="Arial" w:cs="Arial"/>
          <w:sz w:val="22"/>
          <w:szCs w:val="22"/>
        </w:rPr>
        <w:t>CESR</w:t>
      </w:r>
      <w:proofErr w:type="spellEnd"/>
      <w:r w:rsidR="00CD2B11" w:rsidRPr="007A627B">
        <w:rPr>
          <w:rFonts w:ascii="Arial" w:hAnsi="Arial" w:cs="Arial"/>
          <w:sz w:val="22"/>
          <w:szCs w:val="22"/>
        </w:rPr>
        <w:t>), a koje su dostupne na mrežnim stranicama Agencije i ESMA-e</w:t>
      </w:r>
      <w:r w:rsidR="002C51D8" w:rsidRPr="007A627B">
        <w:rPr>
          <w:rFonts w:ascii="Arial" w:hAnsi="Arial" w:cs="Arial"/>
          <w:sz w:val="22"/>
          <w:szCs w:val="22"/>
        </w:rPr>
        <w:t>.</w:t>
      </w:r>
    </w:p>
    <w:p w14:paraId="63CFC0F2" w14:textId="679665AF" w:rsidR="007053D9" w:rsidRDefault="007053D9" w:rsidP="003B5D6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10D55EC9" w14:textId="03A40C50" w:rsidR="008D407B" w:rsidRPr="00B96EEC" w:rsidRDefault="008D407B" w:rsidP="00B96EEC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B96EEC">
        <w:rPr>
          <w:rFonts w:ascii="Arial" w:hAnsi="Arial" w:cs="Arial"/>
          <w:b w:val="0"/>
          <w:sz w:val="22"/>
          <w:szCs w:val="22"/>
        </w:rPr>
        <w:t>Poglavlje 1.</w:t>
      </w:r>
    </w:p>
    <w:p w14:paraId="065F6952" w14:textId="3A777862" w:rsidR="00CC4081" w:rsidRPr="00B96EEC" w:rsidRDefault="00AD5410" w:rsidP="00B96EEC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B96EEC">
        <w:rPr>
          <w:rFonts w:ascii="Arial" w:hAnsi="Arial" w:cs="Arial"/>
          <w:b w:val="0"/>
          <w:sz w:val="22"/>
          <w:szCs w:val="22"/>
        </w:rPr>
        <w:t>Prenosivi vrijednosni papiri</w:t>
      </w:r>
    </w:p>
    <w:p w14:paraId="6E5B9C93" w14:textId="326CA1D6" w:rsidR="00D83B89" w:rsidRPr="00203950" w:rsidRDefault="00CC4081" w:rsidP="00203950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B96EEC">
        <w:rPr>
          <w:rFonts w:ascii="Arial" w:hAnsi="Arial" w:cs="Arial"/>
          <w:b w:val="0"/>
          <w:sz w:val="22"/>
          <w:szCs w:val="22"/>
        </w:rPr>
        <w:t xml:space="preserve">Članak </w:t>
      </w:r>
      <w:r w:rsidR="007053D9" w:rsidRPr="00B96EEC">
        <w:rPr>
          <w:rFonts w:ascii="Arial" w:hAnsi="Arial" w:cs="Arial"/>
          <w:b w:val="0"/>
          <w:sz w:val="22"/>
          <w:szCs w:val="22"/>
        </w:rPr>
        <w:t>5</w:t>
      </w:r>
      <w:r w:rsidRPr="00B96EEC">
        <w:rPr>
          <w:rFonts w:ascii="Arial" w:hAnsi="Arial" w:cs="Arial"/>
          <w:b w:val="0"/>
          <w:sz w:val="22"/>
          <w:szCs w:val="22"/>
        </w:rPr>
        <w:t>.</w:t>
      </w:r>
    </w:p>
    <w:p w14:paraId="4B92A97D" w14:textId="7E61E8DC" w:rsidR="00CC4081" w:rsidRPr="00E55BAA" w:rsidRDefault="00EA2B5B" w:rsidP="00DF3F61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fondu dozvoljeno </w:t>
      </w:r>
      <w:r w:rsidR="00E7510B">
        <w:rPr>
          <w:rFonts w:ascii="Arial" w:hAnsi="Arial" w:cs="Arial"/>
          <w:sz w:val="22"/>
          <w:szCs w:val="22"/>
        </w:rPr>
        <w:t xml:space="preserve">je </w:t>
      </w:r>
      <w:r w:rsidRPr="00E55BAA">
        <w:rPr>
          <w:rFonts w:ascii="Arial" w:hAnsi="Arial" w:cs="Arial"/>
          <w:sz w:val="22"/>
          <w:szCs w:val="22"/>
        </w:rPr>
        <w:t xml:space="preserve">ulagati </w:t>
      </w:r>
      <w:r w:rsidR="003216D3">
        <w:rPr>
          <w:rFonts w:ascii="Arial" w:hAnsi="Arial" w:cs="Arial"/>
          <w:sz w:val="22"/>
          <w:szCs w:val="22"/>
        </w:rPr>
        <w:t>samo u</w:t>
      </w:r>
      <w:r w:rsidR="00E7510B" w:rsidRPr="00E55BAA">
        <w:rPr>
          <w:rFonts w:ascii="Arial" w:hAnsi="Arial" w:cs="Arial"/>
          <w:sz w:val="22"/>
          <w:szCs w:val="22"/>
        </w:rPr>
        <w:t xml:space="preserve"> </w:t>
      </w:r>
      <w:r w:rsidR="00E7510B">
        <w:rPr>
          <w:rFonts w:ascii="Arial" w:hAnsi="Arial" w:cs="Arial"/>
          <w:sz w:val="22"/>
          <w:szCs w:val="22"/>
        </w:rPr>
        <w:t xml:space="preserve">prenosive vrijednosne papire </w:t>
      </w:r>
      <w:r w:rsidR="00CC4081" w:rsidRPr="00E55BAA">
        <w:rPr>
          <w:rFonts w:ascii="Arial" w:hAnsi="Arial" w:cs="Arial"/>
          <w:sz w:val="22"/>
          <w:szCs w:val="22"/>
        </w:rPr>
        <w:t>koji zadovoljavaju sljedeće kriterije:</w:t>
      </w:r>
    </w:p>
    <w:p w14:paraId="547D0470" w14:textId="0D2F4DD7" w:rsidR="00CC4081" w:rsidRPr="00E55BAA" w:rsidRDefault="00CC4081" w:rsidP="00DF3F6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potencijalni gubitak koji</w:t>
      </w:r>
      <w:r w:rsidR="00B55294" w:rsidRPr="00E55B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294"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 može pretrpjeti u odnosu na držanje tih </w:t>
      </w:r>
      <w:r w:rsidR="00E7510B">
        <w:rPr>
          <w:rFonts w:ascii="Arial" w:hAnsi="Arial" w:cs="Arial"/>
          <w:sz w:val="22"/>
          <w:szCs w:val="22"/>
        </w:rPr>
        <w:t>vrijednosnih papira</w:t>
      </w:r>
      <w:r w:rsidR="00E7510B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>je ograničen na iznos koji je za njih plaćen</w:t>
      </w:r>
      <w:r w:rsidR="00600A53">
        <w:rPr>
          <w:rFonts w:ascii="Arial" w:hAnsi="Arial" w:cs="Arial"/>
          <w:sz w:val="22"/>
          <w:szCs w:val="22"/>
        </w:rPr>
        <w:t>,</w:t>
      </w:r>
    </w:p>
    <w:p w14:paraId="5B202955" w14:textId="756E8AE1" w:rsidR="00BF2643" w:rsidRPr="00E55BAA" w:rsidRDefault="00CC4081" w:rsidP="00DF3F6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njihova likvidnost ne </w:t>
      </w:r>
      <w:r w:rsidR="003C3EEB" w:rsidRPr="00E55BAA">
        <w:rPr>
          <w:rFonts w:ascii="Arial" w:hAnsi="Arial" w:cs="Arial"/>
          <w:sz w:val="22"/>
          <w:szCs w:val="22"/>
        </w:rPr>
        <w:t>ugrožava</w:t>
      </w:r>
      <w:r w:rsidR="00E7510B">
        <w:rPr>
          <w:rFonts w:ascii="Arial" w:hAnsi="Arial" w:cs="Arial"/>
          <w:sz w:val="22"/>
          <w:szCs w:val="22"/>
        </w:rPr>
        <w:t xml:space="preserve"> sposobnost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CE718D" w:rsidRPr="00E55BAA">
        <w:rPr>
          <w:rFonts w:ascii="Arial" w:hAnsi="Arial" w:cs="Arial"/>
          <w:sz w:val="22"/>
          <w:szCs w:val="22"/>
        </w:rPr>
        <w:t>ispunjavanj</w:t>
      </w:r>
      <w:r w:rsidR="00E7510B">
        <w:rPr>
          <w:rFonts w:ascii="Arial" w:hAnsi="Arial" w:cs="Arial"/>
          <w:sz w:val="22"/>
          <w:szCs w:val="22"/>
        </w:rPr>
        <w:t>a</w:t>
      </w:r>
      <w:r w:rsidR="00CE718D" w:rsidRPr="00E55BAA">
        <w:rPr>
          <w:rFonts w:ascii="Arial" w:hAnsi="Arial" w:cs="Arial"/>
          <w:sz w:val="22"/>
          <w:szCs w:val="22"/>
        </w:rPr>
        <w:t xml:space="preserve"> </w:t>
      </w:r>
      <w:r w:rsidR="00D95231" w:rsidRPr="00E55BAA">
        <w:rPr>
          <w:rFonts w:ascii="Arial" w:hAnsi="Arial" w:cs="Arial"/>
          <w:sz w:val="22"/>
          <w:szCs w:val="22"/>
        </w:rPr>
        <w:t xml:space="preserve">Zakonom </w:t>
      </w:r>
      <w:r w:rsidR="00C74CA5">
        <w:rPr>
          <w:rFonts w:ascii="Arial" w:hAnsi="Arial" w:cs="Arial"/>
          <w:sz w:val="22"/>
          <w:szCs w:val="22"/>
        </w:rPr>
        <w:t xml:space="preserve">i/ili prospektom </w:t>
      </w:r>
      <w:r w:rsidR="00D95231" w:rsidRPr="00E55BAA">
        <w:rPr>
          <w:rFonts w:ascii="Arial" w:hAnsi="Arial" w:cs="Arial"/>
          <w:sz w:val="22"/>
          <w:szCs w:val="22"/>
        </w:rPr>
        <w:t xml:space="preserve">propisanih </w:t>
      </w:r>
      <w:r w:rsidR="00E832F3" w:rsidRPr="00E55BAA">
        <w:rPr>
          <w:rFonts w:ascii="Arial" w:hAnsi="Arial" w:cs="Arial"/>
          <w:sz w:val="22"/>
          <w:szCs w:val="22"/>
        </w:rPr>
        <w:t xml:space="preserve">uvjeta </w:t>
      </w:r>
      <w:r w:rsidR="00D95231" w:rsidRPr="00E55BAA">
        <w:rPr>
          <w:rFonts w:ascii="Arial" w:hAnsi="Arial" w:cs="Arial"/>
          <w:sz w:val="22"/>
          <w:szCs w:val="22"/>
        </w:rPr>
        <w:t xml:space="preserve">i rokova </w:t>
      </w:r>
      <w:r w:rsidR="00E832F3" w:rsidRPr="00E55BAA">
        <w:rPr>
          <w:rFonts w:ascii="Arial" w:hAnsi="Arial" w:cs="Arial"/>
          <w:sz w:val="22"/>
          <w:szCs w:val="22"/>
        </w:rPr>
        <w:t>isplate pri otkupu udjela</w:t>
      </w:r>
      <w:r w:rsidR="00651644" w:rsidRPr="00E55BAA">
        <w:rPr>
          <w:rFonts w:ascii="Arial" w:hAnsi="Arial" w:cs="Arial"/>
          <w:sz w:val="22"/>
          <w:szCs w:val="22"/>
        </w:rPr>
        <w:t xml:space="preserve">, </w:t>
      </w:r>
    </w:p>
    <w:p w14:paraId="7BDE8A40" w14:textId="25DA2908" w:rsidR="00CC4081" w:rsidRPr="00E55BAA" w:rsidRDefault="00CE718D" w:rsidP="00DF3F6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moguće ih je pouzdano vrednovati na </w:t>
      </w:r>
      <w:r w:rsidR="00651644" w:rsidRPr="00E55BAA">
        <w:rPr>
          <w:rFonts w:ascii="Arial" w:hAnsi="Arial" w:cs="Arial"/>
          <w:sz w:val="22"/>
          <w:szCs w:val="22"/>
        </w:rPr>
        <w:t>temelju</w:t>
      </w:r>
      <w:r w:rsidR="00CC4081" w:rsidRPr="00E55BAA">
        <w:rPr>
          <w:rFonts w:ascii="Arial" w:hAnsi="Arial" w:cs="Arial"/>
          <w:sz w:val="22"/>
          <w:szCs w:val="22"/>
        </w:rPr>
        <w:t xml:space="preserve"> točnih, pouzdanih i redovitih </w:t>
      </w:r>
      <w:r w:rsidR="00D95231" w:rsidRPr="00E55BAA">
        <w:rPr>
          <w:rFonts w:ascii="Arial" w:hAnsi="Arial" w:cs="Arial"/>
          <w:sz w:val="22"/>
          <w:szCs w:val="22"/>
        </w:rPr>
        <w:t xml:space="preserve">tržišnih </w:t>
      </w:r>
      <w:r w:rsidR="00CC4081" w:rsidRPr="00E55BAA">
        <w:rPr>
          <w:rFonts w:ascii="Arial" w:hAnsi="Arial" w:cs="Arial"/>
          <w:sz w:val="22"/>
          <w:szCs w:val="22"/>
        </w:rPr>
        <w:t xml:space="preserve">cijena </w:t>
      </w:r>
      <w:r w:rsidR="00651644" w:rsidRPr="00E55BAA">
        <w:rPr>
          <w:rFonts w:ascii="Arial" w:hAnsi="Arial" w:cs="Arial"/>
          <w:sz w:val="22"/>
          <w:szCs w:val="22"/>
        </w:rPr>
        <w:t xml:space="preserve">ili </w:t>
      </w:r>
      <w:r w:rsidR="00172004">
        <w:rPr>
          <w:rFonts w:ascii="Arial" w:hAnsi="Arial" w:cs="Arial"/>
          <w:sz w:val="22"/>
          <w:szCs w:val="22"/>
        </w:rPr>
        <w:t>vrijednosti</w:t>
      </w:r>
      <w:r w:rsidR="00172004" w:rsidRPr="00E55BAA">
        <w:rPr>
          <w:rFonts w:ascii="Arial" w:hAnsi="Arial" w:cs="Arial"/>
          <w:sz w:val="22"/>
          <w:szCs w:val="22"/>
        </w:rPr>
        <w:t xml:space="preserve"> </w:t>
      </w:r>
      <w:r w:rsidR="00651644" w:rsidRPr="00E55BAA">
        <w:rPr>
          <w:rFonts w:ascii="Arial" w:hAnsi="Arial" w:cs="Arial"/>
          <w:sz w:val="22"/>
          <w:szCs w:val="22"/>
        </w:rPr>
        <w:t>koje su dobivene metodologijom ili sustavom vrednovanja neovisnim</w:t>
      </w:r>
      <w:r w:rsidR="00CC4081" w:rsidRPr="00E55BAA">
        <w:rPr>
          <w:rFonts w:ascii="Arial" w:hAnsi="Arial" w:cs="Arial"/>
          <w:sz w:val="22"/>
          <w:szCs w:val="22"/>
        </w:rPr>
        <w:t xml:space="preserve"> od izdavatelja,</w:t>
      </w:r>
      <w:r w:rsidR="00FA5C7C" w:rsidRPr="00E55BAA">
        <w:rPr>
          <w:rFonts w:ascii="Arial" w:hAnsi="Arial" w:cs="Arial"/>
          <w:sz w:val="22"/>
          <w:szCs w:val="22"/>
        </w:rPr>
        <w:t xml:space="preserve"> a na temelju informacija dobivenih od strane izdavatelja vrijednosnog papira ili od mjerodavnog investicijskog istraživanja ili analize,</w:t>
      </w:r>
      <w:r w:rsidR="00F64F66">
        <w:rPr>
          <w:rFonts w:ascii="Arial" w:hAnsi="Arial" w:cs="Arial"/>
          <w:sz w:val="22"/>
          <w:szCs w:val="22"/>
        </w:rPr>
        <w:t xml:space="preserve"> u skladu s propisima kojima se uređuje utvrđivanje neto vrijednosti imovine </w:t>
      </w:r>
      <w:proofErr w:type="spellStart"/>
      <w:r w:rsidR="00F64F66">
        <w:rPr>
          <w:rFonts w:ascii="Arial" w:hAnsi="Arial" w:cs="Arial"/>
          <w:sz w:val="22"/>
          <w:szCs w:val="22"/>
        </w:rPr>
        <w:t>UCITS</w:t>
      </w:r>
      <w:proofErr w:type="spellEnd"/>
      <w:r w:rsidR="00F64F66">
        <w:rPr>
          <w:rFonts w:ascii="Arial" w:hAnsi="Arial" w:cs="Arial"/>
          <w:sz w:val="22"/>
          <w:szCs w:val="22"/>
        </w:rPr>
        <w:t xml:space="preserve"> fonda i cijene udjela u </w:t>
      </w:r>
      <w:proofErr w:type="spellStart"/>
      <w:r w:rsidR="00F64F66">
        <w:rPr>
          <w:rFonts w:ascii="Arial" w:hAnsi="Arial" w:cs="Arial"/>
          <w:sz w:val="22"/>
          <w:szCs w:val="22"/>
        </w:rPr>
        <w:t>UCITS</w:t>
      </w:r>
      <w:proofErr w:type="spellEnd"/>
      <w:r w:rsidR="00F64F66">
        <w:rPr>
          <w:rFonts w:ascii="Arial" w:hAnsi="Arial" w:cs="Arial"/>
          <w:sz w:val="22"/>
          <w:szCs w:val="22"/>
        </w:rPr>
        <w:t xml:space="preserve"> fondu, </w:t>
      </w:r>
    </w:p>
    <w:p w14:paraId="4088E221" w14:textId="5F3A1C01" w:rsidR="000C6613" w:rsidRDefault="00CC4081" w:rsidP="00DF3F6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za njih su dostupne </w:t>
      </w:r>
      <w:r w:rsidR="001B4A93">
        <w:rPr>
          <w:rFonts w:ascii="Arial" w:hAnsi="Arial" w:cs="Arial"/>
          <w:sz w:val="22"/>
          <w:szCs w:val="22"/>
        </w:rPr>
        <w:t>odgovarajuće</w:t>
      </w:r>
      <w:r w:rsidR="00C71A50" w:rsidRPr="00E55BAA">
        <w:rPr>
          <w:rFonts w:ascii="Arial" w:hAnsi="Arial" w:cs="Arial"/>
          <w:sz w:val="22"/>
          <w:szCs w:val="22"/>
        </w:rPr>
        <w:t xml:space="preserve"> informacije </w:t>
      </w:r>
      <w:r w:rsidR="000C6613">
        <w:rPr>
          <w:rFonts w:ascii="Arial" w:hAnsi="Arial" w:cs="Arial"/>
          <w:sz w:val="22"/>
          <w:szCs w:val="22"/>
        </w:rPr>
        <w:t>i to:</w:t>
      </w:r>
    </w:p>
    <w:p w14:paraId="507EC721" w14:textId="18B2AE82" w:rsidR="00CC4081" w:rsidRDefault="000C6613" w:rsidP="0071319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za vrijednosne papire iz članka 252. stavka 1. točaka 1. i 2. Zakona </w:t>
      </w:r>
      <w:r w:rsidR="00CC4081" w:rsidRPr="00E55BAA">
        <w:rPr>
          <w:rFonts w:ascii="Arial" w:hAnsi="Arial" w:cs="Arial"/>
          <w:sz w:val="22"/>
          <w:szCs w:val="22"/>
        </w:rPr>
        <w:t xml:space="preserve">u obliku redovitih, točnih i cjelovitih informacija </w:t>
      </w:r>
      <w:r w:rsidRPr="00691252">
        <w:rPr>
          <w:rFonts w:ascii="Arial" w:hAnsi="Arial" w:cs="Arial"/>
          <w:sz w:val="22"/>
          <w:szCs w:val="22"/>
        </w:rPr>
        <w:t>tržištu</w:t>
      </w:r>
      <w:r>
        <w:rPr>
          <w:rFonts w:ascii="Arial" w:hAnsi="Arial" w:cs="Arial"/>
          <w:sz w:val="22"/>
          <w:szCs w:val="22"/>
        </w:rPr>
        <w:t xml:space="preserve"> </w:t>
      </w:r>
      <w:r w:rsidR="001F6D0C" w:rsidRPr="00E55BAA">
        <w:rPr>
          <w:rFonts w:ascii="Arial" w:hAnsi="Arial" w:cs="Arial"/>
          <w:sz w:val="22"/>
          <w:szCs w:val="22"/>
        </w:rPr>
        <w:t>o vrijednosnom papiru</w:t>
      </w:r>
      <w:r>
        <w:rPr>
          <w:rFonts w:ascii="Arial" w:hAnsi="Arial" w:cs="Arial"/>
          <w:sz w:val="22"/>
          <w:szCs w:val="22"/>
        </w:rPr>
        <w:t xml:space="preserve"> ili</w:t>
      </w:r>
      <w:r w:rsidR="00CC4081" w:rsidRPr="00E55BA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kada je to primjenjivo, s</w:t>
      </w:r>
      <w:r w:rsidR="00D81EBF">
        <w:rPr>
          <w:rFonts w:ascii="Arial" w:hAnsi="Arial" w:cs="Arial"/>
          <w:sz w:val="22"/>
          <w:szCs w:val="22"/>
        </w:rPr>
        <w:t>astavnicama</w:t>
      </w:r>
      <w:r>
        <w:rPr>
          <w:rFonts w:ascii="Arial" w:hAnsi="Arial" w:cs="Arial"/>
          <w:sz w:val="22"/>
          <w:szCs w:val="22"/>
        </w:rPr>
        <w:t xml:space="preserve"> vrijednosnog papira,</w:t>
      </w:r>
    </w:p>
    <w:p w14:paraId="5BF59A75" w14:textId="3F546BF9" w:rsidR="000C6613" w:rsidRPr="00E55BAA" w:rsidRDefault="000C6613" w:rsidP="0071319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za vrijednosne papire iz članka 252. stavka 2. Zakona </w:t>
      </w:r>
      <w:r w:rsidR="0009305C">
        <w:rPr>
          <w:rFonts w:ascii="Arial" w:hAnsi="Arial" w:cs="Arial"/>
          <w:sz w:val="22"/>
          <w:szCs w:val="22"/>
        </w:rPr>
        <w:t xml:space="preserve">u obliku redovitih i </w:t>
      </w:r>
      <w:r w:rsidRPr="00E55BAA">
        <w:rPr>
          <w:rFonts w:ascii="Arial" w:hAnsi="Arial" w:cs="Arial"/>
          <w:sz w:val="22"/>
          <w:szCs w:val="22"/>
        </w:rPr>
        <w:t xml:space="preserve">točnih informacija </w:t>
      </w:r>
      <w:r w:rsidR="0009305C">
        <w:rPr>
          <w:rFonts w:ascii="Arial" w:hAnsi="Arial" w:cs="Arial"/>
          <w:sz w:val="22"/>
          <w:szCs w:val="22"/>
        </w:rPr>
        <w:t>društvu za upravljanje</w:t>
      </w:r>
      <w:r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>o vrijednosnom papiru</w:t>
      </w:r>
      <w:r w:rsidR="0009305C" w:rsidRPr="0009305C">
        <w:rPr>
          <w:rFonts w:ascii="Arial" w:hAnsi="Arial" w:cs="Arial"/>
          <w:sz w:val="22"/>
          <w:szCs w:val="22"/>
        </w:rPr>
        <w:t xml:space="preserve"> </w:t>
      </w:r>
      <w:r w:rsidR="0009305C">
        <w:rPr>
          <w:rFonts w:ascii="Arial" w:hAnsi="Arial" w:cs="Arial"/>
          <w:sz w:val="22"/>
          <w:szCs w:val="22"/>
        </w:rPr>
        <w:t>ili</w:t>
      </w:r>
      <w:r w:rsidR="0009305C" w:rsidRPr="00E55BAA">
        <w:rPr>
          <w:rFonts w:ascii="Arial" w:hAnsi="Arial" w:cs="Arial"/>
          <w:sz w:val="22"/>
          <w:szCs w:val="22"/>
        </w:rPr>
        <w:t>,</w:t>
      </w:r>
      <w:r w:rsidR="0009305C">
        <w:rPr>
          <w:rFonts w:ascii="Arial" w:hAnsi="Arial" w:cs="Arial"/>
          <w:sz w:val="22"/>
          <w:szCs w:val="22"/>
        </w:rPr>
        <w:t xml:space="preserve"> kada je to primjenjivo, s</w:t>
      </w:r>
      <w:r w:rsidR="00D81EBF">
        <w:rPr>
          <w:rFonts w:ascii="Arial" w:hAnsi="Arial" w:cs="Arial"/>
          <w:sz w:val="22"/>
          <w:szCs w:val="22"/>
        </w:rPr>
        <w:t>astavnicama</w:t>
      </w:r>
      <w:r w:rsidR="0009305C">
        <w:rPr>
          <w:rFonts w:ascii="Arial" w:hAnsi="Arial" w:cs="Arial"/>
          <w:sz w:val="22"/>
          <w:szCs w:val="22"/>
        </w:rPr>
        <w:t xml:space="preserve"> vrijednosnog papira,</w:t>
      </w:r>
    </w:p>
    <w:p w14:paraId="5DA18D80" w14:textId="560A8A55" w:rsidR="00CC4081" w:rsidRPr="00713196" w:rsidRDefault="00CC4081" w:rsidP="00DF3F6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13196">
        <w:rPr>
          <w:rFonts w:ascii="Arial" w:hAnsi="Arial" w:cs="Arial"/>
          <w:sz w:val="22"/>
          <w:szCs w:val="22"/>
        </w:rPr>
        <w:lastRenderedPageBreak/>
        <w:t>prenosivi su</w:t>
      </w:r>
      <w:r w:rsidR="00600A53" w:rsidRPr="00713196">
        <w:rPr>
          <w:rFonts w:ascii="Arial" w:hAnsi="Arial" w:cs="Arial"/>
          <w:sz w:val="22"/>
          <w:szCs w:val="22"/>
        </w:rPr>
        <w:t>,</w:t>
      </w:r>
    </w:p>
    <w:p w14:paraId="19BE5233" w14:textId="7165DD2E" w:rsidR="00CC4081" w:rsidRPr="00E55BAA" w:rsidRDefault="00C92415" w:rsidP="00DF3F6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njihovo stjecanje </w:t>
      </w:r>
      <w:r w:rsidR="00CC4081" w:rsidRPr="00E55BAA">
        <w:rPr>
          <w:rFonts w:ascii="Arial" w:hAnsi="Arial" w:cs="Arial"/>
          <w:sz w:val="22"/>
          <w:szCs w:val="22"/>
        </w:rPr>
        <w:t>je u skladu s</w:t>
      </w:r>
      <w:r w:rsidR="002B22C0" w:rsidRPr="00E55BAA">
        <w:rPr>
          <w:rFonts w:ascii="Arial" w:hAnsi="Arial" w:cs="Arial"/>
          <w:sz w:val="22"/>
          <w:szCs w:val="22"/>
        </w:rPr>
        <w:t>a strategijom ulaganja</w:t>
      </w:r>
      <w:r w:rsidR="00456257" w:rsidRPr="00E55BAA">
        <w:rPr>
          <w:rFonts w:ascii="Arial" w:hAnsi="Arial" w:cs="Arial"/>
          <w:sz w:val="22"/>
          <w:szCs w:val="22"/>
        </w:rPr>
        <w:t xml:space="preserve"> </w:t>
      </w:r>
      <w:r w:rsidR="00FA5C7C" w:rsidRPr="00E55BAA">
        <w:rPr>
          <w:rFonts w:ascii="Arial" w:hAnsi="Arial" w:cs="Arial"/>
          <w:sz w:val="22"/>
          <w:szCs w:val="22"/>
        </w:rPr>
        <w:t>i investicijskim ciljevima</w:t>
      </w:r>
      <w:r w:rsidR="00CC4081" w:rsidRPr="00E55B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22C0" w:rsidRPr="00E55BAA">
        <w:rPr>
          <w:rFonts w:ascii="Arial" w:hAnsi="Arial" w:cs="Arial"/>
          <w:sz w:val="22"/>
          <w:szCs w:val="22"/>
        </w:rPr>
        <w:t>UCITS</w:t>
      </w:r>
      <w:proofErr w:type="spellEnd"/>
      <w:r w:rsidR="002B22C0" w:rsidRPr="00E55BAA">
        <w:rPr>
          <w:rFonts w:ascii="Arial" w:hAnsi="Arial" w:cs="Arial"/>
          <w:sz w:val="22"/>
          <w:szCs w:val="22"/>
        </w:rPr>
        <w:t xml:space="preserve"> </w:t>
      </w:r>
      <w:r w:rsidR="0078538F" w:rsidRPr="00E55BAA">
        <w:rPr>
          <w:rFonts w:ascii="Arial" w:hAnsi="Arial" w:cs="Arial"/>
          <w:sz w:val="22"/>
          <w:szCs w:val="22"/>
        </w:rPr>
        <w:t>fonda</w:t>
      </w:r>
      <w:r w:rsidR="00600A53">
        <w:rPr>
          <w:rFonts w:ascii="Arial" w:hAnsi="Arial" w:cs="Arial"/>
          <w:sz w:val="22"/>
          <w:szCs w:val="22"/>
        </w:rPr>
        <w:t>,</w:t>
      </w:r>
    </w:p>
    <w:p w14:paraId="35643B2E" w14:textId="6EA61B34" w:rsidR="00CC4081" w:rsidRDefault="00CC4081" w:rsidP="00DF3F6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njihovi rizici </w:t>
      </w:r>
      <w:r w:rsidR="00FC75C1">
        <w:rPr>
          <w:rFonts w:ascii="Arial" w:hAnsi="Arial" w:cs="Arial"/>
          <w:sz w:val="22"/>
          <w:szCs w:val="22"/>
        </w:rPr>
        <w:t xml:space="preserve">su </w:t>
      </w:r>
      <w:r w:rsidR="001B4A93">
        <w:rPr>
          <w:rFonts w:ascii="Arial" w:hAnsi="Arial" w:cs="Arial"/>
          <w:sz w:val="22"/>
          <w:szCs w:val="22"/>
        </w:rPr>
        <w:t>na odgovarajući način</w:t>
      </w:r>
      <w:r w:rsidRPr="00E55BAA">
        <w:rPr>
          <w:rFonts w:ascii="Arial" w:hAnsi="Arial" w:cs="Arial"/>
          <w:sz w:val="22"/>
          <w:szCs w:val="22"/>
        </w:rPr>
        <w:t xml:space="preserve"> obuhvaćeni sustavom upravljanja rizicima</w:t>
      </w:r>
      <w:r w:rsidR="002B22C0" w:rsidRPr="00E55B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22C0"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fonda.</w:t>
      </w:r>
    </w:p>
    <w:p w14:paraId="3C6F7F6B" w14:textId="77777777" w:rsidR="007A627B" w:rsidRPr="00E55BAA" w:rsidRDefault="007A627B" w:rsidP="007A627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D202704" w14:textId="3B5B6647" w:rsidR="00D6347B" w:rsidRPr="00E55BAA" w:rsidRDefault="00D6347B" w:rsidP="00DF3F61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Prilikom ulaganja imovine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 </w:t>
      </w:r>
      <w:r w:rsidR="00192BE3">
        <w:rPr>
          <w:rFonts w:ascii="Arial" w:hAnsi="Arial" w:cs="Arial"/>
          <w:sz w:val="22"/>
          <w:szCs w:val="22"/>
        </w:rPr>
        <w:t xml:space="preserve">u prenosive vrijednosne papire </w:t>
      </w:r>
      <w:r w:rsidRPr="00E55BAA">
        <w:rPr>
          <w:rFonts w:ascii="Arial" w:hAnsi="Arial" w:cs="Arial"/>
          <w:sz w:val="22"/>
          <w:szCs w:val="22"/>
        </w:rPr>
        <w:t xml:space="preserve">društvo za upravljanje dužno je voditi računa o likvidnosti </w:t>
      </w:r>
      <w:r w:rsidR="00192BE3">
        <w:rPr>
          <w:rFonts w:ascii="Arial" w:hAnsi="Arial" w:cs="Arial"/>
          <w:sz w:val="22"/>
          <w:szCs w:val="22"/>
        </w:rPr>
        <w:t>konkretn</w:t>
      </w:r>
      <w:r w:rsidR="003D1DDF">
        <w:rPr>
          <w:rFonts w:ascii="Arial" w:hAnsi="Arial" w:cs="Arial"/>
          <w:sz w:val="22"/>
          <w:szCs w:val="22"/>
        </w:rPr>
        <w:t>ih</w:t>
      </w:r>
      <w:r w:rsidR="00192BE3">
        <w:rPr>
          <w:rFonts w:ascii="Arial" w:hAnsi="Arial" w:cs="Arial"/>
          <w:sz w:val="22"/>
          <w:szCs w:val="22"/>
        </w:rPr>
        <w:t xml:space="preserve"> </w:t>
      </w:r>
      <w:r w:rsidR="006C3CEF" w:rsidRPr="00E55BAA">
        <w:rPr>
          <w:rFonts w:ascii="Arial" w:hAnsi="Arial" w:cs="Arial"/>
          <w:sz w:val="22"/>
          <w:szCs w:val="22"/>
        </w:rPr>
        <w:t>prenosivih vrijednosnih papira</w:t>
      </w:r>
      <w:r w:rsidR="003D1DDF">
        <w:rPr>
          <w:rFonts w:ascii="Arial" w:hAnsi="Arial" w:cs="Arial"/>
          <w:sz w:val="22"/>
          <w:szCs w:val="22"/>
        </w:rPr>
        <w:t xml:space="preserve"> u koje</w:t>
      </w:r>
      <w:r w:rsidR="00192BE3">
        <w:rPr>
          <w:rFonts w:ascii="Arial" w:hAnsi="Arial" w:cs="Arial"/>
          <w:sz w:val="22"/>
          <w:szCs w:val="22"/>
        </w:rPr>
        <w:t xml:space="preserve"> ulaže</w:t>
      </w:r>
      <w:r w:rsidR="003D1DDF">
        <w:rPr>
          <w:rFonts w:ascii="Arial" w:hAnsi="Arial" w:cs="Arial"/>
          <w:sz w:val="22"/>
          <w:szCs w:val="22"/>
        </w:rPr>
        <w:t xml:space="preserve"> te</w:t>
      </w:r>
      <w:r w:rsidR="00192BE3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 xml:space="preserve">njihovom graničnom utjecaju na ukupnu likvidnost portfelja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</w:t>
      </w:r>
      <w:r w:rsidR="003D1DDF">
        <w:rPr>
          <w:rFonts w:ascii="Arial" w:hAnsi="Arial" w:cs="Arial"/>
          <w:sz w:val="22"/>
          <w:szCs w:val="22"/>
        </w:rPr>
        <w:t>. Isto tako, društvo za upravljanje dužno je</w:t>
      </w:r>
      <w:r w:rsidR="00784E13" w:rsidRPr="00E55BAA">
        <w:rPr>
          <w:rFonts w:ascii="Arial" w:hAnsi="Arial" w:cs="Arial"/>
          <w:sz w:val="22"/>
          <w:szCs w:val="22"/>
        </w:rPr>
        <w:t xml:space="preserve"> kontinuirano voditi računa o likvidnosti portfelja </w:t>
      </w:r>
      <w:proofErr w:type="spellStart"/>
      <w:r w:rsidR="00784E13" w:rsidRPr="00E55BAA">
        <w:rPr>
          <w:rFonts w:ascii="Arial" w:hAnsi="Arial" w:cs="Arial"/>
          <w:sz w:val="22"/>
          <w:szCs w:val="22"/>
        </w:rPr>
        <w:t>UCITS</w:t>
      </w:r>
      <w:proofErr w:type="spellEnd"/>
      <w:r w:rsidR="00784E13" w:rsidRPr="00E55BAA">
        <w:rPr>
          <w:rFonts w:ascii="Arial" w:hAnsi="Arial" w:cs="Arial"/>
          <w:sz w:val="22"/>
          <w:szCs w:val="22"/>
        </w:rPr>
        <w:t xml:space="preserve"> fonda na način da periodično procjenjuje nalazi li se u portfelju </w:t>
      </w:r>
      <w:proofErr w:type="spellStart"/>
      <w:r w:rsidR="00784E13" w:rsidRPr="00E55BAA">
        <w:rPr>
          <w:rFonts w:ascii="Arial" w:hAnsi="Arial" w:cs="Arial"/>
          <w:sz w:val="22"/>
          <w:szCs w:val="22"/>
        </w:rPr>
        <w:t>UCITS</w:t>
      </w:r>
      <w:proofErr w:type="spellEnd"/>
      <w:r w:rsidR="00784E13" w:rsidRPr="00E55BAA">
        <w:rPr>
          <w:rFonts w:ascii="Arial" w:hAnsi="Arial" w:cs="Arial"/>
          <w:sz w:val="22"/>
          <w:szCs w:val="22"/>
        </w:rPr>
        <w:t xml:space="preserve"> fonda dovoljno likvidne imovine,</w:t>
      </w:r>
      <w:r w:rsidRPr="00E55BAA">
        <w:rPr>
          <w:rFonts w:ascii="Arial" w:hAnsi="Arial" w:cs="Arial"/>
          <w:sz w:val="22"/>
          <w:szCs w:val="22"/>
        </w:rPr>
        <w:t xml:space="preserve"> a sve u smislu mogućnosti ispunjavanja Zakonom </w:t>
      </w:r>
      <w:r w:rsidR="00C74CA5">
        <w:rPr>
          <w:rFonts w:ascii="Arial" w:hAnsi="Arial" w:cs="Arial"/>
          <w:sz w:val="22"/>
          <w:szCs w:val="22"/>
        </w:rPr>
        <w:t xml:space="preserve">i/ili prospektom </w:t>
      </w:r>
      <w:r w:rsidRPr="00E55BAA">
        <w:rPr>
          <w:rFonts w:ascii="Arial" w:hAnsi="Arial" w:cs="Arial"/>
          <w:sz w:val="22"/>
          <w:szCs w:val="22"/>
        </w:rPr>
        <w:t>propisanih uvjeta i r</w:t>
      </w:r>
      <w:r w:rsidR="00C23956" w:rsidRPr="00E55BAA">
        <w:rPr>
          <w:rFonts w:ascii="Arial" w:hAnsi="Arial" w:cs="Arial"/>
          <w:sz w:val="22"/>
          <w:szCs w:val="22"/>
        </w:rPr>
        <w:t>okova isplate pri otkupu udjela</w:t>
      </w:r>
      <w:r w:rsidRPr="00E55BAA">
        <w:rPr>
          <w:rFonts w:ascii="Arial" w:hAnsi="Arial" w:cs="Arial"/>
          <w:sz w:val="22"/>
          <w:szCs w:val="22"/>
        </w:rPr>
        <w:t>.</w:t>
      </w:r>
    </w:p>
    <w:p w14:paraId="27820DBE" w14:textId="77777777" w:rsidR="00784E13" w:rsidRPr="00E55BAA" w:rsidRDefault="00784E13" w:rsidP="00DF3F61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0C7D2480" w14:textId="156A5AD0" w:rsidR="004D52A8" w:rsidRPr="00E55BAA" w:rsidRDefault="00326E12" w:rsidP="00DF3F61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Za</w:t>
      </w:r>
      <w:r w:rsidR="004D52A8" w:rsidRPr="00E55BAA">
        <w:rPr>
          <w:rFonts w:ascii="Arial" w:hAnsi="Arial" w:cs="Arial"/>
          <w:sz w:val="22"/>
          <w:szCs w:val="22"/>
        </w:rPr>
        <w:t xml:space="preserve"> vrijednosn</w:t>
      </w:r>
      <w:r w:rsidRPr="00E55BAA">
        <w:rPr>
          <w:rFonts w:ascii="Arial" w:hAnsi="Arial" w:cs="Arial"/>
          <w:sz w:val="22"/>
          <w:szCs w:val="22"/>
        </w:rPr>
        <w:t>e</w:t>
      </w:r>
      <w:r w:rsidR="004D52A8" w:rsidRPr="00E55BAA">
        <w:rPr>
          <w:rFonts w:ascii="Arial" w:hAnsi="Arial" w:cs="Arial"/>
          <w:sz w:val="22"/>
          <w:szCs w:val="22"/>
        </w:rPr>
        <w:t xml:space="preserve"> papir</w:t>
      </w:r>
      <w:r w:rsidRPr="00E55BAA">
        <w:rPr>
          <w:rFonts w:ascii="Arial" w:hAnsi="Arial" w:cs="Arial"/>
          <w:sz w:val="22"/>
          <w:szCs w:val="22"/>
        </w:rPr>
        <w:t>e</w:t>
      </w:r>
      <w:r w:rsidR="004D52A8" w:rsidRPr="00E55BAA">
        <w:rPr>
          <w:rFonts w:ascii="Arial" w:hAnsi="Arial" w:cs="Arial"/>
          <w:sz w:val="22"/>
          <w:szCs w:val="22"/>
        </w:rPr>
        <w:t xml:space="preserve"> </w:t>
      </w:r>
      <w:r w:rsidR="00FC75C1" w:rsidRPr="00E55BAA">
        <w:rPr>
          <w:rFonts w:ascii="Arial" w:hAnsi="Arial" w:cs="Arial"/>
          <w:sz w:val="22"/>
          <w:szCs w:val="22"/>
        </w:rPr>
        <w:t xml:space="preserve">iz članka </w:t>
      </w:r>
      <w:r w:rsidR="00FC75C1">
        <w:rPr>
          <w:rFonts w:ascii="Arial" w:hAnsi="Arial" w:cs="Arial"/>
          <w:sz w:val="22"/>
          <w:szCs w:val="22"/>
        </w:rPr>
        <w:t>252</w:t>
      </w:r>
      <w:r w:rsidR="00FC75C1" w:rsidRPr="00E55BAA">
        <w:rPr>
          <w:rFonts w:ascii="Arial" w:hAnsi="Arial" w:cs="Arial"/>
          <w:sz w:val="22"/>
          <w:szCs w:val="22"/>
        </w:rPr>
        <w:t xml:space="preserve">. stavka 1. točke 1. Zakona </w:t>
      </w:r>
      <w:r w:rsidR="004D52A8" w:rsidRPr="00E55BAA">
        <w:rPr>
          <w:rFonts w:ascii="Arial" w:hAnsi="Arial" w:cs="Arial"/>
          <w:sz w:val="22"/>
          <w:szCs w:val="22"/>
        </w:rPr>
        <w:t xml:space="preserve">kojima se trguje na uređenim tržištima </w:t>
      </w:r>
      <w:r w:rsidR="00FC75C1">
        <w:rPr>
          <w:rFonts w:ascii="Arial" w:hAnsi="Arial" w:cs="Arial"/>
          <w:sz w:val="22"/>
          <w:szCs w:val="22"/>
        </w:rPr>
        <w:t xml:space="preserve"> pretpostavlja </w:t>
      </w:r>
      <w:r w:rsidRPr="00E55BAA">
        <w:rPr>
          <w:rFonts w:ascii="Arial" w:hAnsi="Arial" w:cs="Arial"/>
          <w:sz w:val="22"/>
          <w:szCs w:val="22"/>
        </w:rPr>
        <w:t xml:space="preserve">se da su </w:t>
      </w:r>
      <w:r w:rsidR="004D52A8" w:rsidRPr="00E55BAA">
        <w:rPr>
          <w:rFonts w:ascii="Arial" w:hAnsi="Arial" w:cs="Arial"/>
          <w:sz w:val="22"/>
          <w:szCs w:val="22"/>
        </w:rPr>
        <w:t xml:space="preserve">prenosivi i da ne ugrožavaju sposobnost </w:t>
      </w:r>
      <w:proofErr w:type="spellStart"/>
      <w:r w:rsidR="004D52A8" w:rsidRPr="00E55BAA">
        <w:rPr>
          <w:rFonts w:ascii="Arial" w:hAnsi="Arial" w:cs="Arial"/>
          <w:sz w:val="22"/>
          <w:szCs w:val="22"/>
        </w:rPr>
        <w:t>UCITS</w:t>
      </w:r>
      <w:proofErr w:type="spellEnd"/>
      <w:r w:rsidR="004D52A8" w:rsidRPr="00E55BAA">
        <w:rPr>
          <w:rFonts w:ascii="Arial" w:hAnsi="Arial" w:cs="Arial"/>
          <w:sz w:val="22"/>
          <w:szCs w:val="22"/>
        </w:rPr>
        <w:t xml:space="preserve"> fonda da ispunjava </w:t>
      </w:r>
      <w:r w:rsidR="003D23D3" w:rsidRPr="00E55BAA">
        <w:rPr>
          <w:rFonts w:ascii="Arial" w:hAnsi="Arial" w:cs="Arial"/>
          <w:sz w:val="22"/>
          <w:szCs w:val="22"/>
        </w:rPr>
        <w:t xml:space="preserve">Zakonom </w:t>
      </w:r>
      <w:r w:rsidR="00C74CA5">
        <w:rPr>
          <w:rFonts w:ascii="Arial" w:hAnsi="Arial" w:cs="Arial"/>
          <w:sz w:val="22"/>
          <w:szCs w:val="22"/>
        </w:rPr>
        <w:t xml:space="preserve">i/ili prospektom </w:t>
      </w:r>
      <w:r w:rsidR="003D23D3" w:rsidRPr="00E55BAA">
        <w:rPr>
          <w:rFonts w:ascii="Arial" w:hAnsi="Arial" w:cs="Arial"/>
          <w:sz w:val="22"/>
          <w:szCs w:val="22"/>
        </w:rPr>
        <w:t xml:space="preserve">propisane uvjete i rokove isplate pri otkupu udjela </w:t>
      </w:r>
      <w:proofErr w:type="spellStart"/>
      <w:r w:rsidR="003D23D3" w:rsidRPr="00E55BAA">
        <w:rPr>
          <w:rFonts w:ascii="Arial" w:hAnsi="Arial" w:cs="Arial"/>
          <w:sz w:val="22"/>
          <w:szCs w:val="22"/>
        </w:rPr>
        <w:t>UCITS</w:t>
      </w:r>
      <w:proofErr w:type="spellEnd"/>
      <w:r w:rsidR="003D23D3" w:rsidRPr="00E55BAA">
        <w:rPr>
          <w:rFonts w:ascii="Arial" w:hAnsi="Arial" w:cs="Arial"/>
          <w:sz w:val="22"/>
          <w:szCs w:val="22"/>
        </w:rPr>
        <w:t xml:space="preserve"> fonda</w:t>
      </w:r>
      <w:r w:rsidR="004D52A8" w:rsidRPr="00E55BAA">
        <w:rPr>
          <w:rFonts w:ascii="Arial" w:hAnsi="Arial" w:cs="Arial"/>
          <w:sz w:val="22"/>
          <w:szCs w:val="22"/>
        </w:rPr>
        <w:t xml:space="preserve">, osim </w:t>
      </w:r>
      <w:r w:rsidR="00FA5C7C" w:rsidRPr="00E55BAA">
        <w:rPr>
          <w:rFonts w:ascii="Arial" w:hAnsi="Arial" w:cs="Arial"/>
          <w:sz w:val="22"/>
          <w:szCs w:val="22"/>
        </w:rPr>
        <w:t>ako su društvu za upravljanje dostupne informacije</w:t>
      </w:r>
      <w:r w:rsidR="007E097A">
        <w:rPr>
          <w:rFonts w:ascii="Arial" w:hAnsi="Arial" w:cs="Arial"/>
          <w:sz w:val="22"/>
          <w:szCs w:val="22"/>
        </w:rPr>
        <w:t xml:space="preserve"> o elementima iz stavka 5. ovoga članka</w:t>
      </w:r>
      <w:r w:rsidR="00FA5C7C" w:rsidRPr="00E55BAA">
        <w:rPr>
          <w:rFonts w:ascii="Arial" w:hAnsi="Arial" w:cs="Arial"/>
          <w:sz w:val="22"/>
          <w:szCs w:val="22"/>
        </w:rPr>
        <w:t xml:space="preserve"> </w:t>
      </w:r>
      <w:r w:rsidR="00C8332A" w:rsidRPr="00E55BAA">
        <w:rPr>
          <w:rFonts w:ascii="Arial" w:hAnsi="Arial" w:cs="Arial"/>
          <w:sz w:val="22"/>
          <w:szCs w:val="22"/>
        </w:rPr>
        <w:t>koje</w:t>
      </w:r>
      <w:r w:rsidR="00FA5C7C" w:rsidRPr="00E55BAA">
        <w:rPr>
          <w:rFonts w:ascii="Arial" w:hAnsi="Arial" w:cs="Arial"/>
          <w:sz w:val="22"/>
          <w:szCs w:val="22"/>
        </w:rPr>
        <w:t xml:space="preserve"> upućuju na drugačiji</w:t>
      </w:r>
      <w:r w:rsidR="004D52A8" w:rsidRPr="00E55BAA">
        <w:rPr>
          <w:rFonts w:ascii="Arial" w:hAnsi="Arial" w:cs="Arial"/>
          <w:sz w:val="22"/>
          <w:szCs w:val="22"/>
        </w:rPr>
        <w:t xml:space="preserve"> zaključ</w:t>
      </w:r>
      <w:r w:rsidR="00FA5C7C" w:rsidRPr="00E55BAA">
        <w:rPr>
          <w:rFonts w:ascii="Arial" w:hAnsi="Arial" w:cs="Arial"/>
          <w:sz w:val="22"/>
          <w:szCs w:val="22"/>
        </w:rPr>
        <w:t>ak</w:t>
      </w:r>
      <w:r w:rsidR="004D52A8" w:rsidRPr="00E55BAA">
        <w:rPr>
          <w:rFonts w:ascii="Arial" w:hAnsi="Arial" w:cs="Arial"/>
          <w:sz w:val="22"/>
          <w:szCs w:val="22"/>
        </w:rPr>
        <w:t>.</w:t>
      </w:r>
    </w:p>
    <w:p w14:paraId="169C2065" w14:textId="77777777" w:rsidR="009B630B" w:rsidRPr="00E55BAA" w:rsidRDefault="009B630B" w:rsidP="00DF3F61">
      <w:pPr>
        <w:pStyle w:val="ListParagraph"/>
        <w:rPr>
          <w:rFonts w:ascii="Arial" w:hAnsi="Arial" w:cs="Arial"/>
          <w:sz w:val="22"/>
          <w:szCs w:val="22"/>
        </w:rPr>
      </w:pPr>
    </w:p>
    <w:p w14:paraId="3FFC753C" w14:textId="342DF456" w:rsidR="004D52A8" w:rsidRDefault="004D52A8" w:rsidP="00DF3F61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Kada su društvu za upravljanje dostupne informacije koje ukazuju da bi </w:t>
      </w:r>
      <w:r w:rsidR="00154012" w:rsidRPr="00E55BAA">
        <w:rPr>
          <w:rFonts w:ascii="Arial" w:hAnsi="Arial" w:cs="Arial"/>
          <w:sz w:val="22"/>
          <w:szCs w:val="22"/>
        </w:rPr>
        <w:t>prenosivi vrijednosni papiri</w:t>
      </w:r>
      <w:r w:rsidR="00326E12" w:rsidRPr="00E55BAA">
        <w:rPr>
          <w:rFonts w:ascii="Arial" w:hAnsi="Arial" w:cs="Arial"/>
          <w:sz w:val="22"/>
          <w:szCs w:val="22"/>
        </w:rPr>
        <w:t xml:space="preserve"> </w:t>
      </w:r>
      <w:r w:rsidR="00BF5F06" w:rsidRPr="00E55BAA">
        <w:rPr>
          <w:rFonts w:ascii="Arial" w:hAnsi="Arial" w:cs="Arial"/>
          <w:sz w:val="22"/>
          <w:szCs w:val="22"/>
        </w:rPr>
        <w:t xml:space="preserve">iz članka </w:t>
      </w:r>
      <w:r w:rsidR="00BF5F06">
        <w:rPr>
          <w:rFonts w:ascii="Arial" w:hAnsi="Arial" w:cs="Arial"/>
          <w:sz w:val="22"/>
          <w:szCs w:val="22"/>
        </w:rPr>
        <w:t>252</w:t>
      </w:r>
      <w:r w:rsidR="00BF5F06" w:rsidRPr="00E55BAA">
        <w:rPr>
          <w:rFonts w:ascii="Arial" w:hAnsi="Arial" w:cs="Arial"/>
          <w:sz w:val="22"/>
          <w:szCs w:val="22"/>
        </w:rPr>
        <w:t xml:space="preserve">. stavka 1. točke 1. Zakona </w:t>
      </w:r>
      <w:r w:rsidR="00326E12" w:rsidRPr="00E55BAA">
        <w:rPr>
          <w:rFonts w:ascii="Arial" w:hAnsi="Arial" w:cs="Arial"/>
          <w:sz w:val="22"/>
          <w:szCs w:val="22"/>
        </w:rPr>
        <w:t xml:space="preserve">kojima se trguje na uređenim tržištima </w:t>
      </w:r>
      <w:r w:rsidRPr="00E55BAA">
        <w:rPr>
          <w:rFonts w:ascii="Arial" w:hAnsi="Arial" w:cs="Arial"/>
          <w:sz w:val="22"/>
          <w:szCs w:val="22"/>
        </w:rPr>
        <w:t xml:space="preserve">mogli ugroziti sposobnost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 da ispunjava </w:t>
      </w:r>
      <w:r w:rsidR="00154012" w:rsidRPr="00E55BAA">
        <w:rPr>
          <w:rFonts w:ascii="Arial" w:hAnsi="Arial" w:cs="Arial"/>
          <w:sz w:val="22"/>
          <w:szCs w:val="22"/>
        </w:rPr>
        <w:t xml:space="preserve">Zakonom </w:t>
      </w:r>
      <w:r w:rsidR="00C74CA5">
        <w:rPr>
          <w:rFonts w:ascii="Arial" w:hAnsi="Arial" w:cs="Arial"/>
          <w:sz w:val="22"/>
          <w:szCs w:val="22"/>
        </w:rPr>
        <w:t xml:space="preserve">i/ili prospektom </w:t>
      </w:r>
      <w:r w:rsidR="00154012" w:rsidRPr="00E55BAA">
        <w:rPr>
          <w:rFonts w:ascii="Arial" w:hAnsi="Arial" w:cs="Arial"/>
          <w:sz w:val="22"/>
          <w:szCs w:val="22"/>
        </w:rPr>
        <w:t xml:space="preserve">propisane uvjete i rokove isplate pri otkupu udjela </w:t>
      </w:r>
      <w:proofErr w:type="spellStart"/>
      <w:r w:rsidR="00154012" w:rsidRPr="00E55BAA">
        <w:rPr>
          <w:rFonts w:ascii="Arial" w:hAnsi="Arial" w:cs="Arial"/>
          <w:sz w:val="22"/>
          <w:szCs w:val="22"/>
        </w:rPr>
        <w:t>UCITS</w:t>
      </w:r>
      <w:proofErr w:type="spellEnd"/>
      <w:r w:rsidR="00154012" w:rsidRPr="00E55BAA">
        <w:rPr>
          <w:rFonts w:ascii="Arial" w:hAnsi="Arial" w:cs="Arial"/>
          <w:sz w:val="22"/>
          <w:szCs w:val="22"/>
        </w:rPr>
        <w:t xml:space="preserve"> fonda</w:t>
      </w:r>
      <w:r w:rsidR="00C8332A" w:rsidRPr="00E55BAA">
        <w:rPr>
          <w:rFonts w:ascii="Arial" w:hAnsi="Arial" w:cs="Arial"/>
          <w:sz w:val="22"/>
          <w:szCs w:val="22"/>
        </w:rPr>
        <w:t xml:space="preserve">, </w:t>
      </w:r>
      <w:r w:rsidR="00BF5F06">
        <w:rPr>
          <w:rFonts w:ascii="Arial" w:hAnsi="Arial" w:cs="Arial"/>
          <w:sz w:val="22"/>
          <w:szCs w:val="22"/>
        </w:rPr>
        <w:t xml:space="preserve">društvo za upravljanje </w:t>
      </w:r>
      <w:r w:rsidR="00C8332A" w:rsidRPr="00E55BAA">
        <w:rPr>
          <w:rFonts w:ascii="Arial" w:hAnsi="Arial" w:cs="Arial"/>
          <w:sz w:val="22"/>
          <w:szCs w:val="22"/>
        </w:rPr>
        <w:t xml:space="preserve">dužno je procijeniti njihov </w:t>
      </w:r>
      <w:r w:rsidRPr="00E55BAA">
        <w:rPr>
          <w:rFonts w:ascii="Arial" w:hAnsi="Arial" w:cs="Arial"/>
          <w:sz w:val="22"/>
          <w:szCs w:val="22"/>
        </w:rPr>
        <w:t>rizik likvidnosti.</w:t>
      </w:r>
    </w:p>
    <w:p w14:paraId="11A69C15" w14:textId="77777777" w:rsidR="00C5701E" w:rsidRPr="00E55BAA" w:rsidRDefault="00C5701E" w:rsidP="00DF3F61">
      <w:pPr>
        <w:pStyle w:val="ListParagraph"/>
        <w:rPr>
          <w:rFonts w:ascii="Arial" w:hAnsi="Arial" w:cs="Arial"/>
          <w:sz w:val="22"/>
          <w:szCs w:val="22"/>
        </w:rPr>
      </w:pPr>
    </w:p>
    <w:p w14:paraId="1AA2B65F" w14:textId="26AA6840" w:rsidR="004D52A8" w:rsidRPr="00E55BAA" w:rsidRDefault="004D52A8" w:rsidP="00DF3F61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Prilikom </w:t>
      </w:r>
      <w:r w:rsidR="00636740" w:rsidRPr="00E55BAA">
        <w:rPr>
          <w:rFonts w:ascii="Arial" w:hAnsi="Arial" w:cs="Arial"/>
          <w:sz w:val="22"/>
          <w:szCs w:val="22"/>
        </w:rPr>
        <w:t>pr</w:t>
      </w:r>
      <w:r w:rsidRPr="00E55BAA">
        <w:rPr>
          <w:rFonts w:ascii="Arial" w:hAnsi="Arial" w:cs="Arial"/>
          <w:sz w:val="22"/>
          <w:szCs w:val="22"/>
        </w:rPr>
        <w:t xml:space="preserve">ocjene </w:t>
      </w:r>
      <w:r w:rsidR="0022244D">
        <w:rPr>
          <w:rFonts w:ascii="Arial" w:hAnsi="Arial" w:cs="Arial"/>
          <w:sz w:val="22"/>
          <w:szCs w:val="22"/>
        </w:rPr>
        <w:t xml:space="preserve">rizika </w:t>
      </w:r>
      <w:r w:rsidRPr="00E55BAA">
        <w:rPr>
          <w:rFonts w:ascii="Arial" w:hAnsi="Arial" w:cs="Arial"/>
          <w:sz w:val="22"/>
          <w:szCs w:val="22"/>
        </w:rPr>
        <w:t>likvidnosti prenosivih vrijednosnih papira društvo za upravljanje mora uzeti u obzir najmanje sljedeće</w:t>
      </w:r>
      <w:r w:rsidR="003D1DDF">
        <w:rPr>
          <w:rFonts w:ascii="Arial" w:hAnsi="Arial" w:cs="Arial"/>
          <w:sz w:val="22"/>
          <w:szCs w:val="22"/>
        </w:rPr>
        <w:t xml:space="preserve"> elemente</w:t>
      </w:r>
      <w:r w:rsidRPr="00E55BAA">
        <w:rPr>
          <w:rFonts w:ascii="Arial" w:hAnsi="Arial" w:cs="Arial"/>
          <w:sz w:val="22"/>
          <w:szCs w:val="22"/>
        </w:rPr>
        <w:t>:</w:t>
      </w:r>
    </w:p>
    <w:p w14:paraId="6F3B236A" w14:textId="77777777" w:rsidR="004D52A8" w:rsidRPr="00E55BAA" w:rsidRDefault="004D52A8" w:rsidP="00DF3F61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količinu i vrijednost trgovanja prenosivim vrijednosnim papirom,</w:t>
      </w:r>
    </w:p>
    <w:p w14:paraId="4ACA8F98" w14:textId="77777777" w:rsidR="004D52A8" w:rsidRPr="00E55BAA" w:rsidRDefault="004D52A8" w:rsidP="00DF3F61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veličinu izdanja prenosivog vrijednosnog papira,</w:t>
      </w:r>
    </w:p>
    <w:p w14:paraId="57F39E3F" w14:textId="77777777" w:rsidR="004D52A8" w:rsidRPr="00E55BAA" w:rsidRDefault="004D52A8" w:rsidP="00DF3F61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udio u izdanju prenosivog vrijednosnog papira ko</w:t>
      </w:r>
      <w:r w:rsidR="00C8332A" w:rsidRPr="00E55BAA">
        <w:rPr>
          <w:rFonts w:ascii="Arial" w:hAnsi="Arial" w:cs="Arial"/>
          <w:sz w:val="22"/>
          <w:szCs w:val="22"/>
        </w:rPr>
        <w:t>jeg društvo za upravljanje za račun</w:t>
      </w:r>
      <w:r w:rsidRPr="00E55B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 namjerava steći,</w:t>
      </w:r>
    </w:p>
    <w:p w14:paraId="380AC389" w14:textId="77777777" w:rsidR="004D52A8" w:rsidRPr="00E55BAA" w:rsidRDefault="004D52A8" w:rsidP="00DF3F61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kada je to primjenjivo, nezavisnu analizu ponuda na kupnju i prodaju kroz određeno vremensko razdoblje s ciljem određivanja likvidnosti i </w:t>
      </w:r>
      <w:proofErr w:type="spellStart"/>
      <w:r w:rsidRPr="00E55BAA">
        <w:rPr>
          <w:rFonts w:ascii="Arial" w:hAnsi="Arial" w:cs="Arial"/>
          <w:sz w:val="22"/>
          <w:szCs w:val="22"/>
        </w:rPr>
        <w:t>utrživosti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prenosivog vrijednosnog papira,</w:t>
      </w:r>
    </w:p>
    <w:p w14:paraId="0FFC20C9" w14:textId="15B3B670" w:rsidR="004D52A8" w:rsidRPr="00E55BAA" w:rsidRDefault="00C8332A" w:rsidP="00DF3F61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kada je to primjenjivo, </w:t>
      </w:r>
      <w:r w:rsidR="004D52A8" w:rsidRPr="00E55BAA">
        <w:rPr>
          <w:rFonts w:ascii="Arial" w:hAnsi="Arial" w:cs="Arial"/>
          <w:sz w:val="22"/>
          <w:szCs w:val="22"/>
        </w:rPr>
        <w:t xml:space="preserve">analizu </w:t>
      </w:r>
      <w:r w:rsidR="00C93E14" w:rsidRPr="00E55BAA">
        <w:rPr>
          <w:rFonts w:ascii="Arial" w:hAnsi="Arial" w:cs="Arial"/>
          <w:sz w:val="22"/>
          <w:szCs w:val="22"/>
        </w:rPr>
        <w:t>kvalitete i broj</w:t>
      </w:r>
      <w:r w:rsidR="00323501">
        <w:rPr>
          <w:rFonts w:ascii="Arial" w:hAnsi="Arial" w:cs="Arial"/>
          <w:sz w:val="22"/>
          <w:szCs w:val="22"/>
        </w:rPr>
        <w:t>a</w:t>
      </w:r>
      <w:r w:rsidR="00C93E14" w:rsidRPr="00E55B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52A8" w:rsidRPr="00E55BAA">
        <w:rPr>
          <w:rFonts w:ascii="Arial" w:hAnsi="Arial" w:cs="Arial"/>
          <w:sz w:val="22"/>
          <w:szCs w:val="22"/>
        </w:rPr>
        <w:t>održavatelja</w:t>
      </w:r>
      <w:proofErr w:type="spellEnd"/>
      <w:r w:rsidR="004D52A8" w:rsidRPr="00E55BAA">
        <w:rPr>
          <w:rFonts w:ascii="Arial" w:hAnsi="Arial" w:cs="Arial"/>
          <w:sz w:val="22"/>
          <w:szCs w:val="22"/>
        </w:rPr>
        <w:t xml:space="preserve"> tržišta predmetnog prenosivog vrijednosnog papira s ciljem ocjene kvalitete trgovanja na sekundarnom tržištu</w:t>
      </w:r>
      <w:r w:rsidR="004F2153" w:rsidRPr="00E55BAA">
        <w:rPr>
          <w:rFonts w:ascii="Arial" w:hAnsi="Arial" w:cs="Arial"/>
          <w:sz w:val="22"/>
          <w:szCs w:val="22"/>
        </w:rPr>
        <w:t>,</w:t>
      </w:r>
    </w:p>
    <w:p w14:paraId="56827378" w14:textId="77777777" w:rsidR="004F2153" w:rsidRPr="00E55BAA" w:rsidRDefault="004F2153" w:rsidP="00DF3F61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strukturu imatelja udjela u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fondu,</w:t>
      </w:r>
    </w:p>
    <w:p w14:paraId="6594A220" w14:textId="77777777" w:rsidR="004F2153" w:rsidRPr="00E55BAA" w:rsidRDefault="004F2153" w:rsidP="00DF3F61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svrhu ulaganja imatelja udjela u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fondu,</w:t>
      </w:r>
    </w:p>
    <w:p w14:paraId="121C962C" w14:textId="77777777" w:rsidR="004F2153" w:rsidRPr="00E55BAA" w:rsidRDefault="004F2153" w:rsidP="00DF3F61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informacije o tijeku novca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fonda.</w:t>
      </w:r>
    </w:p>
    <w:p w14:paraId="6DB9C2B7" w14:textId="77777777" w:rsidR="00CC4081" w:rsidRPr="00E55BAA" w:rsidRDefault="00CC4081" w:rsidP="00DF3F61">
      <w:pPr>
        <w:jc w:val="both"/>
        <w:rPr>
          <w:rFonts w:ascii="Arial" w:hAnsi="Arial" w:cs="Arial"/>
          <w:sz w:val="22"/>
          <w:szCs w:val="22"/>
        </w:rPr>
      </w:pPr>
    </w:p>
    <w:p w14:paraId="74330162" w14:textId="2B776914" w:rsidR="00737618" w:rsidRDefault="00737618" w:rsidP="00DF3F61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društvo za upravljanje</w:t>
      </w:r>
      <w:r w:rsidR="007E097A">
        <w:rPr>
          <w:rFonts w:ascii="Arial" w:hAnsi="Arial" w:cs="Arial"/>
          <w:sz w:val="22"/>
          <w:szCs w:val="22"/>
        </w:rPr>
        <w:t>, na temelju elemenata iz stavka 5. ovoga članka,</w:t>
      </w:r>
      <w:r>
        <w:rPr>
          <w:rFonts w:ascii="Arial" w:hAnsi="Arial" w:cs="Arial"/>
          <w:sz w:val="22"/>
          <w:szCs w:val="22"/>
        </w:rPr>
        <w:t xml:space="preserve"> procijeni da vrijednosni papir nije dovoljno likvidan da bi zadovoljio </w:t>
      </w:r>
      <w:r w:rsidRPr="00E55BAA">
        <w:rPr>
          <w:rFonts w:ascii="Arial" w:hAnsi="Arial" w:cs="Arial"/>
          <w:sz w:val="22"/>
          <w:szCs w:val="22"/>
        </w:rPr>
        <w:t xml:space="preserve">Zakonom </w:t>
      </w:r>
      <w:r>
        <w:rPr>
          <w:rFonts w:ascii="Arial" w:hAnsi="Arial" w:cs="Arial"/>
          <w:sz w:val="22"/>
          <w:szCs w:val="22"/>
        </w:rPr>
        <w:t xml:space="preserve">i/ili prospektom </w:t>
      </w:r>
      <w:r w:rsidRPr="00E55BAA">
        <w:rPr>
          <w:rFonts w:ascii="Arial" w:hAnsi="Arial" w:cs="Arial"/>
          <w:sz w:val="22"/>
          <w:szCs w:val="22"/>
        </w:rPr>
        <w:t>propisan</w:t>
      </w:r>
      <w:r>
        <w:rPr>
          <w:rFonts w:ascii="Arial" w:hAnsi="Arial" w:cs="Arial"/>
          <w:sz w:val="22"/>
          <w:szCs w:val="22"/>
        </w:rPr>
        <w:t>e</w:t>
      </w:r>
      <w:r w:rsidRPr="00E55BAA">
        <w:rPr>
          <w:rFonts w:ascii="Arial" w:hAnsi="Arial" w:cs="Arial"/>
          <w:sz w:val="22"/>
          <w:szCs w:val="22"/>
        </w:rPr>
        <w:t xml:space="preserve"> uvjet</w:t>
      </w:r>
      <w:r>
        <w:rPr>
          <w:rFonts w:ascii="Arial" w:hAnsi="Arial" w:cs="Arial"/>
          <w:sz w:val="22"/>
          <w:szCs w:val="22"/>
        </w:rPr>
        <w:t>e</w:t>
      </w:r>
      <w:r w:rsidRPr="00E55BAA">
        <w:rPr>
          <w:rFonts w:ascii="Arial" w:hAnsi="Arial" w:cs="Arial"/>
          <w:sz w:val="22"/>
          <w:szCs w:val="22"/>
        </w:rPr>
        <w:t xml:space="preserve"> i rokov</w:t>
      </w:r>
      <w:r>
        <w:rPr>
          <w:rFonts w:ascii="Arial" w:hAnsi="Arial" w:cs="Arial"/>
          <w:sz w:val="22"/>
          <w:szCs w:val="22"/>
        </w:rPr>
        <w:t>e</w:t>
      </w:r>
      <w:r w:rsidRPr="00E55BAA">
        <w:rPr>
          <w:rFonts w:ascii="Arial" w:hAnsi="Arial" w:cs="Arial"/>
          <w:sz w:val="22"/>
          <w:szCs w:val="22"/>
        </w:rPr>
        <w:t xml:space="preserve"> isplate pri otkupu udjela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fondu dozvoljeno </w:t>
      </w:r>
      <w:r>
        <w:rPr>
          <w:rFonts w:ascii="Arial" w:hAnsi="Arial" w:cs="Arial"/>
          <w:sz w:val="22"/>
          <w:szCs w:val="22"/>
        </w:rPr>
        <w:t>je uložiti u takav vrijednosni papir ili ga zadržati u portfelju samo u slučaju</w:t>
      </w:r>
      <w:r w:rsidRPr="00E55BAA">
        <w:rPr>
          <w:rFonts w:ascii="Arial" w:hAnsi="Arial" w:cs="Arial"/>
          <w:sz w:val="22"/>
          <w:szCs w:val="22"/>
        </w:rPr>
        <w:t xml:space="preserve"> kada društvo za upravljanje dokumentirano procijeni da se portfelj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 sastoji od dovoljno drugih likvidnih financijskih instrumenata koji omogućavaju ispunjavanje navedenih obveza</w:t>
      </w:r>
      <w:r w:rsidR="007E097A">
        <w:rPr>
          <w:rFonts w:ascii="Arial" w:hAnsi="Arial" w:cs="Arial"/>
          <w:sz w:val="22"/>
          <w:szCs w:val="22"/>
        </w:rPr>
        <w:t>.</w:t>
      </w:r>
    </w:p>
    <w:p w14:paraId="7CE655D3" w14:textId="77777777" w:rsidR="007E097A" w:rsidRDefault="007E097A" w:rsidP="007E097A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0A6FD12F" w14:textId="24065374" w:rsidR="00CC4081" w:rsidRPr="00E55BAA" w:rsidRDefault="00D25C3F" w:rsidP="00DF3F61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E55BAA">
        <w:rPr>
          <w:rFonts w:ascii="Arial" w:hAnsi="Arial" w:cs="Arial"/>
          <w:sz w:val="22"/>
          <w:szCs w:val="22"/>
        </w:rPr>
        <w:t xml:space="preserve"> smislu Zakona</w:t>
      </w:r>
      <w:r>
        <w:rPr>
          <w:rFonts w:ascii="Arial" w:hAnsi="Arial" w:cs="Arial"/>
          <w:sz w:val="22"/>
          <w:szCs w:val="22"/>
        </w:rPr>
        <w:t>,</w:t>
      </w:r>
      <w:r w:rsidRPr="00E55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CC4081" w:rsidRPr="00E55BAA">
        <w:rPr>
          <w:rFonts w:ascii="Arial" w:hAnsi="Arial" w:cs="Arial"/>
          <w:sz w:val="22"/>
          <w:szCs w:val="22"/>
        </w:rPr>
        <w:t>renosivi</w:t>
      </w:r>
      <w:r>
        <w:rPr>
          <w:rFonts w:ascii="Arial" w:hAnsi="Arial" w:cs="Arial"/>
          <w:sz w:val="22"/>
          <w:szCs w:val="22"/>
        </w:rPr>
        <w:t>m</w:t>
      </w:r>
      <w:r w:rsidR="00CC4081" w:rsidRPr="00E55BAA">
        <w:rPr>
          <w:rFonts w:ascii="Arial" w:hAnsi="Arial" w:cs="Arial"/>
          <w:sz w:val="22"/>
          <w:szCs w:val="22"/>
        </w:rPr>
        <w:t xml:space="preserve"> vrijednosni</w:t>
      </w:r>
      <w:r>
        <w:rPr>
          <w:rFonts w:ascii="Arial" w:hAnsi="Arial" w:cs="Arial"/>
          <w:sz w:val="22"/>
          <w:szCs w:val="22"/>
        </w:rPr>
        <w:t>m</w:t>
      </w:r>
      <w:r w:rsidR="00CC4081" w:rsidRPr="00E55BAA">
        <w:rPr>
          <w:rFonts w:ascii="Arial" w:hAnsi="Arial" w:cs="Arial"/>
          <w:sz w:val="22"/>
          <w:szCs w:val="22"/>
        </w:rPr>
        <w:t xml:space="preserve"> papir</w:t>
      </w:r>
      <w:r w:rsidR="00C92415" w:rsidRPr="00E55BA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ma u koje je dozvoljeno ulagati imovinu </w:t>
      </w:r>
      <w:proofErr w:type="spellStart"/>
      <w:r>
        <w:rPr>
          <w:rFonts w:ascii="Arial" w:hAnsi="Arial" w:cs="Arial"/>
          <w:sz w:val="22"/>
          <w:szCs w:val="22"/>
        </w:rPr>
        <w:t>UCITS</w:t>
      </w:r>
      <w:proofErr w:type="spellEnd"/>
      <w:r>
        <w:rPr>
          <w:rFonts w:ascii="Arial" w:hAnsi="Arial" w:cs="Arial"/>
          <w:sz w:val="22"/>
          <w:szCs w:val="22"/>
        </w:rPr>
        <w:t xml:space="preserve"> fonda smatraju se i</w:t>
      </w:r>
      <w:r w:rsidR="00CC4081" w:rsidRPr="00E55BAA">
        <w:rPr>
          <w:rFonts w:ascii="Arial" w:hAnsi="Arial" w:cs="Arial"/>
          <w:sz w:val="22"/>
          <w:szCs w:val="22"/>
        </w:rPr>
        <w:t>:</w:t>
      </w:r>
    </w:p>
    <w:p w14:paraId="7EB89E5C" w14:textId="3033A632" w:rsidR="00CC4081" w:rsidRPr="00E55BAA" w:rsidRDefault="00D25C3F" w:rsidP="00DF3F6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udjeli i </w:t>
      </w:r>
      <w:r w:rsidR="00CC4081" w:rsidRPr="00E55BAA">
        <w:rPr>
          <w:rFonts w:ascii="Arial" w:hAnsi="Arial" w:cs="Arial"/>
          <w:sz w:val="22"/>
          <w:szCs w:val="22"/>
        </w:rPr>
        <w:t xml:space="preserve">dionice </w:t>
      </w:r>
      <w:r w:rsidR="000E36EF" w:rsidRPr="00E55BAA">
        <w:rPr>
          <w:rFonts w:ascii="Arial" w:hAnsi="Arial" w:cs="Arial"/>
          <w:sz w:val="22"/>
          <w:szCs w:val="22"/>
        </w:rPr>
        <w:t xml:space="preserve">zatvorenih </w:t>
      </w:r>
      <w:r w:rsidR="003C3EEB" w:rsidRPr="00E55BAA">
        <w:rPr>
          <w:rFonts w:ascii="Arial" w:hAnsi="Arial" w:cs="Arial"/>
          <w:sz w:val="22"/>
          <w:szCs w:val="22"/>
        </w:rPr>
        <w:t>alternativnih investicijskih fondova</w:t>
      </w:r>
      <w:r w:rsidR="003428A2" w:rsidRPr="00E55BAA">
        <w:rPr>
          <w:rFonts w:ascii="Arial" w:hAnsi="Arial" w:cs="Arial"/>
          <w:sz w:val="22"/>
          <w:szCs w:val="22"/>
        </w:rPr>
        <w:t xml:space="preserve"> </w:t>
      </w:r>
      <w:r w:rsidR="003C3EEB" w:rsidRPr="00E55BAA">
        <w:rPr>
          <w:rFonts w:ascii="Arial" w:hAnsi="Arial" w:cs="Arial"/>
          <w:sz w:val="22"/>
          <w:szCs w:val="22"/>
        </w:rPr>
        <w:t>(</w:t>
      </w:r>
      <w:proofErr w:type="spellStart"/>
      <w:r w:rsidR="003C3EEB" w:rsidRPr="00E55BAA">
        <w:rPr>
          <w:rFonts w:ascii="Arial" w:hAnsi="Arial" w:cs="Arial"/>
          <w:sz w:val="22"/>
          <w:szCs w:val="22"/>
        </w:rPr>
        <w:t>AIF</w:t>
      </w:r>
      <w:proofErr w:type="spellEnd"/>
      <w:r w:rsidR="003C3EEB" w:rsidRPr="00E55BAA">
        <w:rPr>
          <w:rFonts w:ascii="Arial" w:hAnsi="Arial" w:cs="Arial"/>
          <w:sz w:val="22"/>
          <w:szCs w:val="22"/>
        </w:rPr>
        <w:t xml:space="preserve">-ova) </w:t>
      </w:r>
      <w:r w:rsidR="00CC4081" w:rsidRPr="00E55BAA">
        <w:rPr>
          <w:rFonts w:ascii="Arial" w:hAnsi="Arial" w:cs="Arial"/>
          <w:sz w:val="22"/>
          <w:szCs w:val="22"/>
        </w:rPr>
        <w:t>koje ispunjavaju sljedeće kriterije:</w:t>
      </w:r>
    </w:p>
    <w:p w14:paraId="1A448AFA" w14:textId="77777777" w:rsidR="00CC4081" w:rsidRPr="00E55BAA" w:rsidRDefault="00CC4081" w:rsidP="00DF3F61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lastRenderedPageBreak/>
        <w:t>ispunjavaju kriterije iz stavka 1. ovog</w:t>
      </w:r>
      <w:r w:rsidR="00C92415" w:rsidRPr="00E55BAA">
        <w:rPr>
          <w:rFonts w:ascii="Arial" w:hAnsi="Arial" w:cs="Arial"/>
          <w:sz w:val="22"/>
          <w:szCs w:val="22"/>
        </w:rPr>
        <w:t>a</w:t>
      </w:r>
      <w:r w:rsidRPr="00E55BAA">
        <w:rPr>
          <w:rFonts w:ascii="Arial" w:hAnsi="Arial" w:cs="Arial"/>
          <w:sz w:val="22"/>
          <w:szCs w:val="22"/>
        </w:rPr>
        <w:t xml:space="preserve"> članka,</w:t>
      </w:r>
    </w:p>
    <w:p w14:paraId="52945968" w14:textId="77777777" w:rsidR="00CC4081" w:rsidRPr="00E55BAA" w:rsidRDefault="00CC4081" w:rsidP="00DF3F61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na njih se primjenjuju mehanizmi korporativnog upravljanja koji se primjenjuju na </w:t>
      </w:r>
      <w:r w:rsidR="00CB5391" w:rsidRPr="00E55BAA">
        <w:rPr>
          <w:rFonts w:ascii="Arial" w:hAnsi="Arial" w:cs="Arial"/>
          <w:sz w:val="22"/>
          <w:szCs w:val="22"/>
        </w:rPr>
        <w:t>ostale izdavatelje vrijednosnih papira</w:t>
      </w:r>
      <w:r w:rsidR="002F72D2" w:rsidRPr="00E55BAA">
        <w:rPr>
          <w:rFonts w:ascii="Arial" w:hAnsi="Arial" w:cs="Arial"/>
          <w:sz w:val="22"/>
          <w:szCs w:val="22"/>
        </w:rPr>
        <w:t xml:space="preserve"> koji minimalno podrazumijevaju pravo glasa </w:t>
      </w:r>
      <w:proofErr w:type="spellStart"/>
      <w:r w:rsidR="002F72D2" w:rsidRPr="00E55BAA">
        <w:rPr>
          <w:rFonts w:ascii="Arial" w:hAnsi="Arial" w:cs="Arial"/>
          <w:sz w:val="22"/>
          <w:szCs w:val="22"/>
        </w:rPr>
        <w:t>ulagatelja</w:t>
      </w:r>
      <w:proofErr w:type="spellEnd"/>
      <w:r w:rsidR="002F72D2" w:rsidRPr="00E55BAA">
        <w:rPr>
          <w:rFonts w:ascii="Arial" w:hAnsi="Arial" w:cs="Arial"/>
          <w:sz w:val="22"/>
          <w:szCs w:val="22"/>
        </w:rPr>
        <w:t xml:space="preserve"> zatvorenog </w:t>
      </w:r>
      <w:proofErr w:type="spellStart"/>
      <w:r w:rsidR="002F72D2" w:rsidRPr="00E55BAA">
        <w:rPr>
          <w:rFonts w:ascii="Arial" w:hAnsi="Arial" w:cs="Arial"/>
          <w:sz w:val="22"/>
          <w:szCs w:val="22"/>
        </w:rPr>
        <w:t>AIF</w:t>
      </w:r>
      <w:proofErr w:type="spellEnd"/>
      <w:r w:rsidR="002F72D2" w:rsidRPr="00E55BAA">
        <w:rPr>
          <w:rFonts w:ascii="Arial" w:hAnsi="Arial" w:cs="Arial"/>
          <w:sz w:val="22"/>
          <w:szCs w:val="22"/>
        </w:rPr>
        <w:t xml:space="preserve">-a </w:t>
      </w:r>
      <w:r w:rsidR="00803A1B" w:rsidRPr="00E55BAA">
        <w:rPr>
          <w:rFonts w:ascii="Arial" w:hAnsi="Arial" w:cs="Arial"/>
          <w:sz w:val="22"/>
          <w:szCs w:val="22"/>
        </w:rPr>
        <w:t xml:space="preserve">u procesu donošenja odluka </w:t>
      </w:r>
      <w:r w:rsidR="002F72D2" w:rsidRPr="00E55BAA">
        <w:rPr>
          <w:rFonts w:ascii="Arial" w:hAnsi="Arial" w:cs="Arial"/>
          <w:sz w:val="22"/>
          <w:szCs w:val="22"/>
        </w:rPr>
        <w:t>i mogućnost utjecaja na strategiju ulaganja</w:t>
      </w:r>
      <w:r w:rsidR="00803A1B" w:rsidRPr="00E55BAA">
        <w:rPr>
          <w:rFonts w:ascii="Arial" w:hAnsi="Arial" w:cs="Arial"/>
          <w:sz w:val="22"/>
          <w:szCs w:val="22"/>
        </w:rPr>
        <w:t xml:space="preserve"> i investicijsku politiku</w:t>
      </w:r>
      <w:r w:rsidR="002F72D2" w:rsidRPr="00E55BAA">
        <w:rPr>
          <w:rFonts w:ascii="Arial" w:hAnsi="Arial" w:cs="Arial"/>
          <w:sz w:val="22"/>
          <w:szCs w:val="22"/>
        </w:rPr>
        <w:t xml:space="preserve"> zatvorenog </w:t>
      </w:r>
      <w:proofErr w:type="spellStart"/>
      <w:r w:rsidR="002F72D2" w:rsidRPr="00E55BAA">
        <w:rPr>
          <w:rFonts w:ascii="Arial" w:hAnsi="Arial" w:cs="Arial"/>
          <w:sz w:val="22"/>
          <w:szCs w:val="22"/>
        </w:rPr>
        <w:t>AIF</w:t>
      </w:r>
      <w:proofErr w:type="spellEnd"/>
      <w:r w:rsidR="002F72D2" w:rsidRPr="00E55BAA">
        <w:rPr>
          <w:rFonts w:ascii="Arial" w:hAnsi="Arial" w:cs="Arial"/>
          <w:sz w:val="22"/>
          <w:szCs w:val="22"/>
        </w:rPr>
        <w:t>-a</w:t>
      </w:r>
      <w:r w:rsidRPr="00E55BAA">
        <w:rPr>
          <w:rFonts w:ascii="Arial" w:hAnsi="Arial" w:cs="Arial"/>
          <w:sz w:val="22"/>
          <w:szCs w:val="22"/>
        </w:rPr>
        <w:t>,</w:t>
      </w:r>
    </w:p>
    <w:p w14:paraId="2036DAA7" w14:textId="13D86475" w:rsidR="00CC4081" w:rsidRPr="00E55BAA" w:rsidRDefault="00CC4081" w:rsidP="00DF3F61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kada </w:t>
      </w:r>
      <w:r w:rsidR="00CB5391" w:rsidRPr="00E55BAA">
        <w:rPr>
          <w:rFonts w:ascii="Arial" w:hAnsi="Arial" w:cs="Arial"/>
          <w:sz w:val="22"/>
          <w:szCs w:val="22"/>
        </w:rPr>
        <w:t xml:space="preserve">poslove upravljanja </w:t>
      </w:r>
      <w:r w:rsidRPr="00E55BAA">
        <w:rPr>
          <w:rFonts w:ascii="Arial" w:hAnsi="Arial" w:cs="Arial"/>
          <w:sz w:val="22"/>
          <w:szCs w:val="22"/>
        </w:rPr>
        <w:t xml:space="preserve">imovinom u ime zatvorenog </w:t>
      </w:r>
      <w:proofErr w:type="spellStart"/>
      <w:r w:rsidR="00DC5746" w:rsidRPr="00E55BAA">
        <w:rPr>
          <w:rFonts w:ascii="Arial" w:hAnsi="Arial" w:cs="Arial"/>
          <w:sz w:val="22"/>
          <w:szCs w:val="22"/>
        </w:rPr>
        <w:t>AIF</w:t>
      </w:r>
      <w:proofErr w:type="spellEnd"/>
      <w:r w:rsidR="00DC5746" w:rsidRPr="00E55BAA">
        <w:rPr>
          <w:rFonts w:ascii="Arial" w:hAnsi="Arial" w:cs="Arial"/>
          <w:sz w:val="22"/>
          <w:szCs w:val="22"/>
        </w:rPr>
        <w:t>-a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CB5391" w:rsidRPr="00E55BAA">
        <w:rPr>
          <w:rFonts w:ascii="Arial" w:hAnsi="Arial" w:cs="Arial"/>
          <w:sz w:val="22"/>
          <w:szCs w:val="22"/>
        </w:rPr>
        <w:t xml:space="preserve">obavlja </w:t>
      </w:r>
      <w:r w:rsidR="009B5A8E">
        <w:rPr>
          <w:rFonts w:ascii="Arial" w:hAnsi="Arial" w:cs="Arial"/>
          <w:sz w:val="22"/>
          <w:szCs w:val="22"/>
        </w:rPr>
        <w:t>vanjski upravitelj</w:t>
      </w:r>
      <w:r w:rsidRPr="00E55BAA">
        <w:rPr>
          <w:rFonts w:ascii="Arial" w:hAnsi="Arial" w:cs="Arial"/>
          <w:sz w:val="22"/>
          <w:szCs w:val="22"/>
        </w:rPr>
        <w:t xml:space="preserve">, taj </w:t>
      </w:r>
      <w:r w:rsidR="009B5A8E">
        <w:rPr>
          <w:rFonts w:ascii="Arial" w:hAnsi="Arial" w:cs="Arial"/>
          <w:sz w:val="22"/>
          <w:szCs w:val="22"/>
        </w:rPr>
        <w:t>upravitelj</w:t>
      </w:r>
      <w:r w:rsidR="009B5A8E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 xml:space="preserve">mora biti </w:t>
      </w:r>
      <w:r w:rsidR="00D25C3F">
        <w:rPr>
          <w:rFonts w:ascii="Arial" w:hAnsi="Arial" w:cs="Arial"/>
          <w:sz w:val="22"/>
          <w:szCs w:val="22"/>
        </w:rPr>
        <w:t>reguliran</w:t>
      </w:r>
      <w:r w:rsidR="00D25C3F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 xml:space="preserve">nacionalnim zakonodavstvom </w:t>
      </w:r>
      <w:r w:rsidR="00CB5391" w:rsidRPr="00E55BAA">
        <w:rPr>
          <w:rFonts w:ascii="Arial" w:hAnsi="Arial" w:cs="Arial"/>
          <w:sz w:val="22"/>
          <w:szCs w:val="22"/>
        </w:rPr>
        <w:t>u svrhu</w:t>
      </w:r>
      <w:r w:rsidRPr="00E55BAA">
        <w:rPr>
          <w:rFonts w:ascii="Arial" w:hAnsi="Arial" w:cs="Arial"/>
          <w:sz w:val="22"/>
          <w:szCs w:val="22"/>
        </w:rPr>
        <w:t xml:space="preserve"> zaštite </w:t>
      </w:r>
      <w:proofErr w:type="spellStart"/>
      <w:r w:rsidRPr="00E55BAA">
        <w:rPr>
          <w:rFonts w:ascii="Arial" w:hAnsi="Arial" w:cs="Arial"/>
          <w:sz w:val="22"/>
          <w:szCs w:val="22"/>
        </w:rPr>
        <w:t>ulagatelja</w:t>
      </w:r>
      <w:proofErr w:type="spellEnd"/>
      <w:r w:rsidR="00DF578C" w:rsidRPr="00E55BAA">
        <w:rPr>
          <w:rFonts w:ascii="Arial" w:hAnsi="Arial" w:cs="Arial"/>
          <w:sz w:val="22"/>
          <w:szCs w:val="22"/>
        </w:rPr>
        <w:t xml:space="preserve"> </w:t>
      </w:r>
      <w:r w:rsidR="002F72D2" w:rsidRPr="00E55BAA">
        <w:rPr>
          <w:rFonts w:ascii="Arial" w:hAnsi="Arial" w:cs="Arial"/>
          <w:sz w:val="22"/>
          <w:szCs w:val="22"/>
        </w:rPr>
        <w:t xml:space="preserve">koja minimalno podrazumijeva </w:t>
      </w:r>
      <w:r w:rsidR="00F26206">
        <w:rPr>
          <w:rFonts w:ascii="Arial" w:hAnsi="Arial" w:cs="Arial"/>
          <w:sz w:val="22"/>
          <w:szCs w:val="22"/>
        </w:rPr>
        <w:t xml:space="preserve">odvojenost imovine fonda od imovine upravitelja te </w:t>
      </w:r>
      <w:r w:rsidR="00DF578C" w:rsidRPr="00E55BAA">
        <w:rPr>
          <w:rFonts w:ascii="Arial" w:hAnsi="Arial" w:cs="Arial"/>
          <w:sz w:val="22"/>
          <w:szCs w:val="22"/>
        </w:rPr>
        <w:t xml:space="preserve">izdvojenost imovine zatvorenog </w:t>
      </w:r>
      <w:proofErr w:type="spellStart"/>
      <w:r w:rsidR="00DF578C" w:rsidRPr="00E55BAA">
        <w:rPr>
          <w:rFonts w:ascii="Arial" w:hAnsi="Arial" w:cs="Arial"/>
          <w:sz w:val="22"/>
          <w:szCs w:val="22"/>
        </w:rPr>
        <w:t>AIF</w:t>
      </w:r>
      <w:proofErr w:type="spellEnd"/>
      <w:r w:rsidR="00DF578C" w:rsidRPr="00E55BAA">
        <w:rPr>
          <w:rFonts w:ascii="Arial" w:hAnsi="Arial" w:cs="Arial"/>
          <w:sz w:val="22"/>
          <w:szCs w:val="22"/>
        </w:rPr>
        <w:t>-a iz stečajne odnosno likvidacijske mase</w:t>
      </w:r>
      <w:r w:rsidR="00204C5F" w:rsidRPr="00E55BAA">
        <w:rPr>
          <w:rFonts w:ascii="Arial" w:hAnsi="Arial" w:cs="Arial"/>
          <w:sz w:val="22"/>
          <w:szCs w:val="22"/>
        </w:rPr>
        <w:t xml:space="preserve"> depozitara i upravitelja</w:t>
      </w:r>
      <w:r w:rsidR="00600A53">
        <w:rPr>
          <w:rFonts w:ascii="Arial" w:hAnsi="Arial" w:cs="Arial"/>
          <w:sz w:val="22"/>
          <w:szCs w:val="22"/>
        </w:rPr>
        <w:t>,</w:t>
      </w:r>
    </w:p>
    <w:p w14:paraId="736EF369" w14:textId="2D11244B" w:rsidR="00CC4081" w:rsidRPr="00E55BAA" w:rsidRDefault="0051404D" w:rsidP="00DF3F6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strukturirani </w:t>
      </w:r>
      <w:r w:rsidR="00CC4081" w:rsidRPr="00E55BAA">
        <w:rPr>
          <w:rFonts w:ascii="Arial" w:hAnsi="Arial" w:cs="Arial"/>
          <w:sz w:val="22"/>
          <w:szCs w:val="22"/>
        </w:rPr>
        <w:t>financijski instrumenti koji zadovoljavaju sljedeće kriterije:</w:t>
      </w:r>
    </w:p>
    <w:p w14:paraId="027CEC93" w14:textId="77777777" w:rsidR="00CC4081" w:rsidRPr="00E55BAA" w:rsidRDefault="00CC4081" w:rsidP="00DF3F6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ispunjavanju kriterije iz stavka 1. ovog članka,</w:t>
      </w:r>
    </w:p>
    <w:p w14:paraId="0D8C6666" w14:textId="48411E25" w:rsidR="00CC4081" w:rsidRPr="00E55BAA" w:rsidRDefault="009B5A8E" w:rsidP="00DF3F6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osigurani su</w:t>
      </w:r>
      <w:r w:rsidR="006072B9" w:rsidRPr="00E55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drugom imovinom </w:t>
      </w:r>
      <w:r w:rsidR="006072B9" w:rsidRPr="00E55BAA">
        <w:rPr>
          <w:rFonts w:ascii="Arial" w:hAnsi="Arial" w:cs="Arial"/>
          <w:sz w:val="22"/>
          <w:szCs w:val="22"/>
        </w:rPr>
        <w:t xml:space="preserve">ili su povezani s </w:t>
      </w:r>
      <w:r>
        <w:rPr>
          <w:rFonts w:ascii="Arial" w:hAnsi="Arial" w:cs="Arial"/>
          <w:sz w:val="22"/>
          <w:szCs w:val="22"/>
        </w:rPr>
        <w:t xml:space="preserve">izvedbom </w:t>
      </w:r>
      <w:r w:rsidR="006072B9" w:rsidRPr="00E55BAA">
        <w:rPr>
          <w:rFonts w:ascii="Arial" w:hAnsi="Arial" w:cs="Arial"/>
          <w:sz w:val="22"/>
          <w:szCs w:val="22"/>
        </w:rPr>
        <w:t>drug</w:t>
      </w:r>
      <w:r>
        <w:rPr>
          <w:rFonts w:ascii="Arial" w:hAnsi="Arial" w:cs="Arial"/>
          <w:sz w:val="22"/>
          <w:szCs w:val="22"/>
        </w:rPr>
        <w:t>e</w:t>
      </w:r>
      <w:r w:rsidR="006072B9" w:rsidRPr="00E55BAA">
        <w:rPr>
          <w:rFonts w:ascii="Arial" w:hAnsi="Arial" w:cs="Arial"/>
          <w:sz w:val="22"/>
          <w:szCs w:val="22"/>
        </w:rPr>
        <w:t xml:space="preserve"> imovin</w:t>
      </w:r>
      <w:r>
        <w:rPr>
          <w:rFonts w:ascii="Arial" w:hAnsi="Arial" w:cs="Arial"/>
          <w:sz w:val="22"/>
          <w:szCs w:val="22"/>
        </w:rPr>
        <w:t>e</w:t>
      </w:r>
      <w:r w:rsidR="00CC4081" w:rsidRPr="00E55BAA">
        <w:rPr>
          <w:rFonts w:ascii="Arial" w:hAnsi="Arial" w:cs="Arial"/>
          <w:sz w:val="22"/>
          <w:szCs w:val="22"/>
        </w:rPr>
        <w:t xml:space="preserve"> koja može biti različita od imovine iz članka </w:t>
      </w:r>
      <w:r w:rsidR="00B2495F">
        <w:rPr>
          <w:rFonts w:ascii="Arial" w:hAnsi="Arial" w:cs="Arial"/>
          <w:sz w:val="22"/>
          <w:szCs w:val="22"/>
        </w:rPr>
        <w:t>252</w:t>
      </w:r>
      <w:r w:rsidR="00CC4081" w:rsidRPr="00E55BAA">
        <w:rPr>
          <w:rFonts w:ascii="Arial" w:hAnsi="Arial" w:cs="Arial"/>
          <w:sz w:val="22"/>
          <w:szCs w:val="22"/>
        </w:rPr>
        <w:t xml:space="preserve">. </w:t>
      </w:r>
      <w:r w:rsidR="00775687" w:rsidRPr="00E55BAA">
        <w:rPr>
          <w:rFonts w:ascii="Arial" w:hAnsi="Arial" w:cs="Arial"/>
          <w:sz w:val="22"/>
          <w:szCs w:val="22"/>
        </w:rPr>
        <w:t>stavka</w:t>
      </w:r>
      <w:r w:rsidR="00CC4081" w:rsidRPr="00E55BAA">
        <w:rPr>
          <w:rFonts w:ascii="Arial" w:hAnsi="Arial" w:cs="Arial"/>
          <w:sz w:val="22"/>
          <w:szCs w:val="22"/>
        </w:rPr>
        <w:t xml:space="preserve"> 1. Zakona.</w:t>
      </w:r>
    </w:p>
    <w:p w14:paraId="5E4103DD" w14:textId="77777777" w:rsidR="00CC4081" w:rsidRPr="00E55BAA" w:rsidRDefault="00CC4081" w:rsidP="00DF3F61">
      <w:pPr>
        <w:ind w:left="1068"/>
        <w:jc w:val="both"/>
        <w:rPr>
          <w:rFonts w:ascii="Arial" w:hAnsi="Arial" w:cs="Arial"/>
          <w:sz w:val="22"/>
          <w:szCs w:val="22"/>
        </w:rPr>
      </w:pPr>
    </w:p>
    <w:p w14:paraId="7F3E1796" w14:textId="5B83C0E8" w:rsidR="00CC4081" w:rsidRDefault="00CC4081" w:rsidP="00DF3F61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Ako financijski </w:t>
      </w:r>
      <w:r w:rsidRPr="003216D3">
        <w:rPr>
          <w:rFonts w:ascii="Arial" w:hAnsi="Arial" w:cs="Arial"/>
          <w:sz w:val="22"/>
          <w:szCs w:val="22"/>
        </w:rPr>
        <w:t xml:space="preserve">instrument iz </w:t>
      </w:r>
      <w:r w:rsidR="00DF3148" w:rsidRPr="003216D3">
        <w:rPr>
          <w:rFonts w:ascii="Arial" w:hAnsi="Arial" w:cs="Arial"/>
          <w:sz w:val="22"/>
          <w:szCs w:val="22"/>
        </w:rPr>
        <w:t xml:space="preserve">stavka </w:t>
      </w:r>
      <w:r w:rsidR="007E097A">
        <w:rPr>
          <w:rFonts w:ascii="Arial" w:hAnsi="Arial" w:cs="Arial"/>
          <w:sz w:val="22"/>
          <w:szCs w:val="22"/>
        </w:rPr>
        <w:t>7</w:t>
      </w:r>
      <w:r w:rsidR="00DF3148" w:rsidRPr="003216D3">
        <w:rPr>
          <w:rFonts w:ascii="Arial" w:hAnsi="Arial" w:cs="Arial"/>
          <w:sz w:val="22"/>
          <w:szCs w:val="22"/>
        </w:rPr>
        <w:t xml:space="preserve">. </w:t>
      </w:r>
      <w:r w:rsidRPr="003216D3">
        <w:rPr>
          <w:rFonts w:ascii="Arial" w:hAnsi="Arial" w:cs="Arial"/>
          <w:sz w:val="22"/>
          <w:szCs w:val="22"/>
        </w:rPr>
        <w:t>točke 2. ovog</w:t>
      </w:r>
      <w:r w:rsidR="009A76C3" w:rsidRPr="003216D3">
        <w:rPr>
          <w:rFonts w:ascii="Arial" w:hAnsi="Arial" w:cs="Arial"/>
          <w:sz w:val="22"/>
          <w:szCs w:val="22"/>
        </w:rPr>
        <w:t>a</w:t>
      </w:r>
      <w:r w:rsidRPr="003216D3">
        <w:rPr>
          <w:rFonts w:ascii="Arial" w:hAnsi="Arial" w:cs="Arial"/>
          <w:sz w:val="22"/>
          <w:szCs w:val="22"/>
        </w:rPr>
        <w:t xml:space="preserve"> članka sadrži ugrađenu izvedenic</w:t>
      </w:r>
      <w:r w:rsidR="003046F4" w:rsidRPr="00074924">
        <w:rPr>
          <w:rFonts w:ascii="Arial" w:hAnsi="Arial" w:cs="Arial"/>
          <w:sz w:val="22"/>
          <w:szCs w:val="22"/>
        </w:rPr>
        <w:t>u</w:t>
      </w:r>
      <w:r w:rsidRPr="005D479A">
        <w:rPr>
          <w:rFonts w:ascii="Arial" w:hAnsi="Arial" w:cs="Arial"/>
          <w:sz w:val="22"/>
          <w:szCs w:val="22"/>
        </w:rPr>
        <w:t xml:space="preserve"> na način </w:t>
      </w:r>
      <w:r w:rsidR="009A76C3" w:rsidRPr="005D479A">
        <w:rPr>
          <w:rFonts w:ascii="Arial" w:hAnsi="Arial" w:cs="Arial"/>
          <w:sz w:val="22"/>
          <w:szCs w:val="22"/>
        </w:rPr>
        <w:t xml:space="preserve">kako </w:t>
      </w:r>
      <w:r w:rsidRPr="003216D3">
        <w:rPr>
          <w:rFonts w:ascii="Arial" w:hAnsi="Arial" w:cs="Arial"/>
          <w:sz w:val="22"/>
          <w:szCs w:val="22"/>
        </w:rPr>
        <w:t xml:space="preserve">se navodi u članku </w:t>
      </w:r>
      <w:r w:rsidR="00DF3148" w:rsidRPr="003216D3">
        <w:rPr>
          <w:rFonts w:ascii="Arial" w:hAnsi="Arial" w:cs="Arial"/>
          <w:sz w:val="22"/>
          <w:szCs w:val="22"/>
        </w:rPr>
        <w:t>1</w:t>
      </w:r>
      <w:r w:rsidR="0051404D" w:rsidRPr="003216D3">
        <w:rPr>
          <w:rFonts w:ascii="Arial" w:hAnsi="Arial" w:cs="Arial"/>
          <w:sz w:val="22"/>
          <w:szCs w:val="22"/>
        </w:rPr>
        <w:t>3</w:t>
      </w:r>
      <w:r w:rsidRPr="003216D3">
        <w:rPr>
          <w:rFonts w:ascii="Arial" w:hAnsi="Arial" w:cs="Arial"/>
          <w:sz w:val="22"/>
          <w:szCs w:val="22"/>
        </w:rPr>
        <w:t>. ovog</w:t>
      </w:r>
      <w:r w:rsidR="00CB5391" w:rsidRPr="003216D3">
        <w:rPr>
          <w:rFonts w:ascii="Arial" w:hAnsi="Arial" w:cs="Arial"/>
          <w:sz w:val="22"/>
          <w:szCs w:val="22"/>
        </w:rPr>
        <w:t>a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A742F1" w:rsidRPr="00E55BAA">
        <w:rPr>
          <w:rFonts w:ascii="Arial" w:hAnsi="Arial" w:cs="Arial"/>
          <w:sz w:val="22"/>
          <w:szCs w:val="22"/>
        </w:rPr>
        <w:t>p</w:t>
      </w:r>
      <w:r w:rsidRPr="00E55BAA">
        <w:rPr>
          <w:rFonts w:ascii="Arial" w:hAnsi="Arial" w:cs="Arial"/>
          <w:sz w:val="22"/>
          <w:szCs w:val="22"/>
        </w:rPr>
        <w:t>ravilnika, na tu izvedenicu primjenjivat će se uvjet</w:t>
      </w:r>
      <w:r w:rsidR="009A76C3" w:rsidRPr="00E55BAA">
        <w:rPr>
          <w:rFonts w:ascii="Arial" w:hAnsi="Arial" w:cs="Arial"/>
          <w:sz w:val="22"/>
          <w:szCs w:val="22"/>
        </w:rPr>
        <w:t>i</w:t>
      </w:r>
      <w:r w:rsidR="00B701A2" w:rsidRPr="00E55BAA">
        <w:rPr>
          <w:rFonts w:ascii="Arial" w:hAnsi="Arial" w:cs="Arial"/>
          <w:sz w:val="22"/>
          <w:szCs w:val="22"/>
        </w:rPr>
        <w:t xml:space="preserve"> i ograničenja </w:t>
      </w:r>
      <w:r w:rsidRPr="00E55BAA">
        <w:rPr>
          <w:rFonts w:ascii="Arial" w:hAnsi="Arial" w:cs="Arial"/>
          <w:sz w:val="22"/>
          <w:szCs w:val="22"/>
        </w:rPr>
        <w:t>Zakon</w:t>
      </w:r>
      <w:r w:rsidR="00B701A2" w:rsidRPr="00E55BAA">
        <w:rPr>
          <w:rFonts w:ascii="Arial" w:hAnsi="Arial" w:cs="Arial"/>
          <w:sz w:val="22"/>
          <w:szCs w:val="22"/>
        </w:rPr>
        <w:t>om</w:t>
      </w:r>
      <w:r w:rsidR="00940A30" w:rsidRPr="00E55BAA">
        <w:rPr>
          <w:rFonts w:ascii="Arial" w:hAnsi="Arial" w:cs="Arial"/>
          <w:sz w:val="22"/>
          <w:szCs w:val="22"/>
        </w:rPr>
        <w:t xml:space="preserve"> propisani za financijske izvedenice</w:t>
      </w:r>
      <w:r w:rsidRPr="00E55BAA">
        <w:rPr>
          <w:rFonts w:ascii="Arial" w:hAnsi="Arial" w:cs="Arial"/>
          <w:sz w:val="22"/>
          <w:szCs w:val="22"/>
        </w:rPr>
        <w:t>.</w:t>
      </w:r>
    </w:p>
    <w:p w14:paraId="63489FB6" w14:textId="77777777" w:rsidR="003216D3" w:rsidRDefault="003216D3" w:rsidP="003216D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1BB28CC" w14:textId="2B6F0AE9" w:rsidR="00497237" w:rsidRPr="00E55BAA" w:rsidRDefault="00497237" w:rsidP="00497237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497237">
        <w:rPr>
          <w:rFonts w:ascii="Arial" w:hAnsi="Arial" w:cs="Arial"/>
          <w:sz w:val="22"/>
          <w:szCs w:val="22"/>
        </w:rPr>
        <w:t xml:space="preserve">Ulaganje imovine </w:t>
      </w:r>
      <w:proofErr w:type="spellStart"/>
      <w:r w:rsidRPr="00497237">
        <w:rPr>
          <w:rFonts w:ascii="Arial" w:hAnsi="Arial" w:cs="Arial"/>
          <w:sz w:val="22"/>
          <w:szCs w:val="22"/>
        </w:rPr>
        <w:t>UCITS</w:t>
      </w:r>
      <w:proofErr w:type="spellEnd"/>
      <w:r w:rsidRPr="00497237">
        <w:rPr>
          <w:rFonts w:ascii="Arial" w:hAnsi="Arial" w:cs="Arial"/>
          <w:sz w:val="22"/>
          <w:szCs w:val="22"/>
        </w:rPr>
        <w:t xml:space="preserve"> fonda u prenosive vri</w:t>
      </w:r>
      <w:r>
        <w:rPr>
          <w:rFonts w:ascii="Arial" w:hAnsi="Arial" w:cs="Arial"/>
          <w:sz w:val="22"/>
          <w:szCs w:val="22"/>
        </w:rPr>
        <w:t>jednosne papire iz članka 252</w:t>
      </w:r>
      <w:r w:rsidRPr="00497237">
        <w:rPr>
          <w:rFonts w:ascii="Arial" w:hAnsi="Arial" w:cs="Arial"/>
          <w:sz w:val="22"/>
          <w:szCs w:val="22"/>
        </w:rPr>
        <w:t xml:space="preserve">. stavka 2. Zakona dozvoljeno je isključivo ako je predviđeno prospektom </w:t>
      </w:r>
      <w:proofErr w:type="spellStart"/>
      <w:r w:rsidRPr="00497237">
        <w:rPr>
          <w:rFonts w:ascii="Arial" w:hAnsi="Arial" w:cs="Arial"/>
          <w:sz w:val="22"/>
          <w:szCs w:val="22"/>
        </w:rPr>
        <w:t>UCITS</w:t>
      </w:r>
      <w:proofErr w:type="spellEnd"/>
      <w:r w:rsidRPr="00497237">
        <w:rPr>
          <w:rFonts w:ascii="Arial" w:hAnsi="Arial" w:cs="Arial"/>
          <w:sz w:val="22"/>
          <w:szCs w:val="22"/>
        </w:rPr>
        <w:t xml:space="preserve"> fonda.</w:t>
      </w:r>
    </w:p>
    <w:p w14:paraId="24ADCAB8" w14:textId="77777777" w:rsidR="00133363" w:rsidRDefault="00133363" w:rsidP="008D407B">
      <w:pPr>
        <w:jc w:val="center"/>
        <w:rPr>
          <w:rFonts w:ascii="Arial" w:hAnsi="Arial" w:cs="Arial"/>
          <w:sz w:val="22"/>
          <w:szCs w:val="22"/>
        </w:rPr>
      </w:pPr>
    </w:p>
    <w:p w14:paraId="23DA8AEF" w14:textId="77777777" w:rsidR="008D407B" w:rsidRPr="00203950" w:rsidRDefault="008D407B" w:rsidP="00B96EEC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203950">
        <w:rPr>
          <w:rFonts w:ascii="Arial" w:hAnsi="Arial" w:cs="Arial"/>
          <w:b w:val="0"/>
          <w:sz w:val="22"/>
          <w:szCs w:val="22"/>
        </w:rPr>
        <w:t xml:space="preserve">Poglavlje 2. </w:t>
      </w:r>
    </w:p>
    <w:p w14:paraId="3CF6E7B5" w14:textId="1210AF98" w:rsidR="001B3062" w:rsidRPr="00203950" w:rsidRDefault="008D407B" w:rsidP="00B96EEC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203950">
        <w:rPr>
          <w:rFonts w:ascii="Arial" w:hAnsi="Arial" w:cs="Arial"/>
          <w:b w:val="0"/>
          <w:sz w:val="22"/>
          <w:szCs w:val="22"/>
        </w:rPr>
        <w:t xml:space="preserve">Instrumenti tržišta novca </w:t>
      </w:r>
    </w:p>
    <w:p w14:paraId="495A0269" w14:textId="017BFC46" w:rsidR="00CC4081" w:rsidRPr="00B96EEC" w:rsidRDefault="00AD5410" w:rsidP="00B96EEC">
      <w:pPr>
        <w:pStyle w:val="Heading4"/>
        <w:rPr>
          <w:rFonts w:ascii="Arial" w:hAnsi="Arial" w:cs="Arial"/>
          <w:i w:val="0"/>
          <w:color w:val="auto"/>
          <w:sz w:val="22"/>
          <w:szCs w:val="22"/>
        </w:rPr>
      </w:pPr>
      <w:r w:rsidRPr="00B96EEC">
        <w:rPr>
          <w:rFonts w:ascii="Arial" w:hAnsi="Arial" w:cs="Arial"/>
          <w:i w:val="0"/>
          <w:color w:val="auto"/>
          <w:sz w:val="22"/>
          <w:szCs w:val="22"/>
        </w:rPr>
        <w:t>Instrumenti tržišta novca</w:t>
      </w:r>
      <w:r w:rsidR="00D72BE8" w:rsidRPr="00B96EEC">
        <w:rPr>
          <w:rFonts w:ascii="Arial" w:hAnsi="Arial" w:cs="Arial"/>
          <w:i w:val="0"/>
          <w:color w:val="auto"/>
          <w:sz w:val="22"/>
          <w:szCs w:val="22"/>
        </w:rPr>
        <w:t xml:space="preserve"> kojima se uobičajeno trguje na novčanom tržištu</w:t>
      </w:r>
    </w:p>
    <w:p w14:paraId="1D1B4E43" w14:textId="688C5F8B" w:rsidR="00CC4081" w:rsidRPr="00B96EEC" w:rsidRDefault="00CC4081" w:rsidP="00B96EEC">
      <w:pPr>
        <w:pStyle w:val="Heading4"/>
        <w:rPr>
          <w:rFonts w:ascii="Arial" w:hAnsi="Arial" w:cs="Arial"/>
          <w:i w:val="0"/>
          <w:color w:val="auto"/>
          <w:sz w:val="22"/>
          <w:szCs w:val="22"/>
        </w:rPr>
      </w:pPr>
      <w:r w:rsidRPr="00B96EEC">
        <w:rPr>
          <w:rFonts w:ascii="Arial" w:hAnsi="Arial" w:cs="Arial"/>
          <w:i w:val="0"/>
          <w:color w:val="auto"/>
          <w:sz w:val="22"/>
          <w:szCs w:val="22"/>
        </w:rPr>
        <w:t xml:space="preserve">Članak </w:t>
      </w:r>
      <w:r w:rsidR="007053D9" w:rsidRPr="00B96EEC">
        <w:rPr>
          <w:rFonts w:ascii="Arial" w:hAnsi="Arial" w:cs="Arial"/>
          <w:i w:val="0"/>
          <w:color w:val="auto"/>
          <w:sz w:val="22"/>
          <w:szCs w:val="22"/>
        </w:rPr>
        <w:t>6</w:t>
      </w:r>
      <w:r w:rsidRPr="00B96EEC">
        <w:rPr>
          <w:rFonts w:ascii="Arial" w:hAnsi="Arial" w:cs="Arial"/>
          <w:i w:val="0"/>
          <w:color w:val="auto"/>
          <w:sz w:val="22"/>
          <w:szCs w:val="22"/>
        </w:rPr>
        <w:t>.</w:t>
      </w:r>
    </w:p>
    <w:p w14:paraId="3B962B32" w14:textId="77777777" w:rsidR="00C54048" w:rsidRPr="00E55BAA" w:rsidRDefault="00C54048" w:rsidP="00DF3F61">
      <w:pPr>
        <w:rPr>
          <w:rFonts w:ascii="Arial" w:hAnsi="Arial" w:cs="Arial"/>
          <w:sz w:val="22"/>
          <w:szCs w:val="22"/>
        </w:rPr>
      </w:pPr>
    </w:p>
    <w:p w14:paraId="0B03E240" w14:textId="10E23224" w:rsidR="0096694F" w:rsidRPr="00126CBF" w:rsidRDefault="00094198" w:rsidP="00365FA4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26CBF">
        <w:rPr>
          <w:rFonts w:ascii="Arial" w:hAnsi="Arial" w:cs="Arial"/>
          <w:sz w:val="22"/>
          <w:szCs w:val="22"/>
        </w:rPr>
        <w:t>Instrumentima</w:t>
      </w:r>
      <w:r w:rsidR="00CC4081" w:rsidRPr="00126CBF">
        <w:rPr>
          <w:rFonts w:ascii="Arial" w:hAnsi="Arial" w:cs="Arial"/>
          <w:sz w:val="22"/>
          <w:szCs w:val="22"/>
        </w:rPr>
        <w:t xml:space="preserve"> tržišta novca </w:t>
      </w:r>
      <w:r w:rsidR="00126CBF">
        <w:rPr>
          <w:rFonts w:ascii="Arial" w:hAnsi="Arial" w:cs="Arial"/>
          <w:sz w:val="22"/>
          <w:szCs w:val="22"/>
        </w:rPr>
        <w:t xml:space="preserve">kojima se </w:t>
      </w:r>
      <w:r w:rsidR="00C22EAF">
        <w:rPr>
          <w:rFonts w:ascii="Arial" w:hAnsi="Arial" w:cs="Arial"/>
          <w:sz w:val="22"/>
          <w:szCs w:val="22"/>
        </w:rPr>
        <w:t>uobičajeno trguje na novčanom tržištu</w:t>
      </w:r>
      <w:r w:rsidRPr="00126CBF">
        <w:rPr>
          <w:rFonts w:ascii="Arial" w:hAnsi="Arial" w:cs="Arial"/>
          <w:sz w:val="22"/>
          <w:szCs w:val="22"/>
        </w:rPr>
        <w:t xml:space="preserve"> </w:t>
      </w:r>
      <w:r w:rsidR="00B35E03" w:rsidRPr="00126CBF">
        <w:rPr>
          <w:rFonts w:ascii="Arial" w:hAnsi="Arial" w:cs="Arial"/>
          <w:sz w:val="22"/>
          <w:szCs w:val="22"/>
        </w:rPr>
        <w:t>smatraju se</w:t>
      </w:r>
      <w:r w:rsidRPr="00126CBF">
        <w:rPr>
          <w:rFonts w:ascii="Arial" w:hAnsi="Arial" w:cs="Arial"/>
          <w:sz w:val="22"/>
          <w:szCs w:val="22"/>
        </w:rPr>
        <w:t xml:space="preserve"> </w:t>
      </w:r>
      <w:r w:rsidR="00C22EAF">
        <w:rPr>
          <w:rFonts w:ascii="Arial" w:hAnsi="Arial" w:cs="Arial"/>
          <w:sz w:val="22"/>
          <w:szCs w:val="22"/>
        </w:rPr>
        <w:t xml:space="preserve">oni </w:t>
      </w:r>
      <w:r w:rsidRPr="00126CBF">
        <w:rPr>
          <w:rFonts w:ascii="Arial" w:hAnsi="Arial" w:cs="Arial"/>
          <w:sz w:val="22"/>
          <w:szCs w:val="22"/>
        </w:rPr>
        <w:t xml:space="preserve">instrumenti koji ispunjavaju </w:t>
      </w:r>
      <w:r w:rsidR="005F315B" w:rsidRPr="00126CBF">
        <w:rPr>
          <w:rFonts w:ascii="Arial" w:hAnsi="Arial" w:cs="Arial"/>
          <w:sz w:val="22"/>
          <w:szCs w:val="22"/>
        </w:rPr>
        <w:t xml:space="preserve">jedan od </w:t>
      </w:r>
      <w:r w:rsidR="00B33A00" w:rsidRPr="00126CBF">
        <w:rPr>
          <w:rFonts w:ascii="Arial" w:hAnsi="Arial" w:cs="Arial"/>
          <w:sz w:val="22"/>
          <w:szCs w:val="22"/>
        </w:rPr>
        <w:t>sljedeć</w:t>
      </w:r>
      <w:r w:rsidR="005F315B" w:rsidRPr="00126CBF">
        <w:rPr>
          <w:rFonts w:ascii="Arial" w:hAnsi="Arial" w:cs="Arial"/>
          <w:sz w:val="22"/>
          <w:szCs w:val="22"/>
        </w:rPr>
        <w:t>ih</w:t>
      </w:r>
      <w:r w:rsidR="00B33A00" w:rsidRPr="00126CBF">
        <w:rPr>
          <w:rFonts w:ascii="Arial" w:hAnsi="Arial" w:cs="Arial"/>
          <w:sz w:val="22"/>
          <w:szCs w:val="22"/>
        </w:rPr>
        <w:t xml:space="preserve"> uvjet</w:t>
      </w:r>
      <w:r w:rsidR="005F315B" w:rsidRPr="00126CBF">
        <w:rPr>
          <w:rFonts w:ascii="Arial" w:hAnsi="Arial" w:cs="Arial"/>
          <w:sz w:val="22"/>
          <w:szCs w:val="22"/>
        </w:rPr>
        <w:t>a</w:t>
      </w:r>
      <w:r w:rsidR="0096694F" w:rsidRPr="00C22EAF">
        <w:rPr>
          <w:rFonts w:ascii="Arial" w:hAnsi="Arial" w:cs="Arial"/>
          <w:sz w:val="22"/>
          <w:szCs w:val="22"/>
        </w:rPr>
        <w:t>:</w:t>
      </w:r>
    </w:p>
    <w:p w14:paraId="2F0B76DC" w14:textId="7416D2EC" w:rsidR="00094198" w:rsidRPr="00E55BAA" w:rsidRDefault="00094198" w:rsidP="00DF3F61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imaju dospijeće </w:t>
      </w:r>
      <w:r w:rsidR="003205C1" w:rsidRPr="00E55BAA">
        <w:rPr>
          <w:rFonts w:ascii="Arial" w:hAnsi="Arial" w:cs="Arial"/>
          <w:sz w:val="22"/>
          <w:szCs w:val="22"/>
        </w:rPr>
        <w:t xml:space="preserve">ili preostalo dospijeće </w:t>
      </w:r>
      <w:r w:rsidRPr="00E55BAA">
        <w:rPr>
          <w:rFonts w:ascii="Arial" w:hAnsi="Arial" w:cs="Arial"/>
          <w:sz w:val="22"/>
          <w:szCs w:val="22"/>
        </w:rPr>
        <w:t>od 397 dana ili manje</w:t>
      </w:r>
      <w:r w:rsidR="001F2CE2">
        <w:rPr>
          <w:rFonts w:ascii="Arial" w:hAnsi="Arial" w:cs="Arial"/>
          <w:sz w:val="22"/>
          <w:szCs w:val="22"/>
        </w:rPr>
        <w:t>,</w:t>
      </w:r>
      <w:r w:rsidR="0078538F" w:rsidRPr="00E55BAA">
        <w:rPr>
          <w:rFonts w:ascii="Arial" w:hAnsi="Arial" w:cs="Arial"/>
          <w:sz w:val="22"/>
          <w:szCs w:val="22"/>
        </w:rPr>
        <w:t xml:space="preserve"> </w:t>
      </w:r>
    </w:p>
    <w:p w14:paraId="41EE1EEC" w14:textId="77777777" w:rsidR="001F2CE2" w:rsidRDefault="003824FB" w:rsidP="00DF3F61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imaju preostalo dospijeće kraće od dvije godine, a njihova kamatna stopa je varijabilna i najmanje svakih 397 dana podliježe redovitom usklađivanju prinosa ovisno o promjenama tržišne kamatne stope ili indeksa</w:t>
      </w:r>
      <w:r w:rsidR="001F2CE2">
        <w:rPr>
          <w:rFonts w:ascii="Arial" w:hAnsi="Arial" w:cs="Arial"/>
          <w:sz w:val="22"/>
          <w:szCs w:val="22"/>
        </w:rPr>
        <w:t xml:space="preserve"> ili</w:t>
      </w:r>
    </w:p>
    <w:p w14:paraId="564405D9" w14:textId="271CA1B3" w:rsidR="003824FB" w:rsidRPr="00E55BAA" w:rsidRDefault="001F2CE2" w:rsidP="00DF3F61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imaju preostalo dospijeće kraće od dvije godine</w:t>
      </w:r>
      <w:r>
        <w:rPr>
          <w:rFonts w:ascii="Arial" w:hAnsi="Arial" w:cs="Arial"/>
          <w:sz w:val="22"/>
          <w:szCs w:val="22"/>
        </w:rPr>
        <w:t xml:space="preserve">, a njihov profil rizičnosti, uključujući kreditni i kamatni rizik, odgovara profilu rizičnosti financijskog instrumenta iz točaka </w:t>
      </w:r>
      <w:r w:rsidR="006C5F2A">
        <w:rPr>
          <w:rFonts w:ascii="Arial" w:hAnsi="Arial" w:cs="Arial"/>
          <w:sz w:val="22"/>
          <w:szCs w:val="22"/>
        </w:rPr>
        <w:t>1. ili</w:t>
      </w:r>
      <w:r>
        <w:rPr>
          <w:rFonts w:ascii="Arial" w:hAnsi="Arial" w:cs="Arial"/>
          <w:sz w:val="22"/>
          <w:szCs w:val="22"/>
        </w:rPr>
        <w:t xml:space="preserve"> 2.  ovoga stavka</w:t>
      </w:r>
      <w:r w:rsidR="003824FB" w:rsidRPr="00E55BAA">
        <w:rPr>
          <w:rFonts w:ascii="Arial" w:hAnsi="Arial" w:cs="Arial"/>
          <w:sz w:val="22"/>
          <w:szCs w:val="22"/>
        </w:rPr>
        <w:t>.</w:t>
      </w:r>
    </w:p>
    <w:p w14:paraId="3DAFA793" w14:textId="77777777" w:rsidR="003824FB" w:rsidRPr="00E55BAA" w:rsidRDefault="003824FB" w:rsidP="00DF3F6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EDC89FA" w14:textId="681B357E" w:rsidR="00365FA4" w:rsidRDefault="00365FA4" w:rsidP="00365FA4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Pozajmica na tržištu novca ne smatra se instrumentom tržišta novca u smislu Zakona</w:t>
      </w:r>
      <w:r>
        <w:rPr>
          <w:rFonts w:ascii="Arial" w:hAnsi="Arial" w:cs="Arial"/>
          <w:sz w:val="22"/>
          <w:szCs w:val="22"/>
        </w:rPr>
        <w:t xml:space="preserve"> i ovoga pravilnika</w:t>
      </w:r>
      <w:r w:rsidRPr="00E55BAA">
        <w:rPr>
          <w:rFonts w:ascii="Arial" w:hAnsi="Arial" w:cs="Arial"/>
          <w:sz w:val="22"/>
          <w:szCs w:val="22"/>
        </w:rPr>
        <w:t>.</w:t>
      </w:r>
    </w:p>
    <w:p w14:paraId="76E01D94" w14:textId="77777777" w:rsidR="007A627B" w:rsidRDefault="007A627B" w:rsidP="007A627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CC5982D" w14:textId="77777777" w:rsidR="00497237" w:rsidRPr="00497237" w:rsidRDefault="00497237" w:rsidP="00497237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497237">
        <w:rPr>
          <w:rFonts w:ascii="Arial" w:hAnsi="Arial" w:cs="Arial"/>
          <w:sz w:val="22"/>
          <w:szCs w:val="22"/>
        </w:rPr>
        <w:t>Zakonom zabranjenim primanjem ili davanjem zajmova ili sklapanjem drugih pravnih poslova koji su po svojim ekonomskim učincima jednaki zajmu iz članka 108. stavka 1. točke 1. Zakona, smatraju se i pozajmice na tržištu novca.</w:t>
      </w:r>
    </w:p>
    <w:p w14:paraId="14BA90DB" w14:textId="77777777" w:rsidR="00497237" w:rsidRDefault="00497237" w:rsidP="00497237">
      <w:pPr>
        <w:jc w:val="both"/>
        <w:rPr>
          <w:rFonts w:ascii="Arial" w:hAnsi="Arial" w:cs="Arial"/>
          <w:sz w:val="22"/>
          <w:szCs w:val="22"/>
        </w:rPr>
      </w:pPr>
    </w:p>
    <w:p w14:paraId="7FA2B09A" w14:textId="22D71680" w:rsidR="00D72BE8" w:rsidRPr="00B96EEC" w:rsidRDefault="00441194" w:rsidP="00B96EEC">
      <w:pPr>
        <w:pStyle w:val="Heading4"/>
        <w:rPr>
          <w:rFonts w:ascii="Arial" w:hAnsi="Arial" w:cs="Arial"/>
          <w:i w:val="0"/>
          <w:color w:val="auto"/>
          <w:sz w:val="22"/>
          <w:szCs w:val="22"/>
        </w:rPr>
      </w:pPr>
      <w:r w:rsidRPr="00B96EEC">
        <w:rPr>
          <w:rFonts w:ascii="Arial" w:hAnsi="Arial" w:cs="Arial"/>
          <w:i w:val="0"/>
          <w:color w:val="auto"/>
          <w:sz w:val="22"/>
          <w:szCs w:val="22"/>
        </w:rPr>
        <w:t>L</w:t>
      </w:r>
      <w:r w:rsidR="00D72BE8" w:rsidRPr="00B96EEC">
        <w:rPr>
          <w:rFonts w:ascii="Arial" w:hAnsi="Arial" w:cs="Arial"/>
          <w:i w:val="0"/>
          <w:color w:val="auto"/>
          <w:sz w:val="22"/>
          <w:szCs w:val="22"/>
        </w:rPr>
        <w:t xml:space="preserve">ikvidni </w:t>
      </w:r>
      <w:r w:rsidRPr="00B96EEC">
        <w:rPr>
          <w:rFonts w:ascii="Arial" w:hAnsi="Arial" w:cs="Arial"/>
          <w:i w:val="0"/>
          <w:color w:val="auto"/>
          <w:sz w:val="22"/>
          <w:szCs w:val="22"/>
        </w:rPr>
        <w:t>instrumenti</w:t>
      </w:r>
      <w:r w:rsidR="00D72BE8" w:rsidRPr="00B96EEC">
        <w:rPr>
          <w:rFonts w:ascii="Arial" w:hAnsi="Arial" w:cs="Arial"/>
          <w:i w:val="0"/>
          <w:color w:val="auto"/>
          <w:sz w:val="22"/>
          <w:szCs w:val="22"/>
        </w:rPr>
        <w:t xml:space="preserve"> čija se vrijednost može u svakom trenutku precizno utvrditi</w:t>
      </w:r>
    </w:p>
    <w:p w14:paraId="19C7FE4A" w14:textId="4AA88DD7" w:rsidR="00EA2B5B" w:rsidRPr="00B96EEC" w:rsidRDefault="00CC4081" w:rsidP="00B96EEC">
      <w:pPr>
        <w:pStyle w:val="Heading4"/>
        <w:rPr>
          <w:rFonts w:ascii="Arial" w:hAnsi="Arial" w:cs="Arial"/>
          <w:i w:val="0"/>
          <w:color w:val="auto"/>
          <w:sz w:val="22"/>
          <w:szCs w:val="22"/>
        </w:rPr>
      </w:pPr>
      <w:r w:rsidRPr="00B96EEC">
        <w:rPr>
          <w:rFonts w:ascii="Arial" w:hAnsi="Arial" w:cs="Arial"/>
          <w:i w:val="0"/>
          <w:color w:val="auto"/>
          <w:sz w:val="22"/>
          <w:szCs w:val="22"/>
        </w:rPr>
        <w:t xml:space="preserve">Članak </w:t>
      </w:r>
      <w:r w:rsidR="00D17248" w:rsidRPr="00B96EEC">
        <w:rPr>
          <w:rFonts w:ascii="Arial" w:hAnsi="Arial" w:cs="Arial"/>
          <w:i w:val="0"/>
          <w:color w:val="auto"/>
          <w:sz w:val="22"/>
          <w:szCs w:val="22"/>
        </w:rPr>
        <w:t>7</w:t>
      </w:r>
      <w:r w:rsidRPr="00B96EEC">
        <w:rPr>
          <w:rFonts w:ascii="Arial" w:hAnsi="Arial" w:cs="Arial"/>
          <w:i w:val="0"/>
          <w:color w:val="auto"/>
          <w:sz w:val="22"/>
          <w:szCs w:val="22"/>
        </w:rPr>
        <w:t>.</w:t>
      </w:r>
    </w:p>
    <w:p w14:paraId="28732065" w14:textId="77777777" w:rsidR="00111D8B" w:rsidRPr="00E55BAA" w:rsidRDefault="00111D8B" w:rsidP="00DF3F6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6B4CE5B" w14:textId="77777777" w:rsidR="002D785F" w:rsidRDefault="003F5BE2" w:rsidP="002D785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I</w:t>
      </w:r>
      <w:r w:rsidR="00CC4081" w:rsidRPr="00E55BAA">
        <w:rPr>
          <w:rFonts w:ascii="Arial" w:hAnsi="Arial" w:cs="Arial"/>
          <w:sz w:val="22"/>
          <w:szCs w:val="22"/>
        </w:rPr>
        <w:t xml:space="preserve">nstrumenti tržišta novca </w:t>
      </w:r>
      <w:r w:rsidRPr="00E55BAA">
        <w:rPr>
          <w:rFonts w:ascii="Arial" w:hAnsi="Arial" w:cs="Arial"/>
          <w:sz w:val="22"/>
          <w:szCs w:val="22"/>
        </w:rPr>
        <w:t xml:space="preserve">koji su likvidni i </w:t>
      </w:r>
      <w:r w:rsidR="00C848D4" w:rsidRPr="00E55BAA">
        <w:rPr>
          <w:rFonts w:ascii="Arial" w:hAnsi="Arial" w:cs="Arial"/>
          <w:sz w:val="22"/>
          <w:szCs w:val="22"/>
        </w:rPr>
        <w:t xml:space="preserve">čija se vrijednost može </w:t>
      </w:r>
      <w:r w:rsidR="007F312B" w:rsidRPr="00E55BAA">
        <w:rPr>
          <w:rFonts w:ascii="Arial" w:hAnsi="Arial" w:cs="Arial"/>
          <w:sz w:val="22"/>
          <w:szCs w:val="22"/>
        </w:rPr>
        <w:t xml:space="preserve">u svakom trenutku </w:t>
      </w:r>
      <w:r w:rsidR="00C848D4" w:rsidRPr="00E55BAA">
        <w:rPr>
          <w:rFonts w:ascii="Arial" w:hAnsi="Arial" w:cs="Arial"/>
          <w:sz w:val="22"/>
          <w:szCs w:val="22"/>
        </w:rPr>
        <w:t xml:space="preserve">precizno utvrditi </w:t>
      </w:r>
      <w:r w:rsidR="00CC4081" w:rsidRPr="00E55BAA">
        <w:rPr>
          <w:rFonts w:ascii="Arial" w:hAnsi="Arial" w:cs="Arial"/>
          <w:sz w:val="22"/>
          <w:szCs w:val="22"/>
        </w:rPr>
        <w:t xml:space="preserve">su </w:t>
      </w:r>
      <w:r w:rsidR="00AE78D8" w:rsidRPr="00E55BAA">
        <w:rPr>
          <w:rFonts w:ascii="Arial" w:hAnsi="Arial" w:cs="Arial"/>
          <w:sz w:val="22"/>
          <w:szCs w:val="22"/>
        </w:rPr>
        <w:t>oni</w:t>
      </w:r>
      <w:r w:rsidR="00CC4081" w:rsidRPr="00E55BAA">
        <w:rPr>
          <w:rFonts w:ascii="Arial" w:hAnsi="Arial" w:cs="Arial"/>
          <w:sz w:val="22"/>
          <w:szCs w:val="22"/>
        </w:rPr>
        <w:t xml:space="preserve"> financijski</w:t>
      </w:r>
      <w:r w:rsidR="00AE78D8" w:rsidRPr="00E55BAA">
        <w:rPr>
          <w:rFonts w:ascii="Arial" w:hAnsi="Arial" w:cs="Arial"/>
          <w:sz w:val="22"/>
          <w:szCs w:val="22"/>
        </w:rPr>
        <w:t xml:space="preserve"> instrumenti</w:t>
      </w:r>
      <w:r w:rsidR="002D785F">
        <w:rPr>
          <w:rFonts w:ascii="Arial" w:hAnsi="Arial" w:cs="Arial"/>
          <w:sz w:val="22"/>
          <w:szCs w:val="22"/>
        </w:rPr>
        <w:t>:</w:t>
      </w:r>
      <w:r w:rsidR="00CC4081" w:rsidRPr="00E55BAA">
        <w:rPr>
          <w:rFonts w:ascii="Arial" w:hAnsi="Arial" w:cs="Arial"/>
          <w:sz w:val="22"/>
          <w:szCs w:val="22"/>
        </w:rPr>
        <w:t xml:space="preserve"> </w:t>
      </w:r>
    </w:p>
    <w:p w14:paraId="177B4971" w14:textId="3A18449A" w:rsidR="002D785F" w:rsidRPr="002D785F" w:rsidRDefault="002D785F" w:rsidP="002D785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C4081" w:rsidRPr="00E55BAA">
        <w:rPr>
          <w:rFonts w:ascii="Arial" w:hAnsi="Arial" w:cs="Arial"/>
          <w:sz w:val="22"/>
          <w:szCs w:val="22"/>
        </w:rPr>
        <w:t>koji se</w:t>
      </w:r>
      <w:r w:rsidR="00CC4081" w:rsidRPr="002D785F">
        <w:rPr>
          <w:rFonts w:ascii="Arial" w:hAnsi="Arial" w:cs="Arial"/>
          <w:sz w:val="22"/>
          <w:szCs w:val="22"/>
        </w:rPr>
        <w:t xml:space="preserve"> mogu prodati uz ograničeni trošak </w:t>
      </w:r>
      <w:r w:rsidR="00B33A00" w:rsidRPr="002D785F">
        <w:rPr>
          <w:rFonts w:ascii="Arial" w:hAnsi="Arial" w:cs="Arial"/>
          <w:sz w:val="22"/>
          <w:szCs w:val="22"/>
        </w:rPr>
        <w:t>u odgovarajućem</w:t>
      </w:r>
      <w:r w:rsidR="00F913E2" w:rsidRPr="002D785F">
        <w:rPr>
          <w:rFonts w:ascii="Arial" w:hAnsi="Arial" w:cs="Arial"/>
          <w:sz w:val="22"/>
          <w:szCs w:val="22"/>
        </w:rPr>
        <w:t xml:space="preserve"> kratkom vremenskom roku</w:t>
      </w:r>
      <w:r w:rsidR="00CC4081" w:rsidRPr="002D785F">
        <w:rPr>
          <w:rFonts w:ascii="Arial" w:hAnsi="Arial" w:cs="Arial"/>
          <w:sz w:val="22"/>
          <w:szCs w:val="22"/>
        </w:rPr>
        <w:t xml:space="preserve"> </w:t>
      </w:r>
      <w:r w:rsidR="00C106E4" w:rsidRPr="002D785F">
        <w:rPr>
          <w:rFonts w:ascii="Arial" w:hAnsi="Arial" w:cs="Arial"/>
          <w:sz w:val="22"/>
          <w:szCs w:val="22"/>
        </w:rPr>
        <w:t>radi ispunjavanja</w:t>
      </w:r>
      <w:r w:rsidR="00CC4081" w:rsidRPr="002D785F">
        <w:rPr>
          <w:rFonts w:ascii="Arial" w:hAnsi="Arial" w:cs="Arial"/>
          <w:sz w:val="22"/>
          <w:szCs w:val="22"/>
        </w:rPr>
        <w:t xml:space="preserve"> </w:t>
      </w:r>
      <w:r w:rsidR="00F77DB9" w:rsidRPr="002D785F">
        <w:rPr>
          <w:rFonts w:ascii="Arial" w:hAnsi="Arial" w:cs="Arial"/>
          <w:sz w:val="22"/>
          <w:szCs w:val="22"/>
        </w:rPr>
        <w:t xml:space="preserve">Zakonom </w:t>
      </w:r>
      <w:r w:rsidR="00C74CA5" w:rsidRPr="002D785F">
        <w:rPr>
          <w:rFonts w:ascii="Arial" w:hAnsi="Arial" w:cs="Arial"/>
          <w:sz w:val="22"/>
          <w:szCs w:val="22"/>
        </w:rPr>
        <w:t xml:space="preserve">i/ili prospektom </w:t>
      </w:r>
      <w:r w:rsidR="00F77DB9" w:rsidRPr="002D785F">
        <w:rPr>
          <w:rFonts w:ascii="Arial" w:hAnsi="Arial" w:cs="Arial"/>
          <w:sz w:val="22"/>
          <w:szCs w:val="22"/>
        </w:rPr>
        <w:t>propisanih uvjeta i rokova isplate pri otkupu udjela</w:t>
      </w:r>
      <w:r>
        <w:rPr>
          <w:rFonts w:ascii="Arial" w:hAnsi="Arial" w:cs="Arial"/>
          <w:sz w:val="22"/>
          <w:szCs w:val="22"/>
        </w:rPr>
        <w:t xml:space="preserve"> na zahtjev </w:t>
      </w:r>
      <w:proofErr w:type="spellStart"/>
      <w:r>
        <w:rPr>
          <w:rFonts w:ascii="Arial" w:hAnsi="Arial" w:cs="Arial"/>
          <w:sz w:val="22"/>
          <w:szCs w:val="22"/>
        </w:rPr>
        <w:t>ulagatelja</w:t>
      </w:r>
      <w:proofErr w:type="spellEnd"/>
      <w:r w:rsidR="009C7DB2" w:rsidRPr="002D785F">
        <w:rPr>
          <w:rFonts w:ascii="Arial" w:hAnsi="Arial" w:cs="Arial"/>
          <w:sz w:val="22"/>
          <w:szCs w:val="22"/>
        </w:rPr>
        <w:t xml:space="preserve"> </w:t>
      </w:r>
      <w:r w:rsidR="00C848D4" w:rsidRPr="002D785F">
        <w:rPr>
          <w:rFonts w:ascii="Arial" w:hAnsi="Arial" w:cs="Arial"/>
          <w:sz w:val="22"/>
          <w:szCs w:val="22"/>
        </w:rPr>
        <w:t xml:space="preserve">i </w:t>
      </w:r>
    </w:p>
    <w:p w14:paraId="63AE8F6B" w14:textId="45EFFFBC" w:rsidR="00CC4081" w:rsidRPr="00E55BAA" w:rsidRDefault="002D785F" w:rsidP="002D785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C4081" w:rsidRPr="00E55BAA">
        <w:rPr>
          <w:rFonts w:ascii="Arial" w:hAnsi="Arial" w:cs="Arial"/>
          <w:sz w:val="22"/>
          <w:szCs w:val="22"/>
        </w:rPr>
        <w:t xml:space="preserve">za koje su dostupni precizni i pouzdani sustavi </w:t>
      </w:r>
      <w:r w:rsidR="00B33A00" w:rsidRPr="00E55BAA">
        <w:rPr>
          <w:rFonts w:ascii="Arial" w:hAnsi="Arial" w:cs="Arial"/>
          <w:sz w:val="22"/>
          <w:szCs w:val="22"/>
        </w:rPr>
        <w:t xml:space="preserve">i metodologije </w:t>
      </w:r>
      <w:r w:rsidR="00CC4081" w:rsidRPr="00E55BAA">
        <w:rPr>
          <w:rFonts w:ascii="Arial" w:hAnsi="Arial" w:cs="Arial"/>
          <w:sz w:val="22"/>
          <w:szCs w:val="22"/>
        </w:rPr>
        <w:t>vrednovanja koji ispunjavaju sljedeće kriterije:</w:t>
      </w:r>
    </w:p>
    <w:p w14:paraId="3AC0D5B6" w14:textId="4711293A" w:rsidR="00CC4081" w:rsidRPr="00E55BAA" w:rsidRDefault="002D785F" w:rsidP="002D785F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CC4081" w:rsidRPr="00E55BAA">
        <w:rPr>
          <w:rFonts w:ascii="Arial" w:hAnsi="Arial" w:cs="Arial"/>
          <w:sz w:val="22"/>
          <w:szCs w:val="22"/>
        </w:rPr>
        <w:t xml:space="preserve">omogućavaju da se izračuna vrijednost neto imovine </w:t>
      </w:r>
      <w:proofErr w:type="spellStart"/>
      <w:r w:rsidR="00607EE3" w:rsidRPr="00E55BAA">
        <w:rPr>
          <w:rFonts w:ascii="Arial" w:hAnsi="Arial" w:cs="Arial"/>
          <w:sz w:val="22"/>
          <w:szCs w:val="22"/>
        </w:rPr>
        <w:t>UCITS</w:t>
      </w:r>
      <w:proofErr w:type="spellEnd"/>
      <w:r w:rsidR="00607EE3" w:rsidRPr="00E55BAA">
        <w:rPr>
          <w:rFonts w:ascii="Arial" w:hAnsi="Arial" w:cs="Arial"/>
          <w:sz w:val="22"/>
          <w:szCs w:val="22"/>
        </w:rPr>
        <w:t xml:space="preserve"> </w:t>
      </w:r>
      <w:r w:rsidR="00CC4081" w:rsidRPr="00E55BAA">
        <w:rPr>
          <w:rFonts w:ascii="Arial" w:hAnsi="Arial" w:cs="Arial"/>
          <w:sz w:val="22"/>
          <w:szCs w:val="22"/>
        </w:rPr>
        <w:t xml:space="preserve">fonda u skladu s vrijednošću po kojoj bi </w:t>
      </w:r>
      <w:r w:rsidR="00607EE3" w:rsidRPr="00E55BAA">
        <w:rPr>
          <w:rFonts w:ascii="Arial" w:hAnsi="Arial" w:cs="Arial"/>
          <w:sz w:val="22"/>
          <w:szCs w:val="22"/>
        </w:rPr>
        <w:t xml:space="preserve">financijski </w:t>
      </w:r>
      <w:r w:rsidR="00CC4081" w:rsidRPr="00E55BAA">
        <w:rPr>
          <w:rFonts w:ascii="Arial" w:hAnsi="Arial" w:cs="Arial"/>
          <w:sz w:val="22"/>
          <w:szCs w:val="22"/>
        </w:rPr>
        <w:t xml:space="preserve">instrument koji se drži u </w:t>
      </w:r>
      <w:r w:rsidR="008166D4" w:rsidRPr="00E55BAA">
        <w:rPr>
          <w:rFonts w:ascii="Arial" w:hAnsi="Arial" w:cs="Arial"/>
          <w:sz w:val="22"/>
          <w:szCs w:val="22"/>
        </w:rPr>
        <w:t xml:space="preserve">imovini </w:t>
      </w:r>
      <w:r w:rsidR="00CC4081" w:rsidRPr="00E55BAA">
        <w:rPr>
          <w:rFonts w:ascii="Arial" w:hAnsi="Arial" w:cs="Arial"/>
          <w:sz w:val="22"/>
          <w:szCs w:val="22"/>
        </w:rPr>
        <w:t xml:space="preserve">mogao biti predmet transakcije po tržišnim uvjetima sklopljene između </w:t>
      </w:r>
      <w:r w:rsidR="00F57A7F" w:rsidRPr="00E55BAA">
        <w:rPr>
          <w:rFonts w:ascii="Arial" w:hAnsi="Arial" w:cs="Arial"/>
          <w:sz w:val="22"/>
          <w:szCs w:val="22"/>
        </w:rPr>
        <w:t>informiranih i nepovezanih strana koje su voljne obaviti transakciju</w:t>
      </w:r>
      <w:r w:rsidR="00F913E2" w:rsidRPr="00E55BAA">
        <w:rPr>
          <w:rFonts w:ascii="Arial" w:hAnsi="Arial" w:cs="Arial"/>
          <w:sz w:val="22"/>
          <w:szCs w:val="22"/>
        </w:rPr>
        <w:t>,</w:t>
      </w:r>
      <w:r w:rsidR="00CC4081" w:rsidRPr="00E55BAA">
        <w:rPr>
          <w:rFonts w:ascii="Arial" w:hAnsi="Arial" w:cs="Arial"/>
          <w:sz w:val="22"/>
          <w:szCs w:val="22"/>
        </w:rPr>
        <w:t xml:space="preserve"> </w:t>
      </w:r>
    </w:p>
    <w:p w14:paraId="12D378CB" w14:textId="37EB7438" w:rsidR="00CC4081" w:rsidRPr="00E55BAA" w:rsidRDefault="002D785F" w:rsidP="002D785F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CC4081" w:rsidRPr="00E55BAA">
        <w:rPr>
          <w:rFonts w:ascii="Arial" w:hAnsi="Arial" w:cs="Arial"/>
          <w:sz w:val="22"/>
          <w:szCs w:val="22"/>
        </w:rPr>
        <w:t>zasnivaju se na tržišnim podacima ili na modelima vrednovanja, uključujući metode koje se temelje na amortiz</w:t>
      </w:r>
      <w:r w:rsidR="00AD5410" w:rsidRPr="00E55BAA">
        <w:rPr>
          <w:rFonts w:ascii="Arial" w:hAnsi="Arial" w:cs="Arial"/>
          <w:sz w:val="22"/>
          <w:szCs w:val="22"/>
        </w:rPr>
        <w:t>iranim troškovima</w:t>
      </w:r>
      <w:r w:rsidR="00CC4081" w:rsidRPr="00E55BAA">
        <w:rPr>
          <w:rFonts w:ascii="Arial" w:hAnsi="Arial" w:cs="Arial"/>
          <w:sz w:val="22"/>
          <w:szCs w:val="22"/>
        </w:rPr>
        <w:t>.</w:t>
      </w:r>
    </w:p>
    <w:p w14:paraId="446AF1D5" w14:textId="77777777" w:rsidR="00111D8B" w:rsidRPr="00E55BAA" w:rsidRDefault="00111D8B" w:rsidP="007A627B">
      <w:pPr>
        <w:jc w:val="both"/>
        <w:rPr>
          <w:rFonts w:ascii="Arial" w:hAnsi="Arial" w:cs="Arial"/>
          <w:sz w:val="22"/>
          <w:szCs w:val="22"/>
        </w:rPr>
      </w:pPr>
    </w:p>
    <w:p w14:paraId="6D0FEA10" w14:textId="30A20417" w:rsidR="005A29C5" w:rsidRPr="00E55BAA" w:rsidRDefault="005A29C5" w:rsidP="00DF3F61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Prilikom ulaganja imovine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 </w:t>
      </w:r>
      <w:r w:rsidR="002D785F">
        <w:rPr>
          <w:rFonts w:ascii="Arial" w:hAnsi="Arial" w:cs="Arial"/>
          <w:sz w:val="22"/>
          <w:szCs w:val="22"/>
        </w:rPr>
        <w:t xml:space="preserve">u instrumente tržišta novca </w:t>
      </w:r>
      <w:r w:rsidRPr="00E55BAA">
        <w:rPr>
          <w:rFonts w:ascii="Arial" w:hAnsi="Arial" w:cs="Arial"/>
          <w:sz w:val="22"/>
          <w:szCs w:val="22"/>
        </w:rPr>
        <w:t xml:space="preserve">društvo za upravljanje dužno je voditi računa o likvidnosti </w:t>
      </w:r>
      <w:r w:rsidR="002D785F">
        <w:rPr>
          <w:rFonts w:ascii="Arial" w:hAnsi="Arial" w:cs="Arial"/>
          <w:sz w:val="22"/>
          <w:szCs w:val="22"/>
        </w:rPr>
        <w:t xml:space="preserve">konkretnih </w:t>
      </w:r>
      <w:r w:rsidRPr="00E55BAA">
        <w:rPr>
          <w:rFonts w:ascii="Arial" w:hAnsi="Arial" w:cs="Arial"/>
          <w:sz w:val="22"/>
          <w:szCs w:val="22"/>
        </w:rPr>
        <w:t xml:space="preserve">instrumenata tržišta novca </w:t>
      </w:r>
      <w:r w:rsidR="002D785F">
        <w:rPr>
          <w:rFonts w:ascii="Arial" w:hAnsi="Arial" w:cs="Arial"/>
          <w:sz w:val="22"/>
          <w:szCs w:val="22"/>
        </w:rPr>
        <w:t xml:space="preserve">u koje ulaže te </w:t>
      </w:r>
      <w:r w:rsidRPr="00E55BAA">
        <w:rPr>
          <w:rFonts w:ascii="Arial" w:hAnsi="Arial" w:cs="Arial"/>
          <w:sz w:val="22"/>
          <w:szCs w:val="22"/>
        </w:rPr>
        <w:t xml:space="preserve">njihovom graničnom utjecaju na ukupnu likvidnost portfelja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</w:t>
      </w:r>
      <w:r w:rsidR="002D785F">
        <w:rPr>
          <w:rFonts w:ascii="Arial" w:hAnsi="Arial" w:cs="Arial"/>
          <w:sz w:val="22"/>
          <w:szCs w:val="22"/>
        </w:rPr>
        <w:t>.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2D785F">
        <w:rPr>
          <w:rFonts w:ascii="Arial" w:hAnsi="Arial" w:cs="Arial"/>
          <w:sz w:val="22"/>
          <w:szCs w:val="22"/>
        </w:rPr>
        <w:t>Isto tako, društvo za upravljanje dužno je</w:t>
      </w:r>
      <w:r w:rsidRPr="00E55BAA">
        <w:rPr>
          <w:rFonts w:ascii="Arial" w:hAnsi="Arial" w:cs="Arial"/>
          <w:sz w:val="22"/>
          <w:szCs w:val="22"/>
        </w:rPr>
        <w:t xml:space="preserve"> kontinuirano voditi računa o likvidnosti portfelja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 na način da periodično procjenjuje nalazi li se u portfelju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 dovoljno likvidne imovine, a sve u smislu mogućnosti ispunjavanja Zakonom </w:t>
      </w:r>
      <w:r w:rsidR="00C74CA5">
        <w:rPr>
          <w:rFonts w:ascii="Arial" w:hAnsi="Arial" w:cs="Arial"/>
          <w:sz w:val="22"/>
          <w:szCs w:val="22"/>
        </w:rPr>
        <w:t xml:space="preserve">i/ili prospektom </w:t>
      </w:r>
      <w:r w:rsidRPr="00E55BAA">
        <w:rPr>
          <w:rFonts w:ascii="Arial" w:hAnsi="Arial" w:cs="Arial"/>
          <w:sz w:val="22"/>
          <w:szCs w:val="22"/>
        </w:rPr>
        <w:t>propisanih uvjeta i rokova isplate pri otkupu udjela.</w:t>
      </w:r>
    </w:p>
    <w:p w14:paraId="1AC5BCA8" w14:textId="77777777" w:rsidR="00111D8B" w:rsidRPr="00E55BAA" w:rsidRDefault="00111D8B" w:rsidP="00DF3F6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EE33400" w14:textId="1F92A7FE" w:rsidR="00CC4081" w:rsidRPr="00E55BAA" w:rsidRDefault="00EA7969" w:rsidP="00DF3F61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Za </w:t>
      </w:r>
      <w:r w:rsidR="0078538F" w:rsidRPr="00E55BAA">
        <w:rPr>
          <w:rFonts w:ascii="Arial" w:hAnsi="Arial" w:cs="Arial"/>
          <w:sz w:val="22"/>
          <w:szCs w:val="22"/>
        </w:rPr>
        <w:t>instrumente tržišta novca</w:t>
      </w:r>
      <w:r w:rsidR="00E51A8B" w:rsidRPr="00E55BAA">
        <w:rPr>
          <w:rFonts w:ascii="Arial" w:hAnsi="Arial" w:cs="Arial"/>
          <w:sz w:val="22"/>
          <w:szCs w:val="22"/>
        </w:rPr>
        <w:t xml:space="preserve"> </w:t>
      </w:r>
      <w:r w:rsidR="00D21B99">
        <w:rPr>
          <w:rFonts w:ascii="Arial" w:hAnsi="Arial" w:cs="Arial"/>
          <w:sz w:val="22"/>
          <w:szCs w:val="22"/>
        </w:rPr>
        <w:t xml:space="preserve">iz članka 4. stavka 1. točke 25. Zakona kojima se uobičajeno trguje na novčanom tržištu i instrumente tržišta novca </w:t>
      </w:r>
      <w:r w:rsidR="002D785F" w:rsidRPr="00E55BAA">
        <w:rPr>
          <w:rFonts w:ascii="Arial" w:hAnsi="Arial" w:cs="Arial"/>
          <w:sz w:val="22"/>
          <w:szCs w:val="22"/>
        </w:rPr>
        <w:t xml:space="preserve">iz članka </w:t>
      </w:r>
      <w:r w:rsidR="002D785F">
        <w:rPr>
          <w:rFonts w:ascii="Arial" w:hAnsi="Arial" w:cs="Arial"/>
          <w:sz w:val="22"/>
          <w:szCs w:val="22"/>
        </w:rPr>
        <w:t>252</w:t>
      </w:r>
      <w:r w:rsidR="002D785F" w:rsidRPr="00E55BAA">
        <w:rPr>
          <w:rFonts w:ascii="Arial" w:hAnsi="Arial" w:cs="Arial"/>
          <w:sz w:val="22"/>
          <w:szCs w:val="22"/>
        </w:rPr>
        <w:t xml:space="preserve">. stavka 1. točke 1. Zakona </w:t>
      </w:r>
      <w:r w:rsidR="00D21B99" w:rsidRPr="00E55BAA">
        <w:rPr>
          <w:rFonts w:ascii="Arial" w:hAnsi="Arial" w:cs="Arial"/>
          <w:sz w:val="22"/>
          <w:szCs w:val="22"/>
        </w:rPr>
        <w:t>kojima se trguje na uređenim tržištima</w:t>
      </w:r>
      <w:r w:rsidR="00D21B99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 xml:space="preserve">se </w:t>
      </w:r>
      <w:r w:rsidR="002D785F">
        <w:rPr>
          <w:rFonts w:ascii="Arial" w:hAnsi="Arial" w:cs="Arial"/>
          <w:sz w:val="22"/>
          <w:szCs w:val="22"/>
        </w:rPr>
        <w:t>pretpostavlja</w:t>
      </w:r>
      <w:r w:rsidR="002D785F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>da su likvidni i da im se vrijednost može u svakom trenutku precizno utvrditi</w:t>
      </w:r>
      <w:r w:rsidR="00CC4081" w:rsidRPr="00E55BAA">
        <w:rPr>
          <w:rFonts w:ascii="Arial" w:hAnsi="Arial" w:cs="Arial"/>
          <w:sz w:val="22"/>
          <w:szCs w:val="22"/>
        </w:rPr>
        <w:t xml:space="preserve">, </w:t>
      </w:r>
      <w:r w:rsidR="00AD7D38" w:rsidRPr="00E55BAA">
        <w:rPr>
          <w:rFonts w:ascii="Arial" w:hAnsi="Arial" w:cs="Arial"/>
          <w:sz w:val="22"/>
          <w:szCs w:val="22"/>
        </w:rPr>
        <w:t xml:space="preserve">osim ako su društvu za upravljanje dostupne informacije koje </w:t>
      </w:r>
      <w:r w:rsidR="00D21B99">
        <w:rPr>
          <w:rFonts w:ascii="Arial" w:hAnsi="Arial" w:cs="Arial"/>
          <w:sz w:val="22"/>
          <w:szCs w:val="22"/>
        </w:rPr>
        <w:t>ukazuju</w:t>
      </w:r>
      <w:r w:rsidR="00D21B99" w:rsidRPr="00E55BAA">
        <w:rPr>
          <w:rFonts w:ascii="Arial" w:hAnsi="Arial" w:cs="Arial"/>
          <w:sz w:val="22"/>
          <w:szCs w:val="22"/>
        </w:rPr>
        <w:t xml:space="preserve"> </w:t>
      </w:r>
      <w:r w:rsidR="00AD7D38" w:rsidRPr="00E55BAA">
        <w:rPr>
          <w:rFonts w:ascii="Arial" w:hAnsi="Arial" w:cs="Arial"/>
          <w:sz w:val="22"/>
          <w:szCs w:val="22"/>
        </w:rPr>
        <w:t>na drugačiji zaključak</w:t>
      </w:r>
      <w:r w:rsidR="00CC4081" w:rsidRPr="00E55BAA">
        <w:rPr>
          <w:rFonts w:ascii="Arial" w:hAnsi="Arial" w:cs="Arial"/>
          <w:sz w:val="22"/>
          <w:szCs w:val="22"/>
        </w:rPr>
        <w:t>.</w:t>
      </w:r>
    </w:p>
    <w:p w14:paraId="5D4EBBF7" w14:textId="77777777" w:rsidR="00111D8B" w:rsidRPr="00E55BAA" w:rsidRDefault="00111D8B" w:rsidP="00DF3F61">
      <w:pPr>
        <w:jc w:val="both"/>
        <w:rPr>
          <w:rFonts w:ascii="Arial" w:hAnsi="Arial" w:cs="Arial"/>
          <w:sz w:val="22"/>
          <w:szCs w:val="22"/>
        </w:rPr>
      </w:pPr>
    </w:p>
    <w:p w14:paraId="308DD603" w14:textId="41F94C1F" w:rsidR="00CC4081" w:rsidRDefault="00C106E4" w:rsidP="00DF3F61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Kada su društvu za upravljanje dostupne informacije koje ukazuju da bi instrumenti tržišta novca </w:t>
      </w:r>
      <w:r w:rsidR="00D21B99" w:rsidRPr="00E55BAA">
        <w:rPr>
          <w:rFonts w:ascii="Arial" w:hAnsi="Arial" w:cs="Arial"/>
          <w:sz w:val="22"/>
          <w:szCs w:val="22"/>
        </w:rPr>
        <w:t xml:space="preserve">iz </w:t>
      </w:r>
      <w:r w:rsidR="00D21B99">
        <w:rPr>
          <w:rFonts w:ascii="Arial" w:hAnsi="Arial" w:cs="Arial"/>
          <w:sz w:val="22"/>
          <w:szCs w:val="22"/>
        </w:rPr>
        <w:t>stavka 3. ovoga članka</w:t>
      </w:r>
      <w:r w:rsidR="00074924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 xml:space="preserve">mogli ugroziti sposobnost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 da ispunjava </w:t>
      </w:r>
      <w:r w:rsidR="00392918" w:rsidRPr="00E55BAA">
        <w:rPr>
          <w:rFonts w:ascii="Arial" w:hAnsi="Arial" w:cs="Arial"/>
          <w:sz w:val="22"/>
          <w:szCs w:val="22"/>
        </w:rPr>
        <w:t xml:space="preserve">Zakonom </w:t>
      </w:r>
      <w:r w:rsidR="00C74CA5">
        <w:rPr>
          <w:rFonts w:ascii="Arial" w:hAnsi="Arial" w:cs="Arial"/>
          <w:sz w:val="22"/>
          <w:szCs w:val="22"/>
        </w:rPr>
        <w:t xml:space="preserve">i/ili prospektom </w:t>
      </w:r>
      <w:r w:rsidR="00392918" w:rsidRPr="00E55BAA">
        <w:rPr>
          <w:rFonts w:ascii="Arial" w:hAnsi="Arial" w:cs="Arial"/>
          <w:sz w:val="22"/>
          <w:szCs w:val="22"/>
        </w:rPr>
        <w:t xml:space="preserve">propisane uvjete i rokove isplate pri otkupu udjela </w:t>
      </w:r>
      <w:proofErr w:type="spellStart"/>
      <w:r w:rsidR="00392918" w:rsidRPr="00E55BAA">
        <w:rPr>
          <w:rFonts w:ascii="Arial" w:hAnsi="Arial" w:cs="Arial"/>
          <w:sz w:val="22"/>
          <w:szCs w:val="22"/>
        </w:rPr>
        <w:t>UCITS</w:t>
      </w:r>
      <w:proofErr w:type="spellEnd"/>
      <w:r w:rsidR="00392918" w:rsidRPr="00E55BAA">
        <w:rPr>
          <w:rFonts w:ascii="Arial" w:hAnsi="Arial" w:cs="Arial"/>
          <w:sz w:val="22"/>
          <w:szCs w:val="22"/>
        </w:rPr>
        <w:t xml:space="preserve"> fonda</w:t>
      </w:r>
      <w:r w:rsidRPr="00E55BAA">
        <w:rPr>
          <w:rFonts w:ascii="Arial" w:hAnsi="Arial" w:cs="Arial"/>
          <w:sz w:val="22"/>
          <w:szCs w:val="22"/>
        </w:rPr>
        <w:t xml:space="preserve">, </w:t>
      </w:r>
      <w:r w:rsidR="00D21B99">
        <w:rPr>
          <w:rFonts w:ascii="Arial" w:hAnsi="Arial" w:cs="Arial"/>
          <w:sz w:val="22"/>
          <w:szCs w:val="22"/>
        </w:rPr>
        <w:t xml:space="preserve">društvo za upravljanje </w:t>
      </w:r>
      <w:r w:rsidRPr="00E55BAA">
        <w:rPr>
          <w:rFonts w:ascii="Arial" w:hAnsi="Arial" w:cs="Arial"/>
          <w:sz w:val="22"/>
          <w:szCs w:val="22"/>
        </w:rPr>
        <w:t>dužno je procijeniti njihov rizik likvidnosti.</w:t>
      </w:r>
    </w:p>
    <w:p w14:paraId="51819EB4" w14:textId="77777777" w:rsidR="00074924" w:rsidRPr="00E55BAA" w:rsidRDefault="00074924" w:rsidP="0007492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114CD73" w14:textId="3B3C994B" w:rsidR="002D785F" w:rsidRPr="00E55BAA" w:rsidRDefault="002D785F" w:rsidP="002D785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Prilikom procjene likvidnosti instrumenata tržišta novca društvo za upravljanje treba </w:t>
      </w:r>
      <w:r w:rsidR="00F426A6">
        <w:rPr>
          <w:rFonts w:ascii="Arial" w:hAnsi="Arial" w:cs="Arial"/>
          <w:sz w:val="22"/>
          <w:szCs w:val="22"/>
        </w:rPr>
        <w:t xml:space="preserve">kumulativno </w:t>
      </w:r>
      <w:r w:rsidRPr="00E55BAA">
        <w:rPr>
          <w:rFonts w:ascii="Arial" w:hAnsi="Arial" w:cs="Arial"/>
          <w:sz w:val="22"/>
          <w:szCs w:val="22"/>
        </w:rPr>
        <w:t>uzeti u obzir sljedeće elemente:</w:t>
      </w:r>
    </w:p>
    <w:p w14:paraId="161A53A7" w14:textId="77777777" w:rsidR="002D785F" w:rsidRPr="00E55BAA" w:rsidRDefault="002D785F" w:rsidP="002D785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na razini instrumenta tržišta novca:</w:t>
      </w:r>
    </w:p>
    <w:p w14:paraId="0B07DADB" w14:textId="77777777" w:rsidR="002D785F" w:rsidRPr="00E55BAA" w:rsidRDefault="002D785F" w:rsidP="002D785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učestalost izvršavanja transakcija i kotiranja cijena ponude i potražnje za predmetni instrument,</w:t>
      </w:r>
    </w:p>
    <w:p w14:paraId="4763B07A" w14:textId="77777777" w:rsidR="002D785F" w:rsidRPr="00E55BAA" w:rsidRDefault="002D785F" w:rsidP="002D785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broj sudionika koji su spremni kupiti i prodati instrument, spremnost sudionika održavati tržište za taj instrument, prirodu tržišnih transakcija (vrijeme potrebno za prodaju instrumenta, metode prikupljanja ponuda i mehanike prijenosa),</w:t>
      </w:r>
    </w:p>
    <w:p w14:paraId="56762142" w14:textId="77777777" w:rsidR="002D785F" w:rsidRPr="00E55BAA" w:rsidRDefault="002D785F" w:rsidP="002D785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veličinu izdanja odnosno programa izdanja,</w:t>
      </w:r>
    </w:p>
    <w:p w14:paraId="0CE6B68C" w14:textId="77777777" w:rsidR="002D785F" w:rsidRPr="00E55BAA" w:rsidRDefault="002D785F" w:rsidP="002D785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mogućnost prodaje instrumenta tržišta novca u kratkom roku po ograničenom trošku, u smislu niskih naknada i cijena ponude i potražnje i s vrlo kratkim rokom odgode namire.</w:t>
      </w:r>
    </w:p>
    <w:p w14:paraId="09F5DCF9" w14:textId="77777777" w:rsidR="002D785F" w:rsidRPr="00E55BAA" w:rsidRDefault="002D785F" w:rsidP="002D785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na razini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fonda:</w:t>
      </w:r>
    </w:p>
    <w:p w14:paraId="382AF434" w14:textId="259294C9" w:rsidR="002D785F" w:rsidRPr="00E55BAA" w:rsidRDefault="002D785F" w:rsidP="002D785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strukturu imatelja udjela u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fondu</w:t>
      </w:r>
      <w:r w:rsidR="00C248B7">
        <w:rPr>
          <w:rFonts w:ascii="Arial" w:hAnsi="Arial" w:cs="Arial"/>
          <w:sz w:val="22"/>
          <w:szCs w:val="22"/>
        </w:rPr>
        <w:t xml:space="preserve"> i udio najvećih imatelja </w:t>
      </w:r>
      <w:r w:rsidR="00C248B7" w:rsidRPr="00E55BAA">
        <w:rPr>
          <w:rFonts w:ascii="Arial" w:hAnsi="Arial" w:cs="Arial"/>
          <w:sz w:val="22"/>
          <w:szCs w:val="22"/>
        </w:rPr>
        <w:t xml:space="preserve">udjela u </w:t>
      </w:r>
      <w:proofErr w:type="spellStart"/>
      <w:r w:rsidR="00C248B7" w:rsidRPr="00E55BAA">
        <w:rPr>
          <w:rFonts w:ascii="Arial" w:hAnsi="Arial" w:cs="Arial"/>
          <w:sz w:val="22"/>
          <w:szCs w:val="22"/>
        </w:rPr>
        <w:t>UCITS</w:t>
      </w:r>
      <w:proofErr w:type="spellEnd"/>
      <w:r w:rsidR="00C248B7" w:rsidRPr="00E55BAA">
        <w:rPr>
          <w:rFonts w:ascii="Arial" w:hAnsi="Arial" w:cs="Arial"/>
          <w:sz w:val="22"/>
          <w:szCs w:val="22"/>
        </w:rPr>
        <w:t xml:space="preserve"> fondu</w:t>
      </w:r>
      <w:r w:rsidRPr="00E55BAA">
        <w:rPr>
          <w:rFonts w:ascii="Arial" w:hAnsi="Arial" w:cs="Arial"/>
          <w:sz w:val="22"/>
          <w:szCs w:val="22"/>
        </w:rPr>
        <w:t>,</w:t>
      </w:r>
    </w:p>
    <w:p w14:paraId="62E74E1F" w14:textId="77777777" w:rsidR="002D785F" w:rsidRPr="00E55BAA" w:rsidRDefault="002D785F" w:rsidP="002D785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svrhu ulaganja imatelja udjela u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fondu,</w:t>
      </w:r>
    </w:p>
    <w:p w14:paraId="14A39594" w14:textId="77777777" w:rsidR="00C248B7" w:rsidRDefault="002D785F" w:rsidP="002D785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informacije o tijeku novca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</w:t>
      </w:r>
      <w:r w:rsidR="00C248B7">
        <w:rPr>
          <w:rFonts w:ascii="Arial" w:hAnsi="Arial" w:cs="Arial"/>
          <w:sz w:val="22"/>
          <w:szCs w:val="22"/>
        </w:rPr>
        <w:t>,</w:t>
      </w:r>
    </w:p>
    <w:p w14:paraId="5EACF64B" w14:textId="487EF75C" w:rsidR="002D785F" w:rsidRDefault="00C248B7" w:rsidP="002D785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mogućnost ograničavanja otkupa udjela u </w:t>
      </w:r>
      <w:proofErr w:type="spellStart"/>
      <w:r>
        <w:rPr>
          <w:rFonts w:ascii="Arial" w:hAnsi="Arial" w:cs="Arial"/>
          <w:sz w:val="22"/>
          <w:szCs w:val="22"/>
        </w:rPr>
        <w:t>UCITS</w:t>
      </w:r>
      <w:proofErr w:type="spellEnd"/>
      <w:r>
        <w:rPr>
          <w:rFonts w:ascii="Arial" w:hAnsi="Arial" w:cs="Arial"/>
          <w:sz w:val="22"/>
          <w:szCs w:val="22"/>
        </w:rPr>
        <w:t xml:space="preserve"> fondu</w:t>
      </w:r>
      <w:r w:rsidR="002D785F" w:rsidRPr="00E55BAA">
        <w:rPr>
          <w:rFonts w:ascii="Arial" w:hAnsi="Arial" w:cs="Arial"/>
          <w:sz w:val="22"/>
          <w:szCs w:val="22"/>
        </w:rPr>
        <w:t>.</w:t>
      </w:r>
    </w:p>
    <w:p w14:paraId="28B9C518" w14:textId="77777777" w:rsidR="00074924" w:rsidRPr="00E55BAA" w:rsidRDefault="00074924" w:rsidP="00074924">
      <w:pPr>
        <w:ind w:left="1068"/>
        <w:jc w:val="both"/>
        <w:rPr>
          <w:rFonts w:ascii="Arial" w:hAnsi="Arial" w:cs="Arial"/>
          <w:sz w:val="22"/>
          <w:szCs w:val="22"/>
        </w:rPr>
      </w:pPr>
    </w:p>
    <w:p w14:paraId="4C57FE6A" w14:textId="5EB6690F" w:rsidR="00891744" w:rsidRDefault="00F426A6" w:rsidP="00F426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 </w:t>
      </w:r>
      <w:r w:rsidR="00C248B7">
        <w:rPr>
          <w:rFonts w:ascii="Arial" w:hAnsi="Arial" w:cs="Arial"/>
          <w:sz w:val="22"/>
          <w:szCs w:val="22"/>
        </w:rPr>
        <w:t>Ukoliko</w:t>
      </w:r>
      <w:r>
        <w:rPr>
          <w:rFonts w:ascii="Arial" w:hAnsi="Arial" w:cs="Arial"/>
          <w:sz w:val="22"/>
          <w:szCs w:val="22"/>
        </w:rPr>
        <w:t xml:space="preserve"> neki od </w:t>
      </w:r>
      <w:r w:rsidR="00C56131">
        <w:rPr>
          <w:rFonts w:ascii="Arial" w:hAnsi="Arial" w:cs="Arial"/>
          <w:sz w:val="22"/>
          <w:szCs w:val="22"/>
        </w:rPr>
        <w:t>elemenata</w:t>
      </w:r>
      <w:r>
        <w:rPr>
          <w:rFonts w:ascii="Arial" w:hAnsi="Arial" w:cs="Arial"/>
          <w:sz w:val="22"/>
          <w:szCs w:val="22"/>
        </w:rPr>
        <w:t xml:space="preserve"> iz stavka 5. ovoga članka nisu ispunjeni, </w:t>
      </w:r>
      <w:r w:rsidR="00C248B7">
        <w:rPr>
          <w:rFonts w:ascii="Arial" w:hAnsi="Arial" w:cs="Arial"/>
          <w:sz w:val="22"/>
          <w:szCs w:val="22"/>
        </w:rPr>
        <w:t xml:space="preserve">ne znači nužno </w:t>
      </w:r>
      <w:r w:rsidR="00C56131">
        <w:rPr>
          <w:rFonts w:ascii="Arial" w:hAnsi="Arial" w:cs="Arial"/>
          <w:sz w:val="22"/>
          <w:szCs w:val="22"/>
        </w:rPr>
        <w:t xml:space="preserve">da </w:t>
      </w:r>
      <w:r w:rsidR="00441194">
        <w:rPr>
          <w:rFonts w:ascii="Arial" w:hAnsi="Arial" w:cs="Arial"/>
          <w:sz w:val="22"/>
          <w:szCs w:val="22"/>
        </w:rPr>
        <w:t xml:space="preserve">je </w:t>
      </w:r>
      <w:r w:rsidR="00C56131">
        <w:rPr>
          <w:rFonts w:ascii="Arial" w:hAnsi="Arial" w:cs="Arial"/>
          <w:sz w:val="22"/>
          <w:szCs w:val="22"/>
        </w:rPr>
        <w:t xml:space="preserve">instrument tržišta novca </w:t>
      </w:r>
      <w:r w:rsidR="00441194">
        <w:rPr>
          <w:rFonts w:ascii="Arial" w:hAnsi="Arial" w:cs="Arial"/>
          <w:sz w:val="22"/>
          <w:szCs w:val="22"/>
        </w:rPr>
        <w:t>ne</w:t>
      </w:r>
      <w:r w:rsidR="00F27837">
        <w:rPr>
          <w:rFonts w:ascii="Arial" w:hAnsi="Arial" w:cs="Arial"/>
          <w:sz w:val="22"/>
          <w:szCs w:val="22"/>
        </w:rPr>
        <w:t xml:space="preserve">dovoljno </w:t>
      </w:r>
      <w:r w:rsidR="00C56131">
        <w:rPr>
          <w:rFonts w:ascii="Arial" w:hAnsi="Arial" w:cs="Arial"/>
          <w:sz w:val="22"/>
          <w:szCs w:val="22"/>
        </w:rPr>
        <w:t xml:space="preserve">likvidan. Navedeni elementi moraju osigurati da društvo za upravljanje adekvatno planira strukturu imovine </w:t>
      </w:r>
      <w:proofErr w:type="spellStart"/>
      <w:r w:rsidR="00C56131">
        <w:rPr>
          <w:rFonts w:ascii="Arial" w:hAnsi="Arial" w:cs="Arial"/>
          <w:sz w:val="22"/>
          <w:szCs w:val="22"/>
        </w:rPr>
        <w:t>UCITS</w:t>
      </w:r>
      <w:proofErr w:type="spellEnd"/>
      <w:r w:rsidR="00C56131">
        <w:rPr>
          <w:rFonts w:ascii="Arial" w:hAnsi="Arial" w:cs="Arial"/>
          <w:sz w:val="22"/>
          <w:szCs w:val="22"/>
        </w:rPr>
        <w:t xml:space="preserve"> fonda i predviđa novčane tijekove, kako bi moglo uskladiti očekivane novčane tijekove s prodajom prikladno likvidnih instrumenata u portfelju i zadovoljiti zahtjeve imatelja udjela u </w:t>
      </w:r>
      <w:proofErr w:type="spellStart"/>
      <w:r w:rsidR="00C56131">
        <w:rPr>
          <w:rFonts w:ascii="Arial" w:hAnsi="Arial" w:cs="Arial"/>
          <w:sz w:val="22"/>
          <w:szCs w:val="22"/>
        </w:rPr>
        <w:t>UCITS</w:t>
      </w:r>
      <w:proofErr w:type="spellEnd"/>
      <w:r w:rsidR="00C56131">
        <w:rPr>
          <w:rFonts w:ascii="Arial" w:hAnsi="Arial" w:cs="Arial"/>
          <w:sz w:val="22"/>
          <w:szCs w:val="22"/>
        </w:rPr>
        <w:t xml:space="preserve"> fondu.</w:t>
      </w:r>
    </w:p>
    <w:p w14:paraId="0E491262" w14:textId="77777777" w:rsidR="001B3062" w:rsidRDefault="001B3062" w:rsidP="00DF3F61">
      <w:pPr>
        <w:jc w:val="center"/>
        <w:rPr>
          <w:rFonts w:ascii="Arial" w:hAnsi="Arial" w:cs="Arial"/>
          <w:sz w:val="22"/>
          <w:szCs w:val="22"/>
        </w:rPr>
      </w:pPr>
    </w:p>
    <w:p w14:paraId="02ACAA6D" w14:textId="70DD6050" w:rsidR="00441194" w:rsidRPr="00B96EEC" w:rsidRDefault="00441194" w:rsidP="00B96EEC">
      <w:pPr>
        <w:pStyle w:val="Heading4"/>
        <w:rPr>
          <w:rFonts w:ascii="Arial" w:hAnsi="Arial" w:cs="Arial"/>
          <w:i w:val="0"/>
          <w:color w:val="auto"/>
          <w:sz w:val="22"/>
          <w:szCs w:val="22"/>
        </w:rPr>
      </w:pPr>
      <w:r w:rsidRPr="00B96EEC">
        <w:rPr>
          <w:rFonts w:ascii="Arial" w:hAnsi="Arial" w:cs="Arial"/>
          <w:i w:val="0"/>
          <w:color w:val="auto"/>
          <w:sz w:val="22"/>
          <w:szCs w:val="22"/>
        </w:rPr>
        <w:t xml:space="preserve">Instrumenti </w:t>
      </w:r>
      <w:r w:rsidR="008D407B" w:rsidRPr="00B96EEC">
        <w:rPr>
          <w:rFonts w:ascii="Arial" w:hAnsi="Arial" w:cs="Arial"/>
          <w:i w:val="0"/>
          <w:color w:val="auto"/>
          <w:sz w:val="22"/>
          <w:szCs w:val="22"/>
        </w:rPr>
        <w:t xml:space="preserve">tržišta novca </w:t>
      </w:r>
      <w:r w:rsidRPr="00B96EEC">
        <w:rPr>
          <w:rFonts w:ascii="Arial" w:hAnsi="Arial" w:cs="Arial"/>
          <w:i w:val="0"/>
          <w:color w:val="auto"/>
          <w:sz w:val="22"/>
          <w:szCs w:val="22"/>
        </w:rPr>
        <w:t xml:space="preserve">čije je izdanje ili izdavatelj reguliran u svrhu zaštite </w:t>
      </w:r>
      <w:proofErr w:type="spellStart"/>
      <w:r w:rsidRPr="00B96EEC">
        <w:rPr>
          <w:rFonts w:ascii="Arial" w:hAnsi="Arial" w:cs="Arial"/>
          <w:i w:val="0"/>
          <w:color w:val="auto"/>
          <w:sz w:val="22"/>
          <w:szCs w:val="22"/>
        </w:rPr>
        <w:t>ulagatelja</w:t>
      </w:r>
      <w:proofErr w:type="spellEnd"/>
      <w:r w:rsidRPr="00B96EEC">
        <w:rPr>
          <w:rFonts w:ascii="Arial" w:hAnsi="Arial" w:cs="Arial"/>
          <w:i w:val="0"/>
          <w:color w:val="auto"/>
          <w:sz w:val="22"/>
          <w:szCs w:val="22"/>
        </w:rPr>
        <w:t xml:space="preserve"> i štednih uloga</w:t>
      </w:r>
    </w:p>
    <w:p w14:paraId="66C813BA" w14:textId="13EA18B5" w:rsidR="00CC4081" w:rsidRPr="00B96EEC" w:rsidRDefault="00CC4081" w:rsidP="00B96EEC">
      <w:pPr>
        <w:pStyle w:val="Heading4"/>
        <w:rPr>
          <w:rFonts w:ascii="Arial" w:hAnsi="Arial" w:cs="Arial"/>
          <w:i w:val="0"/>
          <w:color w:val="auto"/>
          <w:sz w:val="22"/>
          <w:szCs w:val="22"/>
        </w:rPr>
      </w:pPr>
      <w:r w:rsidRPr="00B96EEC">
        <w:rPr>
          <w:rFonts w:ascii="Arial" w:hAnsi="Arial" w:cs="Arial"/>
          <w:i w:val="0"/>
          <w:color w:val="auto"/>
          <w:sz w:val="22"/>
          <w:szCs w:val="22"/>
        </w:rPr>
        <w:t xml:space="preserve">Članak </w:t>
      </w:r>
      <w:r w:rsidR="00D17248" w:rsidRPr="00B96EEC">
        <w:rPr>
          <w:rFonts w:ascii="Arial" w:hAnsi="Arial" w:cs="Arial"/>
          <w:i w:val="0"/>
          <w:color w:val="auto"/>
          <w:sz w:val="22"/>
          <w:szCs w:val="22"/>
        </w:rPr>
        <w:t>8</w:t>
      </w:r>
      <w:r w:rsidRPr="00B96EEC">
        <w:rPr>
          <w:rFonts w:ascii="Arial" w:hAnsi="Arial" w:cs="Arial"/>
          <w:i w:val="0"/>
          <w:color w:val="auto"/>
          <w:sz w:val="22"/>
          <w:szCs w:val="22"/>
        </w:rPr>
        <w:t>.</w:t>
      </w:r>
    </w:p>
    <w:p w14:paraId="24A9C401" w14:textId="77777777" w:rsidR="00CC4081" w:rsidRPr="00E55BAA" w:rsidRDefault="00CC4081" w:rsidP="00DF3F61">
      <w:pPr>
        <w:rPr>
          <w:rFonts w:ascii="Arial" w:hAnsi="Arial" w:cs="Arial"/>
          <w:sz w:val="22"/>
          <w:szCs w:val="22"/>
        </w:rPr>
      </w:pPr>
    </w:p>
    <w:p w14:paraId="1FD11064" w14:textId="7B7D7AE4" w:rsidR="00CC4081" w:rsidRPr="00E55BAA" w:rsidRDefault="00CC4081" w:rsidP="00DF3F6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Instrumenti tržišta novca iz članka </w:t>
      </w:r>
      <w:r w:rsidR="00441194">
        <w:rPr>
          <w:rFonts w:ascii="Arial" w:hAnsi="Arial" w:cs="Arial"/>
          <w:sz w:val="22"/>
          <w:szCs w:val="22"/>
        </w:rPr>
        <w:t>252. stavka 1. točke 6. Zakona</w:t>
      </w:r>
      <w:r w:rsidR="00DC7A34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 xml:space="preserve">su </w:t>
      </w:r>
      <w:r w:rsidR="00FB05AE" w:rsidRPr="00E55BAA">
        <w:rPr>
          <w:rFonts w:ascii="Arial" w:hAnsi="Arial" w:cs="Arial"/>
          <w:sz w:val="22"/>
          <w:szCs w:val="22"/>
        </w:rPr>
        <w:t>oni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441194">
        <w:rPr>
          <w:rFonts w:ascii="Arial" w:hAnsi="Arial" w:cs="Arial"/>
          <w:sz w:val="22"/>
          <w:szCs w:val="22"/>
        </w:rPr>
        <w:t xml:space="preserve">financijski </w:t>
      </w:r>
      <w:r w:rsidR="0078538F" w:rsidRPr="00E55BAA">
        <w:rPr>
          <w:rFonts w:ascii="Arial" w:hAnsi="Arial" w:cs="Arial"/>
          <w:sz w:val="22"/>
          <w:szCs w:val="22"/>
        </w:rPr>
        <w:t xml:space="preserve">instrumenti </w:t>
      </w:r>
      <w:r w:rsidRPr="00E55BAA">
        <w:rPr>
          <w:rFonts w:ascii="Arial" w:hAnsi="Arial" w:cs="Arial"/>
          <w:sz w:val="22"/>
          <w:szCs w:val="22"/>
        </w:rPr>
        <w:t>koji zadovoljavaju sljedeće kriterije:</w:t>
      </w:r>
    </w:p>
    <w:p w14:paraId="326E7E62" w14:textId="6D6F3C7F" w:rsidR="00CC4081" w:rsidRPr="00E55BAA" w:rsidRDefault="00CC4081" w:rsidP="00DF3F6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ispunjavaju </w:t>
      </w:r>
      <w:r w:rsidR="00D50C37" w:rsidRPr="00E55BAA">
        <w:rPr>
          <w:rFonts w:ascii="Arial" w:hAnsi="Arial" w:cs="Arial"/>
          <w:sz w:val="22"/>
          <w:szCs w:val="22"/>
        </w:rPr>
        <w:t xml:space="preserve">minimalno </w:t>
      </w:r>
      <w:r w:rsidRPr="00E55BAA">
        <w:rPr>
          <w:rFonts w:ascii="Arial" w:hAnsi="Arial" w:cs="Arial"/>
          <w:sz w:val="22"/>
          <w:szCs w:val="22"/>
        </w:rPr>
        <w:t>jedan od kriterija navedenih u</w:t>
      </w:r>
      <w:r w:rsidR="00891744" w:rsidRPr="00E55BAA">
        <w:rPr>
          <w:rFonts w:ascii="Arial" w:hAnsi="Arial" w:cs="Arial"/>
          <w:sz w:val="22"/>
          <w:szCs w:val="22"/>
        </w:rPr>
        <w:t xml:space="preserve"> </w:t>
      </w:r>
      <w:r w:rsidR="00076E98" w:rsidRPr="00E55BAA">
        <w:rPr>
          <w:rFonts w:ascii="Arial" w:hAnsi="Arial" w:cs="Arial"/>
          <w:sz w:val="22"/>
          <w:szCs w:val="22"/>
        </w:rPr>
        <w:t xml:space="preserve">članku </w:t>
      </w:r>
      <w:r w:rsidR="00D17248">
        <w:rPr>
          <w:rFonts w:ascii="Arial" w:hAnsi="Arial" w:cs="Arial"/>
          <w:sz w:val="22"/>
          <w:szCs w:val="22"/>
        </w:rPr>
        <w:t>6</w:t>
      </w:r>
      <w:r w:rsidR="00076E98" w:rsidRPr="00E55BAA">
        <w:rPr>
          <w:rFonts w:ascii="Arial" w:hAnsi="Arial" w:cs="Arial"/>
          <w:sz w:val="22"/>
          <w:szCs w:val="22"/>
        </w:rPr>
        <w:t xml:space="preserve">. </w:t>
      </w:r>
      <w:r w:rsidR="00891744" w:rsidRPr="00E55BAA">
        <w:rPr>
          <w:rFonts w:ascii="Arial" w:hAnsi="Arial" w:cs="Arial"/>
          <w:sz w:val="22"/>
          <w:szCs w:val="22"/>
        </w:rPr>
        <w:t xml:space="preserve">stavku 1. </w:t>
      </w:r>
      <w:r w:rsidRPr="00E55BAA">
        <w:rPr>
          <w:rFonts w:ascii="Arial" w:hAnsi="Arial" w:cs="Arial"/>
          <w:sz w:val="22"/>
          <w:szCs w:val="22"/>
        </w:rPr>
        <w:t>ovog</w:t>
      </w:r>
      <w:r w:rsidR="004C52CF" w:rsidRPr="00E55BAA">
        <w:rPr>
          <w:rFonts w:ascii="Arial" w:hAnsi="Arial" w:cs="Arial"/>
          <w:sz w:val="22"/>
          <w:szCs w:val="22"/>
        </w:rPr>
        <w:t>a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A742F1" w:rsidRPr="00E55BAA">
        <w:rPr>
          <w:rFonts w:ascii="Arial" w:hAnsi="Arial" w:cs="Arial"/>
          <w:sz w:val="22"/>
          <w:szCs w:val="22"/>
        </w:rPr>
        <w:t>p</w:t>
      </w:r>
      <w:r w:rsidRPr="00E55BAA">
        <w:rPr>
          <w:rFonts w:ascii="Arial" w:hAnsi="Arial" w:cs="Arial"/>
          <w:sz w:val="22"/>
          <w:szCs w:val="22"/>
        </w:rPr>
        <w:t xml:space="preserve">ravilnika i sve kriterije navedene u </w:t>
      </w:r>
      <w:r w:rsidR="00076E98" w:rsidRPr="00E55BAA">
        <w:rPr>
          <w:rFonts w:ascii="Arial" w:hAnsi="Arial" w:cs="Arial"/>
          <w:sz w:val="22"/>
          <w:szCs w:val="22"/>
        </w:rPr>
        <w:t>članku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D17248">
        <w:rPr>
          <w:rFonts w:ascii="Arial" w:hAnsi="Arial" w:cs="Arial"/>
          <w:sz w:val="22"/>
          <w:szCs w:val="22"/>
        </w:rPr>
        <w:t>7</w:t>
      </w:r>
      <w:r w:rsidRPr="00E55BAA">
        <w:rPr>
          <w:rFonts w:ascii="Arial" w:hAnsi="Arial" w:cs="Arial"/>
          <w:sz w:val="22"/>
          <w:szCs w:val="22"/>
        </w:rPr>
        <w:t>.</w:t>
      </w:r>
      <w:r w:rsidR="00076E98" w:rsidRPr="00E55BAA">
        <w:rPr>
          <w:rFonts w:ascii="Arial" w:hAnsi="Arial" w:cs="Arial"/>
          <w:sz w:val="22"/>
          <w:szCs w:val="22"/>
        </w:rPr>
        <w:t xml:space="preserve"> stavku </w:t>
      </w:r>
      <w:r w:rsidR="00441194">
        <w:rPr>
          <w:rFonts w:ascii="Arial" w:hAnsi="Arial" w:cs="Arial"/>
          <w:sz w:val="22"/>
          <w:szCs w:val="22"/>
        </w:rPr>
        <w:t>1</w:t>
      </w:r>
      <w:r w:rsidR="00076E98" w:rsidRPr="00E55BAA">
        <w:rPr>
          <w:rFonts w:ascii="Arial" w:hAnsi="Arial" w:cs="Arial"/>
          <w:sz w:val="22"/>
          <w:szCs w:val="22"/>
        </w:rPr>
        <w:t xml:space="preserve">. </w:t>
      </w:r>
      <w:r w:rsidRPr="00E55BAA">
        <w:rPr>
          <w:rFonts w:ascii="Arial" w:hAnsi="Arial" w:cs="Arial"/>
          <w:sz w:val="22"/>
          <w:szCs w:val="22"/>
        </w:rPr>
        <w:t>ovog</w:t>
      </w:r>
      <w:r w:rsidR="004C52CF" w:rsidRPr="00E55BAA">
        <w:rPr>
          <w:rFonts w:ascii="Arial" w:hAnsi="Arial" w:cs="Arial"/>
          <w:sz w:val="22"/>
          <w:szCs w:val="22"/>
        </w:rPr>
        <w:t>a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A742F1" w:rsidRPr="00E55BAA">
        <w:rPr>
          <w:rFonts w:ascii="Arial" w:hAnsi="Arial" w:cs="Arial"/>
          <w:sz w:val="22"/>
          <w:szCs w:val="22"/>
        </w:rPr>
        <w:t>p</w:t>
      </w:r>
      <w:r w:rsidRPr="00E55BAA">
        <w:rPr>
          <w:rFonts w:ascii="Arial" w:hAnsi="Arial" w:cs="Arial"/>
          <w:sz w:val="22"/>
          <w:szCs w:val="22"/>
        </w:rPr>
        <w:t>ravilnika</w:t>
      </w:r>
      <w:r w:rsidR="00600A53">
        <w:rPr>
          <w:rFonts w:ascii="Arial" w:hAnsi="Arial" w:cs="Arial"/>
          <w:sz w:val="22"/>
          <w:szCs w:val="22"/>
        </w:rPr>
        <w:t>,</w:t>
      </w:r>
    </w:p>
    <w:p w14:paraId="53F335F7" w14:textId="71F74ADC" w:rsidR="00CC4081" w:rsidRPr="00E55BAA" w:rsidRDefault="00207F3D" w:rsidP="00DF3F6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za njih su dostupne odgovarajuće informacije</w:t>
      </w:r>
      <w:r w:rsidR="00441194">
        <w:rPr>
          <w:rFonts w:ascii="Arial" w:hAnsi="Arial" w:cs="Arial"/>
          <w:sz w:val="22"/>
          <w:szCs w:val="22"/>
        </w:rPr>
        <w:t xml:space="preserve"> uključujući i one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C20917" w:rsidRPr="00E55BAA">
        <w:rPr>
          <w:rFonts w:ascii="Arial" w:hAnsi="Arial" w:cs="Arial"/>
          <w:sz w:val="22"/>
          <w:szCs w:val="22"/>
        </w:rPr>
        <w:t>koj</w:t>
      </w:r>
      <w:r w:rsidRPr="00E55BAA">
        <w:rPr>
          <w:rFonts w:ascii="Arial" w:hAnsi="Arial" w:cs="Arial"/>
          <w:sz w:val="22"/>
          <w:szCs w:val="22"/>
        </w:rPr>
        <w:t>e</w:t>
      </w:r>
      <w:r w:rsidR="00C20917" w:rsidRPr="00E55BAA">
        <w:rPr>
          <w:rFonts w:ascii="Arial" w:hAnsi="Arial" w:cs="Arial"/>
          <w:sz w:val="22"/>
          <w:szCs w:val="22"/>
        </w:rPr>
        <w:t xml:space="preserve"> omogućava</w:t>
      </w:r>
      <w:r w:rsidRPr="00E55BAA">
        <w:rPr>
          <w:rFonts w:ascii="Arial" w:hAnsi="Arial" w:cs="Arial"/>
          <w:sz w:val="22"/>
          <w:szCs w:val="22"/>
        </w:rPr>
        <w:t>ju</w:t>
      </w:r>
      <w:r w:rsidR="00C20917" w:rsidRPr="00E55BAA">
        <w:rPr>
          <w:rFonts w:ascii="Arial" w:hAnsi="Arial" w:cs="Arial"/>
          <w:sz w:val="22"/>
          <w:szCs w:val="22"/>
        </w:rPr>
        <w:t xml:space="preserve"> prikladnu </w:t>
      </w:r>
      <w:r w:rsidR="00CC4081" w:rsidRPr="00E55BAA">
        <w:rPr>
          <w:rFonts w:ascii="Arial" w:hAnsi="Arial" w:cs="Arial"/>
          <w:sz w:val="22"/>
          <w:szCs w:val="22"/>
        </w:rPr>
        <w:t>procjen</w:t>
      </w:r>
      <w:r w:rsidR="00C20917" w:rsidRPr="00E55BAA">
        <w:rPr>
          <w:rFonts w:ascii="Arial" w:hAnsi="Arial" w:cs="Arial"/>
          <w:sz w:val="22"/>
          <w:szCs w:val="22"/>
        </w:rPr>
        <w:t>u</w:t>
      </w:r>
      <w:r w:rsidR="00CC4081" w:rsidRPr="00E55BAA">
        <w:rPr>
          <w:rFonts w:ascii="Arial" w:hAnsi="Arial" w:cs="Arial"/>
          <w:sz w:val="22"/>
          <w:szCs w:val="22"/>
        </w:rPr>
        <w:t xml:space="preserve"> kreditnog rizika koji </w:t>
      </w:r>
      <w:r w:rsidR="005B7E63" w:rsidRPr="00E55BAA">
        <w:rPr>
          <w:rFonts w:ascii="Arial" w:hAnsi="Arial" w:cs="Arial"/>
          <w:sz w:val="22"/>
          <w:szCs w:val="22"/>
        </w:rPr>
        <w:t>je povezan s ulaganjem</w:t>
      </w:r>
      <w:r w:rsidR="00CC4081" w:rsidRPr="00E55BAA">
        <w:rPr>
          <w:rFonts w:ascii="Arial" w:hAnsi="Arial" w:cs="Arial"/>
          <w:sz w:val="22"/>
          <w:szCs w:val="22"/>
        </w:rPr>
        <w:t xml:space="preserve"> u takav instrum</w:t>
      </w:r>
      <w:r w:rsidR="005A6AAD" w:rsidRPr="00E55BAA">
        <w:rPr>
          <w:rFonts w:ascii="Arial" w:hAnsi="Arial" w:cs="Arial"/>
          <w:sz w:val="22"/>
          <w:szCs w:val="22"/>
        </w:rPr>
        <w:t xml:space="preserve">ent, uzimajući u obzir stavke </w:t>
      </w:r>
      <w:r w:rsidR="00CC4081" w:rsidRPr="00E55BAA">
        <w:rPr>
          <w:rFonts w:ascii="Arial" w:hAnsi="Arial" w:cs="Arial"/>
          <w:sz w:val="22"/>
          <w:szCs w:val="22"/>
        </w:rPr>
        <w:t>3.</w:t>
      </w:r>
      <w:r w:rsidR="00DC7A34" w:rsidRPr="00E55BAA">
        <w:rPr>
          <w:rFonts w:ascii="Arial" w:hAnsi="Arial" w:cs="Arial"/>
          <w:sz w:val="22"/>
          <w:szCs w:val="22"/>
        </w:rPr>
        <w:t>,</w:t>
      </w:r>
      <w:r w:rsidR="00CC4081" w:rsidRPr="00E55BAA">
        <w:rPr>
          <w:rFonts w:ascii="Arial" w:hAnsi="Arial" w:cs="Arial"/>
          <w:sz w:val="22"/>
          <w:szCs w:val="22"/>
        </w:rPr>
        <w:t>4.</w:t>
      </w:r>
      <w:r w:rsidR="00DC7A34" w:rsidRPr="00E55BAA">
        <w:rPr>
          <w:rFonts w:ascii="Arial" w:hAnsi="Arial" w:cs="Arial"/>
          <w:sz w:val="22"/>
          <w:szCs w:val="22"/>
        </w:rPr>
        <w:t xml:space="preserve"> i 5.</w:t>
      </w:r>
      <w:r w:rsidR="00CC4081" w:rsidRPr="00E55BAA">
        <w:rPr>
          <w:rFonts w:ascii="Arial" w:hAnsi="Arial" w:cs="Arial"/>
          <w:sz w:val="22"/>
          <w:szCs w:val="22"/>
        </w:rPr>
        <w:t xml:space="preserve"> ovog</w:t>
      </w:r>
      <w:r w:rsidR="004C52CF" w:rsidRPr="00E55BAA">
        <w:rPr>
          <w:rFonts w:ascii="Arial" w:hAnsi="Arial" w:cs="Arial"/>
          <w:sz w:val="22"/>
          <w:szCs w:val="22"/>
        </w:rPr>
        <w:t>a</w:t>
      </w:r>
      <w:r w:rsidR="00CC4081" w:rsidRPr="00E55BAA">
        <w:rPr>
          <w:rFonts w:ascii="Arial" w:hAnsi="Arial" w:cs="Arial"/>
          <w:sz w:val="22"/>
          <w:szCs w:val="22"/>
        </w:rPr>
        <w:t xml:space="preserve"> članka</w:t>
      </w:r>
      <w:r w:rsidR="00600A53">
        <w:rPr>
          <w:rFonts w:ascii="Arial" w:hAnsi="Arial" w:cs="Arial"/>
          <w:sz w:val="22"/>
          <w:szCs w:val="22"/>
        </w:rPr>
        <w:t>,</w:t>
      </w:r>
    </w:p>
    <w:p w14:paraId="346A1FB2" w14:textId="77777777" w:rsidR="00CC4081" w:rsidRPr="00E55BAA" w:rsidRDefault="00CC4081" w:rsidP="00DF3F6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slobodno</w:t>
      </w:r>
      <w:r w:rsidR="006A43F6" w:rsidRPr="00E55BAA">
        <w:rPr>
          <w:rFonts w:ascii="Arial" w:hAnsi="Arial" w:cs="Arial"/>
          <w:sz w:val="22"/>
          <w:szCs w:val="22"/>
        </w:rPr>
        <w:t xml:space="preserve"> su</w:t>
      </w:r>
      <w:r w:rsidRPr="00E55BAA">
        <w:rPr>
          <w:rFonts w:ascii="Arial" w:hAnsi="Arial" w:cs="Arial"/>
          <w:sz w:val="22"/>
          <w:szCs w:val="22"/>
        </w:rPr>
        <w:t xml:space="preserve"> prenosivi.</w:t>
      </w:r>
    </w:p>
    <w:p w14:paraId="664EB6C5" w14:textId="77777777" w:rsidR="005A2EEB" w:rsidRPr="00E55BAA" w:rsidRDefault="005A2EEB" w:rsidP="00DF3F6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4C68BDD" w14:textId="066C60E8" w:rsidR="00CC4081" w:rsidRPr="00E55BAA" w:rsidRDefault="00207F3D" w:rsidP="00DF3F6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Prilikom procjene likvidnosti instrumenata tržišta novca iz </w:t>
      </w:r>
      <w:r w:rsidR="00DC7A34" w:rsidRPr="00E55BAA">
        <w:rPr>
          <w:rFonts w:ascii="Arial" w:hAnsi="Arial" w:cs="Arial"/>
          <w:sz w:val="22"/>
          <w:szCs w:val="22"/>
        </w:rPr>
        <w:t xml:space="preserve">stavka 1. ovoga </w:t>
      </w:r>
      <w:r w:rsidRPr="00E55BAA">
        <w:rPr>
          <w:rFonts w:ascii="Arial" w:hAnsi="Arial" w:cs="Arial"/>
          <w:sz w:val="22"/>
          <w:szCs w:val="22"/>
        </w:rPr>
        <w:t xml:space="preserve">članka društvo za upravljanje treba uzeti u obzir elemente iz </w:t>
      </w:r>
      <w:r w:rsidR="00850387" w:rsidRPr="00E55BAA">
        <w:rPr>
          <w:rFonts w:ascii="Arial" w:hAnsi="Arial" w:cs="Arial"/>
          <w:sz w:val="22"/>
          <w:szCs w:val="22"/>
        </w:rPr>
        <w:t xml:space="preserve">članka </w:t>
      </w:r>
      <w:r w:rsidR="00D17248">
        <w:rPr>
          <w:rFonts w:ascii="Arial" w:hAnsi="Arial" w:cs="Arial"/>
          <w:sz w:val="22"/>
          <w:szCs w:val="22"/>
        </w:rPr>
        <w:t>7</w:t>
      </w:r>
      <w:r w:rsidRPr="00E55BAA">
        <w:rPr>
          <w:rFonts w:ascii="Arial" w:hAnsi="Arial" w:cs="Arial"/>
          <w:sz w:val="22"/>
          <w:szCs w:val="22"/>
        </w:rPr>
        <w:t xml:space="preserve">. </w:t>
      </w:r>
      <w:r w:rsidR="00850387" w:rsidRPr="00E55BAA">
        <w:rPr>
          <w:rFonts w:ascii="Arial" w:hAnsi="Arial" w:cs="Arial"/>
          <w:sz w:val="22"/>
          <w:szCs w:val="22"/>
        </w:rPr>
        <w:t xml:space="preserve">stavka </w:t>
      </w:r>
      <w:r w:rsidR="00EE19CA">
        <w:rPr>
          <w:rFonts w:ascii="Arial" w:hAnsi="Arial" w:cs="Arial"/>
          <w:sz w:val="22"/>
          <w:szCs w:val="22"/>
        </w:rPr>
        <w:t>5</w:t>
      </w:r>
      <w:r w:rsidRPr="00E55BAA">
        <w:rPr>
          <w:rFonts w:ascii="Arial" w:hAnsi="Arial" w:cs="Arial"/>
          <w:sz w:val="22"/>
          <w:szCs w:val="22"/>
        </w:rPr>
        <w:t>. ovoga pravilnika.</w:t>
      </w:r>
    </w:p>
    <w:p w14:paraId="7FF0977D" w14:textId="77777777" w:rsidR="005A2EEB" w:rsidRPr="00E55BAA" w:rsidRDefault="005A2EEB" w:rsidP="00DF3F6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BF0A081" w14:textId="06CE695E" w:rsidR="00CC4081" w:rsidRPr="00E55BAA" w:rsidRDefault="00CC4081" w:rsidP="00DF3F6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Za instrumente tržišta novca iz članka </w:t>
      </w:r>
      <w:r w:rsidR="00B2495F">
        <w:rPr>
          <w:rFonts w:ascii="Arial" w:hAnsi="Arial" w:cs="Arial"/>
          <w:sz w:val="22"/>
          <w:szCs w:val="22"/>
        </w:rPr>
        <w:t>252</w:t>
      </w:r>
      <w:r w:rsidRPr="00E55BAA">
        <w:rPr>
          <w:rFonts w:ascii="Arial" w:hAnsi="Arial" w:cs="Arial"/>
          <w:sz w:val="22"/>
          <w:szCs w:val="22"/>
        </w:rPr>
        <w:t xml:space="preserve">. stavka 1. točke 6. </w:t>
      </w:r>
      <w:proofErr w:type="spellStart"/>
      <w:r w:rsidR="005A6AAD" w:rsidRPr="00E55BAA">
        <w:rPr>
          <w:rFonts w:ascii="Arial" w:hAnsi="Arial" w:cs="Arial"/>
          <w:sz w:val="22"/>
          <w:szCs w:val="22"/>
        </w:rPr>
        <w:t>podtoč</w:t>
      </w:r>
      <w:r w:rsidR="00A73E09" w:rsidRPr="00E55BAA">
        <w:rPr>
          <w:rFonts w:ascii="Arial" w:hAnsi="Arial" w:cs="Arial"/>
          <w:sz w:val="22"/>
          <w:szCs w:val="22"/>
        </w:rPr>
        <w:t>aka</w:t>
      </w:r>
      <w:proofErr w:type="spellEnd"/>
      <w:r w:rsidR="00357A57">
        <w:rPr>
          <w:rFonts w:ascii="Arial" w:hAnsi="Arial" w:cs="Arial"/>
          <w:sz w:val="22"/>
          <w:szCs w:val="22"/>
        </w:rPr>
        <w:t xml:space="preserve"> b) i </w:t>
      </w:r>
      <w:r w:rsidR="00C118C7" w:rsidRPr="00E55BAA">
        <w:rPr>
          <w:rFonts w:ascii="Arial" w:hAnsi="Arial" w:cs="Arial"/>
          <w:sz w:val="22"/>
          <w:szCs w:val="22"/>
        </w:rPr>
        <w:t>d)</w:t>
      </w:r>
      <w:r w:rsidR="00B2495F">
        <w:rPr>
          <w:rFonts w:ascii="Arial" w:hAnsi="Arial" w:cs="Arial"/>
          <w:sz w:val="22"/>
          <w:szCs w:val="22"/>
        </w:rPr>
        <w:t xml:space="preserve"> Zakona</w:t>
      </w:r>
      <w:r w:rsidRPr="00E55BAA">
        <w:rPr>
          <w:rFonts w:ascii="Arial" w:hAnsi="Arial" w:cs="Arial"/>
          <w:sz w:val="22"/>
          <w:szCs w:val="22"/>
        </w:rPr>
        <w:t xml:space="preserve"> ili za instrumente </w:t>
      </w:r>
      <w:r w:rsidR="00D17248">
        <w:rPr>
          <w:rFonts w:ascii="Arial" w:hAnsi="Arial" w:cs="Arial"/>
          <w:sz w:val="22"/>
          <w:szCs w:val="22"/>
        </w:rPr>
        <w:t xml:space="preserve">tržišta novca </w:t>
      </w:r>
      <w:r w:rsidRPr="00E55BAA">
        <w:rPr>
          <w:rFonts w:ascii="Arial" w:hAnsi="Arial" w:cs="Arial"/>
          <w:sz w:val="22"/>
          <w:szCs w:val="22"/>
        </w:rPr>
        <w:t xml:space="preserve">izdane od lokalne ili regionalne samouprave </w:t>
      </w:r>
      <w:r w:rsidR="00330C77" w:rsidRPr="00E55BAA">
        <w:rPr>
          <w:rFonts w:ascii="Arial" w:hAnsi="Arial" w:cs="Arial"/>
          <w:sz w:val="22"/>
          <w:szCs w:val="22"/>
        </w:rPr>
        <w:t xml:space="preserve">Republike Hrvatske ili druge </w:t>
      </w:r>
      <w:r w:rsidRPr="00E55BAA">
        <w:rPr>
          <w:rFonts w:ascii="Arial" w:hAnsi="Arial" w:cs="Arial"/>
          <w:sz w:val="22"/>
          <w:szCs w:val="22"/>
        </w:rPr>
        <w:t>drža</w:t>
      </w:r>
      <w:r w:rsidR="00207F3D" w:rsidRPr="00E55BAA">
        <w:rPr>
          <w:rFonts w:ascii="Arial" w:hAnsi="Arial" w:cs="Arial"/>
          <w:sz w:val="22"/>
          <w:szCs w:val="22"/>
        </w:rPr>
        <w:t>ve članice ili javne međunarodne</w:t>
      </w:r>
      <w:r w:rsidRPr="00E55BAA">
        <w:rPr>
          <w:rFonts w:ascii="Arial" w:hAnsi="Arial" w:cs="Arial"/>
          <w:sz w:val="22"/>
          <w:szCs w:val="22"/>
        </w:rPr>
        <w:t xml:space="preserve"> organizacije za koje </w:t>
      </w:r>
      <w:r w:rsidRPr="00EE19CA">
        <w:rPr>
          <w:rFonts w:ascii="Arial" w:hAnsi="Arial" w:cs="Arial"/>
          <w:sz w:val="22"/>
          <w:szCs w:val="22"/>
        </w:rPr>
        <w:t>ne</w:t>
      </w:r>
      <w:r w:rsidRPr="00E55BAA">
        <w:rPr>
          <w:rFonts w:ascii="Arial" w:hAnsi="Arial" w:cs="Arial"/>
          <w:sz w:val="22"/>
          <w:szCs w:val="22"/>
        </w:rPr>
        <w:t xml:space="preserve"> jamči država članica, ili </w:t>
      </w:r>
      <w:r w:rsidR="00EE19CA">
        <w:rPr>
          <w:rFonts w:ascii="Arial" w:hAnsi="Arial" w:cs="Arial"/>
          <w:sz w:val="22"/>
          <w:szCs w:val="22"/>
        </w:rPr>
        <w:t xml:space="preserve">za instrumente tržišta novca </w:t>
      </w:r>
      <w:r w:rsidRPr="00E55BAA">
        <w:rPr>
          <w:rFonts w:ascii="Arial" w:hAnsi="Arial" w:cs="Arial"/>
          <w:sz w:val="22"/>
          <w:szCs w:val="22"/>
        </w:rPr>
        <w:t xml:space="preserve">izdane od federalne jedinice u slučaju federalne države koja je država članica, odgovarajuća informacija iz stavka 1. </w:t>
      </w:r>
      <w:r w:rsidR="00EA7969" w:rsidRPr="00E55BAA">
        <w:rPr>
          <w:rFonts w:ascii="Arial" w:hAnsi="Arial" w:cs="Arial"/>
          <w:sz w:val="22"/>
          <w:szCs w:val="22"/>
        </w:rPr>
        <w:t xml:space="preserve">točke 2. </w:t>
      </w:r>
      <w:r w:rsidRPr="00E55BAA">
        <w:rPr>
          <w:rFonts w:ascii="Arial" w:hAnsi="Arial" w:cs="Arial"/>
          <w:sz w:val="22"/>
          <w:szCs w:val="22"/>
        </w:rPr>
        <w:t>ovog</w:t>
      </w:r>
      <w:r w:rsidR="00B038AB" w:rsidRPr="00E55BAA">
        <w:rPr>
          <w:rFonts w:ascii="Arial" w:hAnsi="Arial" w:cs="Arial"/>
          <w:sz w:val="22"/>
          <w:szCs w:val="22"/>
        </w:rPr>
        <w:t>a</w:t>
      </w:r>
      <w:r w:rsidRPr="00E55BAA">
        <w:rPr>
          <w:rFonts w:ascii="Arial" w:hAnsi="Arial" w:cs="Arial"/>
          <w:sz w:val="22"/>
          <w:szCs w:val="22"/>
        </w:rPr>
        <w:t xml:space="preserve"> članka mora sadržavati:</w:t>
      </w:r>
    </w:p>
    <w:p w14:paraId="694A45B5" w14:textId="3A58CDBA" w:rsidR="00CC4081" w:rsidRPr="00E55BAA" w:rsidRDefault="00CC4081" w:rsidP="00DF3F61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informacije o izdanju ili programu izdavanja, te o pravno</w:t>
      </w:r>
      <w:r w:rsidR="00C118C7" w:rsidRPr="00E55BAA">
        <w:rPr>
          <w:rFonts w:ascii="Arial" w:hAnsi="Arial" w:cs="Arial"/>
          <w:sz w:val="22"/>
          <w:szCs w:val="22"/>
        </w:rPr>
        <w:t xml:space="preserve">m i financijskom </w:t>
      </w:r>
      <w:r w:rsidR="00FF4AEF" w:rsidRPr="00E55BAA">
        <w:rPr>
          <w:rFonts w:ascii="Arial" w:hAnsi="Arial" w:cs="Arial"/>
          <w:sz w:val="22"/>
          <w:szCs w:val="22"/>
        </w:rPr>
        <w:t>položaju</w:t>
      </w:r>
      <w:r w:rsidRPr="00E55BAA">
        <w:rPr>
          <w:rFonts w:ascii="Arial" w:hAnsi="Arial" w:cs="Arial"/>
          <w:sz w:val="22"/>
          <w:szCs w:val="22"/>
        </w:rPr>
        <w:t xml:space="preserve"> izdavatelja prije izdavanja instrumenta tržišta novca</w:t>
      </w:r>
      <w:r w:rsidR="00600A53">
        <w:rPr>
          <w:rFonts w:ascii="Arial" w:hAnsi="Arial" w:cs="Arial"/>
          <w:sz w:val="22"/>
          <w:szCs w:val="22"/>
        </w:rPr>
        <w:t>,</w:t>
      </w:r>
    </w:p>
    <w:p w14:paraId="61613094" w14:textId="7B5244B6" w:rsidR="00CC4081" w:rsidRPr="00E55BAA" w:rsidRDefault="00CC4081" w:rsidP="00DF3F61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ažuriran</w:t>
      </w:r>
      <w:r w:rsidR="00330C77" w:rsidRPr="00E55BAA">
        <w:rPr>
          <w:rFonts w:ascii="Arial" w:hAnsi="Arial" w:cs="Arial"/>
          <w:sz w:val="22"/>
          <w:szCs w:val="22"/>
        </w:rPr>
        <w:t>e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330C77" w:rsidRPr="00E55BAA">
        <w:rPr>
          <w:rFonts w:ascii="Arial" w:hAnsi="Arial" w:cs="Arial"/>
          <w:sz w:val="22"/>
          <w:szCs w:val="22"/>
        </w:rPr>
        <w:t>informacije</w:t>
      </w:r>
      <w:r w:rsidRPr="00E55BAA">
        <w:rPr>
          <w:rFonts w:ascii="Arial" w:hAnsi="Arial" w:cs="Arial"/>
          <w:sz w:val="22"/>
          <w:szCs w:val="22"/>
        </w:rPr>
        <w:t xml:space="preserve"> iz točke 1. ovog</w:t>
      </w:r>
      <w:r w:rsidR="006C3E6F" w:rsidRPr="00E55BAA">
        <w:rPr>
          <w:rFonts w:ascii="Arial" w:hAnsi="Arial" w:cs="Arial"/>
          <w:sz w:val="22"/>
          <w:szCs w:val="22"/>
        </w:rPr>
        <w:t>a</w:t>
      </w:r>
      <w:r w:rsidRPr="00E55BAA">
        <w:rPr>
          <w:rFonts w:ascii="Arial" w:hAnsi="Arial" w:cs="Arial"/>
          <w:sz w:val="22"/>
          <w:szCs w:val="22"/>
        </w:rPr>
        <w:t xml:space="preserve"> stavka na redovnoj osnovi i </w:t>
      </w:r>
      <w:r w:rsidR="006B0D67" w:rsidRPr="00E55BAA">
        <w:rPr>
          <w:rFonts w:ascii="Arial" w:hAnsi="Arial" w:cs="Arial"/>
          <w:sz w:val="22"/>
          <w:szCs w:val="22"/>
        </w:rPr>
        <w:t>u slučaju nastanka</w:t>
      </w:r>
      <w:r w:rsidRPr="00E55BAA">
        <w:rPr>
          <w:rFonts w:ascii="Arial" w:hAnsi="Arial" w:cs="Arial"/>
          <w:sz w:val="22"/>
          <w:szCs w:val="22"/>
        </w:rPr>
        <w:t xml:space="preserve"> značajn</w:t>
      </w:r>
      <w:r w:rsidR="006B0D67" w:rsidRPr="00E55BAA">
        <w:rPr>
          <w:rFonts w:ascii="Arial" w:hAnsi="Arial" w:cs="Arial"/>
          <w:sz w:val="22"/>
          <w:szCs w:val="22"/>
        </w:rPr>
        <w:t>og</w:t>
      </w:r>
      <w:r w:rsidRPr="00E55BAA">
        <w:rPr>
          <w:rFonts w:ascii="Arial" w:hAnsi="Arial" w:cs="Arial"/>
          <w:sz w:val="22"/>
          <w:szCs w:val="22"/>
        </w:rPr>
        <w:t xml:space="preserve"> događaj</w:t>
      </w:r>
      <w:r w:rsidR="006B0D67" w:rsidRPr="00E55BAA">
        <w:rPr>
          <w:rFonts w:ascii="Arial" w:hAnsi="Arial" w:cs="Arial"/>
          <w:sz w:val="22"/>
          <w:szCs w:val="22"/>
        </w:rPr>
        <w:t>a</w:t>
      </w:r>
      <w:r w:rsidR="00600A53">
        <w:rPr>
          <w:rFonts w:ascii="Arial" w:hAnsi="Arial" w:cs="Arial"/>
          <w:sz w:val="22"/>
          <w:szCs w:val="22"/>
        </w:rPr>
        <w:t>,</w:t>
      </w:r>
    </w:p>
    <w:p w14:paraId="68919952" w14:textId="37AD00C2" w:rsidR="00CC4081" w:rsidRPr="00E55BAA" w:rsidRDefault="00CC4081" w:rsidP="00DF3F61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informacije iz točke 1. ovog</w:t>
      </w:r>
      <w:r w:rsidR="006C3E6F" w:rsidRPr="00E55BAA">
        <w:rPr>
          <w:rFonts w:ascii="Arial" w:hAnsi="Arial" w:cs="Arial"/>
          <w:sz w:val="22"/>
          <w:szCs w:val="22"/>
        </w:rPr>
        <w:t>a</w:t>
      </w:r>
      <w:r w:rsidRPr="00E55BAA">
        <w:rPr>
          <w:rFonts w:ascii="Arial" w:hAnsi="Arial" w:cs="Arial"/>
          <w:sz w:val="22"/>
          <w:szCs w:val="22"/>
        </w:rPr>
        <w:t xml:space="preserve"> stavka potvrđene od kvalificirane treće strane, </w:t>
      </w:r>
      <w:r w:rsidR="00EE19CA">
        <w:rPr>
          <w:rFonts w:ascii="Arial" w:hAnsi="Arial" w:cs="Arial"/>
          <w:sz w:val="22"/>
          <w:szCs w:val="22"/>
        </w:rPr>
        <w:t xml:space="preserve">koja je </w:t>
      </w:r>
      <w:r w:rsidRPr="00E55BAA">
        <w:rPr>
          <w:rFonts w:ascii="Arial" w:hAnsi="Arial" w:cs="Arial"/>
          <w:sz w:val="22"/>
          <w:szCs w:val="22"/>
        </w:rPr>
        <w:t>neovisn</w:t>
      </w:r>
      <w:r w:rsidR="00EE19CA">
        <w:rPr>
          <w:rFonts w:ascii="Arial" w:hAnsi="Arial" w:cs="Arial"/>
          <w:sz w:val="22"/>
          <w:szCs w:val="22"/>
        </w:rPr>
        <w:t>a</w:t>
      </w:r>
      <w:r w:rsidRPr="00E55BAA">
        <w:rPr>
          <w:rFonts w:ascii="Arial" w:hAnsi="Arial" w:cs="Arial"/>
          <w:sz w:val="22"/>
          <w:szCs w:val="22"/>
        </w:rPr>
        <w:t xml:space="preserve"> i bez utjecaja izdavatelja</w:t>
      </w:r>
      <w:r w:rsidR="00600A53">
        <w:rPr>
          <w:rFonts w:ascii="Arial" w:hAnsi="Arial" w:cs="Arial"/>
          <w:sz w:val="22"/>
          <w:szCs w:val="22"/>
        </w:rPr>
        <w:t>,</w:t>
      </w:r>
    </w:p>
    <w:p w14:paraId="34B3CCC9" w14:textId="77777777" w:rsidR="00CC4081" w:rsidRPr="00E55BAA" w:rsidRDefault="00CC4081" w:rsidP="00DF3F61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dostupne i pouzdane statističke podatke o izdanju ili programu izdavanja.</w:t>
      </w:r>
    </w:p>
    <w:p w14:paraId="70C4075E" w14:textId="77777777" w:rsidR="00CC4081" w:rsidRPr="00E55BAA" w:rsidRDefault="00CC4081" w:rsidP="00DF3F6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B5BA4E0" w14:textId="0302E281" w:rsidR="00CC4081" w:rsidRPr="00E55BAA" w:rsidRDefault="00CC4081" w:rsidP="00DF3F6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Za instrumente tržišta novca iz članka </w:t>
      </w:r>
      <w:r w:rsidR="00B2495F">
        <w:rPr>
          <w:rFonts w:ascii="Arial" w:hAnsi="Arial" w:cs="Arial"/>
          <w:sz w:val="22"/>
          <w:szCs w:val="22"/>
        </w:rPr>
        <w:t>252</w:t>
      </w:r>
      <w:r w:rsidRPr="00E55BAA">
        <w:rPr>
          <w:rFonts w:ascii="Arial" w:hAnsi="Arial" w:cs="Arial"/>
          <w:sz w:val="22"/>
          <w:szCs w:val="22"/>
        </w:rPr>
        <w:t xml:space="preserve">. stavka 1. točke 6. </w:t>
      </w:r>
      <w:proofErr w:type="spellStart"/>
      <w:r w:rsidR="00354455" w:rsidRPr="00E55BAA">
        <w:rPr>
          <w:rFonts w:ascii="Arial" w:hAnsi="Arial" w:cs="Arial"/>
          <w:sz w:val="22"/>
          <w:szCs w:val="22"/>
        </w:rPr>
        <w:t>podtočke</w:t>
      </w:r>
      <w:proofErr w:type="spellEnd"/>
      <w:r w:rsidR="00C118C7" w:rsidRPr="00E55BAA">
        <w:rPr>
          <w:rFonts w:ascii="Arial" w:hAnsi="Arial" w:cs="Arial"/>
          <w:sz w:val="22"/>
          <w:szCs w:val="22"/>
        </w:rPr>
        <w:t xml:space="preserve"> c)</w:t>
      </w:r>
      <w:r w:rsidRPr="00E55BAA">
        <w:rPr>
          <w:rFonts w:ascii="Arial" w:hAnsi="Arial" w:cs="Arial"/>
          <w:sz w:val="22"/>
          <w:szCs w:val="22"/>
        </w:rPr>
        <w:t xml:space="preserve"> Zakona, odgovarajuća informacija iz stavka 1. </w:t>
      </w:r>
      <w:r w:rsidR="005B7E63" w:rsidRPr="00E55BAA">
        <w:rPr>
          <w:rFonts w:ascii="Arial" w:hAnsi="Arial" w:cs="Arial"/>
          <w:sz w:val="22"/>
          <w:szCs w:val="22"/>
        </w:rPr>
        <w:t xml:space="preserve">točke 2. </w:t>
      </w:r>
      <w:r w:rsidRPr="00E55BAA">
        <w:rPr>
          <w:rFonts w:ascii="Arial" w:hAnsi="Arial" w:cs="Arial"/>
          <w:sz w:val="22"/>
          <w:szCs w:val="22"/>
        </w:rPr>
        <w:t>ovog</w:t>
      </w:r>
      <w:r w:rsidR="006C3E6F" w:rsidRPr="00E55BAA">
        <w:rPr>
          <w:rFonts w:ascii="Arial" w:hAnsi="Arial" w:cs="Arial"/>
          <w:sz w:val="22"/>
          <w:szCs w:val="22"/>
        </w:rPr>
        <w:t>a</w:t>
      </w:r>
      <w:r w:rsidRPr="00E55BAA">
        <w:rPr>
          <w:rFonts w:ascii="Arial" w:hAnsi="Arial" w:cs="Arial"/>
          <w:sz w:val="22"/>
          <w:szCs w:val="22"/>
        </w:rPr>
        <w:t xml:space="preserve"> članka </w:t>
      </w:r>
      <w:r w:rsidR="00C118C7" w:rsidRPr="00E55BAA">
        <w:rPr>
          <w:rFonts w:ascii="Arial" w:hAnsi="Arial" w:cs="Arial"/>
          <w:sz w:val="22"/>
          <w:szCs w:val="22"/>
        </w:rPr>
        <w:t xml:space="preserve">mora </w:t>
      </w:r>
      <w:r w:rsidRPr="00E55BAA">
        <w:rPr>
          <w:rFonts w:ascii="Arial" w:hAnsi="Arial" w:cs="Arial"/>
          <w:sz w:val="22"/>
          <w:szCs w:val="22"/>
        </w:rPr>
        <w:t>sadržavat</w:t>
      </w:r>
      <w:r w:rsidR="00C118C7" w:rsidRPr="00E55BAA">
        <w:rPr>
          <w:rFonts w:ascii="Arial" w:hAnsi="Arial" w:cs="Arial"/>
          <w:sz w:val="22"/>
          <w:szCs w:val="22"/>
        </w:rPr>
        <w:t>i</w:t>
      </w:r>
      <w:r w:rsidRPr="00E55BAA">
        <w:rPr>
          <w:rFonts w:ascii="Arial" w:hAnsi="Arial" w:cs="Arial"/>
          <w:sz w:val="22"/>
          <w:szCs w:val="22"/>
        </w:rPr>
        <w:t>:</w:t>
      </w:r>
    </w:p>
    <w:p w14:paraId="75D0E570" w14:textId="52FEB5CC" w:rsidR="00CC4081" w:rsidRPr="00E55BAA" w:rsidRDefault="00CC4081" w:rsidP="00DF3F61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informacije o izdanju ili programu izdavanja</w:t>
      </w:r>
      <w:r w:rsidR="00707647">
        <w:rPr>
          <w:rFonts w:ascii="Arial" w:hAnsi="Arial" w:cs="Arial"/>
          <w:sz w:val="22"/>
          <w:szCs w:val="22"/>
        </w:rPr>
        <w:t xml:space="preserve"> ili</w:t>
      </w:r>
      <w:r w:rsidRPr="00E55BAA">
        <w:rPr>
          <w:rFonts w:ascii="Arial" w:hAnsi="Arial" w:cs="Arial"/>
          <w:sz w:val="22"/>
          <w:szCs w:val="22"/>
        </w:rPr>
        <w:t xml:space="preserve"> o </w:t>
      </w:r>
      <w:r w:rsidR="00C118C7" w:rsidRPr="00E55BAA">
        <w:rPr>
          <w:rFonts w:ascii="Arial" w:hAnsi="Arial" w:cs="Arial"/>
          <w:sz w:val="22"/>
          <w:szCs w:val="22"/>
        </w:rPr>
        <w:t xml:space="preserve">pravnom i financijskom </w:t>
      </w:r>
      <w:r w:rsidR="00FF4AEF" w:rsidRPr="00E55BAA">
        <w:rPr>
          <w:rFonts w:ascii="Arial" w:hAnsi="Arial" w:cs="Arial"/>
          <w:sz w:val="22"/>
          <w:szCs w:val="22"/>
        </w:rPr>
        <w:t>položaju</w:t>
      </w:r>
      <w:r w:rsidR="00C118C7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>izdavatelja prije izdavanja instrumenta tržišta novca</w:t>
      </w:r>
      <w:r w:rsidR="00600A53">
        <w:rPr>
          <w:rFonts w:ascii="Arial" w:hAnsi="Arial" w:cs="Arial"/>
          <w:sz w:val="22"/>
          <w:szCs w:val="22"/>
        </w:rPr>
        <w:t>,</w:t>
      </w:r>
    </w:p>
    <w:p w14:paraId="69FEDF23" w14:textId="06C936C6" w:rsidR="00CC4081" w:rsidRPr="00E55BAA" w:rsidRDefault="00C118C7" w:rsidP="00DF3F61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ažurirane informacije</w:t>
      </w:r>
      <w:r w:rsidR="00CC4081" w:rsidRPr="00E55BAA">
        <w:rPr>
          <w:rFonts w:ascii="Arial" w:hAnsi="Arial" w:cs="Arial"/>
          <w:sz w:val="22"/>
          <w:szCs w:val="22"/>
        </w:rPr>
        <w:t xml:space="preserve"> iz točke 1. ovog</w:t>
      </w:r>
      <w:r w:rsidR="006C3E6F" w:rsidRPr="00E55BAA">
        <w:rPr>
          <w:rFonts w:ascii="Arial" w:hAnsi="Arial" w:cs="Arial"/>
          <w:sz w:val="22"/>
          <w:szCs w:val="22"/>
        </w:rPr>
        <w:t>a</w:t>
      </w:r>
      <w:r w:rsidR="00CC4081" w:rsidRPr="00E55BAA">
        <w:rPr>
          <w:rFonts w:ascii="Arial" w:hAnsi="Arial" w:cs="Arial"/>
          <w:sz w:val="22"/>
          <w:szCs w:val="22"/>
        </w:rPr>
        <w:t xml:space="preserve"> stavka na redovnoj osnovi i </w:t>
      </w:r>
      <w:r w:rsidRPr="00E55BAA">
        <w:rPr>
          <w:rFonts w:ascii="Arial" w:hAnsi="Arial" w:cs="Arial"/>
          <w:sz w:val="22"/>
          <w:szCs w:val="22"/>
        </w:rPr>
        <w:t>u slučaju nastanka značajnog događaja</w:t>
      </w:r>
      <w:r w:rsidR="00600A53">
        <w:rPr>
          <w:rFonts w:ascii="Arial" w:hAnsi="Arial" w:cs="Arial"/>
          <w:sz w:val="22"/>
          <w:szCs w:val="22"/>
        </w:rPr>
        <w:t>,</w:t>
      </w:r>
    </w:p>
    <w:p w14:paraId="71C33FD1" w14:textId="77777777" w:rsidR="00CC4081" w:rsidRPr="00E55BAA" w:rsidRDefault="00C118C7" w:rsidP="00DF3F61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dostupne</w:t>
      </w:r>
      <w:r w:rsidR="00CC4081" w:rsidRPr="00E55BAA">
        <w:rPr>
          <w:rFonts w:ascii="Arial" w:hAnsi="Arial" w:cs="Arial"/>
          <w:sz w:val="22"/>
          <w:szCs w:val="22"/>
        </w:rPr>
        <w:t xml:space="preserve"> i pouzdan</w:t>
      </w:r>
      <w:r w:rsidRPr="00E55BAA">
        <w:rPr>
          <w:rFonts w:ascii="Arial" w:hAnsi="Arial" w:cs="Arial"/>
          <w:sz w:val="22"/>
          <w:szCs w:val="22"/>
        </w:rPr>
        <w:t>e statističke podatke</w:t>
      </w:r>
      <w:r w:rsidR="00CC4081" w:rsidRPr="00E55BAA">
        <w:rPr>
          <w:rFonts w:ascii="Arial" w:hAnsi="Arial" w:cs="Arial"/>
          <w:sz w:val="22"/>
          <w:szCs w:val="22"/>
        </w:rPr>
        <w:t xml:space="preserve"> o izdanju i</w:t>
      </w:r>
      <w:r w:rsidRPr="00E55BAA">
        <w:rPr>
          <w:rFonts w:ascii="Arial" w:hAnsi="Arial" w:cs="Arial"/>
          <w:sz w:val="22"/>
          <w:szCs w:val="22"/>
        </w:rPr>
        <w:t>li programu izdavanja, ili druge</w:t>
      </w:r>
      <w:r w:rsidR="00CC4081" w:rsidRPr="00E55BAA">
        <w:rPr>
          <w:rFonts w:ascii="Arial" w:hAnsi="Arial" w:cs="Arial"/>
          <w:sz w:val="22"/>
          <w:szCs w:val="22"/>
        </w:rPr>
        <w:t xml:space="preserve"> poda</w:t>
      </w:r>
      <w:r w:rsidRPr="00E55BAA">
        <w:rPr>
          <w:rFonts w:ascii="Arial" w:hAnsi="Arial" w:cs="Arial"/>
          <w:sz w:val="22"/>
          <w:szCs w:val="22"/>
        </w:rPr>
        <w:t>tke</w:t>
      </w:r>
      <w:r w:rsidR="00CC4081" w:rsidRPr="00E55BAA">
        <w:rPr>
          <w:rFonts w:ascii="Arial" w:hAnsi="Arial" w:cs="Arial"/>
          <w:sz w:val="22"/>
          <w:szCs w:val="22"/>
        </w:rPr>
        <w:t xml:space="preserve"> koji omogućavaju procjenu kreditnog rizika koji </w:t>
      </w:r>
      <w:r w:rsidR="008A380E" w:rsidRPr="00E55BAA">
        <w:rPr>
          <w:rFonts w:ascii="Arial" w:hAnsi="Arial" w:cs="Arial"/>
          <w:sz w:val="22"/>
          <w:szCs w:val="22"/>
        </w:rPr>
        <w:t>je povezan s ulaganjem</w:t>
      </w:r>
      <w:r w:rsidR="00CC4081" w:rsidRPr="00E55BAA">
        <w:rPr>
          <w:rFonts w:ascii="Arial" w:hAnsi="Arial" w:cs="Arial"/>
          <w:sz w:val="22"/>
          <w:szCs w:val="22"/>
        </w:rPr>
        <w:t xml:space="preserve"> u takav instrument.</w:t>
      </w:r>
    </w:p>
    <w:p w14:paraId="6A7429A9" w14:textId="77777777" w:rsidR="00C118C7" w:rsidRPr="00E55BAA" w:rsidRDefault="00C118C7" w:rsidP="00DF3F6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56F389A" w14:textId="2EC6F7AF" w:rsidR="00CC4081" w:rsidRPr="00E55BAA" w:rsidRDefault="00CC4081" w:rsidP="00DF3F6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Za </w:t>
      </w:r>
      <w:r w:rsidR="00707647">
        <w:rPr>
          <w:rFonts w:ascii="Arial" w:hAnsi="Arial" w:cs="Arial"/>
          <w:sz w:val="22"/>
          <w:szCs w:val="22"/>
        </w:rPr>
        <w:t xml:space="preserve">sve </w:t>
      </w:r>
      <w:r w:rsidRPr="00E55BAA">
        <w:rPr>
          <w:rFonts w:ascii="Arial" w:hAnsi="Arial" w:cs="Arial"/>
          <w:sz w:val="22"/>
          <w:szCs w:val="22"/>
        </w:rPr>
        <w:t xml:space="preserve">instrumente tržišta novca iz članka </w:t>
      </w:r>
      <w:r w:rsidR="00B2495F">
        <w:rPr>
          <w:rFonts w:ascii="Arial" w:hAnsi="Arial" w:cs="Arial"/>
          <w:sz w:val="22"/>
          <w:szCs w:val="22"/>
        </w:rPr>
        <w:t>252</w:t>
      </w:r>
      <w:r w:rsidRPr="00E55BAA">
        <w:rPr>
          <w:rFonts w:ascii="Arial" w:hAnsi="Arial" w:cs="Arial"/>
          <w:sz w:val="22"/>
          <w:szCs w:val="22"/>
        </w:rPr>
        <w:t xml:space="preserve">. stavka 1. točke 6. </w:t>
      </w:r>
      <w:proofErr w:type="spellStart"/>
      <w:r w:rsidR="00354455" w:rsidRPr="00E55BAA">
        <w:rPr>
          <w:rFonts w:ascii="Arial" w:hAnsi="Arial" w:cs="Arial"/>
          <w:sz w:val="22"/>
          <w:szCs w:val="22"/>
        </w:rPr>
        <w:t>podtočke</w:t>
      </w:r>
      <w:proofErr w:type="spellEnd"/>
      <w:r w:rsidR="00C118C7" w:rsidRPr="00E55BAA">
        <w:rPr>
          <w:rFonts w:ascii="Arial" w:hAnsi="Arial" w:cs="Arial"/>
          <w:sz w:val="22"/>
          <w:szCs w:val="22"/>
        </w:rPr>
        <w:t xml:space="preserve"> a)</w:t>
      </w:r>
      <w:r w:rsidRPr="00E55BAA">
        <w:rPr>
          <w:rFonts w:ascii="Arial" w:hAnsi="Arial" w:cs="Arial"/>
          <w:sz w:val="22"/>
          <w:szCs w:val="22"/>
        </w:rPr>
        <w:t xml:space="preserve"> Zakona</w:t>
      </w:r>
      <w:r w:rsidR="00707647">
        <w:rPr>
          <w:rFonts w:ascii="Arial" w:hAnsi="Arial" w:cs="Arial"/>
          <w:sz w:val="22"/>
          <w:szCs w:val="22"/>
        </w:rPr>
        <w:t>, osim onih iz stavka 3. ovoga članka i onih koje je izdala Europska središnja banka, Hrvatska narodna banka ili središnja banka druge države članice,</w:t>
      </w:r>
      <w:r w:rsidR="005E1B15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 xml:space="preserve">odgovarajuća informacija iz stavka 1. </w:t>
      </w:r>
      <w:r w:rsidR="00F0457E" w:rsidRPr="00E55BAA">
        <w:rPr>
          <w:rFonts w:ascii="Arial" w:hAnsi="Arial" w:cs="Arial"/>
          <w:sz w:val="22"/>
          <w:szCs w:val="22"/>
        </w:rPr>
        <w:t xml:space="preserve">točke 2. </w:t>
      </w:r>
      <w:r w:rsidRPr="00E55BAA">
        <w:rPr>
          <w:rFonts w:ascii="Arial" w:hAnsi="Arial" w:cs="Arial"/>
          <w:sz w:val="22"/>
          <w:szCs w:val="22"/>
        </w:rPr>
        <w:t>ovog</w:t>
      </w:r>
      <w:r w:rsidR="005E1B15" w:rsidRPr="00E55BAA">
        <w:rPr>
          <w:rFonts w:ascii="Arial" w:hAnsi="Arial" w:cs="Arial"/>
          <w:sz w:val="22"/>
          <w:szCs w:val="22"/>
        </w:rPr>
        <w:t>a</w:t>
      </w:r>
      <w:r w:rsidRPr="00E55BAA">
        <w:rPr>
          <w:rFonts w:ascii="Arial" w:hAnsi="Arial" w:cs="Arial"/>
          <w:sz w:val="22"/>
          <w:szCs w:val="22"/>
        </w:rPr>
        <w:t xml:space="preserve"> članka </w:t>
      </w:r>
      <w:r w:rsidR="00D50C37" w:rsidRPr="00E55BAA">
        <w:rPr>
          <w:rFonts w:ascii="Arial" w:hAnsi="Arial" w:cs="Arial"/>
          <w:sz w:val="22"/>
          <w:szCs w:val="22"/>
        </w:rPr>
        <w:t>mora sadržavati</w:t>
      </w:r>
      <w:r w:rsidRPr="00E55BAA">
        <w:rPr>
          <w:rFonts w:ascii="Arial" w:hAnsi="Arial" w:cs="Arial"/>
          <w:sz w:val="22"/>
          <w:szCs w:val="22"/>
        </w:rPr>
        <w:t xml:space="preserve"> informacij</w:t>
      </w:r>
      <w:r w:rsidR="00D50C37" w:rsidRPr="00E55BAA">
        <w:rPr>
          <w:rFonts w:ascii="Arial" w:hAnsi="Arial" w:cs="Arial"/>
          <w:sz w:val="22"/>
          <w:szCs w:val="22"/>
        </w:rPr>
        <w:t>e</w:t>
      </w:r>
      <w:r w:rsidRPr="00E55BAA">
        <w:rPr>
          <w:rFonts w:ascii="Arial" w:hAnsi="Arial" w:cs="Arial"/>
          <w:sz w:val="22"/>
          <w:szCs w:val="22"/>
        </w:rPr>
        <w:t xml:space="preserve"> o izdanju </w:t>
      </w:r>
      <w:r w:rsidRPr="007F0AC4">
        <w:rPr>
          <w:rFonts w:ascii="Arial" w:hAnsi="Arial" w:cs="Arial"/>
          <w:sz w:val="22"/>
          <w:szCs w:val="22"/>
        </w:rPr>
        <w:t>ili programu izda</w:t>
      </w:r>
      <w:r w:rsidR="00FF4AEF" w:rsidRPr="007F0AC4">
        <w:rPr>
          <w:rFonts w:ascii="Arial" w:hAnsi="Arial" w:cs="Arial"/>
          <w:sz w:val="22"/>
          <w:szCs w:val="22"/>
        </w:rPr>
        <w:t>nja</w:t>
      </w:r>
      <w:r w:rsidR="00FF4AEF" w:rsidRPr="00E55BAA">
        <w:rPr>
          <w:rFonts w:ascii="Arial" w:hAnsi="Arial" w:cs="Arial"/>
          <w:sz w:val="22"/>
          <w:szCs w:val="22"/>
        </w:rPr>
        <w:t xml:space="preserve"> ili informacij</w:t>
      </w:r>
      <w:r w:rsidR="00D50C37" w:rsidRPr="00E55BAA">
        <w:rPr>
          <w:rFonts w:ascii="Arial" w:hAnsi="Arial" w:cs="Arial"/>
          <w:sz w:val="22"/>
          <w:szCs w:val="22"/>
        </w:rPr>
        <w:t>e</w:t>
      </w:r>
      <w:r w:rsidR="00FF4AEF" w:rsidRPr="00E55BAA">
        <w:rPr>
          <w:rFonts w:ascii="Arial" w:hAnsi="Arial" w:cs="Arial"/>
          <w:sz w:val="22"/>
          <w:szCs w:val="22"/>
        </w:rPr>
        <w:t xml:space="preserve"> o pravnom i financijskom položaju</w:t>
      </w:r>
      <w:r w:rsidRPr="00E55BAA">
        <w:rPr>
          <w:rFonts w:ascii="Arial" w:hAnsi="Arial" w:cs="Arial"/>
          <w:sz w:val="22"/>
          <w:szCs w:val="22"/>
        </w:rPr>
        <w:t xml:space="preserve"> izdavatelja prije izdanja instrumenta tržišta novca.</w:t>
      </w:r>
    </w:p>
    <w:p w14:paraId="16DB1742" w14:textId="77777777" w:rsidR="00967AD9" w:rsidRPr="00E55BAA" w:rsidRDefault="00967AD9" w:rsidP="00DF3F6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E17F200" w14:textId="1C876021" w:rsidR="00967AD9" w:rsidRPr="00E55BAA" w:rsidRDefault="00967AD9" w:rsidP="00DF3F6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U </w:t>
      </w:r>
      <w:r w:rsidRPr="007F0AC4">
        <w:rPr>
          <w:rFonts w:ascii="Arial" w:hAnsi="Arial" w:cs="Arial"/>
          <w:sz w:val="22"/>
          <w:szCs w:val="22"/>
        </w:rPr>
        <w:t>slučaju dužničkih vrijednosnih papira i instrumenata tržišta novca izdanih u tranšama u okviru programa izdanja, za izračun</w:t>
      </w:r>
      <w:r w:rsidRPr="00E55BAA">
        <w:rPr>
          <w:rFonts w:ascii="Arial" w:hAnsi="Arial" w:cs="Arial"/>
          <w:sz w:val="22"/>
          <w:szCs w:val="22"/>
        </w:rPr>
        <w:t xml:space="preserve"> ograničenja ulaganja iz članka </w:t>
      </w:r>
      <w:r w:rsidR="00B2495F">
        <w:rPr>
          <w:rFonts w:ascii="Arial" w:hAnsi="Arial" w:cs="Arial"/>
          <w:sz w:val="22"/>
          <w:szCs w:val="22"/>
        </w:rPr>
        <w:t>258.</w:t>
      </w:r>
      <w:r w:rsidRPr="00E55BAA">
        <w:rPr>
          <w:rFonts w:ascii="Arial" w:hAnsi="Arial" w:cs="Arial"/>
          <w:sz w:val="22"/>
          <w:szCs w:val="22"/>
        </w:rPr>
        <w:t xml:space="preserve"> stavka 1. </w:t>
      </w:r>
      <w:r w:rsidR="00AE24CA" w:rsidRPr="00E55BAA">
        <w:rPr>
          <w:rFonts w:ascii="Arial" w:hAnsi="Arial" w:cs="Arial"/>
          <w:sz w:val="22"/>
          <w:szCs w:val="22"/>
        </w:rPr>
        <w:t xml:space="preserve">točaka c) i e) </w:t>
      </w:r>
      <w:r w:rsidR="001B2251" w:rsidRPr="00E55BAA">
        <w:rPr>
          <w:rFonts w:ascii="Arial" w:hAnsi="Arial" w:cs="Arial"/>
          <w:sz w:val="22"/>
          <w:szCs w:val="22"/>
        </w:rPr>
        <w:t xml:space="preserve">Zakona </w:t>
      </w:r>
      <w:r w:rsidRPr="00E55BAA">
        <w:rPr>
          <w:rFonts w:ascii="Arial" w:hAnsi="Arial" w:cs="Arial"/>
          <w:sz w:val="22"/>
          <w:szCs w:val="22"/>
        </w:rPr>
        <w:t xml:space="preserve">koriste se nedospjeli </w:t>
      </w:r>
      <w:r w:rsidR="00BF2FC7" w:rsidRPr="00707647">
        <w:rPr>
          <w:rFonts w:ascii="Arial" w:hAnsi="Arial" w:cs="Arial"/>
          <w:sz w:val="22"/>
          <w:szCs w:val="22"/>
        </w:rPr>
        <w:t>financijski instrumenti</w:t>
      </w:r>
      <w:r w:rsidRPr="00E55BAA">
        <w:rPr>
          <w:rFonts w:ascii="Arial" w:hAnsi="Arial" w:cs="Arial"/>
          <w:sz w:val="22"/>
          <w:szCs w:val="22"/>
        </w:rPr>
        <w:t xml:space="preserve"> u opticaju.</w:t>
      </w:r>
    </w:p>
    <w:p w14:paraId="27ABDE97" w14:textId="77777777" w:rsidR="00CC4081" w:rsidRDefault="00CC4081" w:rsidP="00DF3F61">
      <w:pPr>
        <w:rPr>
          <w:rFonts w:ascii="Arial" w:hAnsi="Arial" w:cs="Arial"/>
          <w:sz w:val="22"/>
          <w:szCs w:val="22"/>
        </w:rPr>
      </w:pPr>
    </w:p>
    <w:p w14:paraId="10D8FEDD" w14:textId="2B3D1EA9" w:rsidR="001B3062" w:rsidRPr="00B96EEC" w:rsidRDefault="008D407B" w:rsidP="00B96EEC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B96EEC">
        <w:rPr>
          <w:rFonts w:ascii="Arial" w:hAnsi="Arial" w:cs="Arial"/>
          <w:b w:val="0"/>
          <w:sz w:val="22"/>
          <w:szCs w:val="22"/>
        </w:rPr>
        <w:t>Subjekti koji po mišljenju Agencije podliježu bonitetnom nadzoru nadležnog tijela i usklađeni su s relevantnim propisima</w:t>
      </w:r>
    </w:p>
    <w:p w14:paraId="63E1B6A6" w14:textId="27D60782" w:rsidR="00CC4081" w:rsidRPr="00B96EEC" w:rsidRDefault="00CC4081" w:rsidP="00B96EEC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B96EEC">
        <w:rPr>
          <w:rFonts w:ascii="Arial" w:hAnsi="Arial" w:cs="Arial"/>
          <w:b w:val="0"/>
          <w:sz w:val="22"/>
          <w:szCs w:val="22"/>
        </w:rPr>
        <w:t xml:space="preserve">Članak </w:t>
      </w:r>
      <w:r w:rsidR="00D17248" w:rsidRPr="00B96EEC">
        <w:rPr>
          <w:rFonts w:ascii="Arial" w:hAnsi="Arial" w:cs="Arial"/>
          <w:b w:val="0"/>
          <w:sz w:val="22"/>
          <w:szCs w:val="22"/>
        </w:rPr>
        <w:t>9</w:t>
      </w:r>
      <w:r w:rsidRPr="00B96EEC">
        <w:rPr>
          <w:rFonts w:ascii="Arial" w:hAnsi="Arial" w:cs="Arial"/>
          <w:b w:val="0"/>
          <w:sz w:val="22"/>
          <w:szCs w:val="22"/>
        </w:rPr>
        <w:t>.</w:t>
      </w:r>
    </w:p>
    <w:p w14:paraId="6C0708F4" w14:textId="1899D5FF" w:rsidR="00CC4081" w:rsidRPr="00E55BAA" w:rsidRDefault="00B67CE0" w:rsidP="00DF3F61">
      <w:p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Smatrat će se da s</w:t>
      </w:r>
      <w:r w:rsidR="007656F2" w:rsidRPr="00E55BAA">
        <w:rPr>
          <w:rFonts w:ascii="Arial" w:hAnsi="Arial" w:cs="Arial"/>
          <w:sz w:val="22"/>
          <w:szCs w:val="22"/>
        </w:rPr>
        <w:t>ubjekti</w:t>
      </w:r>
      <w:r w:rsidR="00CC4081" w:rsidRPr="00E55BAA">
        <w:rPr>
          <w:rFonts w:ascii="Arial" w:hAnsi="Arial" w:cs="Arial"/>
          <w:sz w:val="22"/>
          <w:szCs w:val="22"/>
        </w:rPr>
        <w:t xml:space="preserve"> iz članka </w:t>
      </w:r>
      <w:r w:rsidR="00B2495F">
        <w:rPr>
          <w:rFonts w:ascii="Arial" w:hAnsi="Arial" w:cs="Arial"/>
          <w:sz w:val="22"/>
          <w:szCs w:val="22"/>
        </w:rPr>
        <w:t>252</w:t>
      </w:r>
      <w:r w:rsidR="00CC4081" w:rsidRPr="00E55BAA">
        <w:rPr>
          <w:rFonts w:ascii="Arial" w:hAnsi="Arial" w:cs="Arial"/>
          <w:sz w:val="22"/>
          <w:szCs w:val="22"/>
        </w:rPr>
        <w:t xml:space="preserve">. stavka 1. točke 6. </w:t>
      </w:r>
      <w:proofErr w:type="spellStart"/>
      <w:r w:rsidR="00C81030" w:rsidRPr="00E55BAA">
        <w:rPr>
          <w:rFonts w:ascii="Arial" w:hAnsi="Arial" w:cs="Arial"/>
          <w:sz w:val="22"/>
          <w:szCs w:val="22"/>
        </w:rPr>
        <w:t>podtočke</w:t>
      </w:r>
      <w:proofErr w:type="spellEnd"/>
      <w:r w:rsidR="00C81030" w:rsidRPr="00E55BAA">
        <w:rPr>
          <w:rFonts w:ascii="Arial" w:hAnsi="Arial" w:cs="Arial"/>
          <w:sz w:val="22"/>
          <w:szCs w:val="22"/>
        </w:rPr>
        <w:t xml:space="preserve"> </w:t>
      </w:r>
      <w:r w:rsidR="005E1B15" w:rsidRPr="00E55BAA">
        <w:rPr>
          <w:rFonts w:ascii="Arial" w:hAnsi="Arial" w:cs="Arial"/>
          <w:sz w:val="22"/>
          <w:szCs w:val="22"/>
        </w:rPr>
        <w:t>c)</w:t>
      </w:r>
      <w:r w:rsidR="00CC4081" w:rsidRPr="00E55BAA">
        <w:rPr>
          <w:rFonts w:ascii="Arial" w:hAnsi="Arial" w:cs="Arial"/>
          <w:sz w:val="22"/>
          <w:szCs w:val="22"/>
        </w:rPr>
        <w:t xml:space="preserve"> Zakona </w:t>
      </w:r>
      <w:r w:rsidRPr="00E55BAA">
        <w:rPr>
          <w:rFonts w:ascii="Arial" w:hAnsi="Arial" w:cs="Arial"/>
          <w:sz w:val="22"/>
          <w:szCs w:val="22"/>
        </w:rPr>
        <w:t>podliježu</w:t>
      </w:r>
      <w:r w:rsidR="007656F2" w:rsidRPr="00E55BAA">
        <w:rPr>
          <w:rFonts w:ascii="Arial" w:hAnsi="Arial" w:cs="Arial"/>
          <w:sz w:val="22"/>
          <w:szCs w:val="22"/>
        </w:rPr>
        <w:t xml:space="preserve"> i udovoljava</w:t>
      </w:r>
      <w:r w:rsidRPr="00E55BAA">
        <w:rPr>
          <w:rFonts w:ascii="Arial" w:hAnsi="Arial" w:cs="Arial"/>
          <w:sz w:val="22"/>
          <w:szCs w:val="22"/>
        </w:rPr>
        <w:t>ju</w:t>
      </w:r>
      <w:r w:rsidR="007656F2" w:rsidRPr="00E55BAA">
        <w:rPr>
          <w:rFonts w:ascii="Arial" w:hAnsi="Arial" w:cs="Arial"/>
          <w:sz w:val="22"/>
          <w:szCs w:val="22"/>
        </w:rPr>
        <w:t xml:space="preserve"> pravilima nadzora koja su prema mišljenju Agencije barem jednako stroga kao ona propisana pravom Europske </w:t>
      </w:r>
      <w:r w:rsidRPr="00E55BAA">
        <w:rPr>
          <w:rFonts w:ascii="Arial" w:hAnsi="Arial" w:cs="Arial"/>
          <w:sz w:val="22"/>
          <w:szCs w:val="22"/>
        </w:rPr>
        <w:t xml:space="preserve">unije, </w:t>
      </w:r>
      <w:r w:rsidR="00CC4081" w:rsidRPr="00E55BAA">
        <w:rPr>
          <w:rFonts w:ascii="Arial" w:hAnsi="Arial" w:cs="Arial"/>
          <w:sz w:val="22"/>
          <w:szCs w:val="22"/>
        </w:rPr>
        <w:t xml:space="preserve">ako </w:t>
      </w:r>
      <w:r w:rsidR="0087295B">
        <w:rPr>
          <w:rFonts w:ascii="Arial" w:hAnsi="Arial" w:cs="Arial"/>
          <w:sz w:val="22"/>
          <w:szCs w:val="22"/>
        </w:rPr>
        <w:t xml:space="preserve">podliježu bonitetnom nadzoru nadležnog tijela i usklađeni su s relevantnim propisima, te </w:t>
      </w:r>
      <w:r w:rsidR="00CC4081" w:rsidRPr="00E55BAA">
        <w:rPr>
          <w:rFonts w:ascii="Arial" w:hAnsi="Arial" w:cs="Arial"/>
          <w:sz w:val="22"/>
          <w:szCs w:val="22"/>
        </w:rPr>
        <w:t>ispunjava</w:t>
      </w:r>
      <w:r w:rsidR="004E00A9" w:rsidRPr="00E55BAA">
        <w:rPr>
          <w:rFonts w:ascii="Arial" w:hAnsi="Arial" w:cs="Arial"/>
          <w:sz w:val="22"/>
          <w:szCs w:val="22"/>
        </w:rPr>
        <w:t>ju</w:t>
      </w:r>
      <w:r w:rsidR="00CC4081" w:rsidRPr="00E55BAA">
        <w:rPr>
          <w:rFonts w:ascii="Arial" w:hAnsi="Arial" w:cs="Arial"/>
          <w:sz w:val="22"/>
          <w:szCs w:val="22"/>
        </w:rPr>
        <w:t xml:space="preserve"> </w:t>
      </w:r>
      <w:r w:rsidR="00140345">
        <w:rPr>
          <w:rFonts w:ascii="Arial" w:hAnsi="Arial" w:cs="Arial"/>
          <w:sz w:val="22"/>
          <w:szCs w:val="22"/>
        </w:rPr>
        <w:t xml:space="preserve">barem </w:t>
      </w:r>
      <w:r w:rsidR="00CC4081" w:rsidRPr="00E55BAA">
        <w:rPr>
          <w:rFonts w:ascii="Arial" w:hAnsi="Arial" w:cs="Arial"/>
          <w:sz w:val="22"/>
          <w:szCs w:val="22"/>
        </w:rPr>
        <w:t>jedan od sljedećih kriterija:</w:t>
      </w:r>
    </w:p>
    <w:p w14:paraId="64EF74A5" w14:textId="3D0EC849" w:rsidR="00CC4081" w:rsidRPr="00E55BAA" w:rsidRDefault="004E00A9" w:rsidP="00DF3F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sjedište im je</w:t>
      </w:r>
      <w:r w:rsidR="00CC4081" w:rsidRPr="00E55BAA">
        <w:rPr>
          <w:rFonts w:ascii="Arial" w:hAnsi="Arial" w:cs="Arial"/>
          <w:sz w:val="22"/>
          <w:szCs w:val="22"/>
        </w:rPr>
        <w:t xml:space="preserve"> u </w:t>
      </w:r>
      <w:r w:rsidR="001E5CE7" w:rsidRPr="00E55BAA">
        <w:rPr>
          <w:rFonts w:ascii="Arial" w:hAnsi="Arial" w:cs="Arial"/>
          <w:sz w:val="22"/>
          <w:szCs w:val="22"/>
        </w:rPr>
        <w:t xml:space="preserve">državi </w:t>
      </w:r>
      <w:r w:rsidR="00687A90" w:rsidRPr="00E55BAA">
        <w:rPr>
          <w:rFonts w:ascii="Arial" w:hAnsi="Arial" w:cs="Arial"/>
          <w:sz w:val="22"/>
          <w:szCs w:val="22"/>
        </w:rPr>
        <w:t>potpisnici Ugovora o europskom gospodarskom prostoru</w:t>
      </w:r>
      <w:r w:rsidR="00600A53">
        <w:rPr>
          <w:rFonts w:ascii="Arial" w:hAnsi="Arial" w:cs="Arial"/>
          <w:sz w:val="22"/>
          <w:szCs w:val="22"/>
        </w:rPr>
        <w:t>,</w:t>
      </w:r>
    </w:p>
    <w:p w14:paraId="515ACF75" w14:textId="1234490A" w:rsidR="00CC4081" w:rsidRPr="00E55BAA" w:rsidRDefault="004243F8" w:rsidP="00DF3F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sjedište im</w:t>
      </w:r>
      <w:r w:rsidR="00CC4081" w:rsidRPr="00E55BAA">
        <w:rPr>
          <w:rFonts w:ascii="Arial" w:hAnsi="Arial" w:cs="Arial"/>
          <w:sz w:val="22"/>
          <w:szCs w:val="22"/>
        </w:rPr>
        <w:t xml:space="preserve"> je u zemljama OECD-a koje pripadaju grupi G-10</w:t>
      </w:r>
      <w:r w:rsidR="00600A53">
        <w:rPr>
          <w:rFonts w:ascii="Arial" w:hAnsi="Arial" w:cs="Arial"/>
          <w:sz w:val="22"/>
          <w:szCs w:val="22"/>
        </w:rPr>
        <w:t>,</w:t>
      </w:r>
    </w:p>
    <w:p w14:paraId="23D59C77" w14:textId="479A670E" w:rsidR="00CC4081" w:rsidRPr="00E55BAA" w:rsidRDefault="00CC4081" w:rsidP="00DF3F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ima</w:t>
      </w:r>
      <w:r w:rsidR="004243F8" w:rsidRPr="00E55BAA">
        <w:rPr>
          <w:rFonts w:ascii="Arial" w:hAnsi="Arial" w:cs="Arial"/>
          <w:sz w:val="22"/>
          <w:szCs w:val="22"/>
        </w:rPr>
        <w:t>ju</w:t>
      </w:r>
      <w:r w:rsidRPr="00E55BAA">
        <w:rPr>
          <w:rFonts w:ascii="Arial" w:hAnsi="Arial" w:cs="Arial"/>
          <w:sz w:val="22"/>
          <w:szCs w:val="22"/>
        </w:rPr>
        <w:t xml:space="preserve"> investicijski rejting</w:t>
      </w:r>
      <w:r w:rsidR="00600A53">
        <w:rPr>
          <w:rFonts w:ascii="Arial" w:hAnsi="Arial" w:cs="Arial"/>
          <w:sz w:val="22"/>
          <w:szCs w:val="22"/>
        </w:rPr>
        <w:t>,</w:t>
      </w:r>
    </w:p>
    <w:p w14:paraId="54E0365B" w14:textId="60B355D3" w:rsidR="00CC4081" w:rsidRPr="00E55BAA" w:rsidRDefault="00CC4081" w:rsidP="00DF3F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na osnovu analize </w:t>
      </w:r>
      <w:r w:rsidR="005A37A1">
        <w:rPr>
          <w:rFonts w:ascii="Arial" w:hAnsi="Arial" w:cs="Arial"/>
          <w:sz w:val="22"/>
          <w:szCs w:val="22"/>
        </w:rPr>
        <w:t>subjekta</w:t>
      </w:r>
      <w:r w:rsidR="005A37A1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 xml:space="preserve">može se dokazati da </w:t>
      </w:r>
      <w:r w:rsidR="00B67CE0" w:rsidRPr="00E55BAA">
        <w:rPr>
          <w:rFonts w:ascii="Arial" w:hAnsi="Arial" w:cs="Arial"/>
          <w:sz w:val="22"/>
          <w:szCs w:val="22"/>
        </w:rPr>
        <w:t>podliježe bonitetnom nadzoru nadležnog tijela države članice u skladu s kriterijima definiranim pravom Europske unije odnosno pravilima nadzora koja su prema mišljenju Agencije barem jednako stroga kao ona propisana pravom Europske unije</w:t>
      </w:r>
      <w:r w:rsidRPr="00E55BAA">
        <w:rPr>
          <w:rFonts w:ascii="Arial" w:hAnsi="Arial" w:cs="Arial"/>
          <w:sz w:val="22"/>
          <w:szCs w:val="22"/>
        </w:rPr>
        <w:t>.</w:t>
      </w:r>
    </w:p>
    <w:p w14:paraId="52F9BD6D" w14:textId="77777777" w:rsidR="001B3062" w:rsidRDefault="001B3062" w:rsidP="00DF3F61">
      <w:pPr>
        <w:jc w:val="both"/>
        <w:rPr>
          <w:rFonts w:ascii="Arial" w:hAnsi="Arial" w:cs="Arial"/>
          <w:sz w:val="22"/>
          <w:szCs w:val="22"/>
        </w:rPr>
      </w:pPr>
    </w:p>
    <w:p w14:paraId="7E4A1415" w14:textId="776AC15D" w:rsidR="008D407B" w:rsidRPr="00B96EEC" w:rsidRDefault="008D407B" w:rsidP="00B96EEC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B96EEC">
        <w:rPr>
          <w:rFonts w:ascii="Arial" w:hAnsi="Arial" w:cs="Arial"/>
          <w:b w:val="0"/>
          <w:sz w:val="22"/>
          <w:szCs w:val="22"/>
        </w:rPr>
        <w:t xml:space="preserve">Posebni subjekti za </w:t>
      </w:r>
      <w:proofErr w:type="spellStart"/>
      <w:r w:rsidRPr="00B96EEC">
        <w:rPr>
          <w:rFonts w:ascii="Arial" w:hAnsi="Arial" w:cs="Arial"/>
          <w:b w:val="0"/>
          <w:sz w:val="22"/>
          <w:szCs w:val="22"/>
        </w:rPr>
        <w:t>sekuritizaciju</w:t>
      </w:r>
      <w:proofErr w:type="spellEnd"/>
      <w:r w:rsidRPr="00B96EEC">
        <w:rPr>
          <w:rFonts w:ascii="Arial" w:hAnsi="Arial" w:cs="Arial"/>
          <w:b w:val="0"/>
          <w:sz w:val="22"/>
          <w:szCs w:val="22"/>
        </w:rPr>
        <w:t xml:space="preserve"> koji koriste bankovne kreditne linije</w:t>
      </w:r>
    </w:p>
    <w:p w14:paraId="5D798F98" w14:textId="53CDB58A" w:rsidR="00BE1319" w:rsidRPr="00B96EEC" w:rsidRDefault="00CC4081" w:rsidP="00B96EEC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B96EEC">
        <w:rPr>
          <w:rFonts w:ascii="Arial" w:hAnsi="Arial" w:cs="Arial"/>
          <w:b w:val="0"/>
          <w:sz w:val="22"/>
          <w:szCs w:val="22"/>
        </w:rPr>
        <w:t xml:space="preserve">Članak </w:t>
      </w:r>
      <w:r w:rsidR="00D17248" w:rsidRPr="00B96EEC">
        <w:rPr>
          <w:rFonts w:ascii="Arial" w:hAnsi="Arial" w:cs="Arial"/>
          <w:b w:val="0"/>
          <w:sz w:val="22"/>
          <w:szCs w:val="22"/>
        </w:rPr>
        <w:t>10</w:t>
      </w:r>
      <w:r w:rsidRPr="00B96EEC">
        <w:rPr>
          <w:rFonts w:ascii="Arial" w:hAnsi="Arial" w:cs="Arial"/>
          <w:b w:val="0"/>
          <w:sz w:val="22"/>
          <w:szCs w:val="22"/>
        </w:rPr>
        <w:t>.</w:t>
      </w:r>
    </w:p>
    <w:p w14:paraId="1B86AB96" w14:textId="24B50328" w:rsidR="00CC4081" w:rsidRPr="00E55BAA" w:rsidRDefault="00CC4081" w:rsidP="00DF3F61">
      <w:pPr>
        <w:numPr>
          <w:ilvl w:val="0"/>
          <w:numId w:val="3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Posebni subjekti za </w:t>
      </w:r>
      <w:proofErr w:type="spellStart"/>
      <w:r w:rsidRPr="00E55BAA">
        <w:rPr>
          <w:rFonts w:ascii="Arial" w:hAnsi="Arial" w:cs="Arial"/>
          <w:sz w:val="22"/>
          <w:szCs w:val="22"/>
        </w:rPr>
        <w:t>sekuritizaciju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iz </w:t>
      </w:r>
      <w:r w:rsidR="008D407B">
        <w:rPr>
          <w:rFonts w:ascii="Arial" w:hAnsi="Arial" w:cs="Arial"/>
          <w:sz w:val="22"/>
          <w:szCs w:val="22"/>
        </w:rPr>
        <w:t xml:space="preserve">članka 252. stavka 1. točke 6. </w:t>
      </w:r>
      <w:proofErr w:type="spellStart"/>
      <w:r w:rsidR="008D407B">
        <w:rPr>
          <w:rFonts w:ascii="Arial" w:hAnsi="Arial" w:cs="Arial"/>
          <w:sz w:val="22"/>
          <w:szCs w:val="22"/>
        </w:rPr>
        <w:t>podtočke</w:t>
      </w:r>
      <w:proofErr w:type="spellEnd"/>
      <w:r w:rsidR="008D407B">
        <w:rPr>
          <w:rFonts w:ascii="Arial" w:hAnsi="Arial" w:cs="Arial"/>
          <w:sz w:val="22"/>
          <w:szCs w:val="22"/>
        </w:rPr>
        <w:t xml:space="preserve"> d) </w:t>
      </w:r>
      <w:r w:rsidRPr="00E55BAA">
        <w:rPr>
          <w:rFonts w:ascii="Arial" w:hAnsi="Arial" w:cs="Arial"/>
          <w:sz w:val="22"/>
          <w:szCs w:val="22"/>
        </w:rPr>
        <w:t xml:space="preserve">Zakona su svi subjekti </w:t>
      </w:r>
      <w:r w:rsidR="00894397" w:rsidRPr="00E55BAA">
        <w:rPr>
          <w:rFonts w:ascii="Arial" w:hAnsi="Arial" w:cs="Arial"/>
          <w:sz w:val="22"/>
          <w:szCs w:val="22"/>
        </w:rPr>
        <w:t>osnovani s ciljem</w:t>
      </w:r>
      <w:r w:rsidRPr="00E55BAA">
        <w:rPr>
          <w:rFonts w:ascii="Arial" w:hAnsi="Arial" w:cs="Arial"/>
          <w:sz w:val="22"/>
          <w:szCs w:val="22"/>
        </w:rPr>
        <w:t xml:space="preserve"> obavljanja poslova </w:t>
      </w:r>
      <w:proofErr w:type="spellStart"/>
      <w:r w:rsidRPr="00E55BAA">
        <w:rPr>
          <w:rFonts w:ascii="Arial" w:hAnsi="Arial" w:cs="Arial"/>
          <w:sz w:val="22"/>
          <w:szCs w:val="22"/>
        </w:rPr>
        <w:t>sekuritizacije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koji su def</w:t>
      </w:r>
      <w:r w:rsidR="00894397" w:rsidRPr="00E55BAA">
        <w:rPr>
          <w:rFonts w:ascii="Arial" w:hAnsi="Arial" w:cs="Arial"/>
          <w:sz w:val="22"/>
          <w:szCs w:val="22"/>
        </w:rPr>
        <w:t>inirani zakonom kojim se uređuju poslovi</w:t>
      </w:r>
      <w:r w:rsidRPr="00E55B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5BAA">
        <w:rPr>
          <w:rFonts w:ascii="Arial" w:hAnsi="Arial" w:cs="Arial"/>
          <w:sz w:val="22"/>
          <w:szCs w:val="22"/>
        </w:rPr>
        <w:t>sekuritizacije</w:t>
      </w:r>
      <w:proofErr w:type="spellEnd"/>
      <w:r w:rsidRPr="00E55BAA">
        <w:rPr>
          <w:rFonts w:ascii="Arial" w:hAnsi="Arial" w:cs="Arial"/>
          <w:sz w:val="22"/>
          <w:szCs w:val="22"/>
        </w:rPr>
        <w:t>.</w:t>
      </w:r>
    </w:p>
    <w:p w14:paraId="18716C84" w14:textId="77777777" w:rsidR="00CC4081" w:rsidRPr="00E55BAA" w:rsidRDefault="00CC4081" w:rsidP="00DF3F6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25CC152" w14:textId="56071602" w:rsidR="00CC4081" w:rsidRPr="00E55BAA" w:rsidRDefault="00CC4081" w:rsidP="00DF3F61">
      <w:pPr>
        <w:numPr>
          <w:ilvl w:val="0"/>
          <w:numId w:val="3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Bankovna kreditna linija iz </w:t>
      </w:r>
      <w:r w:rsidR="008D407B">
        <w:rPr>
          <w:rFonts w:ascii="Arial" w:hAnsi="Arial" w:cs="Arial"/>
          <w:sz w:val="22"/>
          <w:szCs w:val="22"/>
        </w:rPr>
        <w:t xml:space="preserve">članka 252. stavka 1. točke 6. </w:t>
      </w:r>
      <w:proofErr w:type="spellStart"/>
      <w:r w:rsidR="008D407B">
        <w:rPr>
          <w:rFonts w:ascii="Arial" w:hAnsi="Arial" w:cs="Arial"/>
          <w:sz w:val="22"/>
          <w:szCs w:val="22"/>
        </w:rPr>
        <w:t>podtočke</w:t>
      </w:r>
      <w:proofErr w:type="spellEnd"/>
      <w:r w:rsidR="008D407B">
        <w:rPr>
          <w:rFonts w:ascii="Arial" w:hAnsi="Arial" w:cs="Arial"/>
          <w:sz w:val="22"/>
          <w:szCs w:val="22"/>
        </w:rPr>
        <w:t xml:space="preserve"> d) </w:t>
      </w:r>
      <w:r w:rsidRPr="00E55BAA">
        <w:rPr>
          <w:rFonts w:ascii="Arial" w:hAnsi="Arial" w:cs="Arial"/>
          <w:sz w:val="22"/>
          <w:szCs w:val="22"/>
        </w:rPr>
        <w:t xml:space="preserve">Zakona odnosi se na bankovnu uslugu za koju jamči financijska institucija koja sama ispunjava uvjete iz članka </w:t>
      </w:r>
      <w:r w:rsidR="00B2495F">
        <w:rPr>
          <w:rFonts w:ascii="Arial" w:hAnsi="Arial" w:cs="Arial"/>
          <w:sz w:val="22"/>
          <w:szCs w:val="22"/>
        </w:rPr>
        <w:t>252</w:t>
      </w:r>
      <w:r w:rsidRPr="00E55BAA">
        <w:rPr>
          <w:rFonts w:ascii="Arial" w:hAnsi="Arial" w:cs="Arial"/>
          <w:sz w:val="22"/>
          <w:szCs w:val="22"/>
        </w:rPr>
        <w:t xml:space="preserve">. stavka 1. točke 6. </w:t>
      </w:r>
      <w:proofErr w:type="spellStart"/>
      <w:r w:rsidR="004243F8" w:rsidRPr="00E55BAA">
        <w:rPr>
          <w:rFonts w:ascii="Arial" w:hAnsi="Arial" w:cs="Arial"/>
          <w:sz w:val="22"/>
          <w:szCs w:val="22"/>
        </w:rPr>
        <w:t>podtočke</w:t>
      </w:r>
      <w:proofErr w:type="spellEnd"/>
      <w:r w:rsidR="008D6A18" w:rsidRPr="00E55BAA">
        <w:rPr>
          <w:rFonts w:ascii="Arial" w:hAnsi="Arial" w:cs="Arial"/>
          <w:sz w:val="22"/>
          <w:szCs w:val="22"/>
        </w:rPr>
        <w:t xml:space="preserve"> c)</w:t>
      </w:r>
      <w:r w:rsidRPr="00E55BAA">
        <w:rPr>
          <w:rFonts w:ascii="Arial" w:hAnsi="Arial" w:cs="Arial"/>
          <w:sz w:val="22"/>
          <w:szCs w:val="22"/>
        </w:rPr>
        <w:t xml:space="preserve"> Zakona. </w:t>
      </w:r>
    </w:p>
    <w:p w14:paraId="4B713790" w14:textId="77777777" w:rsidR="00CC4081" w:rsidRDefault="00CC4081" w:rsidP="00DF3F61">
      <w:pPr>
        <w:rPr>
          <w:rFonts w:ascii="Arial" w:hAnsi="Arial" w:cs="Arial"/>
          <w:sz w:val="22"/>
          <w:szCs w:val="22"/>
        </w:rPr>
      </w:pPr>
    </w:p>
    <w:p w14:paraId="6D0B0664" w14:textId="34B3F5FC" w:rsidR="001B3062" w:rsidRPr="00203950" w:rsidRDefault="00BA7535" w:rsidP="00203950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203950">
        <w:rPr>
          <w:rFonts w:ascii="Arial" w:hAnsi="Arial" w:cs="Arial"/>
          <w:b w:val="0"/>
          <w:sz w:val="22"/>
          <w:szCs w:val="22"/>
        </w:rPr>
        <w:t>Poglavlje 3.</w:t>
      </w:r>
    </w:p>
    <w:p w14:paraId="6C4E1B83" w14:textId="0774D7DA" w:rsidR="00CC4081" w:rsidRPr="00203950" w:rsidRDefault="00CA450A" w:rsidP="00203950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203950">
        <w:rPr>
          <w:rFonts w:ascii="Arial" w:hAnsi="Arial" w:cs="Arial"/>
          <w:b w:val="0"/>
          <w:sz w:val="22"/>
          <w:szCs w:val="22"/>
        </w:rPr>
        <w:t xml:space="preserve">Financijske izvedenice </w:t>
      </w:r>
    </w:p>
    <w:p w14:paraId="23650D91" w14:textId="5D1FE2C6" w:rsidR="00CC4081" w:rsidRPr="00203950" w:rsidRDefault="00CC4081" w:rsidP="00203950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203950">
        <w:rPr>
          <w:rFonts w:ascii="Arial" w:hAnsi="Arial" w:cs="Arial"/>
          <w:b w:val="0"/>
          <w:sz w:val="22"/>
          <w:szCs w:val="22"/>
        </w:rPr>
        <w:t xml:space="preserve">Članak </w:t>
      </w:r>
      <w:r w:rsidR="009A5E5C" w:rsidRPr="00203950">
        <w:rPr>
          <w:rFonts w:ascii="Arial" w:hAnsi="Arial" w:cs="Arial"/>
          <w:b w:val="0"/>
          <w:sz w:val="22"/>
          <w:szCs w:val="22"/>
        </w:rPr>
        <w:t>1</w:t>
      </w:r>
      <w:r w:rsidR="00D17248" w:rsidRPr="00203950">
        <w:rPr>
          <w:rFonts w:ascii="Arial" w:hAnsi="Arial" w:cs="Arial"/>
          <w:b w:val="0"/>
          <w:sz w:val="22"/>
          <w:szCs w:val="22"/>
        </w:rPr>
        <w:t>1</w:t>
      </w:r>
      <w:r w:rsidRPr="00203950">
        <w:rPr>
          <w:rFonts w:ascii="Arial" w:hAnsi="Arial" w:cs="Arial"/>
          <w:b w:val="0"/>
          <w:sz w:val="22"/>
          <w:szCs w:val="22"/>
        </w:rPr>
        <w:t>.</w:t>
      </w:r>
    </w:p>
    <w:p w14:paraId="76C6463E" w14:textId="3E14E1CA" w:rsidR="00CC4081" w:rsidRPr="00E55BAA" w:rsidRDefault="00CC4081" w:rsidP="00DF3F6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Financijske izvedenice </w:t>
      </w:r>
      <w:r w:rsidR="002B6C2F">
        <w:rPr>
          <w:rFonts w:ascii="Arial" w:hAnsi="Arial" w:cs="Arial"/>
          <w:sz w:val="22"/>
          <w:szCs w:val="22"/>
        </w:rPr>
        <w:t>se smatraju</w:t>
      </w:r>
      <w:r w:rsidR="002B6C2F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>likvidn</w:t>
      </w:r>
      <w:r w:rsidR="002B6C2F">
        <w:rPr>
          <w:rFonts w:ascii="Arial" w:hAnsi="Arial" w:cs="Arial"/>
          <w:sz w:val="22"/>
          <w:szCs w:val="22"/>
        </w:rPr>
        <w:t>om</w:t>
      </w:r>
      <w:r w:rsidRPr="00E55BAA">
        <w:rPr>
          <w:rFonts w:ascii="Arial" w:hAnsi="Arial" w:cs="Arial"/>
          <w:sz w:val="22"/>
          <w:szCs w:val="22"/>
        </w:rPr>
        <w:t xml:space="preserve"> financijsk</w:t>
      </w:r>
      <w:r w:rsidR="002B6C2F">
        <w:rPr>
          <w:rFonts w:ascii="Arial" w:hAnsi="Arial" w:cs="Arial"/>
          <w:sz w:val="22"/>
          <w:szCs w:val="22"/>
        </w:rPr>
        <w:t>om</w:t>
      </w:r>
      <w:r w:rsidRPr="00E55BAA">
        <w:rPr>
          <w:rFonts w:ascii="Arial" w:hAnsi="Arial" w:cs="Arial"/>
          <w:sz w:val="22"/>
          <w:szCs w:val="22"/>
        </w:rPr>
        <w:t xml:space="preserve"> imovin</w:t>
      </w:r>
      <w:r w:rsidR="002B6C2F">
        <w:rPr>
          <w:rFonts w:ascii="Arial" w:hAnsi="Arial" w:cs="Arial"/>
          <w:sz w:val="22"/>
          <w:szCs w:val="22"/>
        </w:rPr>
        <w:t>om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2B6C2F">
        <w:rPr>
          <w:rFonts w:ascii="Arial" w:hAnsi="Arial" w:cs="Arial"/>
          <w:sz w:val="22"/>
          <w:szCs w:val="22"/>
        </w:rPr>
        <w:t xml:space="preserve">u koju je dozvoljeno ulagati imovinu </w:t>
      </w:r>
      <w:proofErr w:type="spellStart"/>
      <w:r w:rsidR="002B6C2F">
        <w:rPr>
          <w:rFonts w:ascii="Arial" w:hAnsi="Arial" w:cs="Arial"/>
          <w:sz w:val="22"/>
          <w:szCs w:val="22"/>
        </w:rPr>
        <w:t>UCITS</w:t>
      </w:r>
      <w:proofErr w:type="spellEnd"/>
      <w:r w:rsidR="002B6C2F">
        <w:rPr>
          <w:rFonts w:ascii="Arial" w:hAnsi="Arial" w:cs="Arial"/>
          <w:sz w:val="22"/>
          <w:szCs w:val="22"/>
        </w:rPr>
        <w:t xml:space="preserve"> fonda </w:t>
      </w:r>
      <w:r w:rsidRPr="00E55BAA">
        <w:rPr>
          <w:rFonts w:ascii="Arial" w:hAnsi="Arial" w:cs="Arial"/>
          <w:sz w:val="22"/>
          <w:szCs w:val="22"/>
        </w:rPr>
        <w:t>ako zadovoljavaju sljedeće kriterije:</w:t>
      </w:r>
    </w:p>
    <w:p w14:paraId="2F81BF2C" w14:textId="4226D6C1" w:rsidR="00CC4081" w:rsidRPr="00E55BAA" w:rsidRDefault="00CC4081" w:rsidP="00DF3F6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temeljnu </w:t>
      </w:r>
      <w:r w:rsidR="00C45311" w:rsidRPr="00E55BAA">
        <w:rPr>
          <w:rFonts w:ascii="Arial" w:hAnsi="Arial" w:cs="Arial"/>
          <w:sz w:val="22"/>
          <w:szCs w:val="22"/>
        </w:rPr>
        <w:t xml:space="preserve">imovinu </w:t>
      </w:r>
      <w:r w:rsidRPr="00E55BAA">
        <w:rPr>
          <w:rFonts w:ascii="Arial" w:hAnsi="Arial" w:cs="Arial"/>
          <w:sz w:val="22"/>
          <w:szCs w:val="22"/>
        </w:rPr>
        <w:t>financijske izvedenice čini jedn</w:t>
      </w:r>
      <w:r w:rsidR="00C45311" w:rsidRPr="00E55BAA">
        <w:rPr>
          <w:rFonts w:ascii="Arial" w:hAnsi="Arial" w:cs="Arial"/>
          <w:sz w:val="22"/>
          <w:szCs w:val="22"/>
        </w:rPr>
        <w:t>o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CC434F">
        <w:rPr>
          <w:rFonts w:ascii="Arial" w:hAnsi="Arial" w:cs="Arial"/>
          <w:sz w:val="22"/>
          <w:szCs w:val="22"/>
        </w:rPr>
        <w:t xml:space="preserve">ili više </w:t>
      </w:r>
      <w:r w:rsidRPr="00E55BAA">
        <w:rPr>
          <w:rFonts w:ascii="Arial" w:hAnsi="Arial" w:cs="Arial"/>
          <w:sz w:val="22"/>
          <w:szCs w:val="22"/>
        </w:rPr>
        <w:t>od sljedećeg:</w:t>
      </w:r>
    </w:p>
    <w:p w14:paraId="1F8FBE33" w14:textId="5C6B9E5F" w:rsidR="00CC4081" w:rsidRPr="00E55BAA" w:rsidRDefault="00CC4081" w:rsidP="00DF3F6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imovina  </w:t>
      </w:r>
      <w:r w:rsidR="00937D13">
        <w:rPr>
          <w:rFonts w:ascii="Arial" w:hAnsi="Arial" w:cs="Arial"/>
          <w:sz w:val="22"/>
          <w:szCs w:val="22"/>
        </w:rPr>
        <w:t xml:space="preserve">iz </w:t>
      </w:r>
      <w:r w:rsidRPr="00E55BAA">
        <w:rPr>
          <w:rFonts w:ascii="Arial" w:hAnsi="Arial" w:cs="Arial"/>
          <w:sz w:val="22"/>
          <w:szCs w:val="22"/>
        </w:rPr>
        <w:t>člank</w:t>
      </w:r>
      <w:r w:rsidR="00937D13">
        <w:rPr>
          <w:rFonts w:ascii="Arial" w:hAnsi="Arial" w:cs="Arial"/>
          <w:sz w:val="22"/>
          <w:szCs w:val="22"/>
        </w:rPr>
        <w:t>a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B15CBE" w:rsidRPr="00E55BAA">
        <w:rPr>
          <w:rFonts w:ascii="Arial" w:hAnsi="Arial" w:cs="Arial"/>
          <w:sz w:val="22"/>
          <w:szCs w:val="22"/>
        </w:rPr>
        <w:t>2</w:t>
      </w:r>
      <w:r w:rsidR="00937D13">
        <w:rPr>
          <w:rFonts w:ascii="Arial" w:hAnsi="Arial" w:cs="Arial"/>
          <w:sz w:val="22"/>
          <w:szCs w:val="22"/>
        </w:rPr>
        <w:t>52</w:t>
      </w:r>
      <w:r w:rsidRPr="00E55BAA">
        <w:rPr>
          <w:rFonts w:ascii="Arial" w:hAnsi="Arial" w:cs="Arial"/>
          <w:sz w:val="22"/>
          <w:szCs w:val="22"/>
        </w:rPr>
        <w:t>. stavk</w:t>
      </w:r>
      <w:r w:rsidR="00937D13">
        <w:rPr>
          <w:rFonts w:ascii="Arial" w:hAnsi="Arial" w:cs="Arial"/>
          <w:sz w:val="22"/>
          <w:szCs w:val="22"/>
        </w:rPr>
        <w:t>a</w:t>
      </w:r>
      <w:r w:rsidRPr="00E55BAA">
        <w:rPr>
          <w:rFonts w:ascii="Arial" w:hAnsi="Arial" w:cs="Arial"/>
          <w:sz w:val="22"/>
          <w:szCs w:val="22"/>
        </w:rPr>
        <w:t xml:space="preserve"> 1. Zakona, uključujući </w:t>
      </w:r>
      <w:r w:rsidR="008A3343" w:rsidRPr="00E55BAA">
        <w:rPr>
          <w:rFonts w:ascii="Arial" w:hAnsi="Arial" w:cs="Arial"/>
          <w:sz w:val="22"/>
          <w:szCs w:val="22"/>
        </w:rPr>
        <w:t xml:space="preserve">i </w:t>
      </w:r>
      <w:r w:rsidRPr="00E55BAA">
        <w:rPr>
          <w:rFonts w:ascii="Arial" w:hAnsi="Arial" w:cs="Arial"/>
          <w:sz w:val="22"/>
          <w:szCs w:val="22"/>
        </w:rPr>
        <w:t>financijske instrumente koji imaju jednu ili nekoliko karakteristika te imovine,</w:t>
      </w:r>
      <w:r w:rsidR="00F24B41">
        <w:rPr>
          <w:rFonts w:ascii="Arial" w:hAnsi="Arial" w:cs="Arial"/>
          <w:sz w:val="22"/>
          <w:szCs w:val="22"/>
        </w:rPr>
        <w:t xml:space="preserve"> primjerice dividenda, </w:t>
      </w:r>
    </w:p>
    <w:p w14:paraId="68805B61" w14:textId="77777777" w:rsidR="00CC4081" w:rsidRPr="00E55BAA" w:rsidRDefault="00CC4081" w:rsidP="00DF3F6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kamatne stope,</w:t>
      </w:r>
    </w:p>
    <w:p w14:paraId="1F3E8290" w14:textId="77777777" w:rsidR="00CC4081" w:rsidRPr="00E55BAA" w:rsidRDefault="00CC4081" w:rsidP="00DF3F6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devizni tečajevi ili valute,</w:t>
      </w:r>
    </w:p>
    <w:p w14:paraId="3C239E7D" w14:textId="69753807" w:rsidR="00CC4081" w:rsidRPr="00E55BAA" w:rsidRDefault="00CC4081" w:rsidP="00DF3F6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financijski indeksi</w:t>
      </w:r>
      <w:r w:rsidR="00600A53">
        <w:rPr>
          <w:rFonts w:ascii="Arial" w:hAnsi="Arial" w:cs="Arial"/>
          <w:sz w:val="22"/>
          <w:szCs w:val="22"/>
        </w:rPr>
        <w:t>.</w:t>
      </w:r>
    </w:p>
    <w:p w14:paraId="3D83E286" w14:textId="29308F6E" w:rsidR="00CC4081" w:rsidRPr="00E55BAA" w:rsidRDefault="002B6C2F" w:rsidP="00DF3F6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slučaju </w:t>
      </w:r>
      <w:r w:rsidR="0037291F" w:rsidRPr="00E55BAA">
        <w:rPr>
          <w:rFonts w:ascii="Arial" w:hAnsi="Arial" w:cs="Arial"/>
          <w:sz w:val="22"/>
          <w:szCs w:val="22"/>
        </w:rPr>
        <w:t>financijsk</w:t>
      </w:r>
      <w:r>
        <w:rPr>
          <w:rFonts w:ascii="Arial" w:hAnsi="Arial" w:cs="Arial"/>
          <w:sz w:val="22"/>
          <w:szCs w:val="22"/>
        </w:rPr>
        <w:t>ih</w:t>
      </w:r>
      <w:r w:rsidR="0037291F" w:rsidRPr="00E55BAA">
        <w:rPr>
          <w:rFonts w:ascii="Arial" w:hAnsi="Arial" w:cs="Arial"/>
          <w:sz w:val="22"/>
          <w:szCs w:val="22"/>
        </w:rPr>
        <w:t xml:space="preserve"> </w:t>
      </w:r>
      <w:r w:rsidR="00CC4081" w:rsidRPr="00E55BAA">
        <w:rPr>
          <w:rFonts w:ascii="Arial" w:hAnsi="Arial" w:cs="Arial"/>
          <w:sz w:val="22"/>
          <w:szCs w:val="22"/>
        </w:rPr>
        <w:t>izvedenic</w:t>
      </w:r>
      <w:r>
        <w:rPr>
          <w:rFonts w:ascii="Arial" w:hAnsi="Arial" w:cs="Arial"/>
          <w:sz w:val="22"/>
          <w:szCs w:val="22"/>
        </w:rPr>
        <w:t>a</w:t>
      </w:r>
      <w:r w:rsidR="0037291F" w:rsidRPr="00E55BAA">
        <w:rPr>
          <w:rFonts w:ascii="Arial" w:hAnsi="Arial" w:cs="Arial"/>
          <w:sz w:val="22"/>
          <w:szCs w:val="22"/>
        </w:rPr>
        <w:t xml:space="preserve"> kojima se trguje </w:t>
      </w:r>
      <w:r>
        <w:rPr>
          <w:rFonts w:ascii="Arial" w:hAnsi="Arial" w:cs="Arial"/>
          <w:sz w:val="22"/>
          <w:szCs w:val="22"/>
        </w:rPr>
        <w:t xml:space="preserve">izvan </w:t>
      </w:r>
      <w:r w:rsidR="0037291F" w:rsidRPr="00E55BAA">
        <w:rPr>
          <w:rFonts w:ascii="Arial" w:hAnsi="Arial" w:cs="Arial"/>
          <w:sz w:val="22"/>
          <w:szCs w:val="22"/>
        </w:rPr>
        <w:t>uređeni</w:t>
      </w:r>
      <w:r>
        <w:rPr>
          <w:rFonts w:ascii="Arial" w:hAnsi="Arial" w:cs="Arial"/>
          <w:sz w:val="22"/>
          <w:szCs w:val="22"/>
        </w:rPr>
        <w:t>h</w:t>
      </w:r>
      <w:r w:rsidR="0037291F" w:rsidRPr="00E55BAA">
        <w:rPr>
          <w:rFonts w:ascii="Arial" w:hAnsi="Arial" w:cs="Arial"/>
          <w:sz w:val="22"/>
          <w:szCs w:val="22"/>
        </w:rPr>
        <w:t xml:space="preserve"> tržišta (</w:t>
      </w:r>
      <w:proofErr w:type="spellStart"/>
      <w:r w:rsidR="0037291F" w:rsidRPr="00E55BAA">
        <w:rPr>
          <w:rFonts w:ascii="Arial" w:hAnsi="Arial" w:cs="Arial"/>
          <w:sz w:val="22"/>
          <w:szCs w:val="22"/>
        </w:rPr>
        <w:t>OTC</w:t>
      </w:r>
      <w:proofErr w:type="spellEnd"/>
      <w:r w:rsidR="0037291F" w:rsidRPr="00E55BAA">
        <w:rPr>
          <w:rFonts w:ascii="Arial" w:hAnsi="Arial" w:cs="Arial"/>
          <w:sz w:val="22"/>
          <w:szCs w:val="22"/>
        </w:rPr>
        <w:t xml:space="preserve"> izvedenice)</w:t>
      </w:r>
      <w:r>
        <w:rPr>
          <w:rFonts w:ascii="Arial" w:hAnsi="Arial" w:cs="Arial"/>
          <w:sz w:val="22"/>
          <w:szCs w:val="22"/>
        </w:rPr>
        <w:t>,</w:t>
      </w:r>
      <w:r w:rsidR="00712320" w:rsidRPr="00E55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D17248">
        <w:rPr>
          <w:rFonts w:ascii="Arial" w:hAnsi="Arial" w:cs="Arial"/>
          <w:sz w:val="22"/>
          <w:szCs w:val="22"/>
        </w:rPr>
        <w:t xml:space="preserve"> </w:t>
      </w:r>
      <w:r w:rsidR="00712320" w:rsidRPr="00E55BAA">
        <w:rPr>
          <w:rFonts w:ascii="Arial" w:hAnsi="Arial" w:cs="Arial"/>
          <w:sz w:val="22"/>
          <w:szCs w:val="22"/>
        </w:rPr>
        <w:t>ispunjavaju</w:t>
      </w:r>
      <w:r w:rsidR="00CC4081" w:rsidRPr="00E55BAA">
        <w:rPr>
          <w:rFonts w:ascii="Arial" w:hAnsi="Arial" w:cs="Arial"/>
          <w:sz w:val="22"/>
          <w:szCs w:val="22"/>
        </w:rPr>
        <w:t xml:space="preserve"> uvjete iz </w:t>
      </w:r>
      <w:r w:rsidR="00D17248">
        <w:rPr>
          <w:rFonts w:ascii="Arial" w:hAnsi="Arial" w:cs="Arial"/>
          <w:sz w:val="22"/>
          <w:szCs w:val="22"/>
        </w:rPr>
        <w:t xml:space="preserve">članka </w:t>
      </w:r>
      <w:r w:rsidR="00B2495F">
        <w:rPr>
          <w:rFonts w:ascii="Arial" w:hAnsi="Arial" w:cs="Arial"/>
          <w:sz w:val="22"/>
          <w:szCs w:val="22"/>
        </w:rPr>
        <w:t>252</w:t>
      </w:r>
      <w:r w:rsidR="00CC4081" w:rsidRPr="00E55BAA">
        <w:rPr>
          <w:rFonts w:ascii="Arial" w:hAnsi="Arial" w:cs="Arial"/>
          <w:sz w:val="22"/>
          <w:szCs w:val="22"/>
        </w:rPr>
        <w:t xml:space="preserve">. stavka 1. točke 5. </w:t>
      </w:r>
      <w:proofErr w:type="spellStart"/>
      <w:r w:rsidR="009D0371" w:rsidRPr="00E55BAA">
        <w:rPr>
          <w:rFonts w:ascii="Arial" w:hAnsi="Arial" w:cs="Arial"/>
          <w:sz w:val="22"/>
          <w:szCs w:val="22"/>
        </w:rPr>
        <w:t>podtoč</w:t>
      </w:r>
      <w:r w:rsidR="008A3343" w:rsidRPr="00E55BAA">
        <w:rPr>
          <w:rFonts w:ascii="Arial" w:hAnsi="Arial" w:cs="Arial"/>
          <w:sz w:val="22"/>
          <w:szCs w:val="22"/>
        </w:rPr>
        <w:t>aka</w:t>
      </w:r>
      <w:proofErr w:type="spellEnd"/>
      <w:r w:rsidR="00CC4081" w:rsidRPr="00E55BAA">
        <w:rPr>
          <w:rFonts w:ascii="Arial" w:hAnsi="Arial" w:cs="Arial"/>
          <w:sz w:val="22"/>
          <w:szCs w:val="22"/>
        </w:rPr>
        <w:t xml:space="preserve"> b</w:t>
      </w:r>
      <w:r w:rsidR="008A3343" w:rsidRPr="00E55BAA">
        <w:rPr>
          <w:rFonts w:ascii="Arial" w:hAnsi="Arial" w:cs="Arial"/>
          <w:sz w:val="22"/>
          <w:szCs w:val="22"/>
        </w:rPr>
        <w:t>)</w:t>
      </w:r>
      <w:r w:rsidR="00CC4081" w:rsidRPr="00E55BAA">
        <w:rPr>
          <w:rFonts w:ascii="Arial" w:hAnsi="Arial" w:cs="Arial"/>
          <w:sz w:val="22"/>
          <w:szCs w:val="22"/>
        </w:rPr>
        <w:t xml:space="preserve"> i c</w:t>
      </w:r>
      <w:r w:rsidR="008A3343" w:rsidRPr="00E55BAA">
        <w:rPr>
          <w:rFonts w:ascii="Arial" w:hAnsi="Arial" w:cs="Arial"/>
          <w:sz w:val="22"/>
          <w:szCs w:val="22"/>
        </w:rPr>
        <w:t>)</w:t>
      </w:r>
      <w:r w:rsidR="00CC4081" w:rsidRPr="00E55BAA">
        <w:rPr>
          <w:rFonts w:ascii="Arial" w:hAnsi="Arial" w:cs="Arial"/>
          <w:sz w:val="22"/>
          <w:szCs w:val="22"/>
        </w:rPr>
        <w:t xml:space="preserve"> Zakona.</w:t>
      </w:r>
    </w:p>
    <w:p w14:paraId="0796029A" w14:textId="77777777" w:rsidR="00CC4081" w:rsidRPr="00E55BAA" w:rsidRDefault="00CC4081" w:rsidP="00DF3F6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0EE9235" w14:textId="2C4DC9E3" w:rsidR="00CC4081" w:rsidRPr="00E55BAA" w:rsidRDefault="00CC4081" w:rsidP="00DF3F6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Financijske izvedenice iz </w:t>
      </w:r>
      <w:r w:rsidR="00BF32E7">
        <w:rPr>
          <w:rFonts w:ascii="Arial" w:hAnsi="Arial" w:cs="Arial"/>
          <w:sz w:val="22"/>
          <w:szCs w:val="22"/>
        </w:rPr>
        <w:t xml:space="preserve">članka 252. stavka 1. točke 5. </w:t>
      </w:r>
      <w:r w:rsidR="00C14A27" w:rsidRPr="00E55BAA">
        <w:rPr>
          <w:rFonts w:ascii="Arial" w:hAnsi="Arial" w:cs="Arial"/>
          <w:sz w:val="22"/>
          <w:szCs w:val="22"/>
        </w:rPr>
        <w:t>Zakona uključuju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BF32E7">
        <w:rPr>
          <w:rFonts w:ascii="Arial" w:hAnsi="Arial" w:cs="Arial"/>
          <w:sz w:val="22"/>
          <w:szCs w:val="22"/>
        </w:rPr>
        <w:t xml:space="preserve">i </w:t>
      </w:r>
      <w:r w:rsidR="008A3343" w:rsidRPr="00E55BAA">
        <w:rPr>
          <w:rFonts w:ascii="Arial" w:hAnsi="Arial" w:cs="Arial"/>
          <w:sz w:val="22"/>
          <w:szCs w:val="22"/>
        </w:rPr>
        <w:t xml:space="preserve">financijske </w:t>
      </w:r>
      <w:r w:rsidRPr="00E55BAA">
        <w:rPr>
          <w:rFonts w:ascii="Arial" w:hAnsi="Arial" w:cs="Arial"/>
          <w:sz w:val="22"/>
          <w:szCs w:val="22"/>
        </w:rPr>
        <w:t>instrumente koji zadovoljava</w:t>
      </w:r>
      <w:r w:rsidR="00BF32E7">
        <w:rPr>
          <w:rFonts w:ascii="Arial" w:hAnsi="Arial" w:cs="Arial"/>
          <w:sz w:val="22"/>
          <w:szCs w:val="22"/>
        </w:rPr>
        <w:t>ju</w:t>
      </w:r>
      <w:r w:rsidRPr="00E55BAA">
        <w:rPr>
          <w:rFonts w:ascii="Arial" w:hAnsi="Arial" w:cs="Arial"/>
          <w:sz w:val="22"/>
          <w:szCs w:val="22"/>
        </w:rPr>
        <w:t xml:space="preserve"> sljedeće kriterije:</w:t>
      </w:r>
    </w:p>
    <w:p w14:paraId="7B6BC0EF" w14:textId="625C665D" w:rsidR="00CC4081" w:rsidRPr="00E55BAA" w:rsidRDefault="00CC4081" w:rsidP="00DF3F6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omogućavaju </w:t>
      </w:r>
      <w:r w:rsidR="008A3343" w:rsidRPr="00E55BAA">
        <w:rPr>
          <w:rFonts w:ascii="Arial" w:hAnsi="Arial" w:cs="Arial"/>
          <w:sz w:val="22"/>
          <w:szCs w:val="22"/>
        </w:rPr>
        <w:t>prijenos</w:t>
      </w:r>
      <w:r w:rsidRPr="00E55BAA">
        <w:rPr>
          <w:rFonts w:ascii="Arial" w:hAnsi="Arial" w:cs="Arial"/>
          <w:sz w:val="22"/>
          <w:szCs w:val="22"/>
        </w:rPr>
        <w:t xml:space="preserve"> kreditnog rizika povezanog s imovinom </w:t>
      </w:r>
      <w:r w:rsidR="009D0371" w:rsidRPr="00E55BAA">
        <w:rPr>
          <w:rFonts w:ascii="Arial" w:hAnsi="Arial" w:cs="Arial"/>
          <w:sz w:val="22"/>
          <w:szCs w:val="22"/>
        </w:rPr>
        <w:t xml:space="preserve">iz </w:t>
      </w:r>
      <w:r w:rsidRPr="00E55BAA">
        <w:rPr>
          <w:rFonts w:ascii="Arial" w:hAnsi="Arial" w:cs="Arial"/>
          <w:sz w:val="22"/>
          <w:szCs w:val="22"/>
        </w:rPr>
        <w:t xml:space="preserve">stavka 1. </w:t>
      </w:r>
      <w:r w:rsidR="009D0371" w:rsidRPr="00E55BAA">
        <w:rPr>
          <w:rFonts w:ascii="Arial" w:hAnsi="Arial" w:cs="Arial"/>
          <w:sz w:val="22"/>
          <w:szCs w:val="22"/>
        </w:rPr>
        <w:t>točke</w:t>
      </w:r>
      <w:r w:rsidRPr="00E55BAA">
        <w:rPr>
          <w:rFonts w:ascii="Arial" w:hAnsi="Arial" w:cs="Arial"/>
          <w:sz w:val="22"/>
          <w:szCs w:val="22"/>
        </w:rPr>
        <w:t xml:space="preserve"> 1. ovog</w:t>
      </w:r>
      <w:r w:rsidR="00712320" w:rsidRPr="00E55BAA">
        <w:rPr>
          <w:rFonts w:ascii="Arial" w:hAnsi="Arial" w:cs="Arial"/>
          <w:sz w:val="22"/>
          <w:szCs w:val="22"/>
        </w:rPr>
        <w:t>a</w:t>
      </w:r>
      <w:r w:rsidRPr="00E55BAA">
        <w:rPr>
          <w:rFonts w:ascii="Arial" w:hAnsi="Arial" w:cs="Arial"/>
          <w:sz w:val="22"/>
          <w:szCs w:val="22"/>
        </w:rPr>
        <w:t xml:space="preserve"> članka, neovisno o drugim rizicima povezanim s tom imovinom</w:t>
      </w:r>
      <w:r w:rsidR="00600A53">
        <w:rPr>
          <w:rFonts w:ascii="Arial" w:hAnsi="Arial" w:cs="Arial"/>
          <w:sz w:val="22"/>
          <w:szCs w:val="22"/>
        </w:rPr>
        <w:t>,</w:t>
      </w:r>
    </w:p>
    <w:p w14:paraId="6FD58E2D" w14:textId="355EA27D" w:rsidR="00CC4081" w:rsidRPr="000B43D7" w:rsidRDefault="00CC4081" w:rsidP="00DF3F6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B43D7">
        <w:rPr>
          <w:rFonts w:ascii="Arial" w:hAnsi="Arial" w:cs="Arial"/>
          <w:sz w:val="22"/>
          <w:szCs w:val="22"/>
        </w:rPr>
        <w:t xml:space="preserve">ne rezultiraju isporukom ili </w:t>
      </w:r>
      <w:r w:rsidR="008A3343" w:rsidRPr="000B43D7">
        <w:rPr>
          <w:rFonts w:ascii="Arial" w:hAnsi="Arial" w:cs="Arial"/>
          <w:sz w:val="22"/>
          <w:szCs w:val="22"/>
        </w:rPr>
        <w:t>prijenosom</w:t>
      </w:r>
      <w:r w:rsidRPr="000B43D7">
        <w:rPr>
          <w:rFonts w:ascii="Arial" w:hAnsi="Arial" w:cs="Arial"/>
          <w:sz w:val="22"/>
          <w:szCs w:val="22"/>
        </w:rPr>
        <w:t xml:space="preserve"> imovine, osim one navedene u članku </w:t>
      </w:r>
      <w:r w:rsidR="00B2495F" w:rsidRPr="000B43D7">
        <w:rPr>
          <w:rFonts w:ascii="Arial" w:hAnsi="Arial" w:cs="Arial"/>
          <w:sz w:val="22"/>
          <w:szCs w:val="22"/>
        </w:rPr>
        <w:t>252</w:t>
      </w:r>
      <w:r w:rsidR="00823302" w:rsidRPr="000B43D7">
        <w:rPr>
          <w:rFonts w:ascii="Arial" w:hAnsi="Arial" w:cs="Arial"/>
          <w:sz w:val="22"/>
          <w:szCs w:val="22"/>
        </w:rPr>
        <w:t>. stavcima</w:t>
      </w:r>
      <w:r w:rsidRPr="000B43D7">
        <w:rPr>
          <w:rFonts w:ascii="Arial" w:hAnsi="Arial" w:cs="Arial"/>
          <w:sz w:val="22"/>
          <w:szCs w:val="22"/>
        </w:rPr>
        <w:t xml:space="preserve"> 1.</w:t>
      </w:r>
      <w:r w:rsidR="00C81DDF" w:rsidRPr="000B43D7">
        <w:rPr>
          <w:rFonts w:ascii="Arial" w:hAnsi="Arial" w:cs="Arial"/>
          <w:sz w:val="22"/>
          <w:szCs w:val="22"/>
        </w:rPr>
        <w:t xml:space="preserve"> i </w:t>
      </w:r>
      <w:r w:rsidR="00BF32E7" w:rsidRPr="000B43D7">
        <w:rPr>
          <w:rFonts w:ascii="Arial" w:hAnsi="Arial" w:cs="Arial"/>
          <w:sz w:val="22"/>
          <w:szCs w:val="22"/>
        </w:rPr>
        <w:t>2</w:t>
      </w:r>
      <w:r w:rsidR="00C81DDF" w:rsidRPr="000B43D7">
        <w:rPr>
          <w:rFonts w:ascii="Arial" w:hAnsi="Arial" w:cs="Arial"/>
          <w:sz w:val="22"/>
          <w:szCs w:val="22"/>
        </w:rPr>
        <w:t xml:space="preserve">. </w:t>
      </w:r>
      <w:r w:rsidRPr="000B43D7">
        <w:rPr>
          <w:rFonts w:ascii="Arial" w:hAnsi="Arial" w:cs="Arial"/>
          <w:sz w:val="22"/>
          <w:szCs w:val="22"/>
        </w:rPr>
        <w:t>Zakona</w:t>
      </w:r>
      <w:r w:rsidR="00600A53" w:rsidRPr="000B43D7">
        <w:rPr>
          <w:rFonts w:ascii="Arial" w:hAnsi="Arial" w:cs="Arial"/>
          <w:sz w:val="22"/>
          <w:szCs w:val="22"/>
        </w:rPr>
        <w:t>,</w:t>
      </w:r>
      <w:r w:rsidR="00B3433B" w:rsidRPr="000B43D7">
        <w:rPr>
          <w:rFonts w:ascii="Arial" w:hAnsi="Arial" w:cs="Arial"/>
          <w:sz w:val="22"/>
          <w:szCs w:val="22"/>
        </w:rPr>
        <w:t xml:space="preserve"> uključujući i</w:t>
      </w:r>
      <w:r w:rsidR="00451FC7" w:rsidRPr="000B43D7">
        <w:rPr>
          <w:rFonts w:ascii="Arial" w:hAnsi="Arial" w:cs="Arial"/>
          <w:sz w:val="22"/>
          <w:szCs w:val="22"/>
        </w:rPr>
        <w:t xml:space="preserve"> novčana sredstva</w:t>
      </w:r>
      <w:r w:rsidR="000F38FC" w:rsidRPr="000B43D7">
        <w:rPr>
          <w:rFonts w:ascii="Arial" w:hAnsi="Arial" w:cs="Arial"/>
          <w:sz w:val="22"/>
          <w:szCs w:val="22"/>
        </w:rPr>
        <w:t>,</w:t>
      </w:r>
    </w:p>
    <w:p w14:paraId="6EBC5034" w14:textId="1420475E" w:rsidR="00CC4081" w:rsidRPr="00E55BAA" w:rsidRDefault="00CC4081" w:rsidP="00DF3F6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u skladu su s kriterijima za </w:t>
      </w:r>
      <w:proofErr w:type="spellStart"/>
      <w:r w:rsidRPr="00E55BAA">
        <w:rPr>
          <w:rFonts w:ascii="Arial" w:hAnsi="Arial" w:cs="Arial"/>
          <w:sz w:val="22"/>
          <w:szCs w:val="22"/>
        </w:rPr>
        <w:t>OTC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izvedenice koji su definirani u članku </w:t>
      </w:r>
      <w:r w:rsidR="00B2495F">
        <w:rPr>
          <w:rFonts w:ascii="Arial" w:hAnsi="Arial" w:cs="Arial"/>
          <w:sz w:val="22"/>
          <w:szCs w:val="22"/>
        </w:rPr>
        <w:t>252</w:t>
      </w:r>
      <w:r w:rsidRPr="00E55BAA">
        <w:rPr>
          <w:rFonts w:ascii="Arial" w:hAnsi="Arial" w:cs="Arial"/>
          <w:sz w:val="22"/>
          <w:szCs w:val="22"/>
        </w:rPr>
        <w:t>. stav</w:t>
      </w:r>
      <w:r w:rsidR="004E4481" w:rsidRPr="00E55BAA">
        <w:rPr>
          <w:rFonts w:ascii="Arial" w:hAnsi="Arial" w:cs="Arial"/>
          <w:sz w:val="22"/>
          <w:szCs w:val="22"/>
        </w:rPr>
        <w:t>ku</w:t>
      </w:r>
      <w:r w:rsidRPr="00E55BAA">
        <w:rPr>
          <w:rFonts w:ascii="Arial" w:hAnsi="Arial" w:cs="Arial"/>
          <w:sz w:val="22"/>
          <w:szCs w:val="22"/>
        </w:rPr>
        <w:t xml:space="preserve"> 1. točk</w:t>
      </w:r>
      <w:r w:rsidR="004E4481" w:rsidRPr="00E55BAA">
        <w:rPr>
          <w:rFonts w:ascii="Arial" w:hAnsi="Arial" w:cs="Arial"/>
          <w:sz w:val="22"/>
          <w:szCs w:val="22"/>
        </w:rPr>
        <w:t>i</w:t>
      </w:r>
      <w:r w:rsidRPr="00E55BAA">
        <w:rPr>
          <w:rFonts w:ascii="Arial" w:hAnsi="Arial" w:cs="Arial"/>
          <w:sz w:val="22"/>
          <w:szCs w:val="22"/>
        </w:rPr>
        <w:t xml:space="preserve"> 5. </w:t>
      </w:r>
      <w:proofErr w:type="spellStart"/>
      <w:r w:rsidR="00A22F54" w:rsidRPr="00E55BAA">
        <w:rPr>
          <w:rFonts w:ascii="Arial" w:hAnsi="Arial" w:cs="Arial"/>
          <w:sz w:val="22"/>
          <w:szCs w:val="22"/>
        </w:rPr>
        <w:t>podtoč</w:t>
      </w:r>
      <w:r w:rsidR="004E4481" w:rsidRPr="00E55BAA">
        <w:rPr>
          <w:rFonts w:ascii="Arial" w:hAnsi="Arial" w:cs="Arial"/>
          <w:sz w:val="22"/>
          <w:szCs w:val="22"/>
        </w:rPr>
        <w:t>kama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</w:t>
      </w:r>
      <w:r w:rsidR="000C000F" w:rsidRPr="00E55BAA">
        <w:rPr>
          <w:rFonts w:ascii="Arial" w:hAnsi="Arial" w:cs="Arial"/>
          <w:sz w:val="22"/>
          <w:szCs w:val="22"/>
        </w:rPr>
        <w:t>b) i c)</w:t>
      </w:r>
      <w:r w:rsidRPr="00E55BAA">
        <w:rPr>
          <w:rFonts w:ascii="Arial" w:hAnsi="Arial" w:cs="Arial"/>
          <w:sz w:val="22"/>
          <w:szCs w:val="22"/>
        </w:rPr>
        <w:t xml:space="preserve"> Zakona</w:t>
      </w:r>
      <w:r w:rsidR="00716770">
        <w:rPr>
          <w:rFonts w:ascii="Arial" w:hAnsi="Arial" w:cs="Arial"/>
          <w:sz w:val="22"/>
          <w:szCs w:val="22"/>
        </w:rPr>
        <w:t xml:space="preserve"> i s</w:t>
      </w:r>
      <w:r w:rsidR="00B406A0">
        <w:rPr>
          <w:rFonts w:ascii="Arial" w:hAnsi="Arial" w:cs="Arial"/>
          <w:sz w:val="22"/>
          <w:szCs w:val="22"/>
        </w:rPr>
        <w:t>tavcima</w:t>
      </w:r>
      <w:r w:rsidR="00716770">
        <w:rPr>
          <w:rFonts w:ascii="Arial" w:hAnsi="Arial" w:cs="Arial"/>
          <w:sz w:val="22"/>
          <w:szCs w:val="22"/>
        </w:rPr>
        <w:t xml:space="preserve"> 3. </w:t>
      </w:r>
      <w:r w:rsidR="00B406A0">
        <w:rPr>
          <w:rFonts w:ascii="Arial" w:hAnsi="Arial" w:cs="Arial"/>
          <w:sz w:val="22"/>
          <w:szCs w:val="22"/>
        </w:rPr>
        <w:t xml:space="preserve">i 4. </w:t>
      </w:r>
      <w:r w:rsidR="00716770">
        <w:rPr>
          <w:rFonts w:ascii="Arial" w:hAnsi="Arial" w:cs="Arial"/>
          <w:sz w:val="22"/>
          <w:szCs w:val="22"/>
        </w:rPr>
        <w:t>ovoga članka</w:t>
      </w:r>
      <w:r w:rsidR="00600A53">
        <w:rPr>
          <w:rFonts w:ascii="Arial" w:hAnsi="Arial" w:cs="Arial"/>
          <w:sz w:val="22"/>
          <w:szCs w:val="22"/>
        </w:rPr>
        <w:t>,</w:t>
      </w:r>
    </w:p>
    <w:p w14:paraId="495DBE78" w14:textId="6EC61072" w:rsidR="0057183A" w:rsidRPr="00E55BAA" w:rsidRDefault="00CC4081" w:rsidP="00DF3F6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rizici </w:t>
      </w:r>
      <w:r w:rsidR="000C000F" w:rsidRPr="00E55BAA">
        <w:rPr>
          <w:rFonts w:ascii="Arial" w:hAnsi="Arial" w:cs="Arial"/>
          <w:sz w:val="22"/>
          <w:szCs w:val="22"/>
        </w:rPr>
        <w:t xml:space="preserve">financijskih izvedenica </w:t>
      </w:r>
      <w:r w:rsidRPr="00E55BAA">
        <w:rPr>
          <w:rFonts w:ascii="Arial" w:hAnsi="Arial" w:cs="Arial"/>
          <w:sz w:val="22"/>
          <w:szCs w:val="22"/>
        </w:rPr>
        <w:t xml:space="preserve">obuhvaćeni </w:t>
      </w:r>
      <w:r w:rsidR="000C000F" w:rsidRPr="00E55BAA">
        <w:rPr>
          <w:rFonts w:ascii="Arial" w:hAnsi="Arial" w:cs="Arial"/>
          <w:sz w:val="22"/>
          <w:szCs w:val="22"/>
        </w:rPr>
        <w:t xml:space="preserve">su </w:t>
      </w:r>
      <w:r w:rsidRPr="00E55BAA">
        <w:rPr>
          <w:rFonts w:ascii="Arial" w:hAnsi="Arial" w:cs="Arial"/>
          <w:sz w:val="22"/>
          <w:szCs w:val="22"/>
        </w:rPr>
        <w:t xml:space="preserve">sustavom upravljanja rizicima </w:t>
      </w:r>
      <w:proofErr w:type="spellStart"/>
      <w:r w:rsidR="001513E0" w:rsidRPr="00E55BAA">
        <w:rPr>
          <w:rFonts w:ascii="Arial" w:hAnsi="Arial" w:cs="Arial"/>
          <w:sz w:val="22"/>
          <w:szCs w:val="22"/>
        </w:rPr>
        <w:t>UCITS</w:t>
      </w:r>
      <w:proofErr w:type="spellEnd"/>
      <w:r w:rsidR="001513E0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>fo</w:t>
      </w:r>
      <w:r w:rsidR="0057183A" w:rsidRPr="00E55BAA">
        <w:rPr>
          <w:rFonts w:ascii="Arial" w:hAnsi="Arial" w:cs="Arial"/>
          <w:sz w:val="22"/>
          <w:szCs w:val="22"/>
        </w:rPr>
        <w:t>nda</w:t>
      </w:r>
      <w:r w:rsidR="00600A53">
        <w:rPr>
          <w:rFonts w:ascii="Arial" w:hAnsi="Arial" w:cs="Arial"/>
          <w:sz w:val="22"/>
          <w:szCs w:val="22"/>
        </w:rPr>
        <w:t>,</w:t>
      </w:r>
    </w:p>
    <w:p w14:paraId="2C60EADF" w14:textId="77777777" w:rsidR="00CC4081" w:rsidRPr="00E55BAA" w:rsidRDefault="00CC4081" w:rsidP="00DF3F6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u slučajevima gdje postoji rizik </w:t>
      </w:r>
      <w:r w:rsidR="0057183A" w:rsidRPr="00E55BAA">
        <w:rPr>
          <w:rFonts w:ascii="Arial" w:hAnsi="Arial" w:cs="Arial"/>
          <w:sz w:val="22"/>
          <w:szCs w:val="22"/>
        </w:rPr>
        <w:t>asimetričnosti</w:t>
      </w:r>
      <w:r w:rsidRPr="00E55BAA">
        <w:rPr>
          <w:rFonts w:ascii="Arial" w:hAnsi="Arial" w:cs="Arial"/>
          <w:sz w:val="22"/>
          <w:szCs w:val="22"/>
        </w:rPr>
        <w:t xml:space="preserve"> informacija između </w:t>
      </w:r>
      <w:proofErr w:type="spellStart"/>
      <w:r w:rsidR="001513E0" w:rsidRPr="00E55BAA">
        <w:rPr>
          <w:rFonts w:ascii="Arial" w:hAnsi="Arial" w:cs="Arial"/>
          <w:sz w:val="22"/>
          <w:szCs w:val="22"/>
        </w:rPr>
        <w:t>UCITS</w:t>
      </w:r>
      <w:proofErr w:type="spellEnd"/>
      <w:r w:rsidR="001513E0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 xml:space="preserve">fonda i druge ugovorne strane </w:t>
      </w:r>
      <w:r w:rsidR="00B40E6B" w:rsidRPr="00E55BAA">
        <w:rPr>
          <w:rFonts w:ascii="Arial" w:hAnsi="Arial" w:cs="Arial"/>
          <w:sz w:val="22"/>
          <w:szCs w:val="22"/>
        </w:rPr>
        <w:t xml:space="preserve">prilikom </w:t>
      </w:r>
      <w:r w:rsidRPr="00E55BAA">
        <w:rPr>
          <w:rFonts w:ascii="Arial" w:hAnsi="Arial" w:cs="Arial"/>
          <w:sz w:val="22"/>
          <w:szCs w:val="22"/>
        </w:rPr>
        <w:t>ugovaranja kreditne izvedenice</w:t>
      </w:r>
      <w:r w:rsidR="00FD089F" w:rsidRPr="00E55BAA">
        <w:rPr>
          <w:rFonts w:ascii="Arial" w:hAnsi="Arial" w:cs="Arial"/>
          <w:sz w:val="22"/>
          <w:szCs w:val="22"/>
        </w:rPr>
        <w:t>, a</w:t>
      </w:r>
      <w:r w:rsidRPr="00E55BAA">
        <w:rPr>
          <w:rFonts w:ascii="Arial" w:hAnsi="Arial" w:cs="Arial"/>
          <w:sz w:val="22"/>
          <w:szCs w:val="22"/>
        </w:rPr>
        <w:t xml:space="preserve"> koj</w:t>
      </w:r>
      <w:r w:rsidR="00FD089F" w:rsidRPr="00E55BAA">
        <w:rPr>
          <w:rFonts w:ascii="Arial" w:hAnsi="Arial" w:cs="Arial"/>
          <w:sz w:val="22"/>
          <w:szCs w:val="22"/>
        </w:rPr>
        <w:t>i</w:t>
      </w:r>
      <w:r w:rsidRPr="00E55BAA">
        <w:rPr>
          <w:rFonts w:ascii="Arial" w:hAnsi="Arial" w:cs="Arial"/>
          <w:sz w:val="22"/>
          <w:szCs w:val="22"/>
        </w:rPr>
        <w:t xml:space="preserve"> je rezultat </w:t>
      </w:r>
      <w:r w:rsidR="00FD089F" w:rsidRPr="00E55BAA">
        <w:rPr>
          <w:rFonts w:ascii="Arial" w:hAnsi="Arial" w:cs="Arial"/>
          <w:sz w:val="22"/>
          <w:szCs w:val="22"/>
        </w:rPr>
        <w:t xml:space="preserve">mogućnosti </w:t>
      </w:r>
      <w:r w:rsidRPr="00E55BAA">
        <w:rPr>
          <w:rFonts w:ascii="Arial" w:hAnsi="Arial" w:cs="Arial"/>
          <w:sz w:val="22"/>
          <w:szCs w:val="22"/>
        </w:rPr>
        <w:t xml:space="preserve">pristupa druge ugovorne strane nejavnim informacijama o izdavatelju </w:t>
      </w:r>
      <w:r w:rsidR="00A22F54" w:rsidRPr="00E55BAA">
        <w:rPr>
          <w:rFonts w:ascii="Arial" w:hAnsi="Arial" w:cs="Arial"/>
          <w:sz w:val="22"/>
          <w:szCs w:val="22"/>
        </w:rPr>
        <w:t xml:space="preserve">temeljne </w:t>
      </w:r>
      <w:r w:rsidRPr="00E55BAA">
        <w:rPr>
          <w:rFonts w:ascii="Arial" w:hAnsi="Arial" w:cs="Arial"/>
          <w:sz w:val="22"/>
          <w:szCs w:val="22"/>
        </w:rPr>
        <w:t xml:space="preserve">imovine </w:t>
      </w:r>
      <w:r w:rsidR="00A22F54" w:rsidRPr="00E55BAA">
        <w:rPr>
          <w:rFonts w:ascii="Arial" w:hAnsi="Arial" w:cs="Arial"/>
          <w:sz w:val="22"/>
          <w:szCs w:val="22"/>
        </w:rPr>
        <w:t>kreditne izvedenice</w:t>
      </w:r>
      <w:r w:rsidR="0057183A" w:rsidRPr="00E55BAA">
        <w:rPr>
          <w:rFonts w:ascii="Arial" w:hAnsi="Arial" w:cs="Arial"/>
          <w:sz w:val="22"/>
          <w:szCs w:val="22"/>
        </w:rPr>
        <w:t>, takvi rizici moraju biti obuhvaćeni mehanizmima unutarnjih kontrola</w:t>
      </w:r>
      <w:r w:rsidR="00D8083A" w:rsidRPr="00E55BAA">
        <w:rPr>
          <w:rFonts w:ascii="Arial" w:hAnsi="Arial" w:cs="Arial"/>
          <w:sz w:val="22"/>
          <w:szCs w:val="22"/>
        </w:rPr>
        <w:t xml:space="preserve"> društva za upravljanje</w:t>
      </w:r>
      <w:r w:rsidRPr="00E55BAA">
        <w:rPr>
          <w:rFonts w:ascii="Arial" w:hAnsi="Arial" w:cs="Arial"/>
          <w:sz w:val="22"/>
          <w:szCs w:val="22"/>
        </w:rPr>
        <w:t>.</w:t>
      </w:r>
    </w:p>
    <w:p w14:paraId="1D1F285B" w14:textId="77777777" w:rsidR="00D8083A" w:rsidRPr="00E55BAA" w:rsidRDefault="00D8083A" w:rsidP="00DF3F6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F5BFF81" w14:textId="0A8C57E0" w:rsidR="00CC4081" w:rsidRDefault="00FD3FA0" w:rsidP="00DF3F6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Fer vrijednost </w:t>
      </w:r>
      <w:proofErr w:type="spellStart"/>
      <w:r w:rsidR="00D8083A" w:rsidRPr="00E55BAA">
        <w:rPr>
          <w:rFonts w:ascii="Arial" w:hAnsi="Arial" w:cs="Arial"/>
          <w:sz w:val="22"/>
          <w:szCs w:val="22"/>
        </w:rPr>
        <w:t>OTC</w:t>
      </w:r>
      <w:proofErr w:type="spellEnd"/>
      <w:r w:rsidR="00D8083A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 xml:space="preserve">izvedenice </w:t>
      </w:r>
      <w:r w:rsidR="00D8083A" w:rsidRPr="00E55BAA">
        <w:rPr>
          <w:rFonts w:ascii="Arial" w:hAnsi="Arial" w:cs="Arial"/>
          <w:sz w:val="22"/>
          <w:szCs w:val="22"/>
        </w:rPr>
        <w:t xml:space="preserve">u smislu </w:t>
      </w:r>
      <w:r w:rsidRPr="00E55BAA">
        <w:rPr>
          <w:rFonts w:ascii="Arial" w:hAnsi="Arial" w:cs="Arial"/>
          <w:sz w:val="22"/>
          <w:szCs w:val="22"/>
        </w:rPr>
        <w:t xml:space="preserve">članka </w:t>
      </w:r>
      <w:r w:rsidR="00B2495F">
        <w:rPr>
          <w:rFonts w:ascii="Arial" w:hAnsi="Arial" w:cs="Arial"/>
          <w:sz w:val="22"/>
          <w:szCs w:val="22"/>
        </w:rPr>
        <w:t>252</w:t>
      </w:r>
      <w:r w:rsidRPr="00E55BAA">
        <w:rPr>
          <w:rFonts w:ascii="Arial" w:hAnsi="Arial" w:cs="Arial"/>
          <w:sz w:val="22"/>
          <w:szCs w:val="22"/>
        </w:rPr>
        <w:t xml:space="preserve">. stavka 1. točke 5. </w:t>
      </w:r>
      <w:proofErr w:type="spellStart"/>
      <w:r w:rsidRPr="00E55BAA">
        <w:rPr>
          <w:rFonts w:ascii="Arial" w:hAnsi="Arial" w:cs="Arial"/>
          <w:sz w:val="22"/>
          <w:szCs w:val="22"/>
        </w:rPr>
        <w:t>podtočke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c) Zakona je vrijednost po kojoj bi </w:t>
      </w:r>
      <w:proofErr w:type="spellStart"/>
      <w:r w:rsidR="00D8083A" w:rsidRPr="00E55BAA">
        <w:rPr>
          <w:rFonts w:ascii="Arial" w:hAnsi="Arial" w:cs="Arial"/>
          <w:sz w:val="22"/>
          <w:szCs w:val="22"/>
        </w:rPr>
        <w:t>OTC</w:t>
      </w:r>
      <w:proofErr w:type="spellEnd"/>
      <w:r w:rsidR="00D8083A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 xml:space="preserve">izvedenica koja se drži u imovini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 mogla biti predmet transakcije po tržišnim uvjetima sklopljene između informiranih i nepovezanih strana koje su voljne obaviti transakciju.</w:t>
      </w:r>
    </w:p>
    <w:p w14:paraId="4513E446" w14:textId="77777777" w:rsidR="007F0AC4" w:rsidRDefault="007F0AC4" w:rsidP="007F0AC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797A4A2" w14:textId="0CFE94B9" w:rsidR="0036604A" w:rsidRDefault="00841A27" w:rsidP="0036604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Pouzdano i provjerljivo vrednovanje </w:t>
      </w:r>
      <w:proofErr w:type="spellStart"/>
      <w:r w:rsidRPr="00E55BAA">
        <w:rPr>
          <w:rFonts w:ascii="Arial" w:hAnsi="Arial" w:cs="Arial"/>
          <w:sz w:val="22"/>
          <w:szCs w:val="22"/>
        </w:rPr>
        <w:t>OTC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izvedenica</w:t>
      </w:r>
      <w:r w:rsidRPr="00E55BAA">
        <w:rPr>
          <w:rFonts w:ascii="Arial" w:hAnsi="Arial" w:cs="Arial"/>
          <w:sz w:val="22"/>
          <w:szCs w:val="22"/>
        </w:rPr>
        <w:t xml:space="preserve"> u smislu članka </w:t>
      </w:r>
      <w:r>
        <w:rPr>
          <w:rFonts w:ascii="Arial" w:hAnsi="Arial" w:cs="Arial"/>
          <w:sz w:val="22"/>
          <w:szCs w:val="22"/>
        </w:rPr>
        <w:t>252</w:t>
      </w:r>
      <w:r w:rsidRPr="00E55BAA">
        <w:rPr>
          <w:rFonts w:ascii="Arial" w:hAnsi="Arial" w:cs="Arial"/>
          <w:sz w:val="22"/>
          <w:szCs w:val="22"/>
        </w:rPr>
        <w:t xml:space="preserve">. stavka 1. točke 5. </w:t>
      </w:r>
      <w:proofErr w:type="spellStart"/>
      <w:r w:rsidRPr="00E55BAA">
        <w:rPr>
          <w:rFonts w:ascii="Arial" w:hAnsi="Arial" w:cs="Arial"/>
          <w:sz w:val="22"/>
          <w:szCs w:val="22"/>
        </w:rPr>
        <w:t>podtočke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c) Zakona</w:t>
      </w:r>
      <w:r>
        <w:rPr>
          <w:rFonts w:ascii="Arial" w:hAnsi="Arial" w:cs="Arial"/>
          <w:sz w:val="22"/>
          <w:szCs w:val="22"/>
        </w:rPr>
        <w:t xml:space="preserve"> znači utvrđivanje fer vrijednosti </w:t>
      </w:r>
      <w:proofErr w:type="spellStart"/>
      <w:r>
        <w:rPr>
          <w:rFonts w:ascii="Arial" w:hAnsi="Arial" w:cs="Arial"/>
          <w:sz w:val="22"/>
          <w:szCs w:val="22"/>
        </w:rPr>
        <w:t>OTC</w:t>
      </w:r>
      <w:proofErr w:type="spellEnd"/>
      <w:r>
        <w:rPr>
          <w:rFonts w:ascii="Arial" w:hAnsi="Arial" w:cs="Arial"/>
          <w:sz w:val="22"/>
          <w:szCs w:val="22"/>
        </w:rPr>
        <w:t xml:space="preserve"> izvedenice na način </w:t>
      </w:r>
      <w:r w:rsidR="0036604A">
        <w:rPr>
          <w:rFonts w:ascii="Arial" w:hAnsi="Arial" w:cs="Arial"/>
          <w:sz w:val="22"/>
          <w:szCs w:val="22"/>
        </w:rPr>
        <w:t xml:space="preserve">definiran propisom kojim se uređuje utvrđivanje neto vrijednosti imovine </w:t>
      </w:r>
      <w:proofErr w:type="spellStart"/>
      <w:r w:rsidR="0036604A">
        <w:rPr>
          <w:rFonts w:ascii="Arial" w:hAnsi="Arial" w:cs="Arial"/>
          <w:sz w:val="22"/>
          <w:szCs w:val="22"/>
        </w:rPr>
        <w:t>UCITS</w:t>
      </w:r>
      <w:proofErr w:type="spellEnd"/>
      <w:r w:rsidR="0036604A">
        <w:rPr>
          <w:rFonts w:ascii="Arial" w:hAnsi="Arial" w:cs="Arial"/>
          <w:sz w:val="22"/>
          <w:szCs w:val="22"/>
        </w:rPr>
        <w:t xml:space="preserve"> fonda i cijene udjela u </w:t>
      </w:r>
      <w:proofErr w:type="spellStart"/>
      <w:r w:rsidR="0036604A">
        <w:rPr>
          <w:rFonts w:ascii="Arial" w:hAnsi="Arial" w:cs="Arial"/>
          <w:sz w:val="22"/>
          <w:szCs w:val="22"/>
        </w:rPr>
        <w:t>UCITS</w:t>
      </w:r>
      <w:proofErr w:type="spellEnd"/>
      <w:r w:rsidR="0036604A">
        <w:rPr>
          <w:rFonts w:ascii="Arial" w:hAnsi="Arial" w:cs="Arial"/>
          <w:sz w:val="22"/>
          <w:szCs w:val="22"/>
        </w:rPr>
        <w:t xml:space="preserve"> fondu.</w:t>
      </w:r>
    </w:p>
    <w:p w14:paraId="1765C68A" w14:textId="2729183D" w:rsidR="00D8083A" w:rsidRPr="00E55BAA" w:rsidRDefault="00841A27" w:rsidP="007F0AC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67E6B55" w14:textId="636858A2" w:rsidR="00CC4081" w:rsidRPr="00E55BAA" w:rsidRDefault="002F411D" w:rsidP="00DF3F6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Izvedenice </w:t>
      </w:r>
      <w:r w:rsidR="0057183A" w:rsidRPr="00E55BAA">
        <w:rPr>
          <w:rFonts w:ascii="Arial" w:hAnsi="Arial" w:cs="Arial"/>
          <w:sz w:val="22"/>
          <w:szCs w:val="22"/>
        </w:rPr>
        <w:t>čija je temeljna imovina roba</w:t>
      </w:r>
      <w:r w:rsidRPr="00E55BAA">
        <w:rPr>
          <w:rFonts w:ascii="Arial" w:hAnsi="Arial" w:cs="Arial"/>
          <w:sz w:val="22"/>
          <w:szCs w:val="22"/>
        </w:rPr>
        <w:t xml:space="preserve"> ne smatraju se likvidnom financijskom imovinom</w:t>
      </w:r>
      <w:r w:rsidR="00612F93" w:rsidRPr="00E55BAA">
        <w:rPr>
          <w:rFonts w:ascii="Arial" w:hAnsi="Arial" w:cs="Arial"/>
          <w:sz w:val="22"/>
          <w:szCs w:val="22"/>
        </w:rPr>
        <w:t xml:space="preserve"> u koju je dozvoljeno ulaganje imovine </w:t>
      </w:r>
      <w:proofErr w:type="spellStart"/>
      <w:r w:rsidR="00612F93" w:rsidRPr="00E55BAA">
        <w:rPr>
          <w:rFonts w:ascii="Arial" w:hAnsi="Arial" w:cs="Arial"/>
          <w:sz w:val="22"/>
          <w:szCs w:val="22"/>
        </w:rPr>
        <w:t>UCITS</w:t>
      </w:r>
      <w:proofErr w:type="spellEnd"/>
      <w:r w:rsidR="00612F93" w:rsidRPr="00E55BAA">
        <w:rPr>
          <w:rFonts w:ascii="Arial" w:hAnsi="Arial" w:cs="Arial"/>
          <w:sz w:val="22"/>
          <w:szCs w:val="22"/>
        </w:rPr>
        <w:t xml:space="preserve"> fonda.</w:t>
      </w:r>
      <w:r w:rsidRPr="00E55BAA">
        <w:rPr>
          <w:rFonts w:ascii="Arial" w:hAnsi="Arial" w:cs="Arial"/>
          <w:sz w:val="22"/>
          <w:szCs w:val="22"/>
        </w:rPr>
        <w:t xml:space="preserve"> </w:t>
      </w:r>
    </w:p>
    <w:p w14:paraId="619E4875" w14:textId="77777777" w:rsidR="00C14A27" w:rsidRDefault="00C14A27" w:rsidP="00DF3F61">
      <w:pPr>
        <w:rPr>
          <w:rFonts w:ascii="Arial" w:hAnsi="Arial" w:cs="Arial"/>
          <w:i/>
          <w:sz w:val="22"/>
          <w:szCs w:val="22"/>
        </w:rPr>
      </w:pPr>
    </w:p>
    <w:p w14:paraId="65725795" w14:textId="2E0767A4" w:rsidR="003B3E79" w:rsidRPr="00203950" w:rsidRDefault="00B65543" w:rsidP="00203950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203950">
        <w:rPr>
          <w:rFonts w:ascii="Arial" w:hAnsi="Arial" w:cs="Arial"/>
          <w:b w:val="0"/>
          <w:sz w:val="22"/>
          <w:szCs w:val="22"/>
        </w:rPr>
        <w:t>Financijski indeksi</w:t>
      </w:r>
    </w:p>
    <w:p w14:paraId="6E96EBCF" w14:textId="6E93A896" w:rsidR="00CC4081" w:rsidRPr="00203950" w:rsidRDefault="00CC4081" w:rsidP="00203950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203950">
        <w:rPr>
          <w:rFonts w:ascii="Arial" w:hAnsi="Arial" w:cs="Arial"/>
          <w:b w:val="0"/>
          <w:sz w:val="22"/>
          <w:szCs w:val="22"/>
        </w:rPr>
        <w:t xml:space="preserve">Članak </w:t>
      </w:r>
      <w:r w:rsidR="009A5E5C" w:rsidRPr="00203950">
        <w:rPr>
          <w:rFonts w:ascii="Arial" w:hAnsi="Arial" w:cs="Arial"/>
          <w:b w:val="0"/>
          <w:sz w:val="22"/>
          <w:szCs w:val="22"/>
        </w:rPr>
        <w:t>1</w:t>
      </w:r>
      <w:r w:rsidR="00D17248" w:rsidRPr="00203950">
        <w:rPr>
          <w:rFonts w:ascii="Arial" w:hAnsi="Arial" w:cs="Arial"/>
          <w:b w:val="0"/>
          <w:sz w:val="22"/>
          <w:szCs w:val="22"/>
        </w:rPr>
        <w:t>2</w:t>
      </w:r>
      <w:r w:rsidRPr="00203950">
        <w:rPr>
          <w:rFonts w:ascii="Arial" w:hAnsi="Arial" w:cs="Arial"/>
          <w:b w:val="0"/>
          <w:sz w:val="22"/>
          <w:szCs w:val="22"/>
        </w:rPr>
        <w:t>.</w:t>
      </w:r>
    </w:p>
    <w:p w14:paraId="2EE147A1" w14:textId="77777777" w:rsidR="003B3E79" w:rsidRPr="00E55BAA" w:rsidRDefault="003B3E79" w:rsidP="00DF3F61">
      <w:pPr>
        <w:jc w:val="center"/>
        <w:rPr>
          <w:rFonts w:ascii="Arial" w:hAnsi="Arial" w:cs="Arial"/>
          <w:sz w:val="22"/>
          <w:szCs w:val="22"/>
        </w:rPr>
      </w:pPr>
    </w:p>
    <w:p w14:paraId="1385C6D4" w14:textId="7FC829E4" w:rsidR="00CC4081" w:rsidRPr="00E55BAA" w:rsidRDefault="00CC4081" w:rsidP="00DF3F61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Financijski indeksi </w:t>
      </w:r>
      <w:r w:rsidR="0045657F" w:rsidRPr="00E55BAA">
        <w:rPr>
          <w:rFonts w:ascii="Arial" w:hAnsi="Arial" w:cs="Arial"/>
          <w:sz w:val="22"/>
          <w:szCs w:val="22"/>
        </w:rPr>
        <w:t>kao dozvoljena temeljna imovina financijskih izvedenica u smislu</w:t>
      </w:r>
      <w:r w:rsidR="009F2A69">
        <w:rPr>
          <w:rFonts w:ascii="Arial" w:hAnsi="Arial" w:cs="Arial"/>
          <w:sz w:val="22"/>
          <w:szCs w:val="22"/>
        </w:rPr>
        <w:t xml:space="preserve"> članka 252. stavka 1. točke 5. </w:t>
      </w:r>
      <w:proofErr w:type="spellStart"/>
      <w:r w:rsidR="009F2A69">
        <w:rPr>
          <w:rFonts w:ascii="Arial" w:hAnsi="Arial" w:cs="Arial"/>
          <w:sz w:val="22"/>
          <w:szCs w:val="22"/>
        </w:rPr>
        <w:t>podtočke</w:t>
      </w:r>
      <w:proofErr w:type="spellEnd"/>
      <w:r w:rsidR="009F2A69">
        <w:rPr>
          <w:rFonts w:ascii="Arial" w:hAnsi="Arial" w:cs="Arial"/>
          <w:sz w:val="22"/>
          <w:szCs w:val="22"/>
        </w:rPr>
        <w:t xml:space="preserve"> a)</w:t>
      </w:r>
      <w:r w:rsidR="0045657F" w:rsidRPr="00E55BAA">
        <w:rPr>
          <w:rFonts w:ascii="Arial" w:hAnsi="Arial" w:cs="Arial"/>
          <w:sz w:val="22"/>
          <w:szCs w:val="22"/>
        </w:rPr>
        <w:t xml:space="preserve"> Zakona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7060C1" w:rsidRPr="00E55BAA">
        <w:rPr>
          <w:rFonts w:ascii="Arial" w:hAnsi="Arial" w:cs="Arial"/>
          <w:sz w:val="22"/>
          <w:szCs w:val="22"/>
        </w:rPr>
        <w:t xml:space="preserve">su indeksi koji </w:t>
      </w:r>
      <w:r w:rsidRPr="00E55BAA">
        <w:rPr>
          <w:rFonts w:ascii="Arial" w:hAnsi="Arial" w:cs="Arial"/>
          <w:sz w:val="22"/>
          <w:szCs w:val="22"/>
        </w:rPr>
        <w:t>zadovoljava</w:t>
      </w:r>
      <w:r w:rsidR="007060C1" w:rsidRPr="00E55BAA">
        <w:rPr>
          <w:rFonts w:ascii="Arial" w:hAnsi="Arial" w:cs="Arial"/>
          <w:sz w:val="22"/>
          <w:szCs w:val="22"/>
        </w:rPr>
        <w:t>ju</w:t>
      </w:r>
      <w:r w:rsidRPr="00E55BAA">
        <w:rPr>
          <w:rFonts w:ascii="Arial" w:hAnsi="Arial" w:cs="Arial"/>
          <w:sz w:val="22"/>
          <w:szCs w:val="22"/>
        </w:rPr>
        <w:t xml:space="preserve"> sljedeće kriterije:</w:t>
      </w:r>
    </w:p>
    <w:p w14:paraId="0E29769B" w14:textId="77777777" w:rsidR="00CC4081" w:rsidRPr="00E55BAA" w:rsidRDefault="00CC4081" w:rsidP="00DF3F61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dovoljno su </w:t>
      </w:r>
      <w:proofErr w:type="spellStart"/>
      <w:r w:rsidRPr="00E55BAA">
        <w:rPr>
          <w:rFonts w:ascii="Arial" w:hAnsi="Arial" w:cs="Arial"/>
          <w:sz w:val="22"/>
          <w:szCs w:val="22"/>
        </w:rPr>
        <w:t>diver</w:t>
      </w:r>
      <w:r w:rsidR="00E10432" w:rsidRPr="00E55BAA">
        <w:rPr>
          <w:rFonts w:ascii="Arial" w:hAnsi="Arial" w:cs="Arial"/>
          <w:sz w:val="22"/>
          <w:szCs w:val="22"/>
        </w:rPr>
        <w:t>z</w:t>
      </w:r>
      <w:r w:rsidRPr="00E55BAA">
        <w:rPr>
          <w:rFonts w:ascii="Arial" w:hAnsi="Arial" w:cs="Arial"/>
          <w:sz w:val="22"/>
          <w:szCs w:val="22"/>
        </w:rPr>
        <w:t>ificirani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</w:t>
      </w:r>
      <w:r w:rsidR="005C2576" w:rsidRPr="00E55BAA">
        <w:rPr>
          <w:rFonts w:ascii="Arial" w:hAnsi="Arial" w:cs="Arial"/>
          <w:sz w:val="22"/>
          <w:szCs w:val="22"/>
        </w:rPr>
        <w:t>na način</w:t>
      </w:r>
      <w:r w:rsidR="007060C1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>da zadovoljavaju sljedeće kriterije:</w:t>
      </w:r>
    </w:p>
    <w:p w14:paraId="67B7C5A3" w14:textId="63F06885" w:rsidR="00CC4081" w:rsidRPr="00E55BAA" w:rsidRDefault="00CC4081" w:rsidP="00DF3F61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indeks je sastavljen na način da kretanje cijena ili trgovinsk</w:t>
      </w:r>
      <w:r w:rsidR="009F2A69">
        <w:rPr>
          <w:rFonts w:ascii="Arial" w:hAnsi="Arial" w:cs="Arial"/>
          <w:sz w:val="22"/>
          <w:szCs w:val="22"/>
        </w:rPr>
        <w:t>ih</w:t>
      </w:r>
      <w:r w:rsidRPr="00E55BAA">
        <w:rPr>
          <w:rFonts w:ascii="Arial" w:hAnsi="Arial" w:cs="Arial"/>
          <w:sz w:val="22"/>
          <w:szCs w:val="22"/>
        </w:rPr>
        <w:t xml:space="preserve"> aktivnosti jedne </w:t>
      </w:r>
      <w:r w:rsidR="007060C1" w:rsidRPr="00E55BAA">
        <w:rPr>
          <w:rFonts w:ascii="Arial" w:hAnsi="Arial" w:cs="Arial"/>
          <w:sz w:val="22"/>
          <w:szCs w:val="22"/>
        </w:rPr>
        <w:t xml:space="preserve">njegove </w:t>
      </w:r>
      <w:r w:rsidRPr="00E55BAA">
        <w:rPr>
          <w:rFonts w:ascii="Arial" w:hAnsi="Arial" w:cs="Arial"/>
          <w:sz w:val="22"/>
          <w:szCs w:val="22"/>
        </w:rPr>
        <w:t xml:space="preserve">komponente prekomjerno ne utječe na </w:t>
      </w:r>
      <w:r w:rsidR="009F2A69">
        <w:rPr>
          <w:rFonts w:ascii="Arial" w:hAnsi="Arial" w:cs="Arial"/>
          <w:sz w:val="22"/>
          <w:szCs w:val="22"/>
        </w:rPr>
        <w:t>izvedbu</w:t>
      </w:r>
      <w:r w:rsidR="00B3433B">
        <w:rPr>
          <w:rFonts w:ascii="Arial" w:hAnsi="Arial" w:cs="Arial"/>
          <w:sz w:val="22"/>
          <w:szCs w:val="22"/>
        </w:rPr>
        <w:t xml:space="preserve"> (kretanje)</w:t>
      </w:r>
      <w:r w:rsidR="009F2A69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>čitavog indeksa,</w:t>
      </w:r>
    </w:p>
    <w:p w14:paraId="1025FA4D" w14:textId="013E49F9" w:rsidR="00CC4081" w:rsidRPr="00E55BAA" w:rsidRDefault="00B166B8" w:rsidP="00DF3F61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kada je indeks sastavljen</w:t>
      </w:r>
      <w:r w:rsidR="00CC4081" w:rsidRPr="00E55BAA">
        <w:rPr>
          <w:rFonts w:ascii="Arial" w:hAnsi="Arial" w:cs="Arial"/>
          <w:sz w:val="22"/>
          <w:szCs w:val="22"/>
        </w:rPr>
        <w:t xml:space="preserve"> od imovine iz članka </w:t>
      </w:r>
      <w:r w:rsidR="00B2495F">
        <w:rPr>
          <w:rFonts w:ascii="Arial" w:hAnsi="Arial" w:cs="Arial"/>
          <w:sz w:val="22"/>
          <w:szCs w:val="22"/>
        </w:rPr>
        <w:t>252</w:t>
      </w:r>
      <w:r w:rsidR="00CC4081" w:rsidRPr="00E55BAA">
        <w:rPr>
          <w:rFonts w:ascii="Arial" w:hAnsi="Arial" w:cs="Arial"/>
          <w:sz w:val="22"/>
          <w:szCs w:val="22"/>
        </w:rPr>
        <w:t>. stavka 1. Zakona</w:t>
      </w:r>
      <w:r w:rsidR="00F165AB" w:rsidRPr="00E55BAA">
        <w:rPr>
          <w:rFonts w:ascii="Arial" w:hAnsi="Arial" w:cs="Arial"/>
          <w:sz w:val="22"/>
          <w:szCs w:val="22"/>
        </w:rPr>
        <w:t>,</w:t>
      </w:r>
      <w:r w:rsidR="00CC4081" w:rsidRPr="00E55BAA">
        <w:rPr>
          <w:rFonts w:ascii="Arial" w:hAnsi="Arial" w:cs="Arial"/>
          <w:sz w:val="22"/>
          <w:szCs w:val="22"/>
        </w:rPr>
        <w:t xml:space="preserve"> </w:t>
      </w:r>
      <w:r w:rsidR="00F165AB" w:rsidRPr="00E55BAA">
        <w:rPr>
          <w:rFonts w:ascii="Arial" w:hAnsi="Arial" w:cs="Arial"/>
          <w:sz w:val="22"/>
          <w:szCs w:val="22"/>
        </w:rPr>
        <w:t>njegov sastav je</w:t>
      </w:r>
      <w:r w:rsidR="00CC4081" w:rsidRPr="00E55BAA">
        <w:rPr>
          <w:rFonts w:ascii="Arial" w:hAnsi="Arial" w:cs="Arial"/>
          <w:sz w:val="22"/>
          <w:szCs w:val="22"/>
        </w:rPr>
        <w:t xml:space="preserve"> </w:t>
      </w:r>
      <w:r w:rsidR="009F2A69">
        <w:rPr>
          <w:rFonts w:ascii="Arial" w:hAnsi="Arial" w:cs="Arial"/>
          <w:sz w:val="22"/>
          <w:szCs w:val="22"/>
        </w:rPr>
        <w:t xml:space="preserve">najmanje </w:t>
      </w:r>
      <w:proofErr w:type="spellStart"/>
      <w:r w:rsidR="00CC4081" w:rsidRPr="00E55BAA">
        <w:rPr>
          <w:rFonts w:ascii="Arial" w:hAnsi="Arial" w:cs="Arial"/>
          <w:sz w:val="22"/>
          <w:szCs w:val="22"/>
        </w:rPr>
        <w:t>diver</w:t>
      </w:r>
      <w:r w:rsidR="00E10432" w:rsidRPr="00E55BAA">
        <w:rPr>
          <w:rFonts w:ascii="Arial" w:hAnsi="Arial" w:cs="Arial"/>
          <w:sz w:val="22"/>
          <w:szCs w:val="22"/>
        </w:rPr>
        <w:t>z</w:t>
      </w:r>
      <w:r w:rsidR="00CC4081" w:rsidRPr="00E55BAA">
        <w:rPr>
          <w:rFonts w:ascii="Arial" w:hAnsi="Arial" w:cs="Arial"/>
          <w:sz w:val="22"/>
          <w:szCs w:val="22"/>
        </w:rPr>
        <w:t>ificiran</w:t>
      </w:r>
      <w:proofErr w:type="spellEnd"/>
      <w:r w:rsidR="00CC4081" w:rsidRPr="00E55BAA">
        <w:rPr>
          <w:rFonts w:ascii="Arial" w:hAnsi="Arial" w:cs="Arial"/>
          <w:sz w:val="22"/>
          <w:szCs w:val="22"/>
        </w:rPr>
        <w:t xml:space="preserve"> </w:t>
      </w:r>
      <w:r w:rsidR="00F165AB" w:rsidRPr="00E55BAA">
        <w:rPr>
          <w:rFonts w:ascii="Arial" w:hAnsi="Arial" w:cs="Arial"/>
          <w:sz w:val="22"/>
          <w:szCs w:val="22"/>
        </w:rPr>
        <w:t>u s</w:t>
      </w:r>
      <w:r w:rsidR="005C2576" w:rsidRPr="00E55BAA">
        <w:rPr>
          <w:rFonts w:ascii="Arial" w:hAnsi="Arial" w:cs="Arial"/>
          <w:sz w:val="22"/>
          <w:szCs w:val="22"/>
        </w:rPr>
        <w:t>k</w:t>
      </w:r>
      <w:r w:rsidR="00F165AB" w:rsidRPr="00E55BAA">
        <w:rPr>
          <w:rFonts w:ascii="Arial" w:hAnsi="Arial" w:cs="Arial"/>
          <w:sz w:val="22"/>
          <w:szCs w:val="22"/>
        </w:rPr>
        <w:t>ladu s člankom</w:t>
      </w:r>
      <w:r w:rsidR="00CC4081" w:rsidRPr="00E55BAA">
        <w:rPr>
          <w:rFonts w:ascii="Arial" w:hAnsi="Arial" w:cs="Arial"/>
          <w:sz w:val="22"/>
          <w:szCs w:val="22"/>
        </w:rPr>
        <w:t xml:space="preserve"> </w:t>
      </w:r>
      <w:r w:rsidR="00B2495F">
        <w:rPr>
          <w:rFonts w:ascii="Arial" w:hAnsi="Arial" w:cs="Arial"/>
          <w:sz w:val="22"/>
          <w:szCs w:val="22"/>
        </w:rPr>
        <w:t>255.</w:t>
      </w:r>
      <w:r w:rsidR="005F315B" w:rsidRPr="00E55BAA">
        <w:rPr>
          <w:rFonts w:ascii="Arial" w:hAnsi="Arial" w:cs="Arial"/>
          <w:sz w:val="22"/>
          <w:szCs w:val="22"/>
        </w:rPr>
        <w:t xml:space="preserve"> stavcima</w:t>
      </w:r>
      <w:r w:rsidR="00CC4081" w:rsidRPr="00E55BAA">
        <w:rPr>
          <w:rFonts w:ascii="Arial" w:hAnsi="Arial" w:cs="Arial"/>
          <w:sz w:val="22"/>
          <w:szCs w:val="22"/>
        </w:rPr>
        <w:t xml:space="preserve"> 1</w:t>
      </w:r>
      <w:r w:rsidR="009F2A69">
        <w:rPr>
          <w:rFonts w:ascii="Arial" w:hAnsi="Arial" w:cs="Arial"/>
          <w:sz w:val="22"/>
          <w:szCs w:val="22"/>
        </w:rPr>
        <w:t>.</w:t>
      </w:r>
      <w:r w:rsidR="005F315B" w:rsidRPr="00E55BAA">
        <w:rPr>
          <w:rFonts w:ascii="Arial" w:hAnsi="Arial" w:cs="Arial"/>
          <w:sz w:val="22"/>
          <w:szCs w:val="22"/>
        </w:rPr>
        <w:t xml:space="preserve"> i 3.</w:t>
      </w:r>
      <w:r w:rsidR="001251B1" w:rsidRPr="00E55BAA">
        <w:rPr>
          <w:rFonts w:ascii="Arial" w:hAnsi="Arial" w:cs="Arial"/>
          <w:sz w:val="22"/>
          <w:szCs w:val="22"/>
        </w:rPr>
        <w:t xml:space="preserve"> </w:t>
      </w:r>
      <w:r w:rsidR="00CC4081" w:rsidRPr="00E55BAA">
        <w:rPr>
          <w:rFonts w:ascii="Arial" w:hAnsi="Arial" w:cs="Arial"/>
          <w:sz w:val="22"/>
          <w:szCs w:val="22"/>
        </w:rPr>
        <w:t>Zakona</w:t>
      </w:r>
      <w:r w:rsidR="009D18AC" w:rsidRPr="00E55BAA">
        <w:rPr>
          <w:rFonts w:ascii="Arial" w:hAnsi="Arial" w:cs="Arial"/>
          <w:sz w:val="22"/>
          <w:szCs w:val="22"/>
        </w:rPr>
        <w:t xml:space="preserve"> na način da sastavnice indeksa ne smiju imati pojedinačni udio važnosti u indeksu veći od 20%. Iznimno, samo jedna sastavnica indeksa može imati udio važnosti u indeksu veći od 20%, a najviše do 35%. U slučaju da indeks ne ispunjava navedeni zahtjev, društvo za upravljanje dužno je temeljnu imovinu indeksa </w:t>
      </w:r>
      <w:r w:rsidR="001E597E" w:rsidRPr="00E55BAA">
        <w:rPr>
          <w:rFonts w:ascii="Arial" w:hAnsi="Arial" w:cs="Arial"/>
          <w:sz w:val="22"/>
          <w:szCs w:val="22"/>
        </w:rPr>
        <w:t xml:space="preserve">posredno </w:t>
      </w:r>
      <w:r w:rsidR="009D18AC" w:rsidRPr="00E55BAA">
        <w:rPr>
          <w:rFonts w:ascii="Arial" w:hAnsi="Arial" w:cs="Arial"/>
          <w:sz w:val="22"/>
          <w:szCs w:val="22"/>
        </w:rPr>
        <w:t xml:space="preserve">uključiti u izračun ograničenja </w:t>
      </w:r>
      <w:proofErr w:type="spellStart"/>
      <w:r w:rsidR="009D18AC" w:rsidRPr="00E55BAA">
        <w:rPr>
          <w:rFonts w:ascii="Arial" w:hAnsi="Arial" w:cs="Arial"/>
          <w:sz w:val="22"/>
          <w:szCs w:val="22"/>
        </w:rPr>
        <w:t>UCITS</w:t>
      </w:r>
      <w:proofErr w:type="spellEnd"/>
      <w:r w:rsidR="009D18AC" w:rsidRPr="00E55BAA">
        <w:rPr>
          <w:rFonts w:ascii="Arial" w:hAnsi="Arial" w:cs="Arial"/>
          <w:sz w:val="22"/>
          <w:szCs w:val="22"/>
        </w:rPr>
        <w:t xml:space="preserve"> fonda</w:t>
      </w:r>
      <w:r w:rsidR="000F327E" w:rsidRPr="00E55BAA">
        <w:rPr>
          <w:rFonts w:ascii="Arial" w:hAnsi="Arial" w:cs="Arial"/>
          <w:sz w:val="22"/>
          <w:szCs w:val="22"/>
        </w:rPr>
        <w:t>,</w:t>
      </w:r>
    </w:p>
    <w:p w14:paraId="1C0007A9" w14:textId="2E2866C0" w:rsidR="00CC4081" w:rsidRPr="00E55BAA" w:rsidRDefault="00B166B8" w:rsidP="00DF3F61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kada je indeks sastavljen</w:t>
      </w:r>
      <w:r w:rsidR="00CC4081" w:rsidRPr="00E55BAA">
        <w:rPr>
          <w:rFonts w:ascii="Arial" w:hAnsi="Arial" w:cs="Arial"/>
          <w:sz w:val="22"/>
          <w:szCs w:val="22"/>
        </w:rPr>
        <w:t xml:space="preserve"> od imovine koja nije navedena u članku </w:t>
      </w:r>
      <w:r w:rsidR="00B2495F">
        <w:rPr>
          <w:rFonts w:ascii="Arial" w:hAnsi="Arial" w:cs="Arial"/>
          <w:sz w:val="22"/>
          <w:szCs w:val="22"/>
        </w:rPr>
        <w:t>252</w:t>
      </w:r>
      <w:r w:rsidR="00CC4081" w:rsidRPr="00E55BAA">
        <w:rPr>
          <w:rFonts w:ascii="Arial" w:hAnsi="Arial" w:cs="Arial"/>
          <w:sz w:val="22"/>
          <w:szCs w:val="22"/>
        </w:rPr>
        <w:t>. stavk</w:t>
      </w:r>
      <w:r w:rsidRPr="00E55BAA">
        <w:rPr>
          <w:rFonts w:ascii="Arial" w:hAnsi="Arial" w:cs="Arial"/>
          <w:sz w:val="22"/>
          <w:szCs w:val="22"/>
        </w:rPr>
        <w:t>u</w:t>
      </w:r>
      <w:r w:rsidR="00CC4081" w:rsidRPr="00E55BAA">
        <w:rPr>
          <w:rFonts w:ascii="Arial" w:hAnsi="Arial" w:cs="Arial"/>
          <w:sz w:val="22"/>
          <w:szCs w:val="22"/>
        </w:rPr>
        <w:t xml:space="preserve"> 1. </w:t>
      </w:r>
      <w:r w:rsidR="005F315B" w:rsidRPr="00E55BAA">
        <w:rPr>
          <w:rFonts w:ascii="Arial" w:hAnsi="Arial" w:cs="Arial"/>
          <w:sz w:val="22"/>
          <w:szCs w:val="22"/>
        </w:rPr>
        <w:t>Zakona</w:t>
      </w:r>
      <w:r w:rsidRPr="00E55BAA">
        <w:rPr>
          <w:rFonts w:ascii="Arial" w:hAnsi="Arial" w:cs="Arial"/>
          <w:sz w:val="22"/>
          <w:szCs w:val="22"/>
        </w:rPr>
        <w:t xml:space="preserve">, njegov sastav je </w:t>
      </w:r>
      <w:proofErr w:type="spellStart"/>
      <w:r w:rsidR="00CC4081" w:rsidRPr="00E55BAA">
        <w:rPr>
          <w:rFonts w:ascii="Arial" w:hAnsi="Arial" w:cs="Arial"/>
          <w:sz w:val="22"/>
          <w:szCs w:val="22"/>
        </w:rPr>
        <w:t>diver</w:t>
      </w:r>
      <w:r w:rsidR="00C75E8C" w:rsidRPr="00E55BAA">
        <w:rPr>
          <w:rFonts w:ascii="Arial" w:hAnsi="Arial" w:cs="Arial"/>
          <w:sz w:val="22"/>
          <w:szCs w:val="22"/>
        </w:rPr>
        <w:t>z</w:t>
      </w:r>
      <w:r w:rsidR="00CC4081" w:rsidRPr="00E55BAA">
        <w:rPr>
          <w:rFonts w:ascii="Arial" w:hAnsi="Arial" w:cs="Arial"/>
          <w:sz w:val="22"/>
          <w:szCs w:val="22"/>
        </w:rPr>
        <w:t>ificiran</w:t>
      </w:r>
      <w:proofErr w:type="spellEnd"/>
      <w:r w:rsidR="00CC4081" w:rsidRPr="00E55BAA">
        <w:rPr>
          <w:rFonts w:ascii="Arial" w:hAnsi="Arial" w:cs="Arial"/>
          <w:sz w:val="22"/>
          <w:szCs w:val="22"/>
        </w:rPr>
        <w:t xml:space="preserve"> na način </w:t>
      </w:r>
      <w:r w:rsidRPr="00E55BAA">
        <w:rPr>
          <w:rFonts w:ascii="Arial" w:hAnsi="Arial" w:cs="Arial"/>
          <w:sz w:val="22"/>
          <w:szCs w:val="22"/>
        </w:rPr>
        <w:t xml:space="preserve">koji je jednak onom </w:t>
      </w:r>
      <w:r w:rsidR="00CC4081" w:rsidRPr="00E55BAA">
        <w:rPr>
          <w:rFonts w:ascii="Arial" w:hAnsi="Arial" w:cs="Arial"/>
          <w:sz w:val="22"/>
          <w:szCs w:val="22"/>
        </w:rPr>
        <w:t xml:space="preserve">iz članka </w:t>
      </w:r>
      <w:r w:rsidR="00B2495F">
        <w:rPr>
          <w:rFonts w:ascii="Arial" w:hAnsi="Arial" w:cs="Arial"/>
          <w:sz w:val="22"/>
          <w:szCs w:val="22"/>
        </w:rPr>
        <w:t>255.</w:t>
      </w:r>
      <w:r w:rsidR="00CC4081" w:rsidRPr="00E55BAA">
        <w:rPr>
          <w:rFonts w:ascii="Arial" w:hAnsi="Arial" w:cs="Arial"/>
          <w:sz w:val="22"/>
          <w:szCs w:val="22"/>
        </w:rPr>
        <w:t xml:space="preserve"> stav</w:t>
      </w:r>
      <w:r w:rsidR="005F315B" w:rsidRPr="00E55BAA">
        <w:rPr>
          <w:rFonts w:ascii="Arial" w:hAnsi="Arial" w:cs="Arial"/>
          <w:sz w:val="22"/>
          <w:szCs w:val="22"/>
        </w:rPr>
        <w:t>a</w:t>
      </w:r>
      <w:r w:rsidR="00CC4081" w:rsidRPr="00E55BAA">
        <w:rPr>
          <w:rFonts w:ascii="Arial" w:hAnsi="Arial" w:cs="Arial"/>
          <w:sz w:val="22"/>
          <w:szCs w:val="22"/>
        </w:rPr>
        <w:t>k</w:t>
      </w:r>
      <w:r w:rsidR="00F676D6" w:rsidRPr="00E55BAA">
        <w:rPr>
          <w:rFonts w:ascii="Arial" w:hAnsi="Arial" w:cs="Arial"/>
          <w:sz w:val="22"/>
          <w:szCs w:val="22"/>
        </w:rPr>
        <w:t>a</w:t>
      </w:r>
      <w:r w:rsidR="00CC4081" w:rsidRPr="00E55BAA">
        <w:rPr>
          <w:rFonts w:ascii="Arial" w:hAnsi="Arial" w:cs="Arial"/>
          <w:sz w:val="22"/>
          <w:szCs w:val="22"/>
        </w:rPr>
        <w:t xml:space="preserve"> 1. </w:t>
      </w:r>
      <w:r w:rsidR="005F315B" w:rsidRPr="00E55BAA">
        <w:rPr>
          <w:rFonts w:ascii="Arial" w:hAnsi="Arial" w:cs="Arial"/>
          <w:sz w:val="22"/>
          <w:szCs w:val="22"/>
        </w:rPr>
        <w:t>i 3.</w:t>
      </w:r>
      <w:r w:rsidR="00CC4081" w:rsidRPr="00E55BAA">
        <w:rPr>
          <w:rFonts w:ascii="Arial" w:hAnsi="Arial" w:cs="Arial"/>
          <w:sz w:val="22"/>
          <w:szCs w:val="22"/>
        </w:rPr>
        <w:t xml:space="preserve"> Zakona</w:t>
      </w:r>
      <w:r w:rsidR="001E597E" w:rsidRPr="00E55BAA">
        <w:rPr>
          <w:rFonts w:ascii="Arial" w:hAnsi="Arial" w:cs="Arial"/>
          <w:sz w:val="22"/>
          <w:szCs w:val="22"/>
        </w:rPr>
        <w:t>, odnosno na način da sastavnice indeksa ne smiju imati pojedinačni udio važnosti u indeksu veći od 20%. Iznimno, samo jedna sastavnica indeksa može imati udio važnosti u indeksu veći od 20%, a najviše do 35%.</w:t>
      </w:r>
    </w:p>
    <w:p w14:paraId="48328DE6" w14:textId="4F24EB15" w:rsidR="00CC4081" w:rsidRPr="00E55BAA" w:rsidRDefault="00CC4081" w:rsidP="00DF3F61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predstavljaju </w:t>
      </w:r>
      <w:r w:rsidR="00CE0421">
        <w:rPr>
          <w:rFonts w:ascii="Arial" w:hAnsi="Arial" w:cs="Arial"/>
          <w:sz w:val="22"/>
          <w:szCs w:val="22"/>
        </w:rPr>
        <w:t>referentnu vrijednost</w:t>
      </w:r>
      <w:r w:rsidRPr="00E55BA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55BAA">
        <w:rPr>
          <w:rFonts w:ascii="Arial" w:hAnsi="Arial" w:cs="Arial"/>
          <w:sz w:val="22"/>
          <w:szCs w:val="22"/>
        </w:rPr>
        <w:t>benchmark</w:t>
      </w:r>
      <w:proofErr w:type="spellEnd"/>
      <w:r w:rsidRPr="00E55BAA">
        <w:rPr>
          <w:rFonts w:ascii="Arial" w:hAnsi="Arial" w:cs="Arial"/>
          <w:sz w:val="22"/>
          <w:szCs w:val="22"/>
        </w:rPr>
        <w:t>) za tržište na koje se odnose</w:t>
      </w:r>
      <w:r w:rsidR="007B4285" w:rsidRPr="00E55BAA">
        <w:rPr>
          <w:rFonts w:ascii="Arial" w:hAnsi="Arial" w:cs="Arial"/>
          <w:sz w:val="22"/>
          <w:szCs w:val="22"/>
        </w:rPr>
        <w:t>,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B3433B">
        <w:rPr>
          <w:rFonts w:ascii="Arial" w:hAnsi="Arial" w:cs="Arial"/>
          <w:sz w:val="22"/>
          <w:szCs w:val="22"/>
        </w:rPr>
        <w:t xml:space="preserve">na način da </w:t>
      </w:r>
      <w:r w:rsidR="00F676D6" w:rsidRPr="00E55BAA">
        <w:rPr>
          <w:rFonts w:ascii="Arial" w:hAnsi="Arial" w:cs="Arial"/>
          <w:sz w:val="22"/>
          <w:szCs w:val="22"/>
        </w:rPr>
        <w:t>zadovoljavaju sljedeće kriterije</w:t>
      </w:r>
      <w:r w:rsidRPr="00E55BAA">
        <w:rPr>
          <w:rFonts w:ascii="Arial" w:hAnsi="Arial" w:cs="Arial"/>
          <w:sz w:val="22"/>
          <w:szCs w:val="22"/>
        </w:rPr>
        <w:t>:</w:t>
      </w:r>
    </w:p>
    <w:p w14:paraId="567A9089" w14:textId="3513C8A1" w:rsidR="00CC4081" w:rsidRPr="00E55BAA" w:rsidRDefault="00CC4081" w:rsidP="00DF3F61">
      <w:pPr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indeks mjeri </w:t>
      </w:r>
      <w:r w:rsidR="00CE0421">
        <w:rPr>
          <w:rFonts w:ascii="Arial" w:hAnsi="Arial" w:cs="Arial"/>
          <w:sz w:val="22"/>
          <w:szCs w:val="22"/>
        </w:rPr>
        <w:t>kretanje</w:t>
      </w:r>
      <w:r w:rsidRPr="00E55BAA">
        <w:rPr>
          <w:rFonts w:ascii="Arial" w:hAnsi="Arial" w:cs="Arial"/>
          <w:sz w:val="22"/>
          <w:szCs w:val="22"/>
        </w:rPr>
        <w:t xml:space="preserve"> reprezentativne grupe temeljn</w:t>
      </w:r>
      <w:r w:rsidR="00CE0421">
        <w:rPr>
          <w:rFonts w:ascii="Arial" w:hAnsi="Arial" w:cs="Arial"/>
          <w:sz w:val="22"/>
          <w:szCs w:val="22"/>
        </w:rPr>
        <w:t>e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CE0421">
        <w:rPr>
          <w:rFonts w:ascii="Arial" w:hAnsi="Arial" w:cs="Arial"/>
          <w:sz w:val="22"/>
          <w:szCs w:val="22"/>
        </w:rPr>
        <w:t>imovine</w:t>
      </w:r>
      <w:r w:rsidRPr="00E55BAA">
        <w:rPr>
          <w:rFonts w:ascii="Arial" w:hAnsi="Arial" w:cs="Arial"/>
          <w:sz w:val="22"/>
          <w:szCs w:val="22"/>
        </w:rPr>
        <w:t xml:space="preserve"> na relevantan i prikladan način,</w:t>
      </w:r>
    </w:p>
    <w:p w14:paraId="3707CBC2" w14:textId="77777777" w:rsidR="00CC4081" w:rsidRPr="00E55BAA" w:rsidRDefault="00CC4081" w:rsidP="00DF3F61">
      <w:pPr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indeks se</w:t>
      </w:r>
      <w:r w:rsidR="00F676D6" w:rsidRPr="00E55BAA">
        <w:rPr>
          <w:rFonts w:ascii="Arial" w:hAnsi="Arial" w:cs="Arial"/>
          <w:sz w:val="22"/>
          <w:szCs w:val="22"/>
        </w:rPr>
        <w:t xml:space="preserve"> redovno revidira i rebalansira</w:t>
      </w:r>
      <w:r w:rsidRPr="00E55BAA">
        <w:rPr>
          <w:rFonts w:ascii="Arial" w:hAnsi="Arial" w:cs="Arial"/>
          <w:sz w:val="22"/>
          <w:szCs w:val="22"/>
        </w:rPr>
        <w:t xml:space="preserve"> na temelju javno dostupnih kriterija</w:t>
      </w:r>
      <w:r w:rsidR="00F676D6" w:rsidRPr="00E55BAA">
        <w:rPr>
          <w:rFonts w:ascii="Arial" w:hAnsi="Arial" w:cs="Arial"/>
          <w:sz w:val="22"/>
          <w:szCs w:val="22"/>
        </w:rPr>
        <w:t>,</w:t>
      </w:r>
      <w:r w:rsidRPr="00E55BAA">
        <w:rPr>
          <w:rFonts w:ascii="Arial" w:hAnsi="Arial" w:cs="Arial"/>
          <w:sz w:val="22"/>
          <w:szCs w:val="22"/>
        </w:rPr>
        <w:t xml:space="preserve"> kako bi se osiguralo da kontinuirano odražava tržište na koje se odnosi,</w:t>
      </w:r>
    </w:p>
    <w:p w14:paraId="4120B236" w14:textId="7DD4DB7A" w:rsidR="00CC4081" w:rsidRPr="00E55BAA" w:rsidRDefault="00F35ABC" w:rsidP="00DF3F61">
      <w:pPr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temeljn</w:t>
      </w:r>
      <w:r w:rsidR="00CE0421">
        <w:rPr>
          <w:rFonts w:ascii="Arial" w:hAnsi="Arial" w:cs="Arial"/>
          <w:sz w:val="22"/>
          <w:szCs w:val="22"/>
        </w:rPr>
        <w:t>a</w:t>
      </w:r>
      <w:r w:rsidR="00CC4081" w:rsidRPr="00E55BAA">
        <w:rPr>
          <w:rFonts w:ascii="Arial" w:hAnsi="Arial" w:cs="Arial"/>
          <w:sz w:val="22"/>
          <w:szCs w:val="22"/>
        </w:rPr>
        <w:t xml:space="preserve"> </w:t>
      </w:r>
      <w:r w:rsidR="00CE0421">
        <w:rPr>
          <w:rFonts w:ascii="Arial" w:hAnsi="Arial" w:cs="Arial"/>
          <w:sz w:val="22"/>
          <w:szCs w:val="22"/>
        </w:rPr>
        <w:t>imovina</w:t>
      </w:r>
      <w:r w:rsidR="00CC4081" w:rsidRPr="00E55BAA">
        <w:rPr>
          <w:rFonts w:ascii="Arial" w:hAnsi="Arial" w:cs="Arial"/>
          <w:sz w:val="22"/>
          <w:szCs w:val="22"/>
        </w:rPr>
        <w:t xml:space="preserve"> </w:t>
      </w:r>
      <w:r w:rsidR="00CE0421">
        <w:rPr>
          <w:rFonts w:ascii="Arial" w:hAnsi="Arial" w:cs="Arial"/>
          <w:sz w:val="22"/>
          <w:szCs w:val="22"/>
        </w:rPr>
        <w:t>je</w:t>
      </w:r>
      <w:r w:rsidR="00CC4081" w:rsidRPr="00E55BAA">
        <w:rPr>
          <w:rFonts w:ascii="Arial" w:hAnsi="Arial" w:cs="Arial"/>
          <w:sz w:val="22"/>
          <w:szCs w:val="22"/>
        </w:rPr>
        <w:t xml:space="preserve"> dovoljno likvidn</w:t>
      </w:r>
      <w:r w:rsidR="00CE0421">
        <w:rPr>
          <w:rFonts w:ascii="Arial" w:hAnsi="Arial" w:cs="Arial"/>
          <w:sz w:val="22"/>
          <w:szCs w:val="22"/>
        </w:rPr>
        <w:t>a</w:t>
      </w:r>
      <w:r w:rsidR="00CC4081" w:rsidRPr="00E55BAA">
        <w:rPr>
          <w:rFonts w:ascii="Arial" w:hAnsi="Arial" w:cs="Arial"/>
          <w:sz w:val="22"/>
          <w:szCs w:val="22"/>
        </w:rPr>
        <w:t>, što omogućava korisnicima da repliciraju indeks ukoliko je to potrebno</w:t>
      </w:r>
      <w:r w:rsidR="00600A53">
        <w:rPr>
          <w:rFonts w:ascii="Arial" w:hAnsi="Arial" w:cs="Arial"/>
          <w:sz w:val="22"/>
          <w:szCs w:val="22"/>
        </w:rPr>
        <w:t>.</w:t>
      </w:r>
    </w:p>
    <w:p w14:paraId="1E618834" w14:textId="6FB0745A" w:rsidR="00CC4081" w:rsidRPr="00E55BAA" w:rsidRDefault="00B3433B" w:rsidP="00DF3F61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primjereno se </w:t>
      </w:r>
      <w:r w:rsidR="00CC4081" w:rsidRPr="00E55BAA">
        <w:rPr>
          <w:rFonts w:ascii="Arial" w:hAnsi="Arial" w:cs="Arial"/>
          <w:sz w:val="22"/>
          <w:szCs w:val="22"/>
        </w:rPr>
        <w:t xml:space="preserve">objavljuju </w:t>
      </w:r>
      <w:r w:rsidR="00292726" w:rsidRPr="00E55BAA">
        <w:rPr>
          <w:rFonts w:ascii="Arial" w:hAnsi="Arial" w:cs="Arial"/>
          <w:sz w:val="22"/>
          <w:szCs w:val="22"/>
        </w:rPr>
        <w:t>,</w:t>
      </w:r>
      <w:r w:rsidR="00CC4081" w:rsidRPr="00E55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način da </w:t>
      </w:r>
      <w:r w:rsidR="00CC4081" w:rsidRPr="00E55BAA">
        <w:rPr>
          <w:rFonts w:ascii="Arial" w:hAnsi="Arial" w:cs="Arial"/>
          <w:sz w:val="22"/>
          <w:szCs w:val="22"/>
        </w:rPr>
        <w:t>zadovoljavaju sljedeće kriterije:</w:t>
      </w:r>
    </w:p>
    <w:p w14:paraId="1EB2EA6A" w14:textId="27560883" w:rsidR="00CC4081" w:rsidRPr="00E55BAA" w:rsidRDefault="007E2B0B" w:rsidP="00DF3F61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 njihova</w:t>
      </w:r>
      <w:r w:rsidR="00CC4081" w:rsidRPr="00E55BAA">
        <w:rPr>
          <w:rFonts w:ascii="Arial" w:hAnsi="Arial" w:cs="Arial"/>
          <w:sz w:val="22"/>
          <w:szCs w:val="22"/>
        </w:rPr>
        <w:t xml:space="preserve"> objavljivanja </w:t>
      </w:r>
      <w:r w:rsidR="00B3433B">
        <w:rPr>
          <w:rFonts w:ascii="Arial" w:hAnsi="Arial" w:cs="Arial"/>
          <w:sz w:val="22"/>
          <w:szCs w:val="22"/>
        </w:rPr>
        <w:t>temelji</w:t>
      </w:r>
      <w:r w:rsidR="00B3433B" w:rsidRPr="00E55BAA">
        <w:rPr>
          <w:rFonts w:ascii="Arial" w:hAnsi="Arial" w:cs="Arial"/>
          <w:sz w:val="22"/>
          <w:szCs w:val="22"/>
        </w:rPr>
        <w:t xml:space="preserve"> </w:t>
      </w:r>
      <w:r w:rsidR="00CC4081" w:rsidRPr="00E55BAA">
        <w:rPr>
          <w:rFonts w:ascii="Arial" w:hAnsi="Arial" w:cs="Arial"/>
          <w:sz w:val="22"/>
          <w:szCs w:val="22"/>
        </w:rPr>
        <w:t xml:space="preserve">se na </w:t>
      </w:r>
      <w:r w:rsidR="00CE0421">
        <w:rPr>
          <w:rFonts w:ascii="Arial" w:hAnsi="Arial" w:cs="Arial"/>
          <w:sz w:val="22"/>
          <w:szCs w:val="22"/>
        </w:rPr>
        <w:t>pouzdanim</w:t>
      </w:r>
      <w:r w:rsidR="00CC4081" w:rsidRPr="00E55BAA">
        <w:rPr>
          <w:rFonts w:ascii="Arial" w:hAnsi="Arial" w:cs="Arial"/>
          <w:sz w:val="22"/>
          <w:szCs w:val="22"/>
        </w:rPr>
        <w:t xml:space="preserve"> </w:t>
      </w:r>
      <w:r w:rsidR="00CE0421">
        <w:rPr>
          <w:rFonts w:ascii="Arial" w:hAnsi="Arial" w:cs="Arial"/>
          <w:sz w:val="22"/>
          <w:szCs w:val="22"/>
        </w:rPr>
        <w:t>postupcima</w:t>
      </w:r>
      <w:r w:rsidR="00CC4081" w:rsidRPr="00E55BAA">
        <w:rPr>
          <w:rFonts w:ascii="Arial" w:hAnsi="Arial" w:cs="Arial"/>
          <w:sz w:val="22"/>
          <w:szCs w:val="22"/>
        </w:rPr>
        <w:t xml:space="preserve">  prikupljanj</w:t>
      </w:r>
      <w:r w:rsidR="00CE0421">
        <w:rPr>
          <w:rFonts w:ascii="Arial" w:hAnsi="Arial" w:cs="Arial"/>
          <w:sz w:val="22"/>
          <w:szCs w:val="22"/>
        </w:rPr>
        <w:t>a</w:t>
      </w:r>
      <w:r w:rsidR="00CC4081" w:rsidRPr="00E55BAA">
        <w:rPr>
          <w:rFonts w:ascii="Arial" w:hAnsi="Arial" w:cs="Arial"/>
          <w:sz w:val="22"/>
          <w:szCs w:val="22"/>
        </w:rPr>
        <w:t xml:space="preserve"> cijena</w:t>
      </w:r>
      <w:r w:rsidR="00CE0421">
        <w:rPr>
          <w:rFonts w:ascii="Arial" w:hAnsi="Arial" w:cs="Arial"/>
          <w:sz w:val="22"/>
          <w:szCs w:val="22"/>
        </w:rPr>
        <w:t>,</w:t>
      </w:r>
      <w:r w:rsidR="00CC4081" w:rsidRPr="00E55BAA">
        <w:rPr>
          <w:rFonts w:ascii="Arial" w:hAnsi="Arial" w:cs="Arial"/>
          <w:sz w:val="22"/>
          <w:szCs w:val="22"/>
        </w:rPr>
        <w:t xml:space="preserve"> </w:t>
      </w:r>
      <w:r w:rsidR="00CE0421">
        <w:rPr>
          <w:rFonts w:ascii="Arial" w:hAnsi="Arial" w:cs="Arial"/>
          <w:sz w:val="22"/>
          <w:szCs w:val="22"/>
        </w:rPr>
        <w:t>iz</w:t>
      </w:r>
      <w:r w:rsidR="00CC4081" w:rsidRPr="00E55BAA">
        <w:rPr>
          <w:rFonts w:ascii="Arial" w:hAnsi="Arial" w:cs="Arial"/>
          <w:sz w:val="22"/>
          <w:szCs w:val="22"/>
        </w:rPr>
        <w:t>računa</w:t>
      </w:r>
      <w:r w:rsidR="00CE0421">
        <w:rPr>
          <w:rFonts w:ascii="Arial" w:hAnsi="Arial" w:cs="Arial"/>
          <w:sz w:val="22"/>
          <w:szCs w:val="22"/>
        </w:rPr>
        <w:t>va</w:t>
      </w:r>
      <w:r w:rsidR="00CC4081" w:rsidRPr="00E55BAA">
        <w:rPr>
          <w:rFonts w:ascii="Arial" w:hAnsi="Arial" w:cs="Arial"/>
          <w:sz w:val="22"/>
          <w:szCs w:val="22"/>
        </w:rPr>
        <w:t>nj</w:t>
      </w:r>
      <w:r w:rsidR="00CE0421">
        <w:rPr>
          <w:rFonts w:ascii="Arial" w:hAnsi="Arial" w:cs="Arial"/>
          <w:sz w:val="22"/>
          <w:szCs w:val="22"/>
        </w:rPr>
        <w:t>a</w:t>
      </w:r>
      <w:r w:rsidR="00CC4081" w:rsidRPr="00E55BAA">
        <w:rPr>
          <w:rFonts w:ascii="Arial" w:hAnsi="Arial" w:cs="Arial"/>
          <w:sz w:val="22"/>
          <w:szCs w:val="22"/>
        </w:rPr>
        <w:t xml:space="preserve"> i </w:t>
      </w:r>
      <w:r w:rsidR="00CE0421">
        <w:rPr>
          <w:rFonts w:ascii="Arial" w:hAnsi="Arial" w:cs="Arial"/>
          <w:sz w:val="22"/>
          <w:szCs w:val="22"/>
        </w:rPr>
        <w:t xml:space="preserve">naknadnog </w:t>
      </w:r>
      <w:r w:rsidR="00CC4081" w:rsidRPr="00E55BAA">
        <w:rPr>
          <w:rFonts w:ascii="Arial" w:hAnsi="Arial" w:cs="Arial"/>
          <w:sz w:val="22"/>
          <w:szCs w:val="22"/>
        </w:rPr>
        <w:t>objavljivanj</w:t>
      </w:r>
      <w:r w:rsidR="00CE0421">
        <w:rPr>
          <w:rFonts w:ascii="Arial" w:hAnsi="Arial" w:cs="Arial"/>
          <w:sz w:val="22"/>
          <w:szCs w:val="22"/>
        </w:rPr>
        <w:t>a</w:t>
      </w:r>
      <w:r w:rsidR="00CC4081" w:rsidRPr="00E55BAA">
        <w:rPr>
          <w:rFonts w:ascii="Arial" w:hAnsi="Arial" w:cs="Arial"/>
          <w:sz w:val="22"/>
          <w:szCs w:val="22"/>
        </w:rPr>
        <w:t xml:space="preserve"> vrijednosti indeksa, uključujući </w:t>
      </w:r>
      <w:r w:rsidR="00B3433B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postupke</w:t>
      </w:r>
      <w:r w:rsidR="00CC4081" w:rsidRPr="00E55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utvrđivanja</w:t>
      </w:r>
      <w:r w:rsidR="00CC4081" w:rsidRPr="00E55BAA">
        <w:rPr>
          <w:rFonts w:ascii="Arial" w:hAnsi="Arial" w:cs="Arial"/>
          <w:sz w:val="22"/>
          <w:szCs w:val="22"/>
        </w:rPr>
        <w:t xml:space="preserve"> cijena </w:t>
      </w:r>
      <w:r>
        <w:rPr>
          <w:rFonts w:ascii="Arial" w:hAnsi="Arial" w:cs="Arial"/>
          <w:sz w:val="22"/>
          <w:szCs w:val="22"/>
        </w:rPr>
        <w:t xml:space="preserve">za </w:t>
      </w:r>
      <w:r w:rsidR="00CC4081" w:rsidRPr="00E55BAA">
        <w:rPr>
          <w:rFonts w:ascii="Arial" w:hAnsi="Arial" w:cs="Arial"/>
          <w:sz w:val="22"/>
          <w:szCs w:val="22"/>
        </w:rPr>
        <w:t>komponent</w:t>
      </w:r>
      <w:r>
        <w:rPr>
          <w:rFonts w:ascii="Arial" w:hAnsi="Arial" w:cs="Arial"/>
          <w:sz w:val="22"/>
          <w:szCs w:val="22"/>
        </w:rPr>
        <w:t>e</w:t>
      </w:r>
      <w:r w:rsidR="00CC4081" w:rsidRPr="00E55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koje ne postoji</w:t>
      </w:r>
      <w:r w:rsidR="00CC4081" w:rsidRPr="00E55BAA">
        <w:rPr>
          <w:rFonts w:ascii="Arial" w:hAnsi="Arial" w:cs="Arial"/>
          <w:sz w:val="22"/>
          <w:szCs w:val="22"/>
        </w:rPr>
        <w:t xml:space="preserve"> tržišn</w:t>
      </w:r>
      <w:r>
        <w:rPr>
          <w:rFonts w:ascii="Arial" w:hAnsi="Arial" w:cs="Arial"/>
          <w:sz w:val="22"/>
          <w:szCs w:val="22"/>
        </w:rPr>
        <w:t>a</w:t>
      </w:r>
      <w:r w:rsidR="00CC4081" w:rsidRPr="00E55BAA">
        <w:rPr>
          <w:rFonts w:ascii="Arial" w:hAnsi="Arial" w:cs="Arial"/>
          <w:sz w:val="22"/>
          <w:szCs w:val="22"/>
        </w:rPr>
        <w:t xml:space="preserve"> cijen</w:t>
      </w:r>
      <w:r>
        <w:rPr>
          <w:rFonts w:ascii="Arial" w:hAnsi="Arial" w:cs="Arial"/>
          <w:sz w:val="22"/>
          <w:szCs w:val="22"/>
        </w:rPr>
        <w:t>a</w:t>
      </w:r>
      <w:r w:rsidR="00600A53">
        <w:rPr>
          <w:rFonts w:ascii="Arial" w:hAnsi="Arial" w:cs="Arial"/>
          <w:sz w:val="22"/>
          <w:szCs w:val="22"/>
        </w:rPr>
        <w:t>,</w:t>
      </w:r>
    </w:p>
    <w:p w14:paraId="50D7AED6" w14:textId="2A91511B" w:rsidR="00CC4081" w:rsidRDefault="007E2B0B" w:rsidP="00DF3F61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značajne</w:t>
      </w:r>
      <w:r w:rsidR="00CC4081" w:rsidRPr="00E55BAA">
        <w:rPr>
          <w:rFonts w:ascii="Arial" w:hAnsi="Arial" w:cs="Arial"/>
          <w:sz w:val="22"/>
          <w:szCs w:val="22"/>
        </w:rPr>
        <w:t xml:space="preserve"> informacije o pitanjima kao što su način izračuna indeksa, metodologija za rebalans, izmjene indeksa ili bilo koje operativne poteškoće u pružanju točnih informacija, pružaju se </w:t>
      </w:r>
      <w:r w:rsidR="00292726" w:rsidRPr="00E55BAA">
        <w:rPr>
          <w:rFonts w:ascii="Arial" w:hAnsi="Arial" w:cs="Arial"/>
          <w:sz w:val="22"/>
          <w:szCs w:val="22"/>
        </w:rPr>
        <w:t xml:space="preserve">ažurno i </w:t>
      </w:r>
      <w:r w:rsidR="00CC4081" w:rsidRPr="00E55BAA">
        <w:rPr>
          <w:rFonts w:ascii="Arial" w:hAnsi="Arial" w:cs="Arial"/>
          <w:sz w:val="22"/>
          <w:szCs w:val="22"/>
        </w:rPr>
        <w:t>na široko dostupan način.</w:t>
      </w:r>
    </w:p>
    <w:p w14:paraId="23E14640" w14:textId="77777777" w:rsidR="007F0AC4" w:rsidRPr="00E55BAA" w:rsidRDefault="007F0AC4" w:rsidP="007F0AC4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7D5B28C5" w14:textId="1721AF4A" w:rsidR="00292726" w:rsidRPr="00E55BAA" w:rsidRDefault="00292726" w:rsidP="00DF3F6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Ako </w:t>
      </w:r>
      <w:r w:rsidR="000E73BB" w:rsidRPr="00E55BAA">
        <w:rPr>
          <w:rFonts w:ascii="Arial" w:hAnsi="Arial" w:cs="Arial"/>
          <w:sz w:val="22"/>
          <w:szCs w:val="22"/>
        </w:rPr>
        <w:t xml:space="preserve">sastav </w:t>
      </w:r>
      <w:r w:rsidRPr="00E55BAA">
        <w:rPr>
          <w:rFonts w:ascii="Arial" w:hAnsi="Arial" w:cs="Arial"/>
          <w:sz w:val="22"/>
          <w:szCs w:val="22"/>
        </w:rPr>
        <w:t>temeljn</w:t>
      </w:r>
      <w:r w:rsidR="000E73BB" w:rsidRPr="00E55BAA">
        <w:rPr>
          <w:rFonts w:ascii="Arial" w:hAnsi="Arial" w:cs="Arial"/>
          <w:sz w:val="22"/>
          <w:szCs w:val="22"/>
        </w:rPr>
        <w:t>e</w:t>
      </w:r>
      <w:r w:rsidRPr="00E55BAA">
        <w:rPr>
          <w:rFonts w:ascii="Arial" w:hAnsi="Arial" w:cs="Arial"/>
          <w:sz w:val="22"/>
          <w:szCs w:val="22"/>
        </w:rPr>
        <w:t xml:space="preserve"> imovin</w:t>
      </w:r>
      <w:r w:rsidR="000E73BB" w:rsidRPr="00E55BAA">
        <w:rPr>
          <w:rFonts w:ascii="Arial" w:hAnsi="Arial" w:cs="Arial"/>
          <w:sz w:val="22"/>
          <w:szCs w:val="22"/>
        </w:rPr>
        <w:t>e</w:t>
      </w:r>
      <w:r w:rsidRPr="00E55BAA">
        <w:rPr>
          <w:rFonts w:ascii="Arial" w:hAnsi="Arial" w:cs="Arial"/>
          <w:sz w:val="22"/>
          <w:szCs w:val="22"/>
        </w:rPr>
        <w:t xml:space="preserve"> financijske izvedenice ne zadovoljava kriterije iz stavka 1. ovoga članka, takva se financijska izvedenica</w:t>
      </w:r>
      <w:r w:rsidR="00A63692">
        <w:rPr>
          <w:rFonts w:ascii="Arial" w:hAnsi="Arial" w:cs="Arial"/>
          <w:sz w:val="22"/>
          <w:szCs w:val="22"/>
        </w:rPr>
        <w:t xml:space="preserve"> ne smatra financijskom izvedenicom na financijski indeks, ali se</w:t>
      </w:r>
      <w:r w:rsidRPr="00E55BAA">
        <w:rPr>
          <w:rFonts w:ascii="Arial" w:hAnsi="Arial" w:cs="Arial"/>
          <w:sz w:val="22"/>
          <w:szCs w:val="22"/>
        </w:rPr>
        <w:t xml:space="preserve"> ako zadovoljava kriterije iz članka 1</w:t>
      </w:r>
      <w:r w:rsidR="00C246A6">
        <w:rPr>
          <w:rFonts w:ascii="Arial" w:hAnsi="Arial" w:cs="Arial"/>
          <w:sz w:val="22"/>
          <w:szCs w:val="22"/>
        </w:rPr>
        <w:t>1</w:t>
      </w:r>
      <w:r w:rsidRPr="00E55BAA">
        <w:rPr>
          <w:rFonts w:ascii="Arial" w:hAnsi="Arial" w:cs="Arial"/>
          <w:sz w:val="22"/>
          <w:szCs w:val="22"/>
        </w:rPr>
        <w:t>. stavka 1. ovoga pravilnika, smatra financijskom izvedenicom na kombinaciju imovine iz članka 1</w:t>
      </w:r>
      <w:r w:rsidR="00C246A6">
        <w:rPr>
          <w:rFonts w:ascii="Arial" w:hAnsi="Arial" w:cs="Arial"/>
          <w:sz w:val="22"/>
          <w:szCs w:val="22"/>
        </w:rPr>
        <w:t>1</w:t>
      </w:r>
      <w:r w:rsidRPr="00E55BAA">
        <w:rPr>
          <w:rFonts w:ascii="Arial" w:hAnsi="Arial" w:cs="Arial"/>
          <w:sz w:val="22"/>
          <w:szCs w:val="22"/>
        </w:rPr>
        <w:t xml:space="preserve">. stavka 1. točke 1. </w:t>
      </w:r>
      <w:proofErr w:type="spellStart"/>
      <w:r w:rsidRPr="00E55BAA">
        <w:rPr>
          <w:rFonts w:ascii="Arial" w:hAnsi="Arial" w:cs="Arial"/>
          <w:sz w:val="22"/>
          <w:szCs w:val="22"/>
        </w:rPr>
        <w:t>podtočaka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a), b) i c) ovoga pravilnika.</w:t>
      </w:r>
    </w:p>
    <w:p w14:paraId="2F1758AA" w14:textId="77777777" w:rsidR="001B3062" w:rsidRPr="00203950" w:rsidRDefault="001B3062" w:rsidP="00DF3F61">
      <w:pPr>
        <w:rPr>
          <w:rFonts w:ascii="Arial" w:hAnsi="Arial" w:cs="Arial"/>
          <w:sz w:val="22"/>
          <w:szCs w:val="22"/>
        </w:rPr>
      </w:pPr>
    </w:p>
    <w:p w14:paraId="703B438B" w14:textId="62BC5278" w:rsidR="00CC4081" w:rsidRPr="00203950" w:rsidRDefault="00CA450A" w:rsidP="00203950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203950">
        <w:rPr>
          <w:rFonts w:ascii="Arial" w:hAnsi="Arial" w:cs="Arial"/>
          <w:b w:val="0"/>
          <w:sz w:val="22"/>
          <w:szCs w:val="22"/>
        </w:rPr>
        <w:t>Prenosivi vrijednosni papiri i instrumenti tržišta novca s ugrađenim izvedenicama</w:t>
      </w:r>
    </w:p>
    <w:p w14:paraId="58751D5C" w14:textId="269EA654" w:rsidR="00CC4081" w:rsidRPr="00203950" w:rsidRDefault="00CC4081" w:rsidP="00203950">
      <w:pPr>
        <w:pStyle w:val="Heading3"/>
      </w:pPr>
      <w:r w:rsidRPr="00203950">
        <w:rPr>
          <w:rFonts w:ascii="Arial" w:hAnsi="Arial" w:cs="Arial"/>
          <w:b w:val="0"/>
          <w:sz w:val="22"/>
          <w:szCs w:val="22"/>
        </w:rPr>
        <w:t xml:space="preserve">Članak </w:t>
      </w:r>
      <w:r w:rsidR="009A5E5C" w:rsidRPr="00203950">
        <w:rPr>
          <w:rFonts w:ascii="Arial" w:hAnsi="Arial" w:cs="Arial"/>
          <w:b w:val="0"/>
          <w:sz w:val="22"/>
          <w:szCs w:val="22"/>
        </w:rPr>
        <w:t>1</w:t>
      </w:r>
      <w:r w:rsidR="00D17248" w:rsidRPr="00203950">
        <w:rPr>
          <w:rFonts w:ascii="Arial" w:hAnsi="Arial" w:cs="Arial"/>
          <w:b w:val="0"/>
          <w:sz w:val="22"/>
          <w:szCs w:val="22"/>
        </w:rPr>
        <w:t>3</w:t>
      </w:r>
      <w:r w:rsidRPr="00203950">
        <w:rPr>
          <w:rFonts w:ascii="Arial" w:hAnsi="Arial" w:cs="Arial"/>
          <w:b w:val="0"/>
          <w:sz w:val="22"/>
          <w:szCs w:val="22"/>
        </w:rPr>
        <w:t>.</w:t>
      </w:r>
    </w:p>
    <w:p w14:paraId="1FF44810" w14:textId="3B3D738F" w:rsidR="00CC4081" w:rsidRPr="00E55BAA" w:rsidRDefault="00CC4081" w:rsidP="00DF3F6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Prenosivi vrijednosni papiri s ugrađenim izvedenicama</w:t>
      </w:r>
      <w:r w:rsidR="001D4BBE" w:rsidRPr="00E55BAA">
        <w:rPr>
          <w:rFonts w:ascii="Arial" w:hAnsi="Arial" w:cs="Arial"/>
          <w:sz w:val="22"/>
          <w:szCs w:val="22"/>
        </w:rPr>
        <w:t xml:space="preserve"> </w:t>
      </w:r>
      <w:r w:rsidR="00A12A34">
        <w:rPr>
          <w:rFonts w:ascii="Arial" w:hAnsi="Arial" w:cs="Arial"/>
          <w:sz w:val="22"/>
          <w:szCs w:val="22"/>
        </w:rPr>
        <w:t>iz članka 253. stavka 8. Zakona</w:t>
      </w:r>
      <w:r w:rsidRPr="00E55BAA">
        <w:rPr>
          <w:rFonts w:ascii="Arial" w:hAnsi="Arial" w:cs="Arial"/>
          <w:sz w:val="22"/>
          <w:szCs w:val="22"/>
        </w:rPr>
        <w:t xml:space="preserve"> su financijski instrumenti koji zadovoljavaju kriterije iz </w:t>
      </w:r>
      <w:r w:rsidR="00076E98" w:rsidRPr="00E55BAA">
        <w:rPr>
          <w:rFonts w:ascii="Arial" w:hAnsi="Arial" w:cs="Arial"/>
          <w:sz w:val="22"/>
          <w:szCs w:val="22"/>
        </w:rPr>
        <w:t xml:space="preserve">članka </w:t>
      </w:r>
      <w:r w:rsidR="00D17248">
        <w:rPr>
          <w:rFonts w:ascii="Arial" w:hAnsi="Arial" w:cs="Arial"/>
          <w:sz w:val="22"/>
          <w:szCs w:val="22"/>
        </w:rPr>
        <w:t>5</w:t>
      </w:r>
      <w:r w:rsidRPr="00E55BAA">
        <w:rPr>
          <w:rFonts w:ascii="Arial" w:hAnsi="Arial" w:cs="Arial"/>
          <w:sz w:val="22"/>
          <w:szCs w:val="22"/>
        </w:rPr>
        <w:t xml:space="preserve">. </w:t>
      </w:r>
      <w:r w:rsidR="000F313A" w:rsidRPr="00E55BAA">
        <w:rPr>
          <w:rFonts w:ascii="Arial" w:hAnsi="Arial" w:cs="Arial"/>
          <w:sz w:val="22"/>
          <w:szCs w:val="22"/>
        </w:rPr>
        <w:t>stavka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0F313A" w:rsidRPr="00E55BAA">
        <w:rPr>
          <w:rFonts w:ascii="Arial" w:hAnsi="Arial" w:cs="Arial"/>
          <w:sz w:val="22"/>
          <w:szCs w:val="22"/>
        </w:rPr>
        <w:t>1</w:t>
      </w:r>
      <w:r w:rsidRPr="00E55BAA">
        <w:rPr>
          <w:rFonts w:ascii="Arial" w:hAnsi="Arial" w:cs="Arial"/>
          <w:sz w:val="22"/>
          <w:szCs w:val="22"/>
        </w:rPr>
        <w:t>. ovog</w:t>
      </w:r>
      <w:r w:rsidR="004D1F46" w:rsidRPr="00E55BAA">
        <w:rPr>
          <w:rFonts w:ascii="Arial" w:hAnsi="Arial" w:cs="Arial"/>
          <w:sz w:val="22"/>
          <w:szCs w:val="22"/>
        </w:rPr>
        <w:t>a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C05EA7" w:rsidRPr="00E55BAA">
        <w:rPr>
          <w:rFonts w:ascii="Arial" w:hAnsi="Arial" w:cs="Arial"/>
          <w:sz w:val="22"/>
          <w:szCs w:val="22"/>
        </w:rPr>
        <w:t>p</w:t>
      </w:r>
      <w:r w:rsidRPr="00E55BAA">
        <w:rPr>
          <w:rFonts w:ascii="Arial" w:hAnsi="Arial" w:cs="Arial"/>
          <w:sz w:val="22"/>
          <w:szCs w:val="22"/>
        </w:rPr>
        <w:t>ravilnika i sadrže komponentu koja zadovoljava sljedeće kriterije:</w:t>
      </w:r>
    </w:p>
    <w:p w14:paraId="797D4807" w14:textId="75718603" w:rsidR="00CC4081" w:rsidRPr="00E55BAA" w:rsidRDefault="00CC4081" w:rsidP="00DF3F61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temeljem te komponente, neki ili svi novčani </w:t>
      </w:r>
      <w:r w:rsidR="00686D7C" w:rsidRPr="00E55BAA">
        <w:rPr>
          <w:rFonts w:ascii="Arial" w:hAnsi="Arial" w:cs="Arial"/>
          <w:sz w:val="22"/>
          <w:szCs w:val="22"/>
        </w:rPr>
        <w:t>tijekovi</w:t>
      </w:r>
      <w:r w:rsidRPr="00E55BAA">
        <w:rPr>
          <w:rFonts w:ascii="Arial" w:hAnsi="Arial" w:cs="Arial"/>
          <w:sz w:val="22"/>
          <w:szCs w:val="22"/>
        </w:rPr>
        <w:t xml:space="preserve"> koji </w:t>
      </w:r>
      <w:r w:rsidR="0015219A">
        <w:rPr>
          <w:rFonts w:ascii="Arial" w:hAnsi="Arial" w:cs="Arial"/>
          <w:sz w:val="22"/>
          <w:szCs w:val="22"/>
        </w:rPr>
        <w:t>bi se inače ugovorno zahtijevali</w:t>
      </w:r>
      <w:r w:rsidR="008F4487">
        <w:rPr>
          <w:rFonts w:ascii="Arial" w:hAnsi="Arial" w:cs="Arial"/>
          <w:sz w:val="22"/>
          <w:szCs w:val="22"/>
        </w:rPr>
        <w:t xml:space="preserve"> </w:t>
      </w:r>
      <w:r w:rsidR="0015219A">
        <w:rPr>
          <w:rFonts w:ascii="Arial" w:hAnsi="Arial" w:cs="Arial"/>
          <w:sz w:val="22"/>
          <w:szCs w:val="22"/>
        </w:rPr>
        <w:t xml:space="preserve">kod </w:t>
      </w:r>
      <w:r w:rsidRPr="00E55BAA">
        <w:rPr>
          <w:rFonts w:ascii="Arial" w:hAnsi="Arial" w:cs="Arial"/>
          <w:sz w:val="22"/>
          <w:szCs w:val="22"/>
        </w:rPr>
        <w:t xml:space="preserve">prenosivog vrijednosnog papira </w:t>
      </w:r>
      <w:r w:rsidR="00BA2A0E" w:rsidRPr="00E55BAA">
        <w:rPr>
          <w:rFonts w:ascii="Arial" w:hAnsi="Arial" w:cs="Arial"/>
          <w:sz w:val="22"/>
          <w:szCs w:val="22"/>
        </w:rPr>
        <w:t xml:space="preserve">koji </w:t>
      </w:r>
      <w:r w:rsidR="0015219A">
        <w:rPr>
          <w:rFonts w:ascii="Arial" w:hAnsi="Arial" w:cs="Arial"/>
          <w:sz w:val="22"/>
          <w:szCs w:val="22"/>
        </w:rPr>
        <w:t>služi kao osnovni</w:t>
      </w:r>
      <w:r w:rsidR="0015219A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 xml:space="preserve">ugovor, mogu </w:t>
      </w:r>
      <w:r w:rsidR="0015219A">
        <w:rPr>
          <w:rFonts w:ascii="Arial" w:hAnsi="Arial" w:cs="Arial"/>
          <w:sz w:val="22"/>
          <w:szCs w:val="22"/>
        </w:rPr>
        <w:t>se promijeniti</w:t>
      </w:r>
      <w:r w:rsidR="008F4487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 xml:space="preserve">prema </w:t>
      </w:r>
      <w:r w:rsidR="00224CA4" w:rsidRPr="00E55BAA">
        <w:rPr>
          <w:rFonts w:ascii="Arial" w:hAnsi="Arial" w:cs="Arial"/>
          <w:sz w:val="22"/>
          <w:szCs w:val="22"/>
        </w:rPr>
        <w:t>određenoj</w:t>
      </w:r>
      <w:r w:rsidRPr="00E55BAA">
        <w:rPr>
          <w:rFonts w:ascii="Arial" w:hAnsi="Arial" w:cs="Arial"/>
          <w:sz w:val="22"/>
          <w:szCs w:val="22"/>
        </w:rPr>
        <w:t xml:space="preserve"> kamatnoj stopi, cijeni financijskog instrumenta, valutnom tečaju, cjenovnom indeksu ili indeksu stopa, kreditnom rejtingu ili kreditnom indeksu, ili nekoj drugoj varijabli, i </w:t>
      </w:r>
      <w:r w:rsidR="0078425B" w:rsidRPr="00E55BAA">
        <w:rPr>
          <w:rFonts w:ascii="Arial" w:hAnsi="Arial" w:cs="Arial"/>
          <w:sz w:val="22"/>
          <w:szCs w:val="22"/>
        </w:rPr>
        <w:t>stoga</w:t>
      </w:r>
      <w:r w:rsidR="00BA2A0E" w:rsidRPr="00E55BAA">
        <w:rPr>
          <w:rFonts w:ascii="Arial" w:hAnsi="Arial" w:cs="Arial"/>
          <w:sz w:val="22"/>
          <w:szCs w:val="22"/>
        </w:rPr>
        <w:t xml:space="preserve"> se </w:t>
      </w:r>
      <w:r w:rsidR="0015219A">
        <w:rPr>
          <w:rFonts w:ascii="Arial" w:hAnsi="Arial" w:cs="Arial"/>
          <w:sz w:val="22"/>
          <w:szCs w:val="22"/>
        </w:rPr>
        <w:t>mijenjati</w:t>
      </w:r>
      <w:r w:rsidR="0015219A" w:rsidRPr="00E55BAA">
        <w:rPr>
          <w:rFonts w:ascii="Arial" w:hAnsi="Arial" w:cs="Arial"/>
          <w:sz w:val="22"/>
          <w:szCs w:val="22"/>
        </w:rPr>
        <w:t xml:space="preserve"> </w:t>
      </w:r>
      <w:r w:rsidR="0050696A">
        <w:rPr>
          <w:rFonts w:ascii="Arial" w:hAnsi="Arial" w:cs="Arial"/>
          <w:sz w:val="22"/>
          <w:szCs w:val="22"/>
        </w:rPr>
        <w:t xml:space="preserve">slično promjenama </w:t>
      </w:r>
      <w:r w:rsidRPr="00E55BAA">
        <w:rPr>
          <w:rFonts w:ascii="Arial" w:hAnsi="Arial" w:cs="Arial"/>
          <w:sz w:val="22"/>
          <w:szCs w:val="22"/>
        </w:rPr>
        <w:t>samostaln</w:t>
      </w:r>
      <w:r w:rsidR="0050696A">
        <w:rPr>
          <w:rFonts w:ascii="Arial" w:hAnsi="Arial" w:cs="Arial"/>
          <w:sz w:val="22"/>
          <w:szCs w:val="22"/>
        </w:rPr>
        <w:t>e</w:t>
      </w:r>
      <w:r w:rsidRPr="00E55BAA">
        <w:rPr>
          <w:rFonts w:ascii="Arial" w:hAnsi="Arial" w:cs="Arial"/>
          <w:sz w:val="22"/>
          <w:szCs w:val="22"/>
        </w:rPr>
        <w:t xml:space="preserve"> izvedenic</w:t>
      </w:r>
      <w:r w:rsidR="0050696A">
        <w:rPr>
          <w:rFonts w:ascii="Arial" w:hAnsi="Arial" w:cs="Arial"/>
          <w:sz w:val="22"/>
          <w:szCs w:val="22"/>
        </w:rPr>
        <w:t>e</w:t>
      </w:r>
      <w:r w:rsidR="00600A53">
        <w:rPr>
          <w:rFonts w:ascii="Arial" w:hAnsi="Arial" w:cs="Arial"/>
          <w:sz w:val="22"/>
          <w:szCs w:val="22"/>
        </w:rPr>
        <w:t>,</w:t>
      </w:r>
    </w:p>
    <w:p w14:paraId="564139EA" w14:textId="1F2F136F" w:rsidR="00CC4081" w:rsidRPr="00E55BAA" w:rsidRDefault="00CC4081" w:rsidP="00DF3F61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ekonomske karakteristike i rizici te komponente nisu blisko povezani s ekonomskim karakteristikama i rizicima vrijednosnog papira </w:t>
      </w:r>
      <w:r w:rsidR="00BA2A0E" w:rsidRPr="00E55BAA">
        <w:rPr>
          <w:rFonts w:ascii="Arial" w:hAnsi="Arial" w:cs="Arial"/>
          <w:sz w:val="22"/>
          <w:szCs w:val="22"/>
        </w:rPr>
        <w:t xml:space="preserve">koji je </w:t>
      </w:r>
      <w:r w:rsidR="0050696A">
        <w:rPr>
          <w:rFonts w:ascii="Arial" w:hAnsi="Arial" w:cs="Arial"/>
          <w:sz w:val="22"/>
          <w:szCs w:val="22"/>
        </w:rPr>
        <w:t>osnovni</w:t>
      </w:r>
      <w:r w:rsidR="0050696A" w:rsidRPr="00E55BAA">
        <w:rPr>
          <w:rFonts w:ascii="Arial" w:hAnsi="Arial" w:cs="Arial"/>
          <w:sz w:val="22"/>
          <w:szCs w:val="22"/>
        </w:rPr>
        <w:t xml:space="preserve"> </w:t>
      </w:r>
      <w:r w:rsidR="00BA2A0E" w:rsidRPr="00E55BAA">
        <w:rPr>
          <w:rFonts w:ascii="Arial" w:hAnsi="Arial" w:cs="Arial"/>
          <w:sz w:val="22"/>
          <w:szCs w:val="22"/>
        </w:rPr>
        <w:t>ugovor</w:t>
      </w:r>
      <w:r w:rsidR="00600A53">
        <w:rPr>
          <w:rFonts w:ascii="Arial" w:hAnsi="Arial" w:cs="Arial"/>
          <w:sz w:val="22"/>
          <w:szCs w:val="22"/>
        </w:rPr>
        <w:t>,</w:t>
      </w:r>
    </w:p>
    <w:p w14:paraId="1F57AC23" w14:textId="77777777" w:rsidR="00CC4081" w:rsidRPr="00E55BAA" w:rsidRDefault="00CC4081" w:rsidP="00DF3F61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ima značajan učinak na profil rizičnosti i određivanje cijene prenosivog vrijednosnog papira.</w:t>
      </w:r>
    </w:p>
    <w:p w14:paraId="0173844C" w14:textId="77777777" w:rsidR="00CC4081" w:rsidRPr="00E55BAA" w:rsidRDefault="00CC4081" w:rsidP="00DF3F6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7A71952" w14:textId="3A8249BB" w:rsidR="00CC4081" w:rsidRPr="00E55BAA" w:rsidRDefault="00CC4081" w:rsidP="00DF3F6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Instrumenti tržišta novca koji ispunjavaju jedan od kriterija iz članka </w:t>
      </w:r>
      <w:r w:rsidR="002E307C">
        <w:rPr>
          <w:rFonts w:ascii="Arial" w:hAnsi="Arial" w:cs="Arial"/>
          <w:sz w:val="22"/>
          <w:szCs w:val="22"/>
        </w:rPr>
        <w:t>6</w:t>
      </w:r>
      <w:r w:rsidRPr="00E55BAA">
        <w:rPr>
          <w:rFonts w:ascii="Arial" w:hAnsi="Arial" w:cs="Arial"/>
          <w:sz w:val="22"/>
          <w:szCs w:val="22"/>
        </w:rPr>
        <w:t xml:space="preserve">. </w:t>
      </w:r>
      <w:r w:rsidR="00A148B4" w:rsidRPr="00E55BAA">
        <w:rPr>
          <w:rFonts w:ascii="Arial" w:hAnsi="Arial" w:cs="Arial"/>
          <w:sz w:val="22"/>
          <w:szCs w:val="22"/>
        </w:rPr>
        <w:t>stavka 1</w:t>
      </w:r>
      <w:r w:rsidR="000F313A" w:rsidRPr="00E55BAA">
        <w:rPr>
          <w:rFonts w:ascii="Arial" w:hAnsi="Arial" w:cs="Arial"/>
          <w:sz w:val="22"/>
          <w:szCs w:val="22"/>
        </w:rPr>
        <w:t xml:space="preserve">. </w:t>
      </w:r>
      <w:r w:rsidRPr="00E55BAA">
        <w:rPr>
          <w:rFonts w:ascii="Arial" w:hAnsi="Arial" w:cs="Arial"/>
          <w:sz w:val="22"/>
          <w:szCs w:val="22"/>
        </w:rPr>
        <w:t>ovog</w:t>
      </w:r>
      <w:r w:rsidR="004D1F46" w:rsidRPr="00E55BAA">
        <w:rPr>
          <w:rFonts w:ascii="Arial" w:hAnsi="Arial" w:cs="Arial"/>
          <w:sz w:val="22"/>
          <w:szCs w:val="22"/>
        </w:rPr>
        <w:t>a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C05EA7" w:rsidRPr="00E55BAA">
        <w:rPr>
          <w:rFonts w:ascii="Arial" w:hAnsi="Arial" w:cs="Arial"/>
          <w:sz w:val="22"/>
          <w:szCs w:val="22"/>
        </w:rPr>
        <w:t>p</w:t>
      </w:r>
      <w:r w:rsidR="00BA2A0E" w:rsidRPr="00E55BAA">
        <w:rPr>
          <w:rFonts w:ascii="Arial" w:hAnsi="Arial" w:cs="Arial"/>
          <w:sz w:val="22"/>
          <w:szCs w:val="22"/>
        </w:rPr>
        <w:t xml:space="preserve">ravilnika i </w:t>
      </w:r>
      <w:r w:rsidR="008F4487">
        <w:rPr>
          <w:rFonts w:ascii="Arial" w:hAnsi="Arial" w:cs="Arial"/>
          <w:sz w:val="22"/>
          <w:szCs w:val="22"/>
        </w:rPr>
        <w:t xml:space="preserve">sve </w:t>
      </w:r>
      <w:r w:rsidRPr="00E55BAA">
        <w:rPr>
          <w:rFonts w:ascii="Arial" w:hAnsi="Arial" w:cs="Arial"/>
          <w:sz w:val="22"/>
          <w:szCs w:val="22"/>
        </w:rPr>
        <w:t xml:space="preserve">kriterije iz članka </w:t>
      </w:r>
      <w:r w:rsidR="002E307C">
        <w:rPr>
          <w:rFonts w:ascii="Arial" w:hAnsi="Arial" w:cs="Arial"/>
          <w:sz w:val="22"/>
          <w:szCs w:val="22"/>
        </w:rPr>
        <w:t>7</w:t>
      </w:r>
      <w:r w:rsidRPr="00E55BAA">
        <w:rPr>
          <w:rFonts w:ascii="Arial" w:hAnsi="Arial" w:cs="Arial"/>
          <w:sz w:val="22"/>
          <w:szCs w:val="22"/>
        </w:rPr>
        <w:t xml:space="preserve">. </w:t>
      </w:r>
      <w:r w:rsidR="000F313A" w:rsidRPr="00E55BAA">
        <w:rPr>
          <w:rFonts w:ascii="Arial" w:hAnsi="Arial" w:cs="Arial"/>
          <w:sz w:val="22"/>
          <w:szCs w:val="22"/>
        </w:rPr>
        <w:t>stav</w:t>
      </w:r>
      <w:r w:rsidR="00076E98" w:rsidRPr="00E55BAA">
        <w:rPr>
          <w:rFonts w:ascii="Arial" w:hAnsi="Arial" w:cs="Arial"/>
          <w:sz w:val="22"/>
          <w:szCs w:val="22"/>
        </w:rPr>
        <w:t>ka 2</w:t>
      </w:r>
      <w:r w:rsidR="000F313A" w:rsidRPr="00E55BAA">
        <w:rPr>
          <w:rFonts w:ascii="Arial" w:hAnsi="Arial" w:cs="Arial"/>
          <w:sz w:val="22"/>
          <w:szCs w:val="22"/>
        </w:rPr>
        <w:t xml:space="preserve">. </w:t>
      </w:r>
      <w:r w:rsidRPr="00E55BAA">
        <w:rPr>
          <w:rFonts w:ascii="Arial" w:hAnsi="Arial" w:cs="Arial"/>
          <w:sz w:val="22"/>
          <w:szCs w:val="22"/>
        </w:rPr>
        <w:t>ovog</w:t>
      </w:r>
      <w:r w:rsidR="004D1F46" w:rsidRPr="00E55BAA">
        <w:rPr>
          <w:rFonts w:ascii="Arial" w:hAnsi="Arial" w:cs="Arial"/>
          <w:sz w:val="22"/>
          <w:szCs w:val="22"/>
        </w:rPr>
        <w:t>a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C05EA7" w:rsidRPr="00E55BAA">
        <w:rPr>
          <w:rFonts w:ascii="Arial" w:hAnsi="Arial" w:cs="Arial"/>
          <w:sz w:val="22"/>
          <w:szCs w:val="22"/>
        </w:rPr>
        <w:t>p</w:t>
      </w:r>
      <w:r w:rsidRPr="00E55BAA">
        <w:rPr>
          <w:rFonts w:ascii="Arial" w:hAnsi="Arial" w:cs="Arial"/>
          <w:sz w:val="22"/>
          <w:szCs w:val="22"/>
        </w:rPr>
        <w:t>ravilnika i koji sadrže komponentu koja ispunjava kriterije iz stavka 1. ovog</w:t>
      </w:r>
      <w:r w:rsidR="004D1F46" w:rsidRPr="00E55BAA">
        <w:rPr>
          <w:rFonts w:ascii="Arial" w:hAnsi="Arial" w:cs="Arial"/>
          <w:sz w:val="22"/>
          <w:szCs w:val="22"/>
        </w:rPr>
        <w:t>a</w:t>
      </w:r>
      <w:r w:rsidRPr="00E55BAA">
        <w:rPr>
          <w:rFonts w:ascii="Arial" w:hAnsi="Arial" w:cs="Arial"/>
          <w:sz w:val="22"/>
          <w:szCs w:val="22"/>
        </w:rPr>
        <w:t xml:space="preserve"> članka smatraju se instrumentima tržišta novca s ugrađenim izvedenicama</w:t>
      </w:r>
      <w:r w:rsidR="001D4BBE" w:rsidRPr="00E55BAA">
        <w:rPr>
          <w:rFonts w:ascii="Arial" w:hAnsi="Arial" w:cs="Arial"/>
          <w:sz w:val="22"/>
          <w:szCs w:val="22"/>
        </w:rPr>
        <w:t xml:space="preserve"> iz </w:t>
      </w:r>
      <w:r w:rsidR="008F4487">
        <w:rPr>
          <w:rFonts w:ascii="Arial" w:hAnsi="Arial" w:cs="Arial"/>
          <w:sz w:val="22"/>
          <w:szCs w:val="22"/>
        </w:rPr>
        <w:t xml:space="preserve">članka 253. stavka 8. </w:t>
      </w:r>
      <w:r w:rsidR="001D4BBE" w:rsidRPr="00E55BAA">
        <w:rPr>
          <w:rFonts w:ascii="Arial" w:hAnsi="Arial" w:cs="Arial"/>
          <w:sz w:val="22"/>
          <w:szCs w:val="22"/>
        </w:rPr>
        <w:t>Zakona</w:t>
      </w:r>
      <w:r w:rsidRPr="00E55BAA">
        <w:rPr>
          <w:rFonts w:ascii="Arial" w:hAnsi="Arial" w:cs="Arial"/>
          <w:sz w:val="22"/>
          <w:szCs w:val="22"/>
        </w:rPr>
        <w:t>.</w:t>
      </w:r>
    </w:p>
    <w:p w14:paraId="70834417" w14:textId="77777777" w:rsidR="00CC4081" w:rsidRPr="00E55BAA" w:rsidRDefault="00CC4081" w:rsidP="00DF3F61">
      <w:pPr>
        <w:jc w:val="both"/>
        <w:rPr>
          <w:rFonts w:ascii="Arial" w:hAnsi="Arial" w:cs="Arial"/>
          <w:sz w:val="22"/>
          <w:szCs w:val="22"/>
        </w:rPr>
      </w:pPr>
    </w:p>
    <w:p w14:paraId="76D821D6" w14:textId="77777777" w:rsidR="00CC4081" w:rsidRPr="00E55BAA" w:rsidRDefault="00CC4081" w:rsidP="00DF3F6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Neće se smatrati da prenosivi vrijednosni papir ili instrument tržišta novca ima ugrađenu izvedenicu ako sadrži komponentu koja je ugovorno prenosiv</w:t>
      </w:r>
      <w:r w:rsidR="00A148B4" w:rsidRPr="00E55BAA">
        <w:rPr>
          <w:rFonts w:ascii="Arial" w:hAnsi="Arial" w:cs="Arial"/>
          <w:sz w:val="22"/>
          <w:szCs w:val="22"/>
        </w:rPr>
        <w:t>a</w:t>
      </w:r>
      <w:r w:rsidRPr="00E55BAA">
        <w:rPr>
          <w:rFonts w:ascii="Arial" w:hAnsi="Arial" w:cs="Arial"/>
          <w:sz w:val="22"/>
          <w:szCs w:val="22"/>
        </w:rPr>
        <w:t xml:space="preserve"> neovisno </w:t>
      </w:r>
      <w:r w:rsidR="00E232C2" w:rsidRPr="00E55BAA">
        <w:rPr>
          <w:rFonts w:ascii="Arial" w:hAnsi="Arial" w:cs="Arial"/>
          <w:sz w:val="22"/>
          <w:szCs w:val="22"/>
        </w:rPr>
        <w:t xml:space="preserve">o </w:t>
      </w:r>
      <w:r w:rsidRPr="00E55BAA">
        <w:rPr>
          <w:rFonts w:ascii="Arial" w:hAnsi="Arial" w:cs="Arial"/>
          <w:sz w:val="22"/>
          <w:szCs w:val="22"/>
        </w:rPr>
        <w:t>prenosivom vrijednosnom papiru ili instrumentu tržišta novca. Takva komponenta smatrat će se zasebnim financijskim instrumentom.</w:t>
      </w:r>
    </w:p>
    <w:p w14:paraId="103D1987" w14:textId="77777777" w:rsidR="001B3062" w:rsidRPr="00203950" w:rsidRDefault="001B3062" w:rsidP="00DF3F61">
      <w:pPr>
        <w:rPr>
          <w:rFonts w:ascii="Arial" w:hAnsi="Arial" w:cs="Arial"/>
          <w:sz w:val="22"/>
          <w:szCs w:val="22"/>
        </w:rPr>
      </w:pPr>
    </w:p>
    <w:p w14:paraId="30346D01" w14:textId="2A6ACA3C" w:rsidR="00CA450A" w:rsidRPr="00203950" w:rsidRDefault="008744B5" w:rsidP="00203950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203950">
        <w:rPr>
          <w:rFonts w:ascii="Arial" w:hAnsi="Arial" w:cs="Arial"/>
          <w:b w:val="0"/>
          <w:sz w:val="22"/>
          <w:szCs w:val="22"/>
        </w:rPr>
        <w:t xml:space="preserve">Fondovi </w:t>
      </w:r>
      <w:r w:rsidR="00CA450A" w:rsidRPr="00203950">
        <w:rPr>
          <w:rFonts w:ascii="Arial" w:hAnsi="Arial" w:cs="Arial"/>
          <w:b w:val="0"/>
          <w:sz w:val="22"/>
          <w:szCs w:val="22"/>
        </w:rPr>
        <w:t>koji repliciraju indeks</w:t>
      </w:r>
    </w:p>
    <w:p w14:paraId="3A7953B5" w14:textId="6B6A9242" w:rsidR="00BF4C87" w:rsidRPr="00203950" w:rsidRDefault="00CC4081" w:rsidP="00203950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203950">
        <w:rPr>
          <w:rFonts w:ascii="Arial" w:hAnsi="Arial" w:cs="Arial"/>
          <w:b w:val="0"/>
          <w:sz w:val="22"/>
          <w:szCs w:val="22"/>
        </w:rPr>
        <w:t xml:space="preserve">Članak </w:t>
      </w:r>
      <w:r w:rsidR="009A5E5C" w:rsidRPr="00203950">
        <w:rPr>
          <w:rFonts w:ascii="Arial" w:hAnsi="Arial" w:cs="Arial"/>
          <w:b w:val="0"/>
          <w:sz w:val="22"/>
          <w:szCs w:val="22"/>
        </w:rPr>
        <w:t>1</w:t>
      </w:r>
      <w:r w:rsidR="003B6AE1" w:rsidRPr="00203950">
        <w:rPr>
          <w:rFonts w:ascii="Arial" w:hAnsi="Arial" w:cs="Arial"/>
          <w:b w:val="0"/>
          <w:sz w:val="22"/>
          <w:szCs w:val="22"/>
        </w:rPr>
        <w:t>4</w:t>
      </w:r>
      <w:r w:rsidRPr="00203950">
        <w:rPr>
          <w:rFonts w:ascii="Arial" w:hAnsi="Arial" w:cs="Arial"/>
          <w:b w:val="0"/>
          <w:sz w:val="22"/>
          <w:szCs w:val="22"/>
        </w:rPr>
        <w:t>.</w:t>
      </w:r>
    </w:p>
    <w:p w14:paraId="5B8D0791" w14:textId="77DB0E8E" w:rsidR="00CC4081" w:rsidRPr="00E55BAA" w:rsidRDefault="001415D0" w:rsidP="00DF3F6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Replicirati određeni dionički ili obveznički indeks </w:t>
      </w:r>
      <w:r w:rsidR="00444F8B" w:rsidRPr="00E55BAA">
        <w:rPr>
          <w:rFonts w:ascii="Arial" w:hAnsi="Arial" w:cs="Arial"/>
          <w:sz w:val="22"/>
          <w:szCs w:val="22"/>
        </w:rPr>
        <w:t>k</w:t>
      </w:r>
      <w:r w:rsidRPr="00E55BAA">
        <w:rPr>
          <w:rFonts w:ascii="Arial" w:hAnsi="Arial" w:cs="Arial"/>
          <w:sz w:val="22"/>
          <w:szCs w:val="22"/>
        </w:rPr>
        <w:t xml:space="preserve">ako je to propisano </w:t>
      </w:r>
      <w:r w:rsidR="00D16465">
        <w:rPr>
          <w:rFonts w:ascii="Arial" w:hAnsi="Arial" w:cs="Arial"/>
          <w:sz w:val="22"/>
          <w:szCs w:val="22"/>
        </w:rPr>
        <w:t>člankom 255. Zakona</w:t>
      </w:r>
      <w:r w:rsidR="00AD2F77" w:rsidRPr="00E55BAA">
        <w:rPr>
          <w:rFonts w:ascii="Arial" w:hAnsi="Arial" w:cs="Arial"/>
          <w:sz w:val="22"/>
          <w:szCs w:val="22"/>
        </w:rPr>
        <w:t>,</w:t>
      </w:r>
      <w:r w:rsidR="00933B0B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>znači replicirati</w:t>
      </w:r>
      <w:r w:rsidR="00D81BF6" w:rsidRPr="00E55BAA">
        <w:rPr>
          <w:rFonts w:ascii="Arial" w:hAnsi="Arial" w:cs="Arial"/>
          <w:sz w:val="22"/>
          <w:szCs w:val="22"/>
        </w:rPr>
        <w:t xml:space="preserve"> temeljnu imovinu indeksa, uključujući </w:t>
      </w:r>
      <w:r w:rsidR="00D16465">
        <w:rPr>
          <w:rFonts w:ascii="Arial" w:hAnsi="Arial" w:cs="Arial"/>
          <w:sz w:val="22"/>
          <w:szCs w:val="22"/>
        </w:rPr>
        <w:t xml:space="preserve">kroz </w:t>
      </w:r>
      <w:r w:rsidR="00D81BF6" w:rsidRPr="00E55BAA">
        <w:rPr>
          <w:rFonts w:ascii="Arial" w:hAnsi="Arial" w:cs="Arial"/>
          <w:sz w:val="22"/>
          <w:szCs w:val="22"/>
        </w:rPr>
        <w:t xml:space="preserve">upotrebu </w:t>
      </w:r>
      <w:r w:rsidR="00310F6A" w:rsidRPr="00E55BAA">
        <w:rPr>
          <w:rFonts w:ascii="Arial" w:hAnsi="Arial" w:cs="Arial"/>
          <w:sz w:val="22"/>
          <w:szCs w:val="22"/>
        </w:rPr>
        <w:t xml:space="preserve">financijskih </w:t>
      </w:r>
      <w:r w:rsidR="00D81BF6" w:rsidRPr="00E55BAA">
        <w:rPr>
          <w:rFonts w:ascii="Arial" w:hAnsi="Arial" w:cs="Arial"/>
          <w:sz w:val="22"/>
          <w:szCs w:val="22"/>
        </w:rPr>
        <w:t xml:space="preserve">izvedenica ili drugih tehnika i instrumenata </w:t>
      </w:r>
      <w:r w:rsidR="00CC4081" w:rsidRPr="00E55BAA">
        <w:rPr>
          <w:rFonts w:ascii="Arial" w:hAnsi="Arial" w:cs="Arial"/>
          <w:sz w:val="22"/>
          <w:szCs w:val="22"/>
        </w:rPr>
        <w:t xml:space="preserve">iz članka </w:t>
      </w:r>
      <w:r w:rsidR="00D16465" w:rsidRPr="00E55BAA">
        <w:rPr>
          <w:rFonts w:ascii="Arial" w:hAnsi="Arial" w:cs="Arial"/>
          <w:sz w:val="22"/>
          <w:szCs w:val="22"/>
        </w:rPr>
        <w:t>1</w:t>
      </w:r>
      <w:r w:rsidR="00D16465">
        <w:rPr>
          <w:rFonts w:ascii="Arial" w:hAnsi="Arial" w:cs="Arial"/>
          <w:sz w:val="22"/>
          <w:szCs w:val="22"/>
        </w:rPr>
        <w:t>6</w:t>
      </w:r>
      <w:r w:rsidR="00CC4081" w:rsidRPr="00E55BAA">
        <w:rPr>
          <w:rFonts w:ascii="Arial" w:hAnsi="Arial" w:cs="Arial"/>
          <w:sz w:val="22"/>
          <w:szCs w:val="22"/>
        </w:rPr>
        <w:t>. ovog</w:t>
      </w:r>
      <w:r w:rsidR="004D1F46" w:rsidRPr="00E55BAA">
        <w:rPr>
          <w:rFonts w:ascii="Arial" w:hAnsi="Arial" w:cs="Arial"/>
          <w:sz w:val="22"/>
          <w:szCs w:val="22"/>
        </w:rPr>
        <w:t>a</w:t>
      </w:r>
      <w:r w:rsidR="00310F6A" w:rsidRPr="00E55BAA">
        <w:rPr>
          <w:rFonts w:ascii="Arial" w:hAnsi="Arial" w:cs="Arial"/>
          <w:sz w:val="22"/>
          <w:szCs w:val="22"/>
        </w:rPr>
        <w:t xml:space="preserve"> p</w:t>
      </w:r>
      <w:r w:rsidR="00CC4081" w:rsidRPr="00E55BAA">
        <w:rPr>
          <w:rFonts w:ascii="Arial" w:hAnsi="Arial" w:cs="Arial"/>
          <w:sz w:val="22"/>
          <w:szCs w:val="22"/>
        </w:rPr>
        <w:t>ravilnika.</w:t>
      </w:r>
    </w:p>
    <w:p w14:paraId="4C682416" w14:textId="77777777" w:rsidR="00CC4081" w:rsidRPr="00E55BAA" w:rsidRDefault="00CC4081" w:rsidP="00DF3F61">
      <w:pPr>
        <w:jc w:val="both"/>
        <w:rPr>
          <w:rFonts w:ascii="Arial" w:hAnsi="Arial" w:cs="Arial"/>
          <w:sz w:val="22"/>
          <w:szCs w:val="22"/>
        </w:rPr>
      </w:pPr>
    </w:p>
    <w:p w14:paraId="523D34BC" w14:textId="77777777" w:rsidR="00114915" w:rsidRPr="00E55BAA" w:rsidRDefault="00AD2F77" w:rsidP="00DF3F6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Dionički i/</w:t>
      </w:r>
      <w:r w:rsidR="00CC4081" w:rsidRPr="00E55BAA">
        <w:rPr>
          <w:rFonts w:ascii="Arial" w:hAnsi="Arial" w:cs="Arial"/>
          <w:sz w:val="22"/>
          <w:szCs w:val="22"/>
        </w:rPr>
        <w:t xml:space="preserve">ili </w:t>
      </w:r>
      <w:r w:rsidR="00C05EA7" w:rsidRPr="00E55BAA">
        <w:rPr>
          <w:rFonts w:ascii="Arial" w:hAnsi="Arial" w:cs="Arial"/>
          <w:sz w:val="22"/>
          <w:szCs w:val="22"/>
        </w:rPr>
        <w:t xml:space="preserve">obveznički </w:t>
      </w:r>
      <w:r w:rsidR="00CC4081" w:rsidRPr="00E55BAA">
        <w:rPr>
          <w:rFonts w:ascii="Arial" w:hAnsi="Arial" w:cs="Arial"/>
          <w:sz w:val="22"/>
          <w:szCs w:val="22"/>
        </w:rPr>
        <w:t xml:space="preserve">indeks kojeg </w:t>
      </w:r>
      <w:proofErr w:type="spellStart"/>
      <w:r w:rsidR="001415D0" w:rsidRPr="00E55BAA">
        <w:rPr>
          <w:rFonts w:ascii="Arial" w:hAnsi="Arial" w:cs="Arial"/>
          <w:sz w:val="22"/>
          <w:szCs w:val="22"/>
        </w:rPr>
        <w:t>UCITS</w:t>
      </w:r>
      <w:proofErr w:type="spellEnd"/>
      <w:r w:rsidR="001415D0" w:rsidRPr="00E55BAA">
        <w:rPr>
          <w:rFonts w:ascii="Arial" w:hAnsi="Arial" w:cs="Arial"/>
          <w:sz w:val="22"/>
          <w:szCs w:val="22"/>
        </w:rPr>
        <w:t xml:space="preserve"> </w:t>
      </w:r>
      <w:r w:rsidR="00CC4081" w:rsidRPr="00E55BAA">
        <w:rPr>
          <w:rFonts w:ascii="Arial" w:hAnsi="Arial" w:cs="Arial"/>
          <w:sz w:val="22"/>
          <w:szCs w:val="22"/>
        </w:rPr>
        <w:t>fond replicira mora ispunjavati sljedeće uvjete:</w:t>
      </w:r>
    </w:p>
    <w:p w14:paraId="111CFAD9" w14:textId="4D403EAE" w:rsidR="00CD2902" w:rsidRPr="00E55BAA" w:rsidRDefault="00436F9F" w:rsidP="00DF3F61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njegov</w:t>
      </w:r>
      <w:r w:rsidR="001415D0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>sastav je</w:t>
      </w:r>
      <w:r w:rsidR="001415D0" w:rsidRPr="00E55BAA">
        <w:rPr>
          <w:rFonts w:ascii="Arial" w:hAnsi="Arial" w:cs="Arial"/>
          <w:sz w:val="22"/>
          <w:szCs w:val="22"/>
        </w:rPr>
        <w:t xml:space="preserve"> </w:t>
      </w:r>
      <w:r w:rsidR="00114915" w:rsidRPr="00E55BAA">
        <w:rPr>
          <w:rFonts w:ascii="Arial" w:hAnsi="Arial" w:cs="Arial"/>
          <w:sz w:val="22"/>
          <w:szCs w:val="22"/>
        </w:rPr>
        <w:t>dovoljn</w:t>
      </w:r>
      <w:r w:rsidRPr="00E55BAA">
        <w:rPr>
          <w:rFonts w:ascii="Arial" w:hAnsi="Arial" w:cs="Arial"/>
          <w:sz w:val="22"/>
          <w:szCs w:val="22"/>
        </w:rPr>
        <w:t>o</w:t>
      </w:r>
      <w:r w:rsidR="00114915" w:rsidRPr="00E55B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915" w:rsidRPr="00E55BAA">
        <w:rPr>
          <w:rFonts w:ascii="Arial" w:hAnsi="Arial" w:cs="Arial"/>
          <w:sz w:val="22"/>
          <w:szCs w:val="22"/>
        </w:rPr>
        <w:t>diverzificiran</w:t>
      </w:r>
      <w:proofErr w:type="spellEnd"/>
      <w:r w:rsidR="00CD2902" w:rsidRPr="00E55BAA">
        <w:rPr>
          <w:rFonts w:ascii="Arial" w:hAnsi="Arial" w:cs="Arial"/>
          <w:sz w:val="22"/>
          <w:szCs w:val="22"/>
        </w:rPr>
        <w:t>,</w:t>
      </w:r>
      <w:r w:rsidR="00CA450A" w:rsidRPr="00E55BAA">
        <w:rPr>
          <w:rFonts w:ascii="Arial" w:hAnsi="Arial" w:cs="Arial"/>
          <w:sz w:val="22"/>
          <w:szCs w:val="22"/>
        </w:rPr>
        <w:t xml:space="preserve"> </w:t>
      </w:r>
      <w:r w:rsidR="00D0142E" w:rsidRPr="00E55BAA">
        <w:rPr>
          <w:rFonts w:ascii="Arial" w:hAnsi="Arial" w:cs="Arial"/>
          <w:sz w:val="22"/>
          <w:szCs w:val="22"/>
        </w:rPr>
        <w:t xml:space="preserve">što znači da mora ispunjavati zahtjeve iz članka </w:t>
      </w:r>
      <w:r w:rsidR="003F5BC3">
        <w:rPr>
          <w:rFonts w:ascii="Arial" w:hAnsi="Arial" w:cs="Arial"/>
          <w:sz w:val="22"/>
          <w:szCs w:val="22"/>
        </w:rPr>
        <w:t>255.</w:t>
      </w:r>
      <w:r w:rsidR="00D0142E" w:rsidRPr="00E55BAA">
        <w:rPr>
          <w:rFonts w:ascii="Arial" w:hAnsi="Arial" w:cs="Arial"/>
          <w:sz w:val="22"/>
          <w:szCs w:val="22"/>
        </w:rPr>
        <w:t xml:space="preserve"> stav</w:t>
      </w:r>
      <w:r w:rsidR="0041442F" w:rsidRPr="00E55BAA">
        <w:rPr>
          <w:rFonts w:ascii="Arial" w:hAnsi="Arial" w:cs="Arial"/>
          <w:sz w:val="22"/>
          <w:szCs w:val="22"/>
        </w:rPr>
        <w:t>a</w:t>
      </w:r>
      <w:r w:rsidR="00D0142E" w:rsidRPr="00E55BAA">
        <w:rPr>
          <w:rFonts w:ascii="Arial" w:hAnsi="Arial" w:cs="Arial"/>
          <w:sz w:val="22"/>
          <w:szCs w:val="22"/>
        </w:rPr>
        <w:t xml:space="preserve">ka 1. </w:t>
      </w:r>
      <w:r w:rsidR="0041442F" w:rsidRPr="00E55BAA">
        <w:rPr>
          <w:rFonts w:ascii="Arial" w:hAnsi="Arial" w:cs="Arial"/>
          <w:sz w:val="22"/>
          <w:szCs w:val="22"/>
        </w:rPr>
        <w:t xml:space="preserve">i 3. </w:t>
      </w:r>
      <w:r w:rsidR="00D0142E" w:rsidRPr="00E55BAA">
        <w:rPr>
          <w:rFonts w:ascii="Arial" w:hAnsi="Arial" w:cs="Arial"/>
          <w:sz w:val="22"/>
          <w:szCs w:val="22"/>
        </w:rPr>
        <w:t>Zakona,</w:t>
      </w:r>
    </w:p>
    <w:p w14:paraId="1FD0158D" w14:textId="034D6582" w:rsidR="00114915" w:rsidRPr="00E55BAA" w:rsidRDefault="00CC4081" w:rsidP="00DF3F61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indeks predstavlja </w:t>
      </w:r>
      <w:r w:rsidR="00D8258B">
        <w:rPr>
          <w:rFonts w:ascii="Arial" w:hAnsi="Arial" w:cs="Arial"/>
          <w:sz w:val="22"/>
          <w:szCs w:val="22"/>
        </w:rPr>
        <w:t>odgovarajuću referentnu vrijednost</w:t>
      </w:r>
      <w:r w:rsidRPr="00E55BA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55BAA">
        <w:rPr>
          <w:rFonts w:ascii="Arial" w:hAnsi="Arial" w:cs="Arial"/>
          <w:sz w:val="22"/>
          <w:szCs w:val="22"/>
        </w:rPr>
        <w:t>benchmark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) </w:t>
      </w:r>
      <w:r w:rsidR="00D16465">
        <w:rPr>
          <w:rFonts w:ascii="Arial" w:hAnsi="Arial" w:cs="Arial"/>
          <w:sz w:val="22"/>
          <w:szCs w:val="22"/>
        </w:rPr>
        <w:t>što znači da</w:t>
      </w:r>
      <w:r w:rsidR="00D16465" w:rsidRPr="00E55BAA">
        <w:rPr>
          <w:rFonts w:ascii="Arial" w:hAnsi="Arial" w:cs="Arial"/>
          <w:sz w:val="22"/>
          <w:szCs w:val="22"/>
        </w:rPr>
        <w:t xml:space="preserve"> </w:t>
      </w:r>
      <w:r w:rsidR="00985AB9">
        <w:rPr>
          <w:rFonts w:ascii="Arial" w:hAnsi="Arial" w:cs="Arial"/>
          <w:sz w:val="22"/>
          <w:szCs w:val="22"/>
        </w:rPr>
        <w:t>pružatelj</w:t>
      </w:r>
      <w:r w:rsidR="00C96DA9" w:rsidRPr="00E55BAA">
        <w:rPr>
          <w:rFonts w:ascii="Arial" w:hAnsi="Arial" w:cs="Arial"/>
          <w:sz w:val="22"/>
          <w:szCs w:val="22"/>
        </w:rPr>
        <w:t xml:space="preserve"> indeks</w:t>
      </w:r>
      <w:r w:rsidR="00985AB9">
        <w:rPr>
          <w:rFonts w:ascii="Arial" w:hAnsi="Arial" w:cs="Arial"/>
          <w:sz w:val="22"/>
          <w:szCs w:val="22"/>
        </w:rPr>
        <w:t>a</w:t>
      </w:r>
      <w:r w:rsidRPr="00E55BAA">
        <w:rPr>
          <w:rFonts w:ascii="Arial" w:hAnsi="Arial" w:cs="Arial"/>
          <w:sz w:val="22"/>
          <w:szCs w:val="22"/>
        </w:rPr>
        <w:t xml:space="preserve"> koristi priznatu metodologiju koja</w:t>
      </w:r>
      <w:r w:rsidR="00D8258B">
        <w:rPr>
          <w:rFonts w:ascii="Arial" w:hAnsi="Arial" w:cs="Arial"/>
          <w:sz w:val="22"/>
          <w:szCs w:val="22"/>
        </w:rPr>
        <w:t xml:space="preserve"> u pravilu</w:t>
      </w:r>
      <w:r w:rsidRPr="00E55BAA">
        <w:rPr>
          <w:rFonts w:ascii="Arial" w:hAnsi="Arial" w:cs="Arial"/>
          <w:sz w:val="22"/>
          <w:szCs w:val="22"/>
        </w:rPr>
        <w:t xml:space="preserve"> ne </w:t>
      </w:r>
      <w:r w:rsidR="00D8258B">
        <w:rPr>
          <w:rFonts w:ascii="Arial" w:hAnsi="Arial" w:cs="Arial"/>
          <w:sz w:val="22"/>
          <w:szCs w:val="22"/>
        </w:rPr>
        <w:t xml:space="preserve">rezultira </w:t>
      </w:r>
      <w:r w:rsidRPr="00E55BAA">
        <w:rPr>
          <w:rFonts w:ascii="Arial" w:hAnsi="Arial" w:cs="Arial"/>
          <w:sz w:val="22"/>
          <w:szCs w:val="22"/>
        </w:rPr>
        <w:t>isključ</w:t>
      </w:r>
      <w:r w:rsidR="00D8258B">
        <w:rPr>
          <w:rFonts w:ascii="Arial" w:hAnsi="Arial" w:cs="Arial"/>
          <w:sz w:val="22"/>
          <w:szCs w:val="22"/>
        </w:rPr>
        <w:t>ivanjem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D8258B">
        <w:rPr>
          <w:rFonts w:ascii="Arial" w:hAnsi="Arial" w:cs="Arial"/>
          <w:sz w:val="22"/>
          <w:szCs w:val="22"/>
        </w:rPr>
        <w:t xml:space="preserve">nekog </w:t>
      </w:r>
      <w:r w:rsidRPr="00E55BAA">
        <w:rPr>
          <w:rFonts w:ascii="Arial" w:hAnsi="Arial" w:cs="Arial"/>
          <w:sz w:val="22"/>
          <w:szCs w:val="22"/>
        </w:rPr>
        <w:t>značajn</w:t>
      </w:r>
      <w:r w:rsidR="00D8258B">
        <w:rPr>
          <w:rFonts w:ascii="Arial" w:hAnsi="Arial" w:cs="Arial"/>
          <w:sz w:val="22"/>
          <w:szCs w:val="22"/>
        </w:rPr>
        <w:t>og</w:t>
      </w:r>
      <w:r w:rsidRPr="00E55BAA">
        <w:rPr>
          <w:rFonts w:ascii="Arial" w:hAnsi="Arial" w:cs="Arial"/>
          <w:sz w:val="22"/>
          <w:szCs w:val="22"/>
        </w:rPr>
        <w:t xml:space="preserve"> izdavatelj</w:t>
      </w:r>
      <w:r w:rsidR="00D8258B">
        <w:rPr>
          <w:rFonts w:ascii="Arial" w:hAnsi="Arial" w:cs="Arial"/>
          <w:sz w:val="22"/>
          <w:szCs w:val="22"/>
        </w:rPr>
        <w:t>a</w:t>
      </w:r>
      <w:r w:rsidRPr="00E55BAA">
        <w:rPr>
          <w:rFonts w:ascii="Arial" w:hAnsi="Arial" w:cs="Arial"/>
          <w:sz w:val="22"/>
          <w:szCs w:val="22"/>
        </w:rPr>
        <w:t xml:space="preserve"> na tržiš</w:t>
      </w:r>
      <w:r w:rsidR="00310F6A" w:rsidRPr="00E55BAA">
        <w:rPr>
          <w:rFonts w:ascii="Arial" w:hAnsi="Arial" w:cs="Arial"/>
          <w:sz w:val="22"/>
          <w:szCs w:val="22"/>
        </w:rPr>
        <w:t>tu na koje se taj indeks odnosi,</w:t>
      </w:r>
    </w:p>
    <w:p w14:paraId="0CD776FA" w14:textId="77777777" w:rsidR="00CC4081" w:rsidRPr="00E55BAA" w:rsidRDefault="00CC4081" w:rsidP="00DF3F61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indeks se objavljuje na prikladan način </w:t>
      </w:r>
      <w:r w:rsidR="001415D0" w:rsidRPr="00E55BAA">
        <w:rPr>
          <w:rFonts w:ascii="Arial" w:hAnsi="Arial" w:cs="Arial"/>
          <w:sz w:val="22"/>
          <w:szCs w:val="22"/>
        </w:rPr>
        <w:t>što znači da</w:t>
      </w:r>
      <w:r w:rsidRPr="00E55BAA">
        <w:rPr>
          <w:rFonts w:ascii="Arial" w:hAnsi="Arial" w:cs="Arial"/>
          <w:sz w:val="22"/>
          <w:szCs w:val="22"/>
        </w:rPr>
        <w:t xml:space="preserve"> zadovoljava sljedeće kriterije:</w:t>
      </w:r>
    </w:p>
    <w:p w14:paraId="40FC0380" w14:textId="77777777" w:rsidR="00CC4081" w:rsidRPr="00E55BAA" w:rsidRDefault="00310F6A" w:rsidP="00DF3F61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dostupan je javnosti,</w:t>
      </w:r>
    </w:p>
    <w:p w14:paraId="1F1F258F" w14:textId="5526D55D" w:rsidR="00CC4081" w:rsidRPr="00E55BAA" w:rsidRDefault="00985AB9" w:rsidP="00DF3F61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pružatelj</w:t>
      </w:r>
      <w:r w:rsidR="00C96DA9" w:rsidRPr="00E55BAA">
        <w:rPr>
          <w:rFonts w:ascii="Arial" w:hAnsi="Arial" w:cs="Arial"/>
          <w:sz w:val="22"/>
          <w:szCs w:val="22"/>
        </w:rPr>
        <w:t xml:space="preserve"> indeks</w:t>
      </w:r>
      <w:r>
        <w:rPr>
          <w:rFonts w:ascii="Arial" w:hAnsi="Arial" w:cs="Arial"/>
          <w:sz w:val="22"/>
          <w:szCs w:val="22"/>
        </w:rPr>
        <w:t>a</w:t>
      </w:r>
      <w:r w:rsidR="00CC4081" w:rsidRPr="00E55BAA">
        <w:rPr>
          <w:rFonts w:ascii="Arial" w:hAnsi="Arial" w:cs="Arial"/>
          <w:sz w:val="22"/>
          <w:szCs w:val="22"/>
        </w:rPr>
        <w:t xml:space="preserve"> je neovisan od </w:t>
      </w:r>
      <w:proofErr w:type="spellStart"/>
      <w:r w:rsidR="005A0292" w:rsidRPr="00E55BAA">
        <w:rPr>
          <w:rFonts w:ascii="Arial" w:hAnsi="Arial" w:cs="Arial"/>
          <w:sz w:val="22"/>
          <w:szCs w:val="22"/>
        </w:rPr>
        <w:t>UCITS</w:t>
      </w:r>
      <w:proofErr w:type="spellEnd"/>
      <w:r w:rsidR="005A0292" w:rsidRPr="00E55BAA">
        <w:rPr>
          <w:rFonts w:ascii="Arial" w:hAnsi="Arial" w:cs="Arial"/>
          <w:sz w:val="22"/>
          <w:szCs w:val="22"/>
        </w:rPr>
        <w:t xml:space="preserve"> </w:t>
      </w:r>
      <w:r w:rsidR="00CC4081" w:rsidRPr="00E55BAA">
        <w:rPr>
          <w:rFonts w:ascii="Arial" w:hAnsi="Arial" w:cs="Arial"/>
          <w:sz w:val="22"/>
          <w:szCs w:val="22"/>
        </w:rPr>
        <w:t>fonda koji replicira indeks</w:t>
      </w:r>
      <w:r w:rsidR="001415D0" w:rsidRPr="00E55BAA">
        <w:rPr>
          <w:rFonts w:ascii="Arial" w:hAnsi="Arial" w:cs="Arial"/>
          <w:sz w:val="22"/>
          <w:szCs w:val="22"/>
        </w:rPr>
        <w:t>,</w:t>
      </w:r>
      <w:r w:rsidR="00CC4081" w:rsidRPr="00E55BAA">
        <w:rPr>
          <w:rFonts w:ascii="Arial" w:hAnsi="Arial" w:cs="Arial"/>
          <w:sz w:val="22"/>
          <w:szCs w:val="22"/>
        </w:rPr>
        <w:t xml:space="preserve"> što ne isključuje mogućnost da </w:t>
      </w:r>
      <w:r>
        <w:rPr>
          <w:rFonts w:ascii="Arial" w:hAnsi="Arial" w:cs="Arial"/>
          <w:sz w:val="22"/>
          <w:szCs w:val="22"/>
        </w:rPr>
        <w:t>pružatelj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CC4081" w:rsidRPr="00E55BAA">
        <w:rPr>
          <w:rFonts w:ascii="Arial" w:hAnsi="Arial" w:cs="Arial"/>
          <w:sz w:val="22"/>
          <w:szCs w:val="22"/>
        </w:rPr>
        <w:t>indeksa i</w:t>
      </w:r>
      <w:r w:rsidR="005A0292" w:rsidRPr="00E55B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0292" w:rsidRPr="00E55BAA">
        <w:rPr>
          <w:rFonts w:ascii="Arial" w:hAnsi="Arial" w:cs="Arial"/>
          <w:sz w:val="22"/>
          <w:szCs w:val="22"/>
        </w:rPr>
        <w:t>UCITS</w:t>
      </w:r>
      <w:proofErr w:type="spellEnd"/>
      <w:r w:rsidR="005A0292" w:rsidRPr="00E55BAA">
        <w:rPr>
          <w:rFonts w:ascii="Arial" w:hAnsi="Arial" w:cs="Arial"/>
          <w:sz w:val="22"/>
          <w:szCs w:val="22"/>
        </w:rPr>
        <w:t xml:space="preserve"> </w:t>
      </w:r>
      <w:r w:rsidR="00CC4081" w:rsidRPr="00E55BAA">
        <w:rPr>
          <w:rFonts w:ascii="Arial" w:hAnsi="Arial" w:cs="Arial"/>
          <w:sz w:val="22"/>
          <w:szCs w:val="22"/>
        </w:rPr>
        <w:t xml:space="preserve">fond čine dio iste </w:t>
      </w:r>
      <w:r w:rsidR="00FF3C78" w:rsidRPr="00E55BAA">
        <w:rPr>
          <w:rFonts w:ascii="Arial" w:hAnsi="Arial" w:cs="Arial"/>
          <w:sz w:val="22"/>
          <w:szCs w:val="22"/>
        </w:rPr>
        <w:t>grupe ili su na drugi način povezani</w:t>
      </w:r>
      <w:r w:rsidR="00CC4081" w:rsidRPr="00E55BAA">
        <w:rPr>
          <w:rFonts w:ascii="Arial" w:hAnsi="Arial" w:cs="Arial"/>
          <w:sz w:val="22"/>
          <w:szCs w:val="22"/>
        </w:rPr>
        <w:t>, pod uvjetom da su postavljeni djelotvorni mehanizmi sprječavanja sukoba interesa.</w:t>
      </w:r>
    </w:p>
    <w:p w14:paraId="05B2CD41" w14:textId="6D1CA548" w:rsidR="00CA450A" w:rsidRDefault="00CA450A" w:rsidP="00DF3F61">
      <w:pPr>
        <w:jc w:val="both"/>
        <w:rPr>
          <w:rFonts w:ascii="Arial" w:hAnsi="Arial" w:cs="Arial"/>
          <w:sz w:val="22"/>
          <w:szCs w:val="22"/>
        </w:rPr>
      </w:pPr>
    </w:p>
    <w:p w14:paraId="2CE206B2" w14:textId="6E955573" w:rsidR="002E307C" w:rsidRPr="00203950" w:rsidRDefault="002E307C" w:rsidP="00203950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203950">
        <w:rPr>
          <w:rFonts w:ascii="Arial" w:hAnsi="Arial" w:cs="Arial"/>
          <w:b w:val="0"/>
          <w:sz w:val="22"/>
          <w:szCs w:val="22"/>
        </w:rPr>
        <w:t>DIO ČETVRTI</w:t>
      </w:r>
    </w:p>
    <w:p w14:paraId="4B52E011" w14:textId="39825CDB" w:rsidR="002E307C" w:rsidRPr="00203950" w:rsidRDefault="002E307C" w:rsidP="00203950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203950">
        <w:rPr>
          <w:rFonts w:ascii="Arial" w:hAnsi="Arial" w:cs="Arial"/>
          <w:b w:val="0"/>
          <w:sz w:val="22"/>
          <w:szCs w:val="22"/>
        </w:rPr>
        <w:t xml:space="preserve">Tehnike i instrumenti koji se koriste u svrhu učinkovitog upravljanja portfeljem </w:t>
      </w:r>
    </w:p>
    <w:p w14:paraId="2BD0FDE9" w14:textId="71FC0AB2" w:rsidR="002E307C" w:rsidRPr="00203950" w:rsidRDefault="002E307C" w:rsidP="00203950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203950">
        <w:rPr>
          <w:rFonts w:ascii="Arial" w:hAnsi="Arial" w:cs="Arial"/>
          <w:b w:val="0"/>
          <w:sz w:val="22"/>
          <w:szCs w:val="22"/>
        </w:rPr>
        <w:t>Članak 1</w:t>
      </w:r>
      <w:r w:rsidR="00497237" w:rsidRPr="00203950">
        <w:rPr>
          <w:rFonts w:ascii="Arial" w:hAnsi="Arial" w:cs="Arial"/>
          <w:b w:val="0"/>
          <w:sz w:val="22"/>
          <w:szCs w:val="22"/>
        </w:rPr>
        <w:t>5</w:t>
      </w:r>
      <w:r w:rsidRPr="00203950">
        <w:rPr>
          <w:rFonts w:ascii="Arial" w:hAnsi="Arial" w:cs="Arial"/>
          <w:b w:val="0"/>
          <w:sz w:val="22"/>
          <w:szCs w:val="22"/>
        </w:rPr>
        <w:t>.</w:t>
      </w:r>
    </w:p>
    <w:p w14:paraId="0BA9AC10" w14:textId="26A267C5" w:rsidR="002E307C" w:rsidRPr="00E55BAA" w:rsidRDefault="002E307C" w:rsidP="002E307C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Društvo za upravljanje može koristiti tehnike i instrumente vezane uz prenosive vrijednosne papire i instrumente tržišta novca ako se takve tehnike i instrumenti koriste u svrhu učinkovitog upravljanja portfeljem,</w:t>
      </w:r>
      <w:r w:rsidR="0072350E">
        <w:rPr>
          <w:rFonts w:ascii="Arial" w:hAnsi="Arial" w:cs="Arial"/>
          <w:sz w:val="22"/>
          <w:szCs w:val="22"/>
        </w:rPr>
        <w:t xml:space="preserve"> ako ih je društvo za upravljanje predvidjelo prospektom i/ili pravilima </w:t>
      </w:r>
      <w:proofErr w:type="spellStart"/>
      <w:r w:rsidR="0072350E">
        <w:rPr>
          <w:rFonts w:ascii="Arial" w:hAnsi="Arial" w:cs="Arial"/>
          <w:sz w:val="22"/>
          <w:szCs w:val="22"/>
        </w:rPr>
        <w:t>UCITS</w:t>
      </w:r>
      <w:proofErr w:type="spellEnd"/>
      <w:r w:rsidR="0072350E">
        <w:rPr>
          <w:rFonts w:ascii="Arial" w:hAnsi="Arial" w:cs="Arial"/>
          <w:sz w:val="22"/>
          <w:szCs w:val="22"/>
        </w:rPr>
        <w:t xml:space="preserve"> fonda te</w:t>
      </w:r>
      <w:r w:rsidRPr="00E55BAA">
        <w:rPr>
          <w:rFonts w:ascii="Arial" w:hAnsi="Arial" w:cs="Arial"/>
          <w:sz w:val="22"/>
          <w:szCs w:val="22"/>
        </w:rPr>
        <w:t xml:space="preserve"> pod uvjetima i ograničenjima navedenim u prospektu i/ili pravilima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fonda.</w:t>
      </w:r>
    </w:p>
    <w:p w14:paraId="073AA22E" w14:textId="77777777" w:rsidR="002E307C" w:rsidRPr="00E55BAA" w:rsidRDefault="002E307C" w:rsidP="002E307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A27FEC9" w14:textId="59311154" w:rsidR="00BF38C4" w:rsidRDefault="002E307C" w:rsidP="002E307C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Tehnike i instrumenti </w:t>
      </w:r>
      <w:r w:rsidR="0000552E" w:rsidRPr="00E55BAA">
        <w:rPr>
          <w:rFonts w:ascii="Arial" w:hAnsi="Arial" w:cs="Arial"/>
          <w:sz w:val="22"/>
          <w:szCs w:val="22"/>
        </w:rPr>
        <w:t>vezane uz prenosive vrijednosne papire i instrumente tržišta novca</w:t>
      </w:r>
      <w:r w:rsidR="0000552E" w:rsidRPr="00E55BAA" w:rsidDel="0000552E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>koji se koriste u svrhu učinkovitog upravljanja portfeljem fonda uključuju</w:t>
      </w:r>
      <w:r w:rsidR="00BF38C4">
        <w:rPr>
          <w:rFonts w:ascii="Arial" w:hAnsi="Arial" w:cs="Arial"/>
          <w:sz w:val="22"/>
          <w:szCs w:val="22"/>
        </w:rPr>
        <w:t>:</w:t>
      </w:r>
    </w:p>
    <w:p w14:paraId="6C6E98FD" w14:textId="6C31AF9A" w:rsidR="00BF38C4" w:rsidRDefault="00BF38C4" w:rsidP="00BF38C4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38C4">
        <w:rPr>
          <w:rFonts w:ascii="Arial" w:hAnsi="Arial" w:cs="Arial"/>
          <w:sz w:val="22"/>
          <w:szCs w:val="22"/>
        </w:rPr>
        <w:t>repo transakcij</w:t>
      </w:r>
      <w:r w:rsidR="0072350E">
        <w:rPr>
          <w:rFonts w:ascii="Arial" w:hAnsi="Arial" w:cs="Arial"/>
          <w:sz w:val="22"/>
          <w:szCs w:val="22"/>
        </w:rPr>
        <w:t>e koje obuhvaćaju repo i obratni repo ugovor</w:t>
      </w:r>
      <w:r w:rsidRPr="00BF38C4">
        <w:rPr>
          <w:rFonts w:ascii="Arial" w:hAnsi="Arial" w:cs="Arial"/>
          <w:sz w:val="22"/>
          <w:szCs w:val="22"/>
        </w:rPr>
        <w:t>,</w:t>
      </w:r>
    </w:p>
    <w:p w14:paraId="7F2A3A54" w14:textId="5E8B26AE" w:rsidR="00BF38C4" w:rsidRDefault="00BF38C4" w:rsidP="00BF38C4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transakcije kupnje i ponovne prodaje i transakcije prodaje i ponovne kupnje</w:t>
      </w:r>
      <w:r w:rsidR="009529C1">
        <w:rPr>
          <w:rFonts w:ascii="Arial" w:hAnsi="Arial" w:cs="Arial"/>
          <w:sz w:val="22"/>
          <w:szCs w:val="22"/>
        </w:rPr>
        <w:t xml:space="preserve"> i</w:t>
      </w:r>
    </w:p>
    <w:p w14:paraId="4647577A" w14:textId="2317CAA6" w:rsidR="00BF38C4" w:rsidRDefault="00BF38C4" w:rsidP="00BF38C4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pozajmljivanje vrijednosnih papira drugoj ugovornoj strani i pozajmljivanje vrijednosnih papira</w:t>
      </w:r>
      <w:r w:rsidRPr="00BF38C4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druge</w:t>
      </w:r>
      <w:r w:rsidRPr="00BF38C4">
        <w:rPr>
          <w:rFonts w:ascii="Arial" w:hAnsi="Arial" w:cs="Arial"/>
          <w:sz w:val="22"/>
          <w:szCs w:val="22"/>
        </w:rPr>
        <w:t xml:space="preserve"> ugovorne strane</w:t>
      </w:r>
      <w:r w:rsidR="009529C1">
        <w:rPr>
          <w:rFonts w:ascii="Arial" w:hAnsi="Arial" w:cs="Arial"/>
          <w:sz w:val="22"/>
          <w:szCs w:val="22"/>
        </w:rPr>
        <w:t>,</w:t>
      </w:r>
    </w:p>
    <w:p w14:paraId="6F6C734F" w14:textId="76C6AFC8" w:rsidR="002E307C" w:rsidRPr="007F0AC4" w:rsidRDefault="00BF38C4" w:rsidP="007F0AC4">
      <w:pPr>
        <w:ind w:left="360"/>
        <w:jc w:val="both"/>
      </w:pPr>
      <w:r w:rsidRPr="00BF38C4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način kako su definirane Uredbom </w:t>
      </w:r>
      <w:r w:rsidRPr="00BF38C4">
        <w:rPr>
          <w:rFonts w:ascii="Arial" w:hAnsi="Arial" w:cs="Arial"/>
          <w:sz w:val="22"/>
          <w:szCs w:val="22"/>
        </w:rPr>
        <w:t>EU 2015/2365 Europskog Parlamenta i Vijeća od 25. studenoga 2015.</w:t>
      </w:r>
      <w:r w:rsidR="006A7CF2">
        <w:rPr>
          <w:rFonts w:ascii="Arial" w:hAnsi="Arial" w:cs="Arial"/>
          <w:sz w:val="22"/>
          <w:szCs w:val="22"/>
        </w:rPr>
        <w:t xml:space="preserve"> </w:t>
      </w:r>
      <w:r w:rsidRPr="00BF38C4">
        <w:rPr>
          <w:rFonts w:ascii="Arial" w:hAnsi="Arial" w:cs="Arial"/>
          <w:sz w:val="22"/>
          <w:szCs w:val="22"/>
        </w:rPr>
        <w:t>o transparentnosti transakcija financiranja vrijednosnih papira i ponovne uporabe te o izmjeni Uredbe (EU) br. 648/2012</w:t>
      </w:r>
      <w:r>
        <w:rPr>
          <w:rFonts w:ascii="Arial" w:hAnsi="Arial" w:cs="Arial"/>
          <w:sz w:val="22"/>
          <w:szCs w:val="22"/>
        </w:rPr>
        <w:t>.</w:t>
      </w:r>
    </w:p>
    <w:p w14:paraId="2E908B2C" w14:textId="77777777" w:rsidR="002E307C" w:rsidRPr="00E55BAA" w:rsidRDefault="002E307C" w:rsidP="002E30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37D8FE" w14:textId="3F52765B" w:rsidR="002E307C" w:rsidRPr="00E55BAA" w:rsidRDefault="002E307C" w:rsidP="002E307C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Tehnike i instrumenti iz stavka </w:t>
      </w:r>
      <w:r w:rsidR="0000552E">
        <w:rPr>
          <w:rFonts w:ascii="Arial" w:hAnsi="Arial" w:cs="Arial"/>
          <w:sz w:val="22"/>
          <w:szCs w:val="22"/>
        </w:rPr>
        <w:t>2</w:t>
      </w:r>
      <w:r w:rsidRPr="00E55BAA">
        <w:rPr>
          <w:rFonts w:ascii="Arial" w:hAnsi="Arial" w:cs="Arial"/>
          <w:sz w:val="22"/>
          <w:szCs w:val="22"/>
        </w:rPr>
        <w:t>. ovoga članka moraju zadovoljavati sljedeće uvjete:</w:t>
      </w:r>
    </w:p>
    <w:p w14:paraId="4B8C8973" w14:textId="77777777" w:rsidR="002E307C" w:rsidRPr="00E55BAA" w:rsidRDefault="002E307C" w:rsidP="002E307C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ekonomski su prihvatljivi na način da se realiziraju na troškovno učinkovit način</w:t>
      </w:r>
      <w:r>
        <w:rPr>
          <w:rFonts w:ascii="Arial" w:hAnsi="Arial" w:cs="Arial"/>
          <w:sz w:val="22"/>
          <w:szCs w:val="22"/>
        </w:rPr>
        <w:t>,</w:t>
      </w:r>
    </w:p>
    <w:p w14:paraId="6981E04F" w14:textId="77777777" w:rsidR="002E307C" w:rsidRPr="00E55BAA" w:rsidRDefault="002E307C" w:rsidP="002E307C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upotrebljavaju se u svrhu ostvarivanja jednog ili više sljedećih ciljeva:</w:t>
      </w:r>
    </w:p>
    <w:p w14:paraId="3687273E" w14:textId="77777777" w:rsidR="002E307C" w:rsidRPr="00E55BAA" w:rsidRDefault="002E307C" w:rsidP="002E307C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smanjenja rizika,</w:t>
      </w:r>
    </w:p>
    <w:p w14:paraId="79F9489E" w14:textId="77777777" w:rsidR="002E307C" w:rsidRPr="00E55BAA" w:rsidRDefault="002E307C" w:rsidP="002E307C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smanjenja troškova,</w:t>
      </w:r>
    </w:p>
    <w:p w14:paraId="6B63C018" w14:textId="77777777" w:rsidR="002E307C" w:rsidRPr="00E55BAA" w:rsidRDefault="002E307C" w:rsidP="002E307C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stvaranja dodatnog kapitala ili prihoda za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 uz razinu rizika koja je u skladu s profilom rizičnosti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fonda, kao i pravilima za </w:t>
      </w:r>
      <w:proofErr w:type="spellStart"/>
      <w:r w:rsidRPr="00E55BAA">
        <w:rPr>
          <w:rFonts w:ascii="Arial" w:hAnsi="Arial" w:cs="Arial"/>
          <w:sz w:val="22"/>
          <w:szCs w:val="22"/>
        </w:rPr>
        <w:t>diverzifikaciju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rizika i ograničenjima ulaganja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 koja su definirana u članku </w:t>
      </w:r>
      <w:r>
        <w:rPr>
          <w:rFonts w:ascii="Arial" w:hAnsi="Arial" w:cs="Arial"/>
          <w:sz w:val="22"/>
          <w:szCs w:val="22"/>
        </w:rPr>
        <w:t>254</w:t>
      </w:r>
      <w:r w:rsidRPr="00E55BAA">
        <w:rPr>
          <w:rFonts w:ascii="Arial" w:hAnsi="Arial" w:cs="Arial"/>
          <w:sz w:val="22"/>
          <w:szCs w:val="22"/>
        </w:rPr>
        <w:t>. stavku 1. Zakona,</w:t>
      </w:r>
    </w:p>
    <w:p w14:paraId="6CCD4BBB" w14:textId="61981E25" w:rsidR="002E307C" w:rsidRPr="00E55BAA" w:rsidRDefault="002E307C" w:rsidP="002E307C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njihovi rizici </w:t>
      </w:r>
      <w:r>
        <w:rPr>
          <w:rFonts w:ascii="Arial" w:hAnsi="Arial" w:cs="Arial"/>
          <w:sz w:val="22"/>
          <w:szCs w:val="22"/>
        </w:rPr>
        <w:t xml:space="preserve">na odgovarajući način </w:t>
      </w:r>
      <w:r w:rsidRPr="00E55BAA">
        <w:rPr>
          <w:rFonts w:ascii="Arial" w:hAnsi="Arial" w:cs="Arial"/>
          <w:sz w:val="22"/>
          <w:szCs w:val="22"/>
        </w:rPr>
        <w:t>su</w:t>
      </w:r>
      <w:r w:rsidR="00B17580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 xml:space="preserve">obuhvaćeni sustavom upravljanja rizicima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fonda.</w:t>
      </w:r>
    </w:p>
    <w:p w14:paraId="1ADF3E3F" w14:textId="77777777" w:rsidR="002E307C" w:rsidRPr="00E55BAA" w:rsidRDefault="002E307C" w:rsidP="002E307C">
      <w:pPr>
        <w:jc w:val="both"/>
        <w:rPr>
          <w:rFonts w:ascii="Arial" w:hAnsi="Arial" w:cs="Arial"/>
          <w:sz w:val="22"/>
          <w:szCs w:val="22"/>
        </w:rPr>
      </w:pPr>
    </w:p>
    <w:p w14:paraId="0163AD5D" w14:textId="59934DB6" w:rsidR="002E307C" w:rsidRPr="00E55BAA" w:rsidRDefault="002E307C" w:rsidP="002E307C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Kada društvo za upravljanje koristi tehnike i instrumente iz stavka </w:t>
      </w:r>
      <w:r w:rsidR="0000552E">
        <w:rPr>
          <w:rFonts w:ascii="Arial" w:hAnsi="Arial" w:cs="Arial"/>
          <w:sz w:val="22"/>
          <w:szCs w:val="22"/>
        </w:rPr>
        <w:t>2</w:t>
      </w:r>
      <w:r w:rsidRPr="00E55BAA">
        <w:rPr>
          <w:rFonts w:ascii="Arial" w:hAnsi="Arial" w:cs="Arial"/>
          <w:sz w:val="22"/>
          <w:szCs w:val="22"/>
        </w:rPr>
        <w:t xml:space="preserve">. ovoga članka primljeni </w:t>
      </w:r>
      <w:proofErr w:type="spellStart"/>
      <w:r w:rsidRPr="00E55BAA">
        <w:rPr>
          <w:rFonts w:ascii="Arial" w:hAnsi="Arial" w:cs="Arial"/>
          <w:sz w:val="22"/>
          <w:szCs w:val="22"/>
        </w:rPr>
        <w:t>kolateral</w:t>
      </w:r>
      <w:proofErr w:type="spellEnd"/>
      <w:r w:rsidR="0000552E">
        <w:rPr>
          <w:rFonts w:ascii="Arial" w:hAnsi="Arial" w:cs="Arial"/>
          <w:sz w:val="22"/>
          <w:szCs w:val="22"/>
        </w:rPr>
        <w:t>, uz novac,</w:t>
      </w:r>
      <w:r w:rsidRPr="00E55BAA">
        <w:rPr>
          <w:rFonts w:ascii="Arial" w:hAnsi="Arial" w:cs="Arial"/>
          <w:sz w:val="22"/>
          <w:szCs w:val="22"/>
        </w:rPr>
        <w:t xml:space="preserve"> mogu biti samo prenosivi vrijednosni papiri i instrumenti tržišta novca, koji su uvršteni na jedno od tržišta iz članka 3. ovoga pravilnika, i u koje je dozvoljeno ulagati imovinu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 u skladu sa Zakonom, prospektom i/ili pravilima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fonda.</w:t>
      </w:r>
    </w:p>
    <w:p w14:paraId="67FE7E48" w14:textId="77777777" w:rsidR="002E307C" w:rsidRDefault="002E307C" w:rsidP="002E307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38A8DAE" w14:textId="77777777" w:rsidR="003749B1" w:rsidRDefault="003749B1" w:rsidP="003749B1">
      <w:pPr>
        <w:numPr>
          <w:ilvl w:val="0"/>
          <w:numId w:val="4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Iznimno od stavka 4. ovoga članka, primljeni kolaterali mogu biti i prenosivi vrijednosni papiri i instrumenti tržišta novca koje je i</w:t>
      </w:r>
      <w:r w:rsidRPr="00EB7E26">
        <w:rPr>
          <w:rFonts w:ascii="Arial" w:hAnsi="Arial" w:cs="Arial"/>
          <w:sz w:val="22"/>
          <w:szCs w:val="22"/>
        </w:rPr>
        <w:t xml:space="preserve">zdala ili za njih jamči Republika Hrvatska, </w:t>
      </w:r>
      <w:r>
        <w:rPr>
          <w:rFonts w:ascii="Arial" w:hAnsi="Arial" w:cs="Arial"/>
          <w:sz w:val="22"/>
          <w:szCs w:val="22"/>
        </w:rPr>
        <w:t xml:space="preserve">druga država članica, </w:t>
      </w:r>
      <w:r w:rsidRPr="00EB7E26">
        <w:rPr>
          <w:rFonts w:ascii="Arial" w:hAnsi="Arial" w:cs="Arial"/>
          <w:sz w:val="22"/>
          <w:szCs w:val="22"/>
        </w:rPr>
        <w:t>jedinice lokalne ili područne (regionalne) samouprave ili središnja banka Republike Hrvatske, jedinice lokalne ili područne (regionalne) samouprave</w:t>
      </w:r>
      <w:r>
        <w:rPr>
          <w:rFonts w:ascii="Arial" w:hAnsi="Arial" w:cs="Arial"/>
          <w:sz w:val="22"/>
          <w:szCs w:val="22"/>
        </w:rPr>
        <w:t xml:space="preserve"> </w:t>
      </w:r>
      <w:r w:rsidRPr="00EB7E26">
        <w:rPr>
          <w:rFonts w:ascii="Arial" w:hAnsi="Arial" w:cs="Arial"/>
          <w:sz w:val="22"/>
          <w:szCs w:val="22"/>
        </w:rPr>
        <w:t>ili središnja banka druge države članice, Europska središnja banka, Europska unija ili Europska investicijska banka, treća država ili, u slučaju federalne države, jedna od članica koje čine federaciju, ili javno međunarodno tijelo kojemu pripada jedna ili</w:t>
      </w:r>
      <w:r>
        <w:rPr>
          <w:rFonts w:ascii="Arial" w:hAnsi="Arial" w:cs="Arial"/>
          <w:sz w:val="22"/>
          <w:szCs w:val="22"/>
        </w:rPr>
        <w:t xml:space="preserve"> </w:t>
      </w:r>
      <w:r w:rsidRPr="00EB7E26">
        <w:rPr>
          <w:rFonts w:ascii="Arial" w:hAnsi="Arial" w:cs="Arial"/>
          <w:sz w:val="22"/>
          <w:szCs w:val="22"/>
        </w:rPr>
        <w:t>više država članica</w:t>
      </w:r>
      <w:r>
        <w:rPr>
          <w:rFonts w:ascii="Arial" w:hAnsi="Arial" w:cs="Arial"/>
          <w:sz w:val="22"/>
          <w:szCs w:val="22"/>
        </w:rPr>
        <w:t>.</w:t>
      </w:r>
    </w:p>
    <w:p w14:paraId="44CE2098" w14:textId="77777777" w:rsidR="003749B1" w:rsidRPr="00E55BAA" w:rsidRDefault="003749B1" w:rsidP="002E307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93F8486" w14:textId="6D035C91" w:rsidR="002E307C" w:rsidRPr="00E55BAA" w:rsidRDefault="002E307C" w:rsidP="002E307C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Korištenje tehnika i instrumenata iz stavka </w:t>
      </w:r>
      <w:r w:rsidR="003749B1">
        <w:rPr>
          <w:rFonts w:ascii="Arial" w:hAnsi="Arial" w:cs="Arial"/>
          <w:sz w:val="22"/>
          <w:szCs w:val="22"/>
        </w:rPr>
        <w:t>2</w:t>
      </w:r>
      <w:r w:rsidRPr="00E55BAA">
        <w:rPr>
          <w:rFonts w:ascii="Arial" w:hAnsi="Arial" w:cs="Arial"/>
          <w:sz w:val="22"/>
          <w:szCs w:val="22"/>
        </w:rPr>
        <w:t>. ovoga članka ne smije biti u suprotnosti s investicijskim ciljevima i strategijom ulaganja</w:t>
      </w:r>
      <w:r w:rsidR="003749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49B1">
        <w:rPr>
          <w:rFonts w:ascii="Arial" w:hAnsi="Arial" w:cs="Arial"/>
          <w:sz w:val="22"/>
          <w:szCs w:val="22"/>
        </w:rPr>
        <w:t>UCITS</w:t>
      </w:r>
      <w:proofErr w:type="spellEnd"/>
      <w:r w:rsidR="003749B1">
        <w:rPr>
          <w:rFonts w:ascii="Arial" w:hAnsi="Arial" w:cs="Arial"/>
          <w:sz w:val="22"/>
          <w:szCs w:val="22"/>
        </w:rPr>
        <w:t xml:space="preserve"> fonda niti</w:t>
      </w:r>
      <w:r w:rsidRPr="00E55BAA">
        <w:rPr>
          <w:rFonts w:ascii="Arial" w:hAnsi="Arial" w:cs="Arial"/>
          <w:sz w:val="22"/>
          <w:szCs w:val="22"/>
        </w:rPr>
        <w:t xml:space="preserve"> umanjiti mogućnost postizanja investicijskih ciljeva odnosno rezultirati promjenom profila rizičnosti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 navedenih u prospektu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fonda.</w:t>
      </w:r>
    </w:p>
    <w:p w14:paraId="04CBCAFF" w14:textId="77777777" w:rsidR="002E307C" w:rsidRPr="00E55BAA" w:rsidRDefault="002E307C" w:rsidP="002E307C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9374299" w14:textId="116D3FE6" w:rsidR="002E307C" w:rsidRPr="00E55BAA" w:rsidRDefault="002E307C" w:rsidP="002E307C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Sv</w:t>
      </w:r>
      <w:r w:rsidR="003749B1">
        <w:rPr>
          <w:rFonts w:ascii="Arial" w:hAnsi="Arial" w:cs="Arial"/>
          <w:sz w:val="22"/>
          <w:szCs w:val="22"/>
        </w:rPr>
        <w:t>e</w:t>
      </w:r>
      <w:r w:rsidRPr="00E55BAA">
        <w:rPr>
          <w:rFonts w:ascii="Arial" w:hAnsi="Arial" w:cs="Arial"/>
          <w:sz w:val="22"/>
          <w:szCs w:val="22"/>
        </w:rPr>
        <w:t xml:space="preserve"> tehnike</w:t>
      </w:r>
      <w:r w:rsidR="003749B1">
        <w:rPr>
          <w:rFonts w:ascii="Arial" w:hAnsi="Arial" w:cs="Arial"/>
          <w:sz w:val="22"/>
          <w:szCs w:val="22"/>
        </w:rPr>
        <w:t xml:space="preserve"> i instrumenti</w:t>
      </w:r>
      <w:r w:rsidRPr="00E55BAA">
        <w:rPr>
          <w:rFonts w:ascii="Arial" w:hAnsi="Arial" w:cs="Arial"/>
          <w:sz w:val="22"/>
          <w:szCs w:val="22"/>
        </w:rPr>
        <w:t xml:space="preserve"> iz stavka </w:t>
      </w:r>
      <w:r w:rsidR="003749B1">
        <w:rPr>
          <w:rFonts w:ascii="Arial" w:hAnsi="Arial" w:cs="Arial"/>
          <w:sz w:val="22"/>
          <w:szCs w:val="22"/>
        </w:rPr>
        <w:t>2</w:t>
      </w:r>
      <w:r w:rsidRPr="00E55BAA">
        <w:rPr>
          <w:rFonts w:ascii="Arial" w:hAnsi="Arial" w:cs="Arial"/>
          <w:sz w:val="22"/>
          <w:szCs w:val="22"/>
        </w:rPr>
        <w:t xml:space="preserve">. ovoga članka u kojima se </w:t>
      </w:r>
      <w:r w:rsidR="00365FA4">
        <w:rPr>
          <w:rFonts w:ascii="Arial" w:hAnsi="Arial" w:cs="Arial"/>
          <w:sz w:val="22"/>
          <w:szCs w:val="22"/>
        </w:rPr>
        <w:t xml:space="preserve">prenosivi vrijednosni papiri i instrumenti tržišta novca koji čine </w:t>
      </w:r>
      <w:r w:rsidRPr="00E55BAA">
        <w:rPr>
          <w:rFonts w:ascii="Arial" w:hAnsi="Arial" w:cs="Arial"/>
          <w:sz w:val="22"/>
          <w:szCs w:val="22"/>
        </w:rPr>
        <w:t>imovin</w:t>
      </w:r>
      <w:r w:rsidR="00365FA4">
        <w:rPr>
          <w:rFonts w:ascii="Arial" w:hAnsi="Arial" w:cs="Arial"/>
          <w:sz w:val="22"/>
          <w:szCs w:val="22"/>
        </w:rPr>
        <w:t>u</w:t>
      </w:r>
      <w:r w:rsidRPr="00E55B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 daj</w:t>
      </w:r>
      <w:r w:rsidR="00365FA4">
        <w:rPr>
          <w:rFonts w:ascii="Arial" w:hAnsi="Arial" w:cs="Arial"/>
          <w:sz w:val="22"/>
          <w:szCs w:val="22"/>
        </w:rPr>
        <w:t>u</w:t>
      </w:r>
      <w:r w:rsidRPr="00E55BAA">
        <w:rPr>
          <w:rFonts w:ascii="Arial" w:hAnsi="Arial" w:cs="Arial"/>
          <w:sz w:val="22"/>
          <w:szCs w:val="22"/>
        </w:rPr>
        <w:t xml:space="preserve"> kao </w:t>
      </w:r>
      <w:proofErr w:type="spellStart"/>
      <w:r w:rsidRPr="00E55BAA">
        <w:rPr>
          <w:rFonts w:ascii="Arial" w:hAnsi="Arial" w:cs="Arial"/>
          <w:sz w:val="22"/>
          <w:szCs w:val="22"/>
        </w:rPr>
        <w:t>kolateral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mogu činiti najviše 20% neto imovine </w:t>
      </w:r>
      <w:proofErr w:type="spellStart"/>
      <w:r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fonda. Naveden</w:t>
      </w:r>
      <w:r w:rsidR="003749B1">
        <w:rPr>
          <w:rFonts w:ascii="Arial" w:hAnsi="Arial" w:cs="Arial"/>
          <w:sz w:val="22"/>
          <w:szCs w:val="22"/>
        </w:rPr>
        <w:t>e</w:t>
      </w:r>
      <w:r w:rsidRPr="00E55BAA">
        <w:rPr>
          <w:rFonts w:ascii="Arial" w:hAnsi="Arial" w:cs="Arial"/>
          <w:sz w:val="22"/>
          <w:szCs w:val="22"/>
        </w:rPr>
        <w:t xml:space="preserve"> tehnike</w:t>
      </w:r>
      <w:r w:rsidR="003749B1">
        <w:rPr>
          <w:rFonts w:ascii="Arial" w:hAnsi="Arial" w:cs="Arial"/>
          <w:sz w:val="22"/>
          <w:szCs w:val="22"/>
        </w:rPr>
        <w:t xml:space="preserve"> i instrumenti</w:t>
      </w:r>
      <w:r w:rsidRPr="00E55BAA">
        <w:rPr>
          <w:rFonts w:ascii="Arial" w:hAnsi="Arial" w:cs="Arial"/>
          <w:sz w:val="22"/>
          <w:szCs w:val="22"/>
        </w:rPr>
        <w:t xml:space="preserve"> mogu se koristiti isključivo temeljem pisanog ugovora ili u sklopu organiziranih sustava za pozajmljivanje vrijednosnih papira koji djeluju u sklopu sustava za prijeboj i namiru.</w:t>
      </w:r>
    </w:p>
    <w:p w14:paraId="7CC39690" w14:textId="77777777" w:rsidR="002E307C" w:rsidRPr="007F0AC4" w:rsidRDefault="002E307C" w:rsidP="007F0AC4">
      <w:pPr>
        <w:rPr>
          <w:rFonts w:ascii="Arial" w:hAnsi="Arial" w:cs="Arial"/>
          <w:sz w:val="22"/>
          <w:szCs w:val="22"/>
        </w:rPr>
      </w:pPr>
    </w:p>
    <w:p w14:paraId="76740540" w14:textId="177F10B7" w:rsidR="002E307C" w:rsidRPr="00E55BAA" w:rsidRDefault="002E307C" w:rsidP="002E307C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Društvo za upravljanje dužno je osigurati da je repo </w:t>
      </w:r>
      <w:r w:rsidR="0072350E">
        <w:rPr>
          <w:rFonts w:ascii="Arial" w:hAnsi="Arial" w:cs="Arial"/>
          <w:sz w:val="22"/>
          <w:szCs w:val="22"/>
        </w:rPr>
        <w:t>transakcije</w:t>
      </w:r>
      <w:r w:rsidR="0072350E" w:rsidRPr="00E55BAA">
        <w:rPr>
          <w:rFonts w:ascii="Arial" w:hAnsi="Arial" w:cs="Arial"/>
          <w:sz w:val="22"/>
          <w:szCs w:val="22"/>
        </w:rPr>
        <w:t xml:space="preserve"> </w:t>
      </w:r>
      <w:r w:rsidR="0072350E">
        <w:rPr>
          <w:rFonts w:ascii="Arial" w:hAnsi="Arial" w:cs="Arial"/>
          <w:sz w:val="22"/>
          <w:szCs w:val="22"/>
        </w:rPr>
        <w:t>iz stavka 2. ovoga članka</w:t>
      </w:r>
      <w:r w:rsidRPr="00E55BAA">
        <w:rPr>
          <w:rFonts w:ascii="Arial" w:hAnsi="Arial" w:cs="Arial"/>
          <w:sz w:val="22"/>
          <w:szCs w:val="22"/>
        </w:rPr>
        <w:t xml:space="preserve"> moguće opozvati ili raskinuti u svakom trenutku i prije roka dospijeća. U slučaju opoziva ili raskida repo </w:t>
      </w:r>
      <w:r w:rsidR="0072350E">
        <w:rPr>
          <w:rFonts w:ascii="Arial" w:hAnsi="Arial" w:cs="Arial"/>
          <w:sz w:val="22"/>
          <w:szCs w:val="22"/>
        </w:rPr>
        <w:t>transakcija</w:t>
      </w:r>
      <w:r w:rsidR="0072350E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 xml:space="preserve">prije roka dospijeća, obveze iz ugovora moraju se izvršiti u roku od najviše sedam (7) dana. Repo </w:t>
      </w:r>
      <w:r w:rsidR="0072350E">
        <w:rPr>
          <w:rFonts w:ascii="Arial" w:hAnsi="Arial" w:cs="Arial"/>
          <w:sz w:val="22"/>
          <w:szCs w:val="22"/>
        </w:rPr>
        <w:t>transakcije</w:t>
      </w:r>
      <w:r w:rsidRPr="00E55BAA">
        <w:rPr>
          <w:rFonts w:ascii="Arial" w:hAnsi="Arial" w:cs="Arial"/>
          <w:sz w:val="22"/>
          <w:szCs w:val="22"/>
        </w:rPr>
        <w:t xml:space="preserve"> čiji je rok dospijeća kraći ili jednak sedam (7) dana smatra se opozivima u svakom trenutku. Rok dospijeća repo </w:t>
      </w:r>
      <w:r w:rsidR="0072350E">
        <w:rPr>
          <w:rFonts w:ascii="Arial" w:hAnsi="Arial" w:cs="Arial"/>
          <w:sz w:val="22"/>
          <w:szCs w:val="22"/>
        </w:rPr>
        <w:t>transakcija</w:t>
      </w:r>
      <w:r w:rsidRPr="00E55BAA">
        <w:rPr>
          <w:rFonts w:ascii="Arial" w:hAnsi="Arial" w:cs="Arial"/>
          <w:sz w:val="22"/>
          <w:szCs w:val="22"/>
        </w:rPr>
        <w:t xml:space="preserve"> ne smije biti duži od 12 mjeseci.</w:t>
      </w:r>
    </w:p>
    <w:p w14:paraId="019DABD4" w14:textId="1B44A7F8" w:rsidR="002E307C" w:rsidRDefault="002E307C" w:rsidP="00DF3F61">
      <w:pPr>
        <w:jc w:val="both"/>
        <w:rPr>
          <w:rFonts w:ascii="Arial" w:hAnsi="Arial" w:cs="Arial"/>
          <w:sz w:val="22"/>
          <w:szCs w:val="22"/>
        </w:rPr>
      </w:pPr>
    </w:p>
    <w:p w14:paraId="09C60504" w14:textId="1C813A3D" w:rsidR="001B3062" w:rsidRPr="00203950" w:rsidRDefault="003B5D66" w:rsidP="00203950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203950">
        <w:rPr>
          <w:rFonts w:ascii="Arial" w:hAnsi="Arial" w:cs="Arial"/>
          <w:b w:val="0"/>
          <w:sz w:val="22"/>
          <w:szCs w:val="22"/>
        </w:rPr>
        <w:t xml:space="preserve">DIO </w:t>
      </w:r>
      <w:r w:rsidR="00157914" w:rsidRPr="00203950">
        <w:rPr>
          <w:rFonts w:ascii="Arial" w:hAnsi="Arial" w:cs="Arial"/>
          <w:b w:val="0"/>
          <w:sz w:val="22"/>
          <w:szCs w:val="22"/>
        </w:rPr>
        <w:t>PET</w:t>
      </w:r>
      <w:r w:rsidRPr="00203950">
        <w:rPr>
          <w:rFonts w:ascii="Arial" w:hAnsi="Arial" w:cs="Arial"/>
          <w:b w:val="0"/>
          <w:sz w:val="22"/>
          <w:szCs w:val="22"/>
        </w:rPr>
        <w:t>I</w:t>
      </w:r>
    </w:p>
    <w:p w14:paraId="3787E5B2" w14:textId="05069FAC" w:rsidR="00CA450A" w:rsidRPr="00203950" w:rsidRDefault="002763D9" w:rsidP="00203950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203950">
        <w:rPr>
          <w:rFonts w:ascii="Arial" w:hAnsi="Arial" w:cs="Arial"/>
          <w:b w:val="0"/>
          <w:sz w:val="22"/>
          <w:szCs w:val="22"/>
        </w:rPr>
        <w:t>Dogovorne transakcije</w:t>
      </w:r>
    </w:p>
    <w:p w14:paraId="1FE718BE" w14:textId="004774A2" w:rsidR="00B60199" w:rsidRPr="00203950" w:rsidRDefault="0094661D" w:rsidP="00203950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203950">
        <w:rPr>
          <w:rFonts w:ascii="Arial" w:hAnsi="Arial" w:cs="Arial"/>
          <w:b w:val="0"/>
          <w:sz w:val="22"/>
          <w:szCs w:val="22"/>
        </w:rPr>
        <w:t xml:space="preserve">Članak </w:t>
      </w:r>
      <w:r w:rsidR="00DF4155" w:rsidRPr="00203950">
        <w:rPr>
          <w:rFonts w:ascii="Arial" w:hAnsi="Arial" w:cs="Arial"/>
          <w:b w:val="0"/>
          <w:sz w:val="22"/>
          <w:szCs w:val="22"/>
        </w:rPr>
        <w:t>1</w:t>
      </w:r>
      <w:r w:rsidR="00C95319" w:rsidRPr="00203950">
        <w:rPr>
          <w:rFonts w:ascii="Arial" w:hAnsi="Arial" w:cs="Arial"/>
          <w:b w:val="0"/>
          <w:sz w:val="22"/>
          <w:szCs w:val="22"/>
        </w:rPr>
        <w:t>6</w:t>
      </w:r>
      <w:r w:rsidRPr="00203950">
        <w:rPr>
          <w:rFonts w:ascii="Arial" w:hAnsi="Arial" w:cs="Arial"/>
          <w:b w:val="0"/>
          <w:sz w:val="22"/>
          <w:szCs w:val="22"/>
        </w:rPr>
        <w:t>.</w:t>
      </w:r>
    </w:p>
    <w:p w14:paraId="7FACFEDF" w14:textId="26B7F3C8" w:rsidR="00E91FFB" w:rsidRPr="00E55BAA" w:rsidRDefault="00E91FFB" w:rsidP="00DF3F61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Društvu za upravljanje </w:t>
      </w:r>
      <w:r w:rsidR="00C96DA9" w:rsidRPr="00E55BAA">
        <w:rPr>
          <w:rFonts w:ascii="Arial" w:hAnsi="Arial" w:cs="Arial"/>
          <w:sz w:val="22"/>
          <w:szCs w:val="22"/>
        </w:rPr>
        <w:t>dozvoljen</w:t>
      </w:r>
      <w:r w:rsidR="002763D9">
        <w:rPr>
          <w:rFonts w:ascii="Arial" w:hAnsi="Arial" w:cs="Arial"/>
          <w:sz w:val="22"/>
          <w:szCs w:val="22"/>
        </w:rPr>
        <w:t>o</w:t>
      </w:r>
      <w:r w:rsidR="00C96DA9" w:rsidRPr="00E55BAA">
        <w:rPr>
          <w:rFonts w:ascii="Arial" w:hAnsi="Arial" w:cs="Arial"/>
          <w:sz w:val="22"/>
          <w:szCs w:val="22"/>
        </w:rPr>
        <w:t xml:space="preserve"> </w:t>
      </w:r>
      <w:r w:rsidR="002763D9">
        <w:rPr>
          <w:rFonts w:ascii="Arial" w:hAnsi="Arial" w:cs="Arial"/>
          <w:sz w:val="22"/>
          <w:szCs w:val="22"/>
        </w:rPr>
        <w:t>je sklapa</w:t>
      </w:r>
      <w:r w:rsidR="009A164E">
        <w:rPr>
          <w:rFonts w:ascii="Arial" w:hAnsi="Arial" w:cs="Arial"/>
          <w:sz w:val="22"/>
          <w:szCs w:val="22"/>
        </w:rPr>
        <w:t>ti</w:t>
      </w:r>
      <w:r w:rsidR="002763D9">
        <w:rPr>
          <w:rFonts w:ascii="Arial" w:hAnsi="Arial" w:cs="Arial"/>
          <w:sz w:val="22"/>
          <w:szCs w:val="22"/>
        </w:rPr>
        <w:t xml:space="preserve"> dogovorn</w:t>
      </w:r>
      <w:r w:rsidR="009A164E">
        <w:rPr>
          <w:rFonts w:ascii="Arial" w:hAnsi="Arial" w:cs="Arial"/>
          <w:sz w:val="22"/>
          <w:szCs w:val="22"/>
        </w:rPr>
        <w:t>e</w:t>
      </w:r>
      <w:r w:rsidRPr="00E55BAA">
        <w:rPr>
          <w:rFonts w:ascii="Arial" w:hAnsi="Arial" w:cs="Arial"/>
          <w:sz w:val="22"/>
          <w:szCs w:val="22"/>
        </w:rPr>
        <w:t xml:space="preserve"> transakcije kupnje i prodaje imovine </w:t>
      </w:r>
      <w:proofErr w:type="spellStart"/>
      <w:r w:rsidR="004D7498" w:rsidRPr="00E55BAA">
        <w:rPr>
          <w:rFonts w:ascii="Arial" w:hAnsi="Arial" w:cs="Arial"/>
          <w:sz w:val="22"/>
          <w:szCs w:val="22"/>
        </w:rPr>
        <w:t>UCITS</w:t>
      </w:r>
      <w:proofErr w:type="spellEnd"/>
      <w:r w:rsidR="004D7498" w:rsidRPr="00E55BAA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>fonda</w:t>
      </w:r>
      <w:r w:rsidR="002763D9">
        <w:rPr>
          <w:rFonts w:ascii="Arial" w:hAnsi="Arial" w:cs="Arial"/>
          <w:sz w:val="22"/>
          <w:szCs w:val="22"/>
        </w:rPr>
        <w:t xml:space="preserve"> izvan </w:t>
      </w:r>
      <w:r w:rsidR="005F4048">
        <w:rPr>
          <w:rFonts w:ascii="Arial" w:hAnsi="Arial" w:cs="Arial"/>
          <w:sz w:val="22"/>
          <w:szCs w:val="22"/>
        </w:rPr>
        <w:t xml:space="preserve">burze ili uređenog javnog tržišta </w:t>
      </w:r>
      <w:r w:rsidR="00DF4155" w:rsidRPr="00E55BAA">
        <w:rPr>
          <w:rFonts w:ascii="Arial" w:hAnsi="Arial" w:cs="Arial"/>
          <w:sz w:val="22"/>
          <w:szCs w:val="22"/>
        </w:rPr>
        <w:t>(</w:t>
      </w:r>
      <w:proofErr w:type="spellStart"/>
      <w:r w:rsidR="00DF4155" w:rsidRPr="00E55BAA">
        <w:rPr>
          <w:rFonts w:ascii="Arial" w:hAnsi="Arial" w:cs="Arial"/>
          <w:sz w:val="22"/>
          <w:szCs w:val="22"/>
        </w:rPr>
        <w:t>OTC</w:t>
      </w:r>
      <w:proofErr w:type="spellEnd"/>
      <w:r w:rsidR="002763D9">
        <w:rPr>
          <w:rFonts w:ascii="Arial" w:hAnsi="Arial" w:cs="Arial"/>
          <w:sz w:val="22"/>
          <w:szCs w:val="22"/>
        </w:rPr>
        <w:t xml:space="preserve"> transakcije</w:t>
      </w:r>
      <w:r w:rsidR="00DF4155" w:rsidRPr="00E55BAA">
        <w:rPr>
          <w:rFonts w:ascii="Arial" w:hAnsi="Arial" w:cs="Arial"/>
          <w:sz w:val="22"/>
          <w:szCs w:val="22"/>
        </w:rPr>
        <w:t>)</w:t>
      </w:r>
      <w:r w:rsidR="00AB4ECE" w:rsidRPr="00E55BAA">
        <w:rPr>
          <w:rFonts w:ascii="Arial" w:hAnsi="Arial" w:cs="Arial"/>
          <w:sz w:val="22"/>
          <w:szCs w:val="22"/>
        </w:rPr>
        <w:t xml:space="preserve"> </w:t>
      </w:r>
      <w:r w:rsidR="0004158F" w:rsidRPr="00E55BAA">
        <w:rPr>
          <w:rFonts w:ascii="Arial" w:hAnsi="Arial" w:cs="Arial"/>
          <w:sz w:val="22"/>
          <w:szCs w:val="22"/>
        </w:rPr>
        <w:t xml:space="preserve">samo </w:t>
      </w:r>
      <w:r w:rsidRPr="00E55BAA">
        <w:rPr>
          <w:rFonts w:ascii="Arial" w:hAnsi="Arial" w:cs="Arial"/>
          <w:sz w:val="22"/>
          <w:szCs w:val="22"/>
        </w:rPr>
        <w:t xml:space="preserve">s osobama koje </w:t>
      </w:r>
      <w:r w:rsidR="0004158F" w:rsidRPr="00E55BAA">
        <w:rPr>
          <w:rFonts w:ascii="Arial" w:hAnsi="Arial" w:cs="Arial"/>
          <w:sz w:val="22"/>
          <w:szCs w:val="22"/>
        </w:rPr>
        <w:t>se smatraju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="0004158F" w:rsidRPr="00E55BAA">
        <w:rPr>
          <w:rFonts w:ascii="Arial" w:hAnsi="Arial" w:cs="Arial"/>
          <w:sz w:val="22"/>
          <w:szCs w:val="22"/>
        </w:rPr>
        <w:t xml:space="preserve">profesionalnim </w:t>
      </w:r>
      <w:proofErr w:type="spellStart"/>
      <w:r w:rsidR="0004158F" w:rsidRPr="00E55BAA">
        <w:rPr>
          <w:rFonts w:ascii="Arial" w:hAnsi="Arial" w:cs="Arial"/>
          <w:sz w:val="22"/>
          <w:szCs w:val="22"/>
        </w:rPr>
        <w:t>ulagateljima</w:t>
      </w:r>
      <w:proofErr w:type="spellEnd"/>
      <w:r w:rsidR="0004158F" w:rsidRPr="00E55BAA">
        <w:rPr>
          <w:rFonts w:ascii="Arial" w:hAnsi="Arial" w:cs="Arial"/>
          <w:sz w:val="22"/>
          <w:szCs w:val="22"/>
        </w:rPr>
        <w:t xml:space="preserve"> u smislu zakona kojim se uređuje tržište kapitala</w:t>
      </w:r>
      <w:r w:rsidRPr="00E55BAA">
        <w:rPr>
          <w:rFonts w:ascii="Arial" w:hAnsi="Arial" w:cs="Arial"/>
          <w:sz w:val="22"/>
          <w:szCs w:val="22"/>
        </w:rPr>
        <w:t>.</w:t>
      </w:r>
    </w:p>
    <w:p w14:paraId="2ABAA6A7" w14:textId="77777777" w:rsidR="00B1143B" w:rsidRPr="00E55BAA" w:rsidRDefault="00B1143B" w:rsidP="00DF3F6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55980F09" w14:textId="53C3906F" w:rsidR="00B1143B" w:rsidRPr="00E55BAA" w:rsidRDefault="00B1143B" w:rsidP="00DF3F61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Iznimno od stavka 1. ovoga članka društvo </w:t>
      </w:r>
      <w:r w:rsidR="0041442F" w:rsidRPr="00E55BAA">
        <w:rPr>
          <w:rFonts w:ascii="Arial" w:hAnsi="Arial" w:cs="Arial"/>
          <w:sz w:val="22"/>
          <w:szCs w:val="22"/>
        </w:rPr>
        <w:t xml:space="preserve">za upravljanje </w:t>
      </w:r>
      <w:r w:rsidRPr="00E55BAA">
        <w:rPr>
          <w:rFonts w:ascii="Arial" w:hAnsi="Arial" w:cs="Arial"/>
          <w:sz w:val="22"/>
          <w:szCs w:val="22"/>
        </w:rPr>
        <w:t xml:space="preserve">može za račun </w:t>
      </w:r>
      <w:proofErr w:type="spellStart"/>
      <w:r w:rsidR="0041442F" w:rsidRPr="00E55BAA">
        <w:rPr>
          <w:rFonts w:ascii="Arial" w:hAnsi="Arial" w:cs="Arial"/>
          <w:sz w:val="22"/>
          <w:szCs w:val="22"/>
        </w:rPr>
        <w:t>UCITS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fonda sklapati </w:t>
      </w:r>
      <w:proofErr w:type="spellStart"/>
      <w:r w:rsidR="005F4048">
        <w:rPr>
          <w:rFonts w:ascii="Arial" w:hAnsi="Arial" w:cs="Arial"/>
          <w:sz w:val="22"/>
          <w:szCs w:val="22"/>
        </w:rPr>
        <w:t>OTC</w:t>
      </w:r>
      <w:proofErr w:type="spellEnd"/>
      <w:r w:rsidR="002763D9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 xml:space="preserve">transakcije sa osobama koje se ne smatraju profesionalnim </w:t>
      </w:r>
      <w:proofErr w:type="spellStart"/>
      <w:r w:rsidRPr="00E55BAA">
        <w:rPr>
          <w:rFonts w:ascii="Arial" w:hAnsi="Arial" w:cs="Arial"/>
          <w:sz w:val="22"/>
          <w:szCs w:val="22"/>
        </w:rPr>
        <w:t>ulagateljima</w:t>
      </w:r>
      <w:proofErr w:type="spellEnd"/>
      <w:r w:rsidRPr="00E55BAA">
        <w:rPr>
          <w:rFonts w:ascii="Arial" w:hAnsi="Arial" w:cs="Arial"/>
          <w:sz w:val="22"/>
          <w:szCs w:val="22"/>
        </w:rPr>
        <w:t xml:space="preserve"> isključivo kada takvu transakciju nije razumno bilo moguće sklopiti na uređenom tržištu</w:t>
      </w:r>
      <w:r w:rsidR="009A164E">
        <w:rPr>
          <w:rFonts w:ascii="Arial" w:hAnsi="Arial" w:cs="Arial"/>
          <w:sz w:val="22"/>
          <w:szCs w:val="22"/>
        </w:rPr>
        <w:t>,</w:t>
      </w:r>
      <w:r w:rsidRPr="00E55BAA">
        <w:rPr>
          <w:rFonts w:ascii="Arial" w:hAnsi="Arial" w:cs="Arial"/>
          <w:sz w:val="22"/>
          <w:szCs w:val="22"/>
        </w:rPr>
        <w:t xml:space="preserve"> pri čemu je dužno internim aktima propisati situacije, uvjete i okolnosti u kojima je dozvoljeno sklapanje takvih transakcija, te osigurati da se iste obavljaju po fer uvjetima.</w:t>
      </w:r>
    </w:p>
    <w:p w14:paraId="4585B937" w14:textId="77777777" w:rsidR="00B1143B" w:rsidRPr="00E55BAA" w:rsidRDefault="00B1143B" w:rsidP="00DF3F61">
      <w:pPr>
        <w:pStyle w:val="ListParagraph"/>
        <w:rPr>
          <w:rFonts w:ascii="Arial" w:hAnsi="Arial" w:cs="Arial"/>
          <w:sz w:val="22"/>
          <w:szCs w:val="22"/>
        </w:rPr>
      </w:pPr>
    </w:p>
    <w:p w14:paraId="361F50DE" w14:textId="6ACC605F" w:rsidR="00B1143B" w:rsidRPr="00E55BAA" w:rsidRDefault="00B1143B" w:rsidP="00DF3F61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Za svaku </w:t>
      </w:r>
      <w:proofErr w:type="spellStart"/>
      <w:r w:rsidR="005F4048">
        <w:rPr>
          <w:rFonts w:ascii="Arial" w:hAnsi="Arial" w:cs="Arial"/>
          <w:sz w:val="22"/>
          <w:szCs w:val="22"/>
        </w:rPr>
        <w:t>OTC</w:t>
      </w:r>
      <w:proofErr w:type="spellEnd"/>
      <w:r w:rsidR="005F4048">
        <w:rPr>
          <w:rFonts w:ascii="Arial" w:hAnsi="Arial" w:cs="Arial"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>transakciju iz stavka 2. ovoga članka društvo</w:t>
      </w:r>
      <w:r w:rsidR="0041442F" w:rsidRPr="00E55BAA">
        <w:rPr>
          <w:rFonts w:ascii="Arial" w:hAnsi="Arial" w:cs="Arial"/>
          <w:sz w:val="22"/>
          <w:szCs w:val="22"/>
        </w:rPr>
        <w:t xml:space="preserve"> za upravljanje</w:t>
      </w:r>
      <w:r w:rsidRPr="00E55BAA">
        <w:rPr>
          <w:rFonts w:ascii="Arial" w:hAnsi="Arial" w:cs="Arial"/>
          <w:sz w:val="22"/>
          <w:szCs w:val="22"/>
        </w:rPr>
        <w:t xml:space="preserve"> je dužno:</w:t>
      </w:r>
    </w:p>
    <w:p w14:paraId="6A6E1EFA" w14:textId="77777777" w:rsidR="00B1143B" w:rsidRPr="00E55BAA" w:rsidRDefault="00B1143B" w:rsidP="00DF3F6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1. obrazložiti i dokumentirati razloge zbog kojih se ista obavlja,</w:t>
      </w:r>
    </w:p>
    <w:p w14:paraId="1DA73DDB" w14:textId="77777777" w:rsidR="00B1143B" w:rsidRPr="00E55BAA" w:rsidRDefault="00B1143B" w:rsidP="00DF3F6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2. posjedovati dokaze o provođenju iste u skladu sa stavkom 2. ovoga članka,</w:t>
      </w:r>
    </w:p>
    <w:p w14:paraId="33FCB6A7" w14:textId="77777777" w:rsidR="00B1143B" w:rsidRDefault="00B1143B" w:rsidP="00DF3F6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3. navedenu dokumentaciju čuvati na način propisan Zakonom i propisima donesenim na temelju Zakona.</w:t>
      </w:r>
    </w:p>
    <w:p w14:paraId="1088C92B" w14:textId="77777777" w:rsidR="007F0AC4" w:rsidRDefault="007F0AC4" w:rsidP="00DF3F6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EFB358E" w14:textId="3A4D5039" w:rsidR="009A164E" w:rsidRPr="009A164E" w:rsidRDefault="009A164E" w:rsidP="009A164E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164E">
        <w:rPr>
          <w:rFonts w:ascii="Arial" w:hAnsi="Arial" w:cs="Arial"/>
          <w:sz w:val="22"/>
          <w:szCs w:val="22"/>
        </w:rPr>
        <w:t xml:space="preserve">Druge ugovorne strane u transakcijama s </w:t>
      </w:r>
      <w:proofErr w:type="spellStart"/>
      <w:r w:rsidRPr="009A164E">
        <w:rPr>
          <w:rFonts w:ascii="Arial" w:hAnsi="Arial" w:cs="Arial"/>
          <w:sz w:val="22"/>
          <w:szCs w:val="22"/>
        </w:rPr>
        <w:t>OTC</w:t>
      </w:r>
      <w:proofErr w:type="spellEnd"/>
      <w:r w:rsidRPr="009A164E">
        <w:rPr>
          <w:rFonts w:ascii="Arial" w:hAnsi="Arial" w:cs="Arial"/>
          <w:sz w:val="22"/>
          <w:szCs w:val="22"/>
        </w:rPr>
        <w:t xml:space="preserve"> izvedenicama iz članka 252. stavka 1. točke 5. Zakona mogu biti samo osobe koje se smatraju profesionalnim </w:t>
      </w:r>
      <w:proofErr w:type="spellStart"/>
      <w:r w:rsidRPr="009A164E">
        <w:rPr>
          <w:rFonts w:ascii="Arial" w:hAnsi="Arial" w:cs="Arial"/>
          <w:sz w:val="22"/>
          <w:szCs w:val="22"/>
        </w:rPr>
        <w:t>ulagateljima</w:t>
      </w:r>
      <w:proofErr w:type="spellEnd"/>
      <w:r w:rsidRPr="009A164E">
        <w:rPr>
          <w:rFonts w:ascii="Arial" w:hAnsi="Arial" w:cs="Arial"/>
          <w:sz w:val="22"/>
          <w:szCs w:val="22"/>
        </w:rPr>
        <w:t xml:space="preserve"> u smislu zakona kojim se uređuje tržište kapitala, a koji podliježu obvezi odobrenja ili/i nadzora nadležnog regulato</w:t>
      </w:r>
      <w:r w:rsidR="007F0AC4">
        <w:rPr>
          <w:rFonts w:ascii="Arial" w:hAnsi="Arial" w:cs="Arial"/>
          <w:sz w:val="22"/>
          <w:szCs w:val="22"/>
        </w:rPr>
        <w:t>rnog tijela.</w:t>
      </w:r>
    </w:p>
    <w:p w14:paraId="09953F4D" w14:textId="77777777" w:rsidR="00A75C99" w:rsidRPr="00E55BAA" w:rsidRDefault="00A75C99" w:rsidP="00A75C99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p w14:paraId="5384CDF1" w14:textId="2B621EA2" w:rsidR="00100B0E" w:rsidRPr="00203950" w:rsidRDefault="00100B0E" w:rsidP="00203950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203950">
        <w:rPr>
          <w:rFonts w:ascii="Arial" w:hAnsi="Arial" w:cs="Arial"/>
          <w:b w:val="0"/>
          <w:sz w:val="22"/>
          <w:szCs w:val="22"/>
        </w:rPr>
        <w:t>Transakcije između fondova kojima upravlja isto društvo za upravljanje</w:t>
      </w:r>
    </w:p>
    <w:p w14:paraId="55FBF228" w14:textId="69DCA780" w:rsidR="00BE1319" w:rsidRPr="00203950" w:rsidRDefault="00C95319" w:rsidP="00203950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203950">
        <w:rPr>
          <w:rFonts w:ascii="Arial" w:hAnsi="Arial" w:cs="Arial"/>
          <w:b w:val="0"/>
          <w:sz w:val="22"/>
          <w:szCs w:val="22"/>
        </w:rPr>
        <w:t>Članak 17</w:t>
      </w:r>
      <w:r w:rsidR="00100B0E" w:rsidRPr="00203950">
        <w:rPr>
          <w:rFonts w:ascii="Arial" w:hAnsi="Arial" w:cs="Arial"/>
          <w:b w:val="0"/>
          <w:sz w:val="22"/>
          <w:szCs w:val="22"/>
        </w:rPr>
        <w:t>.</w:t>
      </w:r>
    </w:p>
    <w:p w14:paraId="3D85D853" w14:textId="3DA5122B" w:rsidR="00BE1319" w:rsidRPr="00E55BAA" w:rsidRDefault="00924333" w:rsidP="00DF3F61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>Društvo za upravljanje dužno je internim aktim</w:t>
      </w:r>
      <w:r w:rsidR="00E848BB" w:rsidRPr="00E55BAA">
        <w:rPr>
          <w:rFonts w:ascii="Arial" w:hAnsi="Arial" w:cs="Arial"/>
          <w:sz w:val="22"/>
          <w:szCs w:val="22"/>
        </w:rPr>
        <w:t xml:space="preserve">a propisati situacije, uvjete i okolnosti u kojima je dozvoljena prodaja, kupnja ili prijenos </w:t>
      </w:r>
      <w:r w:rsidR="00E848BB" w:rsidRPr="00B14AF4">
        <w:rPr>
          <w:rFonts w:ascii="Arial" w:hAnsi="Arial" w:cs="Arial"/>
          <w:sz w:val="22"/>
          <w:szCs w:val="22"/>
        </w:rPr>
        <w:t xml:space="preserve">imovine, </w:t>
      </w:r>
      <w:r w:rsidR="00B14AF4" w:rsidRPr="00B14AF4">
        <w:rPr>
          <w:rFonts w:ascii="Arial" w:hAnsi="Arial" w:cs="Arial"/>
          <w:sz w:val="22"/>
          <w:szCs w:val="22"/>
        </w:rPr>
        <w:t>sklapanje</w:t>
      </w:r>
      <w:r w:rsidR="00E848BB" w:rsidRPr="00B14AF4">
        <w:rPr>
          <w:rFonts w:ascii="Arial" w:hAnsi="Arial" w:cs="Arial"/>
          <w:sz w:val="22"/>
          <w:szCs w:val="22"/>
        </w:rPr>
        <w:t xml:space="preserve"> transakcija </w:t>
      </w:r>
      <w:r w:rsidR="00B14AF4" w:rsidRPr="00B14AF4">
        <w:rPr>
          <w:rFonts w:ascii="Arial" w:hAnsi="Arial" w:cs="Arial"/>
          <w:sz w:val="22"/>
          <w:szCs w:val="22"/>
        </w:rPr>
        <w:t xml:space="preserve">koje se koriste u svrhu učinkovitog upravljanja </w:t>
      </w:r>
      <w:r w:rsidR="00B14AF4" w:rsidRPr="00D81BCB">
        <w:rPr>
          <w:rFonts w:ascii="Arial" w:hAnsi="Arial" w:cs="Arial"/>
          <w:sz w:val="22"/>
          <w:szCs w:val="22"/>
        </w:rPr>
        <w:t>portfeljem</w:t>
      </w:r>
      <w:r w:rsidR="00B14AF4" w:rsidRPr="00D81BCB">
        <w:rPr>
          <w:rFonts w:ascii="Arial" w:hAnsi="Arial" w:cs="Arial"/>
          <w:i/>
          <w:sz w:val="22"/>
          <w:szCs w:val="22"/>
        </w:rPr>
        <w:t xml:space="preserve"> </w:t>
      </w:r>
      <w:r w:rsidRPr="00E55BAA">
        <w:rPr>
          <w:rFonts w:ascii="Arial" w:hAnsi="Arial" w:cs="Arial"/>
          <w:sz w:val="22"/>
          <w:szCs w:val="22"/>
        </w:rPr>
        <w:t>između fondova i/ili individualnih portfelja kojima upravlja</w:t>
      </w:r>
      <w:r w:rsidR="00E848BB" w:rsidRPr="00E55BAA">
        <w:rPr>
          <w:rFonts w:ascii="Arial" w:hAnsi="Arial" w:cs="Arial"/>
          <w:sz w:val="22"/>
          <w:szCs w:val="22"/>
        </w:rPr>
        <w:t xml:space="preserve"> te osigurati da se iste ne obavljaju pod uvjetima koji su različiti od tržišnih ili koji jedan fond </w:t>
      </w:r>
      <w:r w:rsidR="00337422" w:rsidRPr="00E55BAA">
        <w:rPr>
          <w:rFonts w:ascii="Arial" w:hAnsi="Arial" w:cs="Arial"/>
          <w:sz w:val="22"/>
          <w:szCs w:val="22"/>
        </w:rPr>
        <w:t>i</w:t>
      </w:r>
      <w:r w:rsidR="00E848BB" w:rsidRPr="00E55BAA">
        <w:rPr>
          <w:rFonts w:ascii="Arial" w:hAnsi="Arial" w:cs="Arial"/>
          <w:sz w:val="22"/>
          <w:szCs w:val="22"/>
        </w:rPr>
        <w:t xml:space="preserve">/ili individualni portfelj stavljaju u povoljniji položaj u odnosu na drugi. </w:t>
      </w:r>
    </w:p>
    <w:p w14:paraId="52C8C24A" w14:textId="77777777" w:rsidR="00BE1319" w:rsidRPr="00E55BAA" w:rsidRDefault="00BE1319" w:rsidP="00DF3F61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7AD27E6D" w14:textId="1D750952" w:rsidR="00E848BB" w:rsidRPr="00E55BAA" w:rsidRDefault="00E848BB" w:rsidP="00DF3F61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5BAA">
        <w:rPr>
          <w:rFonts w:ascii="Arial" w:hAnsi="Arial" w:cs="Arial"/>
          <w:sz w:val="22"/>
          <w:szCs w:val="22"/>
        </w:rPr>
        <w:t xml:space="preserve">Za svaku kupnju, prodaju ili prijenos imovine, </w:t>
      </w:r>
      <w:r w:rsidR="00B14AF4" w:rsidRPr="00B14AF4">
        <w:rPr>
          <w:rFonts w:ascii="Arial" w:hAnsi="Arial" w:cs="Arial"/>
          <w:sz w:val="22"/>
          <w:szCs w:val="22"/>
        </w:rPr>
        <w:t>sklapanje transakcija koje se koriste u svrhu učinkovitog upravljanja portfeljem</w:t>
      </w:r>
      <w:r w:rsidRPr="00E55BAA">
        <w:rPr>
          <w:rFonts w:ascii="Arial" w:hAnsi="Arial" w:cs="Arial"/>
          <w:sz w:val="22"/>
          <w:szCs w:val="22"/>
        </w:rPr>
        <w:t xml:space="preserve"> </w:t>
      </w:r>
      <w:r w:rsidRPr="00D81BCB">
        <w:rPr>
          <w:rFonts w:ascii="Arial" w:hAnsi="Arial" w:cs="Arial"/>
          <w:sz w:val="22"/>
          <w:szCs w:val="22"/>
        </w:rPr>
        <w:t>iz</w:t>
      </w:r>
      <w:r w:rsidRPr="00E55BAA">
        <w:rPr>
          <w:rFonts w:ascii="Arial" w:hAnsi="Arial" w:cs="Arial"/>
          <w:sz w:val="22"/>
          <w:szCs w:val="22"/>
        </w:rPr>
        <w:t xml:space="preserve"> stavka 1. ovoga članka potrebno je obrazložiti i dokumentirati razloge zbog kojih se obavlja</w:t>
      </w:r>
      <w:r w:rsidR="00B3776E">
        <w:rPr>
          <w:rFonts w:ascii="Arial" w:hAnsi="Arial" w:cs="Arial"/>
          <w:sz w:val="22"/>
          <w:szCs w:val="22"/>
        </w:rPr>
        <w:t xml:space="preserve"> i cijenu po kojoj je izvršena</w:t>
      </w:r>
      <w:r w:rsidR="006220BC" w:rsidRPr="00E55BAA">
        <w:rPr>
          <w:rFonts w:ascii="Arial" w:hAnsi="Arial" w:cs="Arial"/>
          <w:sz w:val="22"/>
          <w:szCs w:val="22"/>
        </w:rPr>
        <w:t>, te navedenu dokumentaciju</w:t>
      </w:r>
      <w:r w:rsidR="00911F03" w:rsidRPr="00E55BAA">
        <w:rPr>
          <w:rFonts w:ascii="Arial" w:hAnsi="Arial" w:cs="Arial"/>
          <w:sz w:val="22"/>
          <w:szCs w:val="22"/>
        </w:rPr>
        <w:t xml:space="preserve"> čuvati na način propisan propisima donesenim na temelju Zakona</w:t>
      </w:r>
      <w:r w:rsidRPr="00E55BAA">
        <w:rPr>
          <w:rFonts w:ascii="Arial" w:hAnsi="Arial" w:cs="Arial"/>
          <w:sz w:val="22"/>
          <w:szCs w:val="22"/>
        </w:rPr>
        <w:t xml:space="preserve">. </w:t>
      </w:r>
    </w:p>
    <w:p w14:paraId="2532B673" w14:textId="77777777" w:rsidR="00EE1B75" w:rsidRDefault="00EE1B75" w:rsidP="00DF3F6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F1A6DFA" w14:textId="770FAB0E" w:rsidR="001B3062" w:rsidRPr="00203950" w:rsidRDefault="003B5D66" w:rsidP="00203950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203950">
        <w:rPr>
          <w:rFonts w:ascii="Arial" w:hAnsi="Arial" w:cs="Arial"/>
          <w:b w:val="0"/>
          <w:sz w:val="22"/>
          <w:szCs w:val="22"/>
        </w:rPr>
        <w:t xml:space="preserve">DIO </w:t>
      </w:r>
      <w:r w:rsidR="00157914" w:rsidRPr="00203950">
        <w:rPr>
          <w:rFonts w:ascii="Arial" w:hAnsi="Arial" w:cs="Arial"/>
          <w:b w:val="0"/>
          <w:sz w:val="22"/>
          <w:szCs w:val="22"/>
        </w:rPr>
        <w:t>ŠESTI</w:t>
      </w:r>
    </w:p>
    <w:p w14:paraId="62D3EBF3" w14:textId="1E0FE68D" w:rsidR="00157914" w:rsidRPr="00203950" w:rsidRDefault="00157914" w:rsidP="00203950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203950">
        <w:rPr>
          <w:rFonts w:ascii="Arial" w:hAnsi="Arial" w:cs="Arial"/>
          <w:b w:val="0"/>
          <w:sz w:val="22"/>
          <w:szCs w:val="22"/>
        </w:rPr>
        <w:t>ZAVRŠNE ODREDBE</w:t>
      </w:r>
    </w:p>
    <w:p w14:paraId="1715D5E5" w14:textId="10AF96C5" w:rsidR="00542700" w:rsidRPr="00203950" w:rsidRDefault="00542700" w:rsidP="00203950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203950">
        <w:rPr>
          <w:rFonts w:ascii="Arial" w:hAnsi="Arial" w:cs="Arial"/>
          <w:b w:val="0"/>
          <w:sz w:val="22"/>
          <w:szCs w:val="22"/>
        </w:rPr>
        <w:t>Članak 18.</w:t>
      </w:r>
    </w:p>
    <w:p w14:paraId="548408FE" w14:textId="30346344" w:rsidR="00542700" w:rsidRDefault="00542700" w:rsidP="0054270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42700">
        <w:rPr>
          <w:rFonts w:ascii="Arial" w:hAnsi="Arial" w:cs="Arial"/>
          <w:sz w:val="22"/>
          <w:szCs w:val="22"/>
        </w:rPr>
        <w:t>Danom stupanja na snagu ovoga Pravilnika prestaje važiti Pravilnik o dozvoljenim ulaganjima i ogran</w:t>
      </w:r>
      <w:r w:rsidR="00203950">
        <w:rPr>
          <w:rFonts w:ascii="Arial" w:hAnsi="Arial" w:cs="Arial"/>
          <w:sz w:val="22"/>
          <w:szCs w:val="22"/>
        </w:rPr>
        <w:t xml:space="preserve">ičenjima ulaganja </w:t>
      </w:r>
      <w:proofErr w:type="spellStart"/>
      <w:r w:rsidR="00203950">
        <w:rPr>
          <w:rFonts w:ascii="Arial" w:hAnsi="Arial" w:cs="Arial"/>
          <w:sz w:val="22"/>
          <w:szCs w:val="22"/>
        </w:rPr>
        <w:t>UCITS</w:t>
      </w:r>
      <w:proofErr w:type="spellEnd"/>
      <w:r w:rsidR="00203950">
        <w:rPr>
          <w:rFonts w:ascii="Arial" w:hAnsi="Arial" w:cs="Arial"/>
          <w:sz w:val="22"/>
          <w:szCs w:val="22"/>
        </w:rPr>
        <w:t xml:space="preserve"> fonda („Narodne novine“</w:t>
      </w:r>
      <w:r w:rsidRPr="00542700">
        <w:rPr>
          <w:rFonts w:ascii="Arial" w:hAnsi="Arial" w:cs="Arial"/>
          <w:sz w:val="22"/>
          <w:szCs w:val="22"/>
        </w:rPr>
        <w:t xml:space="preserve">, broj </w:t>
      </w:r>
      <w:r w:rsidR="003F5BC3">
        <w:rPr>
          <w:rFonts w:ascii="Arial" w:hAnsi="Arial" w:cs="Arial"/>
          <w:sz w:val="22"/>
          <w:szCs w:val="22"/>
        </w:rPr>
        <w:t>26/2015 i 37/2015</w:t>
      </w:r>
      <w:r w:rsidRPr="00542700">
        <w:rPr>
          <w:rFonts w:ascii="Arial" w:hAnsi="Arial" w:cs="Arial"/>
          <w:sz w:val="22"/>
          <w:szCs w:val="22"/>
        </w:rPr>
        <w:t>).</w:t>
      </w:r>
    </w:p>
    <w:p w14:paraId="46DF8606" w14:textId="77777777" w:rsidR="00542700" w:rsidRPr="00E55BAA" w:rsidRDefault="00542700" w:rsidP="00DF3F6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4743423" w14:textId="7B0F72AD" w:rsidR="001902DE" w:rsidRPr="00203950" w:rsidRDefault="00542700" w:rsidP="00203950">
      <w:pPr>
        <w:pStyle w:val="Heading2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203950">
        <w:rPr>
          <w:rFonts w:ascii="Arial" w:eastAsia="Calibri" w:hAnsi="Arial" w:cs="Arial"/>
          <w:b w:val="0"/>
          <w:sz w:val="22"/>
          <w:szCs w:val="22"/>
          <w:lang w:eastAsia="en-US"/>
        </w:rPr>
        <w:t>Članak 19</w:t>
      </w:r>
      <w:r w:rsidR="00230B4A" w:rsidRPr="00203950">
        <w:rPr>
          <w:rFonts w:ascii="Arial" w:eastAsia="Calibri" w:hAnsi="Arial" w:cs="Arial"/>
          <w:b w:val="0"/>
          <w:sz w:val="22"/>
          <w:szCs w:val="22"/>
          <w:lang w:eastAsia="en-US"/>
        </w:rPr>
        <w:t>.</w:t>
      </w:r>
    </w:p>
    <w:p w14:paraId="58346A8A" w14:textId="753533C5" w:rsidR="00230B4A" w:rsidRPr="00E55BAA" w:rsidRDefault="00230B4A" w:rsidP="00DF3F61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E55BA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Ovaj Pravilnik stupa na snagu </w:t>
      </w:r>
      <w:r w:rsidR="00D1419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osmog</w:t>
      </w:r>
      <w:r w:rsidR="00D14192" w:rsidRPr="00E55BA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E55BA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dana od dana objave u „Narodnim novinama”.</w:t>
      </w:r>
    </w:p>
    <w:p w14:paraId="6DE814C2" w14:textId="77777777" w:rsidR="00230B4A" w:rsidRPr="00D81BCB" w:rsidRDefault="00230B4A" w:rsidP="00DF3F61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8A7CB8C" w14:textId="77777777" w:rsidR="001902DE" w:rsidRDefault="001902DE" w:rsidP="00DF3F61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322B95A" w14:textId="77777777" w:rsidR="00230B4A" w:rsidRPr="00E55BAA" w:rsidRDefault="00230B4A" w:rsidP="00DF3F61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62D7DBF" w14:textId="77777777" w:rsidR="00230B4A" w:rsidRPr="00E55BAA" w:rsidRDefault="00230B4A" w:rsidP="008236D2">
      <w:pPr>
        <w:ind w:left="5664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E55BAA">
        <w:rPr>
          <w:rFonts w:ascii="Arial" w:eastAsia="Calibri" w:hAnsi="Arial" w:cs="Arial"/>
          <w:sz w:val="22"/>
          <w:szCs w:val="22"/>
          <w:lang w:eastAsia="en-US"/>
        </w:rPr>
        <w:t>PREDSJEDNIK UPRAVNOG VIJEĆA</w:t>
      </w:r>
    </w:p>
    <w:p w14:paraId="6D51F69A" w14:textId="77777777" w:rsidR="00DF3F61" w:rsidRPr="00E55BAA" w:rsidRDefault="00DF3F61" w:rsidP="008236D2">
      <w:pPr>
        <w:ind w:left="7824" w:firstLine="72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A3DF03D" w14:textId="77777777" w:rsidR="00230B4A" w:rsidRPr="00E55BAA" w:rsidRDefault="00230B4A" w:rsidP="008236D2">
      <w:pPr>
        <w:ind w:left="5664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E55BAA">
        <w:rPr>
          <w:rFonts w:ascii="Arial" w:eastAsia="Calibri" w:hAnsi="Arial" w:cs="Arial"/>
          <w:sz w:val="22"/>
          <w:szCs w:val="22"/>
          <w:lang w:eastAsia="en-US"/>
        </w:rPr>
        <w:t xml:space="preserve">Petar-Pierre </w:t>
      </w:r>
      <w:proofErr w:type="spellStart"/>
      <w:r w:rsidRPr="00E55BAA">
        <w:rPr>
          <w:rFonts w:ascii="Arial" w:eastAsia="Calibri" w:hAnsi="Arial" w:cs="Arial"/>
          <w:sz w:val="22"/>
          <w:szCs w:val="22"/>
          <w:lang w:eastAsia="en-US"/>
        </w:rPr>
        <w:t>Matek</w:t>
      </w:r>
      <w:proofErr w:type="spellEnd"/>
    </w:p>
    <w:p w14:paraId="2536248F" w14:textId="77777777" w:rsidR="00EE1B75" w:rsidRDefault="00EE1B75" w:rsidP="00DF3F6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315DAA7" w14:textId="01C3D911" w:rsidR="00623486" w:rsidRPr="00E55BAA" w:rsidRDefault="00623486" w:rsidP="00DF3F6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623486" w:rsidRPr="00E55BAA" w:rsidSect="00147A25">
      <w:footerReference w:type="even" r:id="rId11"/>
      <w:footerReference w:type="default" r:id="rId12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A72E4" w14:textId="77777777" w:rsidR="007A627B" w:rsidRDefault="007A627B">
      <w:r>
        <w:separator/>
      </w:r>
    </w:p>
  </w:endnote>
  <w:endnote w:type="continuationSeparator" w:id="0">
    <w:p w14:paraId="3AA3BDF8" w14:textId="77777777" w:rsidR="007A627B" w:rsidRDefault="007A627B">
      <w:r>
        <w:continuationSeparator/>
      </w:r>
    </w:p>
  </w:endnote>
  <w:endnote w:type="continuationNotice" w:id="1">
    <w:p w14:paraId="553FE887" w14:textId="77777777" w:rsidR="007A627B" w:rsidRDefault="007A6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19D3C" w14:textId="77777777" w:rsidR="007A627B" w:rsidRDefault="007A627B" w:rsidP="00147A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9CDE7" w14:textId="77777777" w:rsidR="007A627B" w:rsidRDefault="007A627B" w:rsidP="00227A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0823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8E4409B" w14:textId="50798907" w:rsidR="007A627B" w:rsidRPr="00B065EA" w:rsidRDefault="007A627B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B065EA">
          <w:rPr>
            <w:rFonts w:ascii="Arial" w:hAnsi="Arial" w:cs="Arial"/>
            <w:sz w:val="18"/>
            <w:szCs w:val="18"/>
          </w:rPr>
          <w:fldChar w:fldCharType="begin"/>
        </w:r>
        <w:r w:rsidRPr="00B065E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065EA">
          <w:rPr>
            <w:rFonts w:ascii="Arial" w:hAnsi="Arial" w:cs="Arial"/>
            <w:sz w:val="18"/>
            <w:szCs w:val="18"/>
          </w:rPr>
          <w:fldChar w:fldCharType="separate"/>
        </w:r>
        <w:r w:rsidR="004E444F">
          <w:rPr>
            <w:rFonts w:ascii="Arial" w:hAnsi="Arial" w:cs="Arial"/>
            <w:noProof/>
            <w:sz w:val="18"/>
            <w:szCs w:val="18"/>
          </w:rPr>
          <w:t>13</w:t>
        </w:r>
        <w:r w:rsidRPr="00B065E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1F90A418" w14:textId="77777777" w:rsidR="007A627B" w:rsidRDefault="007A627B" w:rsidP="00147A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E628F" w14:textId="77777777" w:rsidR="007A627B" w:rsidRDefault="007A627B">
      <w:r>
        <w:separator/>
      </w:r>
    </w:p>
  </w:footnote>
  <w:footnote w:type="continuationSeparator" w:id="0">
    <w:p w14:paraId="41B53A98" w14:textId="77777777" w:rsidR="007A627B" w:rsidRDefault="007A627B">
      <w:r>
        <w:continuationSeparator/>
      </w:r>
    </w:p>
  </w:footnote>
  <w:footnote w:type="continuationNotice" w:id="1">
    <w:p w14:paraId="6A03181E" w14:textId="77777777" w:rsidR="007A627B" w:rsidRDefault="007A62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BA3"/>
    <w:multiLevelType w:val="hybridMultilevel"/>
    <w:tmpl w:val="9A46D98A"/>
    <w:lvl w:ilvl="0" w:tplc="EEE67AD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C25"/>
    <w:multiLevelType w:val="hybridMultilevel"/>
    <w:tmpl w:val="D590B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02978"/>
    <w:multiLevelType w:val="hybridMultilevel"/>
    <w:tmpl w:val="2B6C29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55A27"/>
    <w:multiLevelType w:val="hybridMultilevel"/>
    <w:tmpl w:val="C3262F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B6196"/>
    <w:multiLevelType w:val="hybridMultilevel"/>
    <w:tmpl w:val="646E67B2"/>
    <w:lvl w:ilvl="0" w:tplc="36585C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31AC3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18108F"/>
    <w:multiLevelType w:val="hybridMultilevel"/>
    <w:tmpl w:val="C65AEC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163EE"/>
    <w:multiLevelType w:val="hybridMultilevel"/>
    <w:tmpl w:val="2F4E43AE"/>
    <w:lvl w:ilvl="0" w:tplc="179898C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B35165"/>
    <w:multiLevelType w:val="hybridMultilevel"/>
    <w:tmpl w:val="16C4A9E6"/>
    <w:lvl w:ilvl="0" w:tplc="179898C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90FBB"/>
    <w:multiLevelType w:val="hybridMultilevel"/>
    <w:tmpl w:val="4F70E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04930"/>
    <w:multiLevelType w:val="hybridMultilevel"/>
    <w:tmpl w:val="BB3C63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9BA96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9BA9680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1C3EDE86">
      <w:start w:val="1"/>
      <w:numFmt w:val="decimal"/>
      <w:lvlText w:val="(%5)"/>
      <w:lvlJc w:val="left"/>
      <w:pPr>
        <w:ind w:left="3948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A2A67F4"/>
    <w:multiLevelType w:val="hybridMultilevel"/>
    <w:tmpl w:val="CEC2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A434D"/>
    <w:multiLevelType w:val="hybridMultilevel"/>
    <w:tmpl w:val="590E02B6"/>
    <w:lvl w:ilvl="0" w:tplc="69BA968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0120C3"/>
    <w:multiLevelType w:val="hybridMultilevel"/>
    <w:tmpl w:val="BCFEE99E"/>
    <w:lvl w:ilvl="0" w:tplc="F7369CFA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2C43C3"/>
    <w:multiLevelType w:val="hybridMultilevel"/>
    <w:tmpl w:val="9D0697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706ED"/>
    <w:multiLevelType w:val="hybridMultilevel"/>
    <w:tmpl w:val="DAA810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8702E"/>
    <w:multiLevelType w:val="hybridMultilevel"/>
    <w:tmpl w:val="ED30CAAE"/>
    <w:lvl w:ilvl="0" w:tplc="335CBE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461833"/>
    <w:multiLevelType w:val="hybridMultilevel"/>
    <w:tmpl w:val="1AEC276A"/>
    <w:lvl w:ilvl="0" w:tplc="179898C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9E0848"/>
    <w:multiLevelType w:val="hybridMultilevel"/>
    <w:tmpl w:val="DAEAF8B8"/>
    <w:lvl w:ilvl="0" w:tplc="501CD8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37C3A"/>
    <w:multiLevelType w:val="hybridMultilevel"/>
    <w:tmpl w:val="4B6615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BA968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4642F"/>
    <w:multiLevelType w:val="hybridMultilevel"/>
    <w:tmpl w:val="137A9F7C"/>
    <w:lvl w:ilvl="0" w:tplc="FA449F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A31AC3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1B6222"/>
    <w:multiLevelType w:val="hybridMultilevel"/>
    <w:tmpl w:val="9438B952"/>
    <w:lvl w:ilvl="0" w:tplc="E1BA4A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31AC3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A31AC32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0E5092"/>
    <w:multiLevelType w:val="hybridMultilevel"/>
    <w:tmpl w:val="8578BD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3603FD"/>
    <w:multiLevelType w:val="hybridMultilevel"/>
    <w:tmpl w:val="4900F434"/>
    <w:lvl w:ilvl="0" w:tplc="C8D8B1C0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56F8D"/>
    <w:multiLevelType w:val="hybridMultilevel"/>
    <w:tmpl w:val="AA540B08"/>
    <w:lvl w:ilvl="0" w:tplc="A31AC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34319D2"/>
    <w:multiLevelType w:val="hybridMultilevel"/>
    <w:tmpl w:val="97A0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F33C0"/>
    <w:multiLevelType w:val="hybridMultilevel"/>
    <w:tmpl w:val="356E47E4"/>
    <w:lvl w:ilvl="0" w:tplc="69BA9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12F2B"/>
    <w:multiLevelType w:val="hybridMultilevel"/>
    <w:tmpl w:val="A30802B0"/>
    <w:lvl w:ilvl="0" w:tplc="69BA9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069DF"/>
    <w:multiLevelType w:val="hybridMultilevel"/>
    <w:tmpl w:val="9E6E58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5A4464"/>
    <w:multiLevelType w:val="hybridMultilevel"/>
    <w:tmpl w:val="EA6A95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A96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BA968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291F71"/>
    <w:multiLevelType w:val="hybridMultilevel"/>
    <w:tmpl w:val="E0FA7D9C"/>
    <w:lvl w:ilvl="0" w:tplc="55F6447E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036B55"/>
    <w:multiLevelType w:val="hybridMultilevel"/>
    <w:tmpl w:val="E1841346"/>
    <w:lvl w:ilvl="0" w:tplc="921A996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4653AF"/>
    <w:multiLevelType w:val="hybridMultilevel"/>
    <w:tmpl w:val="A448EB04"/>
    <w:lvl w:ilvl="0" w:tplc="EEE67AD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2338D5"/>
    <w:multiLevelType w:val="hybridMultilevel"/>
    <w:tmpl w:val="8E2E234A"/>
    <w:lvl w:ilvl="0" w:tplc="0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16F31C0"/>
    <w:multiLevelType w:val="hybridMultilevel"/>
    <w:tmpl w:val="BCE65AEE"/>
    <w:lvl w:ilvl="0" w:tplc="D0142DCC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D3290F"/>
    <w:multiLevelType w:val="hybridMultilevel"/>
    <w:tmpl w:val="A4664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066FFD"/>
    <w:multiLevelType w:val="hybridMultilevel"/>
    <w:tmpl w:val="02AAA6C4"/>
    <w:lvl w:ilvl="0" w:tplc="E1BA4A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31AC3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A31AC32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7F2384"/>
    <w:multiLevelType w:val="hybridMultilevel"/>
    <w:tmpl w:val="91004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31093"/>
    <w:multiLevelType w:val="hybridMultilevel"/>
    <w:tmpl w:val="F730B5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CD6095"/>
    <w:multiLevelType w:val="hybridMultilevel"/>
    <w:tmpl w:val="FB50D9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F77358"/>
    <w:multiLevelType w:val="hybridMultilevel"/>
    <w:tmpl w:val="89364D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A21565"/>
    <w:multiLevelType w:val="hybridMultilevel"/>
    <w:tmpl w:val="09C074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AD320E"/>
    <w:multiLevelType w:val="hybridMultilevel"/>
    <w:tmpl w:val="222C6D42"/>
    <w:lvl w:ilvl="0" w:tplc="18A034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A154AE5"/>
    <w:multiLevelType w:val="hybridMultilevel"/>
    <w:tmpl w:val="566A82BE"/>
    <w:lvl w:ilvl="0" w:tplc="69BA9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B0A53"/>
    <w:multiLevelType w:val="hybridMultilevel"/>
    <w:tmpl w:val="25963E02"/>
    <w:lvl w:ilvl="0" w:tplc="179898C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5D7D0A"/>
    <w:multiLevelType w:val="hybridMultilevel"/>
    <w:tmpl w:val="44F853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A96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93370C"/>
    <w:multiLevelType w:val="hybridMultilevel"/>
    <w:tmpl w:val="E82EBDBA"/>
    <w:lvl w:ilvl="0" w:tplc="0AB2A1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DA0350E"/>
    <w:multiLevelType w:val="hybridMultilevel"/>
    <w:tmpl w:val="2340B9E2"/>
    <w:lvl w:ilvl="0" w:tplc="179898C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EE1BD0"/>
    <w:multiLevelType w:val="hybridMultilevel"/>
    <w:tmpl w:val="3226270A"/>
    <w:lvl w:ilvl="0" w:tplc="EEE67AD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14"/>
  </w:num>
  <w:num w:numId="3">
    <w:abstractNumId w:val="45"/>
  </w:num>
  <w:num w:numId="4">
    <w:abstractNumId w:val="15"/>
  </w:num>
  <w:num w:numId="5">
    <w:abstractNumId w:val="4"/>
  </w:num>
  <w:num w:numId="6">
    <w:abstractNumId w:val="44"/>
  </w:num>
  <w:num w:numId="7">
    <w:abstractNumId w:val="28"/>
  </w:num>
  <w:num w:numId="8">
    <w:abstractNumId w:val="18"/>
  </w:num>
  <w:num w:numId="9">
    <w:abstractNumId w:val="9"/>
  </w:num>
  <w:num w:numId="10">
    <w:abstractNumId w:val="11"/>
  </w:num>
  <w:num w:numId="11">
    <w:abstractNumId w:val="2"/>
  </w:num>
  <w:num w:numId="12">
    <w:abstractNumId w:val="27"/>
  </w:num>
  <w:num w:numId="13">
    <w:abstractNumId w:val="39"/>
  </w:num>
  <w:num w:numId="14">
    <w:abstractNumId w:val="3"/>
  </w:num>
  <w:num w:numId="15">
    <w:abstractNumId w:val="38"/>
  </w:num>
  <w:num w:numId="16">
    <w:abstractNumId w:val="34"/>
  </w:num>
  <w:num w:numId="17">
    <w:abstractNumId w:val="32"/>
  </w:num>
  <w:num w:numId="18">
    <w:abstractNumId w:val="40"/>
  </w:num>
  <w:num w:numId="19">
    <w:abstractNumId w:val="37"/>
  </w:num>
  <w:num w:numId="20">
    <w:abstractNumId w:val="21"/>
  </w:num>
  <w:num w:numId="21">
    <w:abstractNumId w:val="20"/>
  </w:num>
  <w:num w:numId="22">
    <w:abstractNumId w:val="35"/>
  </w:num>
  <w:num w:numId="23">
    <w:abstractNumId w:val="19"/>
  </w:num>
  <w:num w:numId="24">
    <w:abstractNumId w:val="13"/>
  </w:num>
  <w:num w:numId="25">
    <w:abstractNumId w:val="5"/>
  </w:num>
  <w:num w:numId="26">
    <w:abstractNumId w:val="23"/>
  </w:num>
  <w:num w:numId="27">
    <w:abstractNumId w:val="1"/>
  </w:num>
  <w:num w:numId="28">
    <w:abstractNumId w:val="24"/>
  </w:num>
  <w:num w:numId="29">
    <w:abstractNumId w:val="36"/>
  </w:num>
  <w:num w:numId="30">
    <w:abstractNumId w:val="10"/>
  </w:num>
  <w:num w:numId="31">
    <w:abstractNumId w:val="47"/>
  </w:num>
  <w:num w:numId="32">
    <w:abstractNumId w:val="29"/>
  </w:num>
  <w:num w:numId="33">
    <w:abstractNumId w:val="43"/>
  </w:num>
  <w:num w:numId="34">
    <w:abstractNumId w:val="6"/>
  </w:num>
  <w:num w:numId="35">
    <w:abstractNumId w:val="7"/>
  </w:num>
  <w:num w:numId="36">
    <w:abstractNumId w:val="16"/>
  </w:num>
  <w:num w:numId="37">
    <w:abstractNumId w:val="46"/>
  </w:num>
  <w:num w:numId="38">
    <w:abstractNumId w:val="42"/>
  </w:num>
  <w:num w:numId="39">
    <w:abstractNumId w:val="17"/>
  </w:num>
  <w:num w:numId="40">
    <w:abstractNumId w:val="8"/>
  </w:num>
  <w:num w:numId="41">
    <w:abstractNumId w:val="30"/>
  </w:num>
  <w:num w:numId="42">
    <w:abstractNumId w:val="12"/>
  </w:num>
  <w:num w:numId="43">
    <w:abstractNumId w:val="33"/>
  </w:num>
  <w:num w:numId="44">
    <w:abstractNumId w:val="22"/>
  </w:num>
  <w:num w:numId="45">
    <w:abstractNumId w:val="25"/>
  </w:num>
  <w:num w:numId="46">
    <w:abstractNumId w:val="31"/>
  </w:num>
  <w:num w:numId="47">
    <w:abstractNumId w:val="26"/>
  </w:num>
  <w:num w:numId="48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1D"/>
    <w:rsid w:val="0000162A"/>
    <w:rsid w:val="00002677"/>
    <w:rsid w:val="0000552E"/>
    <w:rsid w:val="00005AD0"/>
    <w:rsid w:val="00011DFC"/>
    <w:rsid w:val="00014097"/>
    <w:rsid w:val="00020F55"/>
    <w:rsid w:val="0002169C"/>
    <w:rsid w:val="00022478"/>
    <w:rsid w:val="000237ED"/>
    <w:rsid w:val="00027C9A"/>
    <w:rsid w:val="00035E13"/>
    <w:rsid w:val="00040A33"/>
    <w:rsid w:val="0004158F"/>
    <w:rsid w:val="00044AAB"/>
    <w:rsid w:val="00046D20"/>
    <w:rsid w:val="00050F84"/>
    <w:rsid w:val="0005380F"/>
    <w:rsid w:val="00053ACF"/>
    <w:rsid w:val="00054EF7"/>
    <w:rsid w:val="0005720E"/>
    <w:rsid w:val="00057CA9"/>
    <w:rsid w:val="000648F6"/>
    <w:rsid w:val="00066FBB"/>
    <w:rsid w:val="000739F4"/>
    <w:rsid w:val="00074924"/>
    <w:rsid w:val="00076E98"/>
    <w:rsid w:val="00077A1F"/>
    <w:rsid w:val="00082CAD"/>
    <w:rsid w:val="00082E00"/>
    <w:rsid w:val="00083FFD"/>
    <w:rsid w:val="00084193"/>
    <w:rsid w:val="00087673"/>
    <w:rsid w:val="0009305C"/>
    <w:rsid w:val="0009362E"/>
    <w:rsid w:val="00094198"/>
    <w:rsid w:val="000955CA"/>
    <w:rsid w:val="00096975"/>
    <w:rsid w:val="000A04CC"/>
    <w:rsid w:val="000A0782"/>
    <w:rsid w:val="000A27EE"/>
    <w:rsid w:val="000A3B97"/>
    <w:rsid w:val="000A47AB"/>
    <w:rsid w:val="000A67D4"/>
    <w:rsid w:val="000A68C6"/>
    <w:rsid w:val="000B43D7"/>
    <w:rsid w:val="000B631F"/>
    <w:rsid w:val="000B75F2"/>
    <w:rsid w:val="000C000F"/>
    <w:rsid w:val="000C4763"/>
    <w:rsid w:val="000C6613"/>
    <w:rsid w:val="000C6874"/>
    <w:rsid w:val="000C7F65"/>
    <w:rsid w:val="000D1B50"/>
    <w:rsid w:val="000D49B4"/>
    <w:rsid w:val="000D5B17"/>
    <w:rsid w:val="000E36EF"/>
    <w:rsid w:val="000E4F84"/>
    <w:rsid w:val="000E73BB"/>
    <w:rsid w:val="000F1908"/>
    <w:rsid w:val="000F313A"/>
    <w:rsid w:val="000F327E"/>
    <w:rsid w:val="000F38FC"/>
    <w:rsid w:val="000F7325"/>
    <w:rsid w:val="00100B0E"/>
    <w:rsid w:val="00101CCE"/>
    <w:rsid w:val="00111D8B"/>
    <w:rsid w:val="001123D6"/>
    <w:rsid w:val="00114915"/>
    <w:rsid w:val="00122E68"/>
    <w:rsid w:val="00123A55"/>
    <w:rsid w:val="00124600"/>
    <w:rsid w:val="001251B1"/>
    <w:rsid w:val="00126CBF"/>
    <w:rsid w:val="00131BDD"/>
    <w:rsid w:val="00132469"/>
    <w:rsid w:val="00133363"/>
    <w:rsid w:val="00134A0F"/>
    <w:rsid w:val="001373CC"/>
    <w:rsid w:val="00140012"/>
    <w:rsid w:val="00140345"/>
    <w:rsid w:val="001415D0"/>
    <w:rsid w:val="001437D1"/>
    <w:rsid w:val="001467CE"/>
    <w:rsid w:val="00147A25"/>
    <w:rsid w:val="001513E0"/>
    <w:rsid w:val="0015219A"/>
    <w:rsid w:val="001529FD"/>
    <w:rsid w:val="00154012"/>
    <w:rsid w:val="00154318"/>
    <w:rsid w:val="0015753A"/>
    <w:rsid w:val="00157914"/>
    <w:rsid w:val="001612F9"/>
    <w:rsid w:val="00162193"/>
    <w:rsid w:val="0016582A"/>
    <w:rsid w:val="00167CE7"/>
    <w:rsid w:val="00172004"/>
    <w:rsid w:val="001760FB"/>
    <w:rsid w:val="00177879"/>
    <w:rsid w:val="001801F7"/>
    <w:rsid w:val="001902DE"/>
    <w:rsid w:val="00191189"/>
    <w:rsid w:val="00191AF7"/>
    <w:rsid w:val="00192BE3"/>
    <w:rsid w:val="001A065B"/>
    <w:rsid w:val="001A0A78"/>
    <w:rsid w:val="001A41C0"/>
    <w:rsid w:val="001A7836"/>
    <w:rsid w:val="001B0BBB"/>
    <w:rsid w:val="001B2251"/>
    <w:rsid w:val="001B3062"/>
    <w:rsid w:val="001B4A93"/>
    <w:rsid w:val="001B5A59"/>
    <w:rsid w:val="001B6862"/>
    <w:rsid w:val="001B71DA"/>
    <w:rsid w:val="001B7D72"/>
    <w:rsid w:val="001C5377"/>
    <w:rsid w:val="001D1DCB"/>
    <w:rsid w:val="001D4BBE"/>
    <w:rsid w:val="001D7F0D"/>
    <w:rsid w:val="001E366B"/>
    <w:rsid w:val="001E5570"/>
    <w:rsid w:val="001E597E"/>
    <w:rsid w:val="001E5CE7"/>
    <w:rsid w:val="001E75EA"/>
    <w:rsid w:val="001E7EED"/>
    <w:rsid w:val="001F0D2F"/>
    <w:rsid w:val="001F2A54"/>
    <w:rsid w:val="001F2C1F"/>
    <w:rsid w:val="001F2CE2"/>
    <w:rsid w:val="001F6D0C"/>
    <w:rsid w:val="001F71C0"/>
    <w:rsid w:val="001F7E33"/>
    <w:rsid w:val="0020275D"/>
    <w:rsid w:val="002037E7"/>
    <w:rsid w:val="00203950"/>
    <w:rsid w:val="00204C5F"/>
    <w:rsid w:val="00206E31"/>
    <w:rsid w:val="00207E1F"/>
    <w:rsid w:val="00207F3D"/>
    <w:rsid w:val="00213DCC"/>
    <w:rsid w:val="00216B0E"/>
    <w:rsid w:val="0022244D"/>
    <w:rsid w:val="002248FB"/>
    <w:rsid w:val="00224CA4"/>
    <w:rsid w:val="00226E68"/>
    <w:rsid w:val="00227A56"/>
    <w:rsid w:val="00230B4A"/>
    <w:rsid w:val="00232E19"/>
    <w:rsid w:val="00235DA1"/>
    <w:rsid w:val="00241EBC"/>
    <w:rsid w:val="0024345C"/>
    <w:rsid w:val="00245A27"/>
    <w:rsid w:val="002503FB"/>
    <w:rsid w:val="0025306D"/>
    <w:rsid w:val="002568EF"/>
    <w:rsid w:val="002621B8"/>
    <w:rsid w:val="00262F45"/>
    <w:rsid w:val="002640CF"/>
    <w:rsid w:val="00265E25"/>
    <w:rsid w:val="00270F67"/>
    <w:rsid w:val="00271C2D"/>
    <w:rsid w:val="002763D9"/>
    <w:rsid w:val="00276CB1"/>
    <w:rsid w:val="00277136"/>
    <w:rsid w:val="0027788B"/>
    <w:rsid w:val="00281539"/>
    <w:rsid w:val="002829C7"/>
    <w:rsid w:val="002874AB"/>
    <w:rsid w:val="002900B5"/>
    <w:rsid w:val="0029064C"/>
    <w:rsid w:val="00292726"/>
    <w:rsid w:val="00296F39"/>
    <w:rsid w:val="00296FB1"/>
    <w:rsid w:val="002A012C"/>
    <w:rsid w:val="002A4395"/>
    <w:rsid w:val="002A6B3A"/>
    <w:rsid w:val="002B05D8"/>
    <w:rsid w:val="002B22C0"/>
    <w:rsid w:val="002B3842"/>
    <w:rsid w:val="002B403D"/>
    <w:rsid w:val="002B53EA"/>
    <w:rsid w:val="002B6C2F"/>
    <w:rsid w:val="002B70A9"/>
    <w:rsid w:val="002C51D8"/>
    <w:rsid w:val="002C6FAB"/>
    <w:rsid w:val="002C7F64"/>
    <w:rsid w:val="002D509E"/>
    <w:rsid w:val="002D785F"/>
    <w:rsid w:val="002E1C8A"/>
    <w:rsid w:val="002E293C"/>
    <w:rsid w:val="002E307C"/>
    <w:rsid w:val="002F2D56"/>
    <w:rsid w:val="002F2FC3"/>
    <w:rsid w:val="002F3089"/>
    <w:rsid w:val="002F3C22"/>
    <w:rsid w:val="002F411D"/>
    <w:rsid w:val="002F72D2"/>
    <w:rsid w:val="00302C9A"/>
    <w:rsid w:val="0030388B"/>
    <w:rsid w:val="00303E7E"/>
    <w:rsid w:val="003046F4"/>
    <w:rsid w:val="0030531D"/>
    <w:rsid w:val="003065BE"/>
    <w:rsid w:val="0030687F"/>
    <w:rsid w:val="00310A5B"/>
    <w:rsid w:val="00310F6A"/>
    <w:rsid w:val="00311086"/>
    <w:rsid w:val="003148C8"/>
    <w:rsid w:val="003154BB"/>
    <w:rsid w:val="00317376"/>
    <w:rsid w:val="00317B62"/>
    <w:rsid w:val="0032037C"/>
    <w:rsid w:val="003205C1"/>
    <w:rsid w:val="003216D3"/>
    <w:rsid w:val="00321B00"/>
    <w:rsid w:val="00321D9C"/>
    <w:rsid w:val="00322D6C"/>
    <w:rsid w:val="00323501"/>
    <w:rsid w:val="00323E52"/>
    <w:rsid w:val="003249EE"/>
    <w:rsid w:val="00326470"/>
    <w:rsid w:val="00326472"/>
    <w:rsid w:val="00326E12"/>
    <w:rsid w:val="00330C77"/>
    <w:rsid w:val="00333867"/>
    <w:rsid w:val="003346D0"/>
    <w:rsid w:val="00335645"/>
    <w:rsid w:val="00337422"/>
    <w:rsid w:val="003428A2"/>
    <w:rsid w:val="003434B0"/>
    <w:rsid w:val="0034726F"/>
    <w:rsid w:val="00351E60"/>
    <w:rsid w:val="003537B3"/>
    <w:rsid w:val="00353C03"/>
    <w:rsid w:val="00354455"/>
    <w:rsid w:val="00356343"/>
    <w:rsid w:val="00357A57"/>
    <w:rsid w:val="0036010B"/>
    <w:rsid w:val="00361505"/>
    <w:rsid w:val="0036199E"/>
    <w:rsid w:val="003620EC"/>
    <w:rsid w:val="003635AB"/>
    <w:rsid w:val="00363816"/>
    <w:rsid w:val="00363F12"/>
    <w:rsid w:val="00365B53"/>
    <w:rsid w:val="00365C88"/>
    <w:rsid w:val="00365FA4"/>
    <w:rsid w:val="0036604A"/>
    <w:rsid w:val="003705A5"/>
    <w:rsid w:val="00371824"/>
    <w:rsid w:val="00371957"/>
    <w:rsid w:val="00371AFF"/>
    <w:rsid w:val="00371FD1"/>
    <w:rsid w:val="0037291F"/>
    <w:rsid w:val="003749B1"/>
    <w:rsid w:val="00374CC4"/>
    <w:rsid w:val="00377190"/>
    <w:rsid w:val="003824FB"/>
    <w:rsid w:val="00383EDC"/>
    <w:rsid w:val="003849BC"/>
    <w:rsid w:val="00385ED9"/>
    <w:rsid w:val="00385F25"/>
    <w:rsid w:val="00386D3A"/>
    <w:rsid w:val="00391956"/>
    <w:rsid w:val="00392918"/>
    <w:rsid w:val="00392C9E"/>
    <w:rsid w:val="00397BFA"/>
    <w:rsid w:val="003A1BF3"/>
    <w:rsid w:val="003A48ED"/>
    <w:rsid w:val="003A61CE"/>
    <w:rsid w:val="003B0F0B"/>
    <w:rsid w:val="003B1E37"/>
    <w:rsid w:val="003B3E79"/>
    <w:rsid w:val="003B5D66"/>
    <w:rsid w:val="003B6AE1"/>
    <w:rsid w:val="003B755D"/>
    <w:rsid w:val="003B7D62"/>
    <w:rsid w:val="003C0565"/>
    <w:rsid w:val="003C350D"/>
    <w:rsid w:val="003C3EEB"/>
    <w:rsid w:val="003C3F5C"/>
    <w:rsid w:val="003C443F"/>
    <w:rsid w:val="003C50CB"/>
    <w:rsid w:val="003C5EB5"/>
    <w:rsid w:val="003D111B"/>
    <w:rsid w:val="003D1DDF"/>
    <w:rsid w:val="003D23D3"/>
    <w:rsid w:val="003D2F0B"/>
    <w:rsid w:val="003D7781"/>
    <w:rsid w:val="003E28F3"/>
    <w:rsid w:val="003E3553"/>
    <w:rsid w:val="003E3F45"/>
    <w:rsid w:val="003E5329"/>
    <w:rsid w:val="003E5DD8"/>
    <w:rsid w:val="003E6049"/>
    <w:rsid w:val="003E6544"/>
    <w:rsid w:val="003E699D"/>
    <w:rsid w:val="003F2525"/>
    <w:rsid w:val="003F59B2"/>
    <w:rsid w:val="003F5BC3"/>
    <w:rsid w:val="003F5BE2"/>
    <w:rsid w:val="003F5D4A"/>
    <w:rsid w:val="003F7228"/>
    <w:rsid w:val="0040080F"/>
    <w:rsid w:val="00401F93"/>
    <w:rsid w:val="00403BF6"/>
    <w:rsid w:val="004069E2"/>
    <w:rsid w:val="00406BCC"/>
    <w:rsid w:val="00411288"/>
    <w:rsid w:val="00412964"/>
    <w:rsid w:val="004142BE"/>
    <w:rsid w:val="0041442F"/>
    <w:rsid w:val="004201F7"/>
    <w:rsid w:val="00420C0A"/>
    <w:rsid w:val="00420C32"/>
    <w:rsid w:val="00420EFE"/>
    <w:rsid w:val="00421234"/>
    <w:rsid w:val="00423633"/>
    <w:rsid w:val="004243F8"/>
    <w:rsid w:val="00430F1E"/>
    <w:rsid w:val="00432C9E"/>
    <w:rsid w:val="0043352E"/>
    <w:rsid w:val="00436F9F"/>
    <w:rsid w:val="00441194"/>
    <w:rsid w:val="0044134C"/>
    <w:rsid w:val="00441951"/>
    <w:rsid w:val="00441BBA"/>
    <w:rsid w:val="00444F8B"/>
    <w:rsid w:val="00451FC7"/>
    <w:rsid w:val="004529B6"/>
    <w:rsid w:val="00453270"/>
    <w:rsid w:val="00456257"/>
    <w:rsid w:val="0045657F"/>
    <w:rsid w:val="004611AD"/>
    <w:rsid w:val="00462F33"/>
    <w:rsid w:val="00463DED"/>
    <w:rsid w:val="00464A18"/>
    <w:rsid w:val="00466DD5"/>
    <w:rsid w:val="00466F8E"/>
    <w:rsid w:val="00470180"/>
    <w:rsid w:val="00475692"/>
    <w:rsid w:val="00476089"/>
    <w:rsid w:val="00483E6E"/>
    <w:rsid w:val="00492064"/>
    <w:rsid w:val="0049233C"/>
    <w:rsid w:val="004965AD"/>
    <w:rsid w:val="0049688B"/>
    <w:rsid w:val="00497237"/>
    <w:rsid w:val="004A1BBB"/>
    <w:rsid w:val="004A26B8"/>
    <w:rsid w:val="004A2BE3"/>
    <w:rsid w:val="004A2FA8"/>
    <w:rsid w:val="004A6A52"/>
    <w:rsid w:val="004B0337"/>
    <w:rsid w:val="004B07E4"/>
    <w:rsid w:val="004B423E"/>
    <w:rsid w:val="004B4766"/>
    <w:rsid w:val="004B5213"/>
    <w:rsid w:val="004B7319"/>
    <w:rsid w:val="004C2E32"/>
    <w:rsid w:val="004C36DE"/>
    <w:rsid w:val="004C4198"/>
    <w:rsid w:val="004C4DB8"/>
    <w:rsid w:val="004C52CF"/>
    <w:rsid w:val="004C5A82"/>
    <w:rsid w:val="004D0CB3"/>
    <w:rsid w:val="004D1F46"/>
    <w:rsid w:val="004D3459"/>
    <w:rsid w:val="004D52A8"/>
    <w:rsid w:val="004D5AFE"/>
    <w:rsid w:val="004D5F64"/>
    <w:rsid w:val="004D7498"/>
    <w:rsid w:val="004D77C9"/>
    <w:rsid w:val="004D7E5C"/>
    <w:rsid w:val="004E00A9"/>
    <w:rsid w:val="004E07F1"/>
    <w:rsid w:val="004E18C5"/>
    <w:rsid w:val="004E1999"/>
    <w:rsid w:val="004E250D"/>
    <w:rsid w:val="004E444F"/>
    <w:rsid w:val="004E4481"/>
    <w:rsid w:val="004E4667"/>
    <w:rsid w:val="004E47A0"/>
    <w:rsid w:val="004F2153"/>
    <w:rsid w:val="004F22D4"/>
    <w:rsid w:val="004F746A"/>
    <w:rsid w:val="005020F6"/>
    <w:rsid w:val="005053A9"/>
    <w:rsid w:val="0050696A"/>
    <w:rsid w:val="00507D90"/>
    <w:rsid w:val="005120E3"/>
    <w:rsid w:val="005139FC"/>
    <w:rsid w:val="0051404D"/>
    <w:rsid w:val="005141DB"/>
    <w:rsid w:val="00515037"/>
    <w:rsid w:val="00516E56"/>
    <w:rsid w:val="00517FE1"/>
    <w:rsid w:val="00520290"/>
    <w:rsid w:val="005205F0"/>
    <w:rsid w:val="00520CC0"/>
    <w:rsid w:val="00526563"/>
    <w:rsid w:val="00533E4A"/>
    <w:rsid w:val="00535ADE"/>
    <w:rsid w:val="0053602D"/>
    <w:rsid w:val="005360F7"/>
    <w:rsid w:val="005414EC"/>
    <w:rsid w:val="00541DA0"/>
    <w:rsid w:val="00542700"/>
    <w:rsid w:val="005430F5"/>
    <w:rsid w:val="005445B6"/>
    <w:rsid w:val="00547500"/>
    <w:rsid w:val="0055161E"/>
    <w:rsid w:val="005524A3"/>
    <w:rsid w:val="005541E8"/>
    <w:rsid w:val="00554AD4"/>
    <w:rsid w:val="00555E97"/>
    <w:rsid w:val="005578B8"/>
    <w:rsid w:val="00561E06"/>
    <w:rsid w:val="005671DD"/>
    <w:rsid w:val="0057148D"/>
    <w:rsid w:val="005717D2"/>
    <w:rsid w:val="0057183A"/>
    <w:rsid w:val="005724D0"/>
    <w:rsid w:val="0057371C"/>
    <w:rsid w:val="00574596"/>
    <w:rsid w:val="00575D33"/>
    <w:rsid w:val="0058147C"/>
    <w:rsid w:val="00582A00"/>
    <w:rsid w:val="00587338"/>
    <w:rsid w:val="00590EFD"/>
    <w:rsid w:val="005914B4"/>
    <w:rsid w:val="00592289"/>
    <w:rsid w:val="005963D1"/>
    <w:rsid w:val="005A0292"/>
    <w:rsid w:val="005A2386"/>
    <w:rsid w:val="005A29C5"/>
    <w:rsid w:val="005A2EEB"/>
    <w:rsid w:val="005A37A1"/>
    <w:rsid w:val="005A43C3"/>
    <w:rsid w:val="005A6AAD"/>
    <w:rsid w:val="005B09B2"/>
    <w:rsid w:val="005B257E"/>
    <w:rsid w:val="005B2ABE"/>
    <w:rsid w:val="005B2D4F"/>
    <w:rsid w:val="005B38AA"/>
    <w:rsid w:val="005B4D19"/>
    <w:rsid w:val="005B7E63"/>
    <w:rsid w:val="005C0A03"/>
    <w:rsid w:val="005C2576"/>
    <w:rsid w:val="005C2DF0"/>
    <w:rsid w:val="005C390A"/>
    <w:rsid w:val="005C6BBB"/>
    <w:rsid w:val="005C7779"/>
    <w:rsid w:val="005D04D0"/>
    <w:rsid w:val="005D26F1"/>
    <w:rsid w:val="005D33BC"/>
    <w:rsid w:val="005D380C"/>
    <w:rsid w:val="005D46FE"/>
    <w:rsid w:val="005D479A"/>
    <w:rsid w:val="005D51FF"/>
    <w:rsid w:val="005D58C8"/>
    <w:rsid w:val="005E04D9"/>
    <w:rsid w:val="005E1B15"/>
    <w:rsid w:val="005E5D9F"/>
    <w:rsid w:val="005E7011"/>
    <w:rsid w:val="005E7DEB"/>
    <w:rsid w:val="005F13A0"/>
    <w:rsid w:val="005F315B"/>
    <w:rsid w:val="005F32C6"/>
    <w:rsid w:val="005F3D7C"/>
    <w:rsid w:val="005F4048"/>
    <w:rsid w:val="005F5C06"/>
    <w:rsid w:val="00600A53"/>
    <w:rsid w:val="006025DB"/>
    <w:rsid w:val="00602BDC"/>
    <w:rsid w:val="00603B39"/>
    <w:rsid w:val="006061EB"/>
    <w:rsid w:val="00606E0B"/>
    <w:rsid w:val="006072B9"/>
    <w:rsid w:val="006074A1"/>
    <w:rsid w:val="00607EE3"/>
    <w:rsid w:val="00612F93"/>
    <w:rsid w:val="006147AA"/>
    <w:rsid w:val="00616B46"/>
    <w:rsid w:val="006179C0"/>
    <w:rsid w:val="006220BC"/>
    <w:rsid w:val="00623486"/>
    <w:rsid w:val="0063063E"/>
    <w:rsid w:val="006322B4"/>
    <w:rsid w:val="006342E5"/>
    <w:rsid w:val="00635A55"/>
    <w:rsid w:val="00636740"/>
    <w:rsid w:val="00637DDE"/>
    <w:rsid w:val="00642691"/>
    <w:rsid w:val="00643183"/>
    <w:rsid w:val="006507E4"/>
    <w:rsid w:val="00651644"/>
    <w:rsid w:val="00652BA9"/>
    <w:rsid w:val="00654345"/>
    <w:rsid w:val="00655FA5"/>
    <w:rsid w:val="00656759"/>
    <w:rsid w:val="006576D1"/>
    <w:rsid w:val="00663D09"/>
    <w:rsid w:val="00663DF7"/>
    <w:rsid w:val="0066724B"/>
    <w:rsid w:val="006678BA"/>
    <w:rsid w:val="00667DB3"/>
    <w:rsid w:val="0067046D"/>
    <w:rsid w:val="00670719"/>
    <w:rsid w:val="006751A8"/>
    <w:rsid w:val="00680CA7"/>
    <w:rsid w:val="00681054"/>
    <w:rsid w:val="0068189B"/>
    <w:rsid w:val="00682D17"/>
    <w:rsid w:val="006859A7"/>
    <w:rsid w:val="00686D7C"/>
    <w:rsid w:val="00687A90"/>
    <w:rsid w:val="00687B83"/>
    <w:rsid w:val="00690E68"/>
    <w:rsid w:val="00691252"/>
    <w:rsid w:val="00691EF4"/>
    <w:rsid w:val="00692562"/>
    <w:rsid w:val="00692696"/>
    <w:rsid w:val="0069477D"/>
    <w:rsid w:val="006949B7"/>
    <w:rsid w:val="0069672D"/>
    <w:rsid w:val="006971B6"/>
    <w:rsid w:val="006A215F"/>
    <w:rsid w:val="006A43F6"/>
    <w:rsid w:val="006A5EF3"/>
    <w:rsid w:val="006A68FB"/>
    <w:rsid w:val="006A7CF2"/>
    <w:rsid w:val="006B0D67"/>
    <w:rsid w:val="006B3DCB"/>
    <w:rsid w:val="006B4DB7"/>
    <w:rsid w:val="006B50C8"/>
    <w:rsid w:val="006B58A0"/>
    <w:rsid w:val="006C1A58"/>
    <w:rsid w:val="006C219E"/>
    <w:rsid w:val="006C3CEF"/>
    <w:rsid w:val="006C3E6F"/>
    <w:rsid w:val="006C5D94"/>
    <w:rsid w:val="006C5F2A"/>
    <w:rsid w:val="006C6198"/>
    <w:rsid w:val="006C6E71"/>
    <w:rsid w:val="006C7206"/>
    <w:rsid w:val="006C7604"/>
    <w:rsid w:val="006D06FE"/>
    <w:rsid w:val="006D0B69"/>
    <w:rsid w:val="006D2FA0"/>
    <w:rsid w:val="006D30DD"/>
    <w:rsid w:val="006D52CD"/>
    <w:rsid w:val="006D5569"/>
    <w:rsid w:val="006D611E"/>
    <w:rsid w:val="006D68FB"/>
    <w:rsid w:val="006D751F"/>
    <w:rsid w:val="006E0222"/>
    <w:rsid w:val="006E179B"/>
    <w:rsid w:val="006E35ED"/>
    <w:rsid w:val="006E44A2"/>
    <w:rsid w:val="006E6E1C"/>
    <w:rsid w:val="006F105E"/>
    <w:rsid w:val="00700393"/>
    <w:rsid w:val="00700C91"/>
    <w:rsid w:val="00702A8F"/>
    <w:rsid w:val="007037C5"/>
    <w:rsid w:val="00703915"/>
    <w:rsid w:val="007052EB"/>
    <w:rsid w:val="007053D9"/>
    <w:rsid w:val="007060C1"/>
    <w:rsid w:val="00707647"/>
    <w:rsid w:val="00707B80"/>
    <w:rsid w:val="00710596"/>
    <w:rsid w:val="00711556"/>
    <w:rsid w:val="00711CF6"/>
    <w:rsid w:val="007122CC"/>
    <w:rsid w:val="00712320"/>
    <w:rsid w:val="00712871"/>
    <w:rsid w:val="00712E79"/>
    <w:rsid w:val="00713196"/>
    <w:rsid w:val="00713236"/>
    <w:rsid w:val="00715D21"/>
    <w:rsid w:val="00716770"/>
    <w:rsid w:val="00722BFE"/>
    <w:rsid w:val="0072350E"/>
    <w:rsid w:val="00724D68"/>
    <w:rsid w:val="007257A2"/>
    <w:rsid w:val="00725EC7"/>
    <w:rsid w:val="0072783E"/>
    <w:rsid w:val="00730498"/>
    <w:rsid w:val="00731034"/>
    <w:rsid w:val="00731269"/>
    <w:rsid w:val="00733544"/>
    <w:rsid w:val="00734C12"/>
    <w:rsid w:val="00735187"/>
    <w:rsid w:val="007368E9"/>
    <w:rsid w:val="00737618"/>
    <w:rsid w:val="0074493D"/>
    <w:rsid w:val="00746DCC"/>
    <w:rsid w:val="00747944"/>
    <w:rsid w:val="00754173"/>
    <w:rsid w:val="00755D4C"/>
    <w:rsid w:val="007572B5"/>
    <w:rsid w:val="007607F8"/>
    <w:rsid w:val="00763871"/>
    <w:rsid w:val="007656F2"/>
    <w:rsid w:val="0077028B"/>
    <w:rsid w:val="00772BE0"/>
    <w:rsid w:val="007754DC"/>
    <w:rsid w:val="00775687"/>
    <w:rsid w:val="00775F3C"/>
    <w:rsid w:val="0078425B"/>
    <w:rsid w:val="00784E13"/>
    <w:rsid w:val="0078538F"/>
    <w:rsid w:val="007876FC"/>
    <w:rsid w:val="0079545A"/>
    <w:rsid w:val="0079761C"/>
    <w:rsid w:val="007A2EBF"/>
    <w:rsid w:val="007A322D"/>
    <w:rsid w:val="007A338E"/>
    <w:rsid w:val="007A4627"/>
    <w:rsid w:val="007A46C3"/>
    <w:rsid w:val="007A4DF6"/>
    <w:rsid w:val="007A5EA1"/>
    <w:rsid w:val="007A627B"/>
    <w:rsid w:val="007A696F"/>
    <w:rsid w:val="007A70C0"/>
    <w:rsid w:val="007B4285"/>
    <w:rsid w:val="007B671D"/>
    <w:rsid w:val="007C0089"/>
    <w:rsid w:val="007C1A43"/>
    <w:rsid w:val="007C30C1"/>
    <w:rsid w:val="007D16AF"/>
    <w:rsid w:val="007D27DD"/>
    <w:rsid w:val="007D470B"/>
    <w:rsid w:val="007D6973"/>
    <w:rsid w:val="007D77BC"/>
    <w:rsid w:val="007E097A"/>
    <w:rsid w:val="007E1114"/>
    <w:rsid w:val="007E243A"/>
    <w:rsid w:val="007E2B0B"/>
    <w:rsid w:val="007E58AC"/>
    <w:rsid w:val="007E729A"/>
    <w:rsid w:val="007F0AC4"/>
    <w:rsid w:val="007F312B"/>
    <w:rsid w:val="007F3517"/>
    <w:rsid w:val="007F377B"/>
    <w:rsid w:val="007F6848"/>
    <w:rsid w:val="0080231D"/>
    <w:rsid w:val="0080375B"/>
    <w:rsid w:val="00803A1B"/>
    <w:rsid w:val="00810F6A"/>
    <w:rsid w:val="008121C9"/>
    <w:rsid w:val="00814A33"/>
    <w:rsid w:val="008151B8"/>
    <w:rsid w:val="00815833"/>
    <w:rsid w:val="00815E27"/>
    <w:rsid w:val="008166D4"/>
    <w:rsid w:val="0082137A"/>
    <w:rsid w:val="00823302"/>
    <w:rsid w:val="008236D2"/>
    <w:rsid w:val="00832B5B"/>
    <w:rsid w:val="00833D4C"/>
    <w:rsid w:val="00841882"/>
    <w:rsid w:val="00841A27"/>
    <w:rsid w:val="00841FB0"/>
    <w:rsid w:val="008460D9"/>
    <w:rsid w:val="00846586"/>
    <w:rsid w:val="00846EF3"/>
    <w:rsid w:val="008501E6"/>
    <w:rsid w:val="00850387"/>
    <w:rsid w:val="00850AD7"/>
    <w:rsid w:val="0085750B"/>
    <w:rsid w:val="00860A2F"/>
    <w:rsid w:val="00863D2E"/>
    <w:rsid w:val="00864841"/>
    <w:rsid w:val="00865D2D"/>
    <w:rsid w:val="0087295B"/>
    <w:rsid w:val="008744B5"/>
    <w:rsid w:val="00874B83"/>
    <w:rsid w:val="00876717"/>
    <w:rsid w:val="00881AC2"/>
    <w:rsid w:val="00884CAE"/>
    <w:rsid w:val="008855AA"/>
    <w:rsid w:val="00885799"/>
    <w:rsid w:val="008913BB"/>
    <w:rsid w:val="00891744"/>
    <w:rsid w:val="00891792"/>
    <w:rsid w:val="00894397"/>
    <w:rsid w:val="00896D8A"/>
    <w:rsid w:val="008A3343"/>
    <w:rsid w:val="008A380E"/>
    <w:rsid w:val="008A40E4"/>
    <w:rsid w:val="008A564E"/>
    <w:rsid w:val="008A70A4"/>
    <w:rsid w:val="008A76B8"/>
    <w:rsid w:val="008B038B"/>
    <w:rsid w:val="008B26D0"/>
    <w:rsid w:val="008B4FDB"/>
    <w:rsid w:val="008B5414"/>
    <w:rsid w:val="008B69A7"/>
    <w:rsid w:val="008C2992"/>
    <w:rsid w:val="008C346B"/>
    <w:rsid w:val="008C55D1"/>
    <w:rsid w:val="008C576D"/>
    <w:rsid w:val="008C6D40"/>
    <w:rsid w:val="008D1666"/>
    <w:rsid w:val="008D281D"/>
    <w:rsid w:val="008D2EA6"/>
    <w:rsid w:val="008D407B"/>
    <w:rsid w:val="008D4869"/>
    <w:rsid w:val="008D4F1A"/>
    <w:rsid w:val="008D5434"/>
    <w:rsid w:val="008D6A18"/>
    <w:rsid w:val="008E0362"/>
    <w:rsid w:val="008E1A07"/>
    <w:rsid w:val="008E4C5B"/>
    <w:rsid w:val="008F4487"/>
    <w:rsid w:val="008F4539"/>
    <w:rsid w:val="008F6D27"/>
    <w:rsid w:val="008F7E75"/>
    <w:rsid w:val="00900173"/>
    <w:rsid w:val="009017B6"/>
    <w:rsid w:val="00911D37"/>
    <w:rsid w:val="00911F03"/>
    <w:rsid w:val="00914282"/>
    <w:rsid w:val="009144D2"/>
    <w:rsid w:val="00916446"/>
    <w:rsid w:val="00924333"/>
    <w:rsid w:val="00924EA0"/>
    <w:rsid w:val="009267CE"/>
    <w:rsid w:val="0093157D"/>
    <w:rsid w:val="00931870"/>
    <w:rsid w:val="009333B5"/>
    <w:rsid w:val="00933A11"/>
    <w:rsid w:val="00933B0B"/>
    <w:rsid w:val="00933FAE"/>
    <w:rsid w:val="00934340"/>
    <w:rsid w:val="00935F9A"/>
    <w:rsid w:val="0093646B"/>
    <w:rsid w:val="00937A3C"/>
    <w:rsid w:val="00937D13"/>
    <w:rsid w:val="00940A30"/>
    <w:rsid w:val="00941369"/>
    <w:rsid w:val="0094661D"/>
    <w:rsid w:val="00947C0A"/>
    <w:rsid w:val="00950C34"/>
    <w:rsid w:val="009511A0"/>
    <w:rsid w:val="009525A4"/>
    <w:rsid w:val="009529C1"/>
    <w:rsid w:val="00954480"/>
    <w:rsid w:val="00956A74"/>
    <w:rsid w:val="0096694F"/>
    <w:rsid w:val="00967AD9"/>
    <w:rsid w:val="0097103F"/>
    <w:rsid w:val="009723AF"/>
    <w:rsid w:val="009728C3"/>
    <w:rsid w:val="00973FF6"/>
    <w:rsid w:val="00984A92"/>
    <w:rsid w:val="00985AB9"/>
    <w:rsid w:val="00986EBE"/>
    <w:rsid w:val="00992251"/>
    <w:rsid w:val="009943CA"/>
    <w:rsid w:val="009A10DB"/>
    <w:rsid w:val="009A164E"/>
    <w:rsid w:val="009A1D89"/>
    <w:rsid w:val="009A4869"/>
    <w:rsid w:val="009A5E5C"/>
    <w:rsid w:val="009A76C3"/>
    <w:rsid w:val="009B31B6"/>
    <w:rsid w:val="009B45E6"/>
    <w:rsid w:val="009B549E"/>
    <w:rsid w:val="009B5A8E"/>
    <w:rsid w:val="009B630B"/>
    <w:rsid w:val="009C375C"/>
    <w:rsid w:val="009C7DB2"/>
    <w:rsid w:val="009D0371"/>
    <w:rsid w:val="009D0ED8"/>
    <w:rsid w:val="009D18AC"/>
    <w:rsid w:val="009D46F5"/>
    <w:rsid w:val="009D55A7"/>
    <w:rsid w:val="009E27C2"/>
    <w:rsid w:val="009E5F60"/>
    <w:rsid w:val="009F1EF7"/>
    <w:rsid w:val="009F2A69"/>
    <w:rsid w:val="009F7B4D"/>
    <w:rsid w:val="00A00A2E"/>
    <w:rsid w:val="00A03FAC"/>
    <w:rsid w:val="00A05A64"/>
    <w:rsid w:val="00A06C83"/>
    <w:rsid w:val="00A127D2"/>
    <w:rsid w:val="00A12A34"/>
    <w:rsid w:val="00A13166"/>
    <w:rsid w:val="00A148B4"/>
    <w:rsid w:val="00A167BD"/>
    <w:rsid w:val="00A17A1E"/>
    <w:rsid w:val="00A22D0E"/>
    <w:rsid w:val="00A22F54"/>
    <w:rsid w:val="00A23E0E"/>
    <w:rsid w:val="00A2626A"/>
    <w:rsid w:val="00A271C6"/>
    <w:rsid w:val="00A275AC"/>
    <w:rsid w:val="00A32E13"/>
    <w:rsid w:val="00A35E63"/>
    <w:rsid w:val="00A45ACD"/>
    <w:rsid w:val="00A51667"/>
    <w:rsid w:val="00A5227F"/>
    <w:rsid w:val="00A5558B"/>
    <w:rsid w:val="00A571A4"/>
    <w:rsid w:val="00A60EC6"/>
    <w:rsid w:val="00A62ED7"/>
    <w:rsid w:val="00A63692"/>
    <w:rsid w:val="00A64E57"/>
    <w:rsid w:val="00A73E09"/>
    <w:rsid w:val="00A742F1"/>
    <w:rsid w:val="00A75C99"/>
    <w:rsid w:val="00A76478"/>
    <w:rsid w:val="00A86504"/>
    <w:rsid w:val="00A8656C"/>
    <w:rsid w:val="00A947F9"/>
    <w:rsid w:val="00A95AB4"/>
    <w:rsid w:val="00A95D27"/>
    <w:rsid w:val="00A96BBC"/>
    <w:rsid w:val="00AA1306"/>
    <w:rsid w:val="00AA547D"/>
    <w:rsid w:val="00AA596F"/>
    <w:rsid w:val="00AA7129"/>
    <w:rsid w:val="00AB4ECE"/>
    <w:rsid w:val="00AB6257"/>
    <w:rsid w:val="00AB63A5"/>
    <w:rsid w:val="00AB69D9"/>
    <w:rsid w:val="00AC002B"/>
    <w:rsid w:val="00AC4D46"/>
    <w:rsid w:val="00AD2BA6"/>
    <w:rsid w:val="00AD2F77"/>
    <w:rsid w:val="00AD4991"/>
    <w:rsid w:val="00AD4CFD"/>
    <w:rsid w:val="00AD5410"/>
    <w:rsid w:val="00AD7D38"/>
    <w:rsid w:val="00AE24CA"/>
    <w:rsid w:val="00AE3BB2"/>
    <w:rsid w:val="00AE4937"/>
    <w:rsid w:val="00AE55B6"/>
    <w:rsid w:val="00AE56A0"/>
    <w:rsid w:val="00AE5753"/>
    <w:rsid w:val="00AE6A66"/>
    <w:rsid w:val="00AE6CCB"/>
    <w:rsid w:val="00AE78D8"/>
    <w:rsid w:val="00AF154A"/>
    <w:rsid w:val="00AF2C85"/>
    <w:rsid w:val="00AF450A"/>
    <w:rsid w:val="00AF6735"/>
    <w:rsid w:val="00AF67B9"/>
    <w:rsid w:val="00B00119"/>
    <w:rsid w:val="00B01D00"/>
    <w:rsid w:val="00B02F43"/>
    <w:rsid w:val="00B038AB"/>
    <w:rsid w:val="00B0645C"/>
    <w:rsid w:val="00B065EA"/>
    <w:rsid w:val="00B076BE"/>
    <w:rsid w:val="00B11226"/>
    <w:rsid w:val="00B1143B"/>
    <w:rsid w:val="00B11B3F"/>
    <w:rsid w:val="00B1318F"/>
    <w:rsid w:val="00B133E9"/>
    <w:rsid w:val="00B14105"/>
    <w:rsid w:val="00B14AF4"/>
    <w:rsid w:val="00B1503C"/>
    <w:rsid w:val="00B15CBE"/>
    <w:rsid w:val="00B166B8"/>
    <w:rsid w:val="00B17580"/>
    <w:rsid w:val="00B179D8"/>
    <w:rsid w:val="00B17C27"/>
    <w:rsid w:val="00B20B06"/>
    <w:rsid w:val="00B241CF"/>
    <w:rsid w:val="00B24202"/>
    <w:rsid w:val="00B2449F"/>
    <w:rsid w:val="00B2495F"/>
    <w:rsid w:val="00B26537"/>
    <w:rsid w:val="00B30C49"/>
    <w:rsid w:val="00B32F76"/>
    <w:rsid w:val="00B3344D"/>
    <w:rsid w:val="00B33A00"/>
    <w:rsid w:val="00B3433B"/>
    <w:rsid w:val="00B34ECE"/>
    <w:rsid w:val="00B3520C"/>
    <w:rsid w:val="00B35E03"/>
    <w:rsid w:val="00B36180"/>
    <w:rsid w:val="00B37693"/>
    <w:rsid w:val="00B3776E"/>
    <w:rsid w:val="00B37ABB"/>
    <w:rsid w:val="00B406A0"/>
    <w:rsid w:val="00B40E6B"/>
    <w:rsid w:val="00B41849"/>
    <w:rsid w:val="00B42753"/>
    <w:rsid w:val="00B42BAD"/>
    <w:rsid w:val="00B42E44"/>
    <w:rsid w:val="00B44525"/>
    <w:rsid w:val="00B45DD4"/>
    <w:rsid w:val="00B4606D"/>
    <w:rsid w:val="00B46340"/>
    <w:rsid w:val="00B47312"/>
    <w:rsid w:val="00B50FE3"/>
    <w:rsid w:val="00B5221C"/>
    <w:rsid w:val="00B52432"/>
    <w:rsid w:val="00B53698"/>
    <w:rsid w:val="00B547E2"/>
    <w:rsid w:val="00B55294"/>
    <w:rsid w:val="00B567B9"/>
    <w:rsid w:val="00B56C52"/>
    <w:rsid w:val="00B60199"/>
    <w:rsid w:val="00B6177B"/>
    <w:rsid w:val="00B65543"/>
    <w:rsid w:val="00B65FAE"/>
    <w:rsid w:val="00B67CE0"/>
    <w:rsid w:val="00B701A2"/>
    <w:rsid w:val="00B8113A"/>
    <w:rsid w:val="00B8310B"/>
    <w:rsid w:val="00B87531"/>
    <w:rsid w:val="00B90413"/>
    <w:rsid w:val="00B92BB6"/>
    <w:rsid w:val="00B94267"/>
    <w:rsid w:val="00B96EEC"/>
    <w:rsid w:val="00BA0490"/>
    <w:rsid w:val="00BA0EE7"/>
    <w:rsid w:val="00BA10F0"/>
    <w:rsid w:val="00BA2A0E"/>
    <w:rsid w:val="00BA7535"/>
    <w:rsid w:val="00BA7F03"/>
    <w:rsid w:val="00BB1D92"/>
    <w:rsid w:val="00BB2452"/>
    <w:rsid w:val="00BB3A61"/>
    <w:rsid w:val="00BB4528"/>
    <w:rsid w:val="00BB57BB"/>
    <w:rsid w:val="00BB7585"/>
    <w:rsid w:val="00BC754C"/>
    <w:rsid w:val="00BD3C7F"/>
    <w:rsid w:val="00BD3E00"/>
    <w:rsid w:val="00BD5D4F"/>
    <w:rsid w:val="00BD60A6"/>
    <w:rsid w:val="00BD7369"/>
    <w:rsid w:val="00BE1319"/>
    <w:rsid w:val="00BE1F60"/>
    <w:rsid w:val="00BE2325"/>
    <w:rsid w:val="00BE2694"/>
    <w:rsid w:val="00BE6465"/>
    <w:rsid w:val="00BF012C"/>
    <w:rsid w:val="00BF0B13"/>
    <w:rsid w:val="00BF2643"/>
    <w:rsid w:val="00BF2FC7"/>
    <w:rsid w:val="00BF32E7"/>
    <w:rsid w:val="00BF38C4"/>
    <w:rsid w:val="00BF4C87"/>
    <w:rsid w:val="00BF5397"/>
    <w:rsid w:val="00BF5F06"/>
    <w:rsid w:val="00C02CAB"/>
    <w:rsid w:val="00C0453D"/>
    <w:rsid w:val="00C04D40"/>
    <w:rsid w:val="00C05EA7"/>
    <w:rsid w:val="00C06262"/>
    <w:rsid w:val="00C106E4"/>
    <w:rsid w:val="00C118C7"/>
    <w:rsid w:val="00C11B76"/>
    <w:rsid w:val="00C12384"/>
    <w:rsid w:val="00C149DF"/>
    <w:rsid w:val="00C14A27"/>
    <w:rsid w:val="00C17039"/>
    <w:rsid w:val="00C20917"/>
    <w:rsid w:val="00C20CD9"/>
    <w:rsid w:val="00C21545"/>
    <w:rsid w:val="00C219F9"/>
    <w:rsid w:val="00C21A53"/>
    <w:rsid w:val="00C21FE2"/>
    <w:rsid w:val="00C22EAF"/>
    <w:rsid w:val="00C23956"/>
    <w:rsid w:val="00C24234"/>
    <w:rsid w:val="00C246A6"/>
    <w:rsid w:val="00C248B7"/>
    <w:rsid w:val="00C278BE"/>
    <w:rsid w:val="00C30F79"/>
    <w:rsid w:val="00C322B6"/>
    <w:rsid w:val="00C3522A"/>
    <w:rsid w:val="00C36379"/>
    <w:rsid w:val="00C412A4"/>
    <w:rsid w:val="00C41EC4"/>
    <w:rsid w:val="00C42301"/>
    <w:rsid w:val="00C44376"/>
    <w:rsid w:val="00C44AEC"/>
    <w:rsid w:val="00C45311"/>
    <w:rsid w:val="00C46739"/>
    <w:rsid w:val="00C54048"/>
    <w:rsid w:val="00C55BE8"/>
    <w:rsid w:val="00C56131"/>
    <w:rsid w:val="00C5701E"/>
    <w:rsid w:val="00C65D59"/>
    <w:rsid w:val="00C71A50"/>
    <w:rsid w:val="00C74CA5"/>
    <w:rsid w:val="00C75E8C"/>
    <w:rsid w:val="00C76E24"/>
    <w:rsid w:val="00C81030"/>
    <w:rsid w:val="00C81B38"/>
    <w:rsid w:val="00C81DDF"/>
    <w:rsid w:val="00C8332A"/>
    <w:rsid w:val="00C8398F"/>
    <w:rsid w:val="00C848D4"/>
    <w:rsid w:val="00C8528D"/>
    <w:rsid w:val="00C86F92"/>
    <w:rsid w:val="00C92415"/>
    <w:rsid w:val="00C93A6C"/>
    <w:rsid w:val="00C93E14"/>
    <w:rsid w:val="00C95319"/>
    <w:rsid w:val="00C96DA9"/>
    <w:rsid w:val="00CA06FB"/>
    <w:rsid w:val="00CA0B1A"/>
    <w:rsid w:val="00CA10A1"/>
    <w:rsid w:val="00CA1575"/>
    <w:rsid w:val="00CA1A00"/>
    <w:rsid w:val="00CA3FA0"/>
    <w:rsid w:val="00CA4350"/>
    <w:rsid w:val="00CA450A"/>
    <w:rsid w:val="00CA5A7A"/>
    <w:rsid w:val="00CA6810"/>
    <w:rsid w:val="00CB5391"/>
    <w:rsid w:val="00CC01D9"/>
    <w:rsid w:val="00CC0CAD"/>
    <w:rsid w:val="00CC1F41"/>
    <w:rsid w:val="00CC235B"/>
    <w:rsid w:val="00CC4081"/>
    <w:rsid w:val="00CC434F"/>
    <w:rsid w:val="00CC5E08"/>
    <w:rsid w:val="00CD0ABA"/>
    <w:rsid w:val="00CD17C3"/>
    <w:rsid w:val="00CD2902"/>
    <w:rsid w:val="00CD2B11"/>
    <w:rsid w:val="00CD6423"/>
    <w:rsid w:val="00CD6CE7"/>
    <w:rsid w:val="00CE0421"/>
    <w:rsid w:val="00CE718D"/>
    <w:rsid w:val="00CE7CF5"/>
    <w:rsid w:val="00CF7599"/>
    <w:rsid w:val="00D013B4"/>
    <w:rsid w:val="00D0142E"/>
    <w:rsid w:val="00D01642"/>
    <w:rsid w:val="00D01F1A"/>
    <w:rsid w:val="00D01F5C"/>
    <w:rsid w:val="00D03125"/>
    <w:rsid w:val="00D035CB"/>
    <w:rsid w:val="00D035CC"/>
    <w:rsid w:val="00D03B25"/>
    <w:rsid w:val="00D14192"/>
    <w:rsid w:val="00D1563C"/>
    <w:rsid w:val="00D16465"/>
    <w:rsid w:val="00D170D1"/>
    <w:rsid w:val="00D17248"/>
    <w:rsid w:val="00D17AA7"/>
    <w:rsid w:val="00D17F5B"/>
    <w:rsid w:val="00D21B99"/>
    <w:rsid w:val="00D24120"/>
    <w:rsid w:val="00D25C3F"/>
    <w:rsid w:val="00D26756"/>
    <w:rsid w:val="00D34135"/>
    <w:rsid w:val="00D34191"/>
    <w:rsid w:val="00D34B95"/>
    <w:rsid w:val="00D37B5A"/>
    <w:rsid w:val="00D37E65"/>
    <w:rsid w:val="00D412E9"/>
    <w:rsid w:val="00D4252A"/>
    <w:rsid w:val="00D43515"/>
    <w:rsid w:val="00D43658"/>
    <w:rsid w:val="00D45884"/>
    <w:rsid w:val="00D50448"/>
    <w:rsid w:val="00D50A04"/>
    <w:rsid w:val="00D50C37"/>
    <w:rsid w:val="00D52490"/>
    <w:rsid w:val="00D56F99"/>
    <w:rsid w:val="00D61CCE"/>
    <w:rsid w:val="00D62C56"/>
    <w:rsid w:val="00D6347B"/>
    <w:rsid w:val="00D634C2"/>
    <w:rsid w:val="00D65549"/>
    <w:rsid w:val="00D66FB6"/>
    <w:rsid w:val="00D676BB"/>
    <w:rsid w:val="00D70658"/>
    <w:rsid w:val="00D70B02"/>
    <w:rsid w:val="00D71138"/>
    <w:rsid w:val="00D72BE8"/>
    <w:rsid w:val="00D75523"/>
    <w:rsid w:val="00D77631"/>
    <w:rsid w:val="00D77A83"/>
    <w:rsid w:val="00D77CC5"/>
    <w:rsid w:val="00D8083A"/>
    <w:rsid w:val="00D80BE5"/>
    <w:rsid w:val="00D80D4E"/>
    <w:rsid w:val="00D81BCB"/>
    <w:rsid w:val="00D81BF6"/>
    <w:rsid w:val="00D81EBF"/>
    <w:rsid w:val="00D8258B"/>
    <w:rsid w:val="00D826C3"/>
    <w:rsid w:val="00D82998"/>
    <w:rsid w:val="00D83B89"/>
    <w:rsid w:val="00D84810"/>
    <w:rsid w:val="00D849F2"/>
    <w:rsid w:val="00D85573"/>
    <w:rsid w:val="00D87108"/>
    <w:rsid w:val="00D87115"/>
    <w:rsid w:val="00D91E31"/>
    <w:rsid w:val="00D92047"/>
    <w:rsid w:val="00D92C93"/>
    <w:rsid w:val="00D95231"/>
    <w:rsid w:val="00D973FA"/>
    <w:rsid w:val="00DA0144"/>
    <w:rsid w:val="00DA2B98"/>
    <w:rsid w:val="00DB0096"/>
    <w:rsid w:val="00DB3161"/>
    <w:rsid w:val="00DB6A82"/>
    <w:rsid w:val="00DC0004"/>
    <w:rsid w:val="00DC2E44"/>
    <w:rsid w:val="00DC4A7F"/>
    <w:rsid w:val="00DC5746"/>
    <w:rsid w:val="00DC5CAA"/>
    <w:rsid w:val="00DC7A34"/>
    <w:rsid w:val="00DD5B30"/>
    <w:rsid w:val="00DD5D32"/>
    <w:rsid w:val="00DE1CA6"/>
    <w:rsid w:val="00DE1F43"/>
    <w:rsid w:val="00DE512D"/>
    <w:rsid w:val="00DF07CC"/>
    <w:rsid w:val="00DF0860"/>
    <w:rsid w:val="00DF281F"/>
    <w:rsid w:val="00DF3077"/>
    <w:rsid w:val="00DF3148"/>
    <w:rsid w:val="00DF3F61"/>
    <w:rsid w:val="00DF4155"/>
    <w:rsid w:val="00DF459F"/>
    <w:rsid w:val="00DF4CDC"/>
    <w:rsid w:val="00DF510B"/>
    <w:rsid w:val="00DF52D8"/>
    <w:rsid w:val="00DF578C"/>
    <w:rsid w:val="00DF5B92"/>
    <w:rsid w:val="00DF5C2B"/>
    <w:rsid w:val="00DF7FE4"/>
    <w:rsid w:val="00E018F1"/>
    <w:rsid w:val="00E01DCB"/>
    <w:rsid w:val="00E04AE0"/>
    <w:rsid w:val="00E05A4A"/>
    <w:rsid w:val="00E06295"/>
    <w:rsid w:val="00E10432"/>
    <w:rsid w:val="00E112F9"/>
    <w:rsid w:val="00E1546D"/>
    <w:rsid w:val="00E230BE"/>
    <w:rsid w:val="00E232C2"/>
    <w:rsid w:val="00E3106C"/>
    <w:rsid w:val="00E316F0"/>
    <w:rsid w:val="00E3446B"/>
    <w:rsid w:val="00E35DE9"/>
    <w:rsid w:val="00E366E8"/>
    <w:rsid w:val="00E4023F"/>
    <w:rsid w:val="00E408A9"/>
    <w:rsid w:val="00E44FCD"/>
    <w:rsid w:val="00E45727"/>
    <w:rsid w:val="00E475C0"/>
    <w:rsid w:val="00E51A8B"/>
    <w:rsid w:val="00E5291C"/>
    <w:rsid w:val="00E52DBE"/>
    <w:rsid w:val="00E542DB"/>
    <w:rsid w:val="00E549FA"/>
    <w:rsid w:val="00E55BAA"/>
    <w:rsid w:val="00E57690"/>
    <w:rsid w:val="00E60511"/>
    <w:rsid w:val="00E61CE6"/>
    <w:rsid w:val="00E633DA"/>
    <w:rsid w:val="00E646A8"/>
    <w:rsid w:val="00E67652"/>
    <w:rsid w:val="00E677BB"/>
    <w:rsid w:val="00E701D3"/>
    <w:rsid w:val="00E71F57"/>
    <w:rsid w:val="00E722A6"/>
    <w:rsid w:val="00E727B0"/>
    <w:rsid w:val="00E72F36"/>
    <w:rsid w:val="00E7510B"/>
    <w:rsid w:val="00E7664A"/>
    <w:rsid w:val="00E832F3"/>
    <w:rsid w:val="00E848BB"/>
    <w:rsid w:val="00E90B60"/>
    <w:rsid w:val="00E91FFB"/>
    <w:rsid w:val="00E93194"/>
    <w:rsid w:val="00E945EB"/>
    <w:rsid w:val="00EA1B0B"/>
    <w:rsid w:val="00EA2B5B"/>
    <w:rsid w:val="00EA4882"/>
    <w:rsid w:val="00EA4997"/>
    <w:rsid w:val="00EA535F"/>
    <w:rsid w:val="00EA7969"/>
    <w:rsid w:val="00EB169A"/>
    <w:rsid w:val="00EB2BE1"/>
    <w:rsid w:val="00EB3325"/>
    <w:rsid w:val="00EB43CA"/>
    <w:rsid w:val="00EB7E26"/>
    <w:rsid w:val="00EC0CF4"/>
    <w:rsid w:val="00EC1B5B"/>
    <w:rsid w:val="00EC28EB"/>
    <w:rsid w:val="00EC53BB"/>
    <w:rsid w:val="00EC79CB"/>
    <w:rsid w:val="00ED0510"/>
    <w:rsid w:val="00ED2A13"/>
    <w:rsid w:val="00ED2C00"/>
    <w:rsid w:val="00ED2EB1"/>
    <w:rsid w:val="00ED433A"/>
    <w:rsid w:val="00ED66F2"/>
    <w:rsid w:val="00EE0FEC"/>
    <w:rsid w:val="00EE19CA"/>
    <w:rsid w:val="00EE1B75"/>
    <w:rsid w:val="00EE2380"/>
    <w:rsid w:val="00EE3BDE"/>
    <w:rsid w:val="00EE79CC"/>
    <w:rsid w:val="00EF1AD5"/>
    <w:rsid w:val="00EF529A"/>
    <w:rsid w:val="00EF5B25"/>
    <w:rsid w:val="00EF6F89"/>
    <w:rsid w:val="00EF7B09"/>
    <w:rsid w:val="00F02D6A"/>
    <w:rsid w:val="00F032F6"/>
    <w:rsid w:val="00F03329"/>
    <w:rsid w:val="00F0457E"/>
    <w:rsid w:val="00F060BC"/>
    <w:rsid w:val="00F06AA9"/>
    <w:rsid w:val="00F10785"/>
    <w:rsid w:val="00F119AE"/>
    <w:rsid w:val="00F1209D"/>
    <w:rsid w:val="00F15766"/>
    <w:rsid w:val="00F1594C"/>
    <w:rsid w:val="00F165AB"/>
    <w:rsid w:val="00F172CC"/>
    <w:rsid w:val="00F2038A"/>
    <w:rsid w:val="00F20BF0"/>
    <w:rsid w:val="00F239E2"/>
    <w:rsid w:val="00F24988"/>
    <w:rsid w:val="00F24B41"/>
    <w:rsid w:val="00F26206"/>
    <w:rsid w:val="00F27837"/>
    <w:rsid w:val="00F300CA"/>
    <w:rsid w:val="00F35ABC"/>
    <w:rsid w:val="00F368FC"/>
    <w:rsid w:val="00F37995"/>
    <w:rsid w:val="00F410CA"/>
    <w:rsid w:val="00F426A6"/>
    <w:rsid w:val="00F43054"/>
    <w:rsid w:val="00F4485F"/>
    <w:rsid w:val="00F44BC3"/>
    <w:rsid w:val="00F44CA6"/>
    <w:rsid w:val="00F47F27"/>
    <w:rsid w:val="00F536F5"/>
    <w:rsid w:val="00F53D7B"/>
    <w:rsid w:val="00F54170"/>
    <w:rsid w:val="00F55659"/>
    <w:rsid w:val="00F57A7F"/>
    <w:rsid w:val="00F62010"/>
    <w:rsid w:val="00F62203"/>
    <w:rsid w:val="00F624C8"/>
    <w:rsid w:val="00F64F66"/>
    <w:rsid w:val="00F66DBC"/>
    <w:rsid w:val="00F676D6"/>
    <w:rsid w:val="00F67BEC"/>
    <w:rsid w:val="00F71EF8"/>
    <w:rsid w:val="00F73C02"/>
    <w:rsid w:val="00F7409D"/>
    <w:rsid w:val="00F770A7"/>
    <w:rsid w:val="00F77DB9"/>
    <w:rsid w:val="00F80AEC"/>
    <w:rsid w:val="00F80CDE"/>
    <w:rsid w:val="00F84511"/>
    <w:rsid w:val="00F85BE4"/>
    <w:rsid w:val="00F868B0"/>
    <w:rsid w:val="00F87334"/>
    <w:rsid w:val="00F87FC0"/>
    <w:rsid w:val="00F913E2"/>
    <w:rsid w:val="00F92293"/>
    <w:rsid w:val="00F92D1A"/>
    <w:rsid w:val="00F9440B"/>
    <w:rsid w:val="00F972DF"/>
    <w:rsid w:val="00FA5C7C"/>
    <w:rsid w:val="00FA7236"/>
    <w:rsid w:val="00FB05AE"/>
    <w:rsid w:val="00FB23A8"/>
    <w:rsid w:val="00FB260B"/>
    <w:rsid w:val="00FB4BBC"/>
    <w:rsid w:val="00FB4EB9"/>
    <w:rsid w:val="00FB584D"/>
    <w:rsid w:val="00FB5CD4"/>
    <w:rsid w:val="00FB66E0"/>
    <w:rsid w:val="00FB724F"/>
    <w:rsid w:val="00FB7D52"/>
    <w:rsid w:val="00FC13D4"/>
    <w:rsid w:val="00FC1C8A"/>
    <w:rsid w:val="00FC261D"/>
    <w:rsid w:val="00FC2839"/>
    <w:rsid w:val="00FC56DD"/>
    <w:rsid w:val="00FC75C1"/>
    <w:rsid w:val="00FC7C52"/>
    <w:rsid w:val="00FD089F"/>
    <w:rsid w:val="00FD3FA0"/>
    <w:rsid w:val="00FD4932"/>
    <w:rsid w:val="00FE61E3"/>
    <w:rsid w:val="00FE6BEF"/>
    <w:rsid w:val="00FE75C6"/>
    <w:rsid w:val="00FF0D22"/>
    <w:rsid w:val="00FF290F"/>
    <w:rsid w:val="00FF3C78"/>
    <w:rsid w:val="00FF4AEF"/>
    <w:rsid w:val="00FF5497"/>
    <w:rsid w:val="00FF6B55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17580"/>
  <w15:chartTrackingRefBased/>
  <w15:docId w15:val="{8E4585EF-DC56-499E-AE7D-0EC857E3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EC"/>
    <w:rPr>
      <w:sz w:val="24"/>
      <w:szCs w:val="24"/>
    </w:rPr>
  </w:style>
  <w:style w:type="paragraph" w:styleId="Heading1">
    <w:name w:val="heading 1"/>
    <w:basedOn w:val="Normal"/>
    <w:qFormat/>
    <w:rsid w:val="009466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9466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9466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B96E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4661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C375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27A5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27A56"/>
  </w:style>
  <w:style w:type="paragraph" w:styleId="Header">
    <w:name w:val="header"/>
    <w:basedOn w:val="Normal"/>
    <w:rsid w:val="00147A25"/>
    <w:pPr>
      <w:tabs>
        <w:tab w:val="center" w:pos="4536"/>
        <w:tab w:val="right" w:pos="9072"/>
      </w:tabs>
    </w:pPr>
  </w:style>
  <w:style w:type="character" w:styleId="CommentReference">
    <w:name w:val="annotation reference"/>
    <w:uiPriority w:val="99"/>
    <w:rsid w:val="002621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21B8"/>
    <w:rPr>
      <w:sz w:val="20"/>
      <w:szCs w:val="20"/>
    </w:rPr>
  </w:style>
  <w:style w:type="character" w:customStyle="1" w:styleId="CommentTextChar">
    <w:name w:val="Comment Text Char"/>
    <w:link w:val="CommentText"/>
    <w:rsid w:val="002621B8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2621B8"/>
    <w:rPr>
      <w:b/>
      <w:bCs/>
    </w:rPr>
  </w:style>
  <w:style w:type="character" w:customStyle="1" w:styleId="CommentSubjectChar">
    <w:name w:val="Comment Subject Char"/>
    <w:link w:val="CommentSubject"/>
    <w:rsid w:val="002621B8"/>
    <w:rPr>
      <w:b/>
      <w:bCs/>
      <w:lang w:val="hr-HR" w:eastAsia="hr-HR"/>
    </w:rPr>
  </w:style>
  <w:style w:type="paragraph" w:styleId="ListParagraph">
    <w:name w:val="List Paragraph"/>
    <w:basedOn w:val="Normal"/>
    <w:uiPriority w:val="34"/>
    <w:qFormat/>
    <w:rsid w:val="00FC1C8A"/>
    <w:pPr>
      <w:ind w:left="720"/>
    </w:pPr>
  </w:style>
  <w:style w:type="paragraph" w:styleId="Revision">
    <w:name w:val="Revision"/>
    <w:hidden/>
    <w:uiPriority w:val="99"/>
    <w:semiHidden/>
    <w:rsid w:val="00A17A1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65EA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77A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77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rsid w:val="00B96EE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Kolegija xmlns="d8745bc5-821e-4205-946a-621c2da728c8">16.38</BrKolegija>
    <Prezentira xmlns="d8745bc5-821e-4205-946a-621c2da728c8">
      <UserInfo>
        <DisplayName>i:0#.w|hanfa\mperisa</DisplayName>
        <AccountId>156</AccountId>
        <AccountType/>
      </UserInfo>
      <UserInfo>
        <DisplayName>i:0#.w|hanfa\imracic</DisplayName>
        <AccountId>139</AccountId>
        <AccountType/>
      </UserInfo>
      <UserInfo>
        <DisplayName>i:0#.w|hanfa\mlibrenjak</DisplayName>
        <AccountId>140</AccountId>
        <AccountType/>
      </UserInfo>
      <UserInfo>
        <DisplayName>i:0#.w|hanfa\ajosipovic</DisplayName>
        <AccountId>83</AccountId>
        <AccountType/>
      </UserInfo>
    </Prezentira>
    <VrstaDokumenta xmlns="d8745bc5-821e-4205-946a-621c2da728c8">Pravilnik nacrt (za javnu raspravu)</VrstaDokumenta>
    <Dileme xmlns="d8745bc5-821e-4205-946a-621c2da728c8" xsi:nil="true"/>
    <PrijedlogPostupanja xmlns="d8745bc5-821e-4205-946a-621c2da728c8">Uputiti na javnu raspravu</PrijedlogPostupanja>
    <Izradio xmlns="d8745bc5-821e-4205-946a-621c2da728c8">
      <UserInfo>
        <DisplayName>i:0#.w|hanfa\mperisa</DisplayName>
        <AccountId>156</AccountId>
        <AccountType/>
      </UserInfo>
      <UserInfo>
        <DisplayName>i:0#.w|hanfa\mlibrenjak</DisplayName>
        <AccountId>140</AccountId>
        <AccountType/>
      </UserInfo>
    </Izradio>
    <Sazetak xmlns="d8745bc5-821e-4205-946a-621c2da728c8">S obzirom na izmjene ZOIFJP-a pripremljen je nacrt novog Pravilnika o ulaganjima, koji je usklađen sa zakonskim izmjenama te su ispravljene uočene pogreške, nedorečenosti, implementirane relevantne direktive i smjernice. </Sazetak>
    <NamjenaDokumenta xmlns="d8745bc5-821e-4205-946a-621c2da728c8">
      <Value>Kolegij</Value>
      <Value>Sjednica</Value>
    </NamjenaDokumenta>
    <VrstaPredmeta xmlns="d8745bc5-821e-4205-946a-621c2da728c8">Zakonski i podzakonski akti</VrstaPredmeta>
    <TipPredmeta xmlns="d8745bc5-821e-4205-946a-621c2da728c8">Upravni</TipPredmeta>
    <KategorijaPoslovanja xmlns="d8745bc5-821e-4205-946a-621c2da728c8">
      <Value>Fondovi</Value>
    </KategorijaPoslovanja>
    <Godina xmlns="d8745bc5-821e-4205-946a-621c2da728c8">2016</Godina>
    <NaslovTocke xmlns="fb73d67a-ef9b-4070-a30f-7dc6f9d2849c">SIMF-02 Pravilnik o dozvoljenim ulaganjima i ograničenjima ulaganja UCITS fonda</NaslovTocke>
    <Izreka xmlns="d8745bc5-821e-4205-946a-621c2da728c8" xsi:nil="true"/>
    <KolegijIteracija xmlns="d8745bc5-821e-4205-946a-621c2da728c8">Pregledano</KolegijIteracija>
    <PregledRadakovic xmlns="d8745bc5-821e-4205-946a-621c2da728c8">U redu</PregledRadakovic>
    <PregledBjedovKostelac xmlns="d8745bc5-821e-4205-946a-621c2da728c8">Komentar</PregledBjedovKostelac>
    <PregledaoMatek xmlns="d8745bc5-821e-4205-946a-621c2da728c8">Komentar</PregledaoMatek>
    <PregledBozic xmlns="d8745bc5-821e-4205-946a-621c2da728c8">Komentar</PregledBozic>
    <BrSjednice xmlns="d8745bc5-821e-4205-946a-621c2da728c8">14</BrSjednice>
    <PregledLetica xmlns="d8745bc5-821e-4205-946a-621c2da728c8">U redu</PregledLetica>
    <StatusDokumentaSjednica xmlns="d8745bc5-821e-4205-946a-621c2da728c8">-</StatusDokumenta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F2E89D4154A8D7DD13DB3BC4AA6" ma:contentTypeVersion="39" ma:contentTypeDescription="Create a new document." ma:contentTypeScope="" ma:versionID="9f69d0f4e7705b528f688afa51c278c6">
  <xsd:schema xmlns:xsd="http://www.w3.org/2001/XMLSchema" xmlns:xs="http://www.w3.org/2001/XMLSchema" xmlns:p="http://schemas.microsoft.com/office/2006/metadata/properties" xmlns:ns2="fb73d67a-ef9b-4070-a30f-7dc6f9d2849c" xmlns:ns3="d8745bc5-821e-4205-946a-621c2da728c8" targetNamespace="http://schemas.microsoft.com/office/2006/metadata/properties" ma:root="true" ma:fieldsID="9dd754c6783a146499d79c8079789a72" ns2:_="" ns3:_="">
    <xsd:import namespace="fb73d67a-ef9b-4070-a30f-7dc6f9d2849c"/>
    <xsd:import namespace="d8745bc5-821e-4205-946a-621c2da728c8"/>
    <xsd:element name="properties">
      <xsd:complexType>
        <xsd:sequence>
          <xsd:element name="documentManagement">
            <xsd:complexType>
              <xsd:all>
                <xsd:element ref="ns2:NaslovTocke" minOccurs="0"/>
                <xsd:element ref="ns3:NamjenaDokumenta" minOccurs="0"/>
                <xsd:element ref="ns3:BrKolegija"/>
                <xsd:element ref="ns3:Izradio" minOccurs="0"/>
                <xsd:element ref="ns3:Prezentira" minOccurs="0"/>
                <xsd:element ref="ns3:Sazetak" minOccurs="0"/>
                <xsd:element ref="ns3:PrijedlogPostupanja" minOccurs="0"/>
                <xsd:element ref="ns3:Dileme" minOccurs="0"/>
                <xsd:element ref="ns3:KolegijIteracija"/>
                <xsd:element ref="ns3:VrstaDokumenta"/>
                <xsd:element ref="ns3:VrstaPredmeta"/>
                <xsd:element ref="ns3:TipPredmeta"/>
                <xsd:element ref="ns3:KategorijaPoslovanja" minOccurs="0"/>
                <xsd:element ref="ns3:Godina"/>
                <xsd:element ref="ns3:PregledBjedovKostelac"/>
                <xsd:element ref="ns3:PregledBozic"/>
                <xsd:element ref="ns3:PregledLetica"/>
                <xsd:element ref="ns3:PregledaoMatek"/>
                <xsd:element ref="ns3:PregledRadakovic"/>
                <xsd:element ref="ns3:BrSjednice"/>
                <xsd:element ref="ns3:StatusDokumentaSjednica"/>
                <xsd:element ref="ns3:Izre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3d67a-ef9b-4070-a30f-7dc6f9d2849c" elementFormDefault="qualified">
    <xsd:import namespace="http://schemas.microsoft.com/office/2006/documentManagement/types"/>
    <xsd:import namespace="http://schemas.microsoft.com/office/infopath/2007/PartnerControls"/>
    <xsd:element name="NaslovTocke" ma:index="1" nillable="true" ma:displayName="NaslovTocke" ma:internalName="NaslovTock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5bc5-821e-4205-946a-621c2da728c8" elementFormDefault="qualified">
    <xsd:import namespace="http://schemas.microsoft.com/office/2006/documentManagement/types"/>
    <xsd:import namespace="http://schemas.microsoft.com/office/infopath/2007/PartnerControls"/>
    <xsd:element name="NamjenaDokumenta" ma:index="2" nillable="true" ma:displayName="NamjenaDokumenta" ma:default="Interno" ma:description="Predviđena namjena dokumenta i/ili njegova objava" ma:internalName="NamjenaDokument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o"/>
                    <xsd:enumeration value="Kolegij"/>
                    <xsd:enumeration value="Sjednica"/>
                    <xsd:enumeration value="Objava na HANFA.hr"/>
                    <xsd:enumeration value="Objava u NN"/>
                    <xsd:enumeration value="Objava sa sjednica"/>
                  </xsd:restriction>
                </xsd:simpleType>
              </xsd:element>
            </xsd:sequence>
          </xsd:extension>
        </xsd:complexContent>
      </xsd:complexType>
    </xsd:element>
    <xsd:element name="BrKolegija" ma:index="3" ma:displayName="BrKolegija" ma:decimals="2" ma:default="14" ma:description="Broj kolegija u YY.NN formatu (npr. 14.01)" ma:indexed="true" ma:internalName="BrKolegija" ma:percentage="FALSE">
      <xsd:simpleType>
        <xsd:restriction base="dms:Number">
          <xsd:maxInclusive value="20"/>
          <xsd:minInclusive value="10"/>
        </xsd:restriction>
      </xsd:simpleType>
    </xsd:element>
    <xsd:element name="Izradio" ma:index="4" nillable="true" ma:displayName="Izradio" ma:description="Popis osoba koje su izradile dokument" ma:list="UserInfo" ma:SharePointGroup="0" ma:internalName="Izradi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zentira" ma:index="5" nillable="true" ma:displayName="Prezentira" ma:description="Popis osoba koje prezentiraju dokument" ma:list="UserInfo" ma:SharePointGroup="0" ma:internalName="Prezentir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zetak" ma:index="6" nillable="true" ma:displayName="Sazetak" ma:description="Sažetak dokumenta" ma:internalName="Sazetak">
      <xsd:simpleType>
        <xsd:restriction base="dms:Note">
          <xsd:maxLength value="255"/>
        </xsd:restriction>
      </xsd:simpleType>
    </xsd:element>
    <xsd:element name="PrijedlogPostupanja" ma:index="7" nillable="true" ma:displayName="PrijedlogPostupanja" ma:description="Prijedlog postupanja" ma:internalName="PrijedlogPostupanja">
      <xsd:simpleType>
        <xsd:restriction base="dms:Note">
          <xsd:maxLength value="255"/>
        </xsd:restriction>
      </xsd:simpleType>
    </xsd:element>
    <xsd:element name="Dileme" ma:index="8" nillable="true" ma:displayName="Dileme" ma:description="Dileme" ma:internalName="Dileme">
      <xsd:simpleType>
        <xsd:restriction base="dms:Note">
          <xsd:maxLength value="255"/>
        </xsd:restriction>
      </xsd:simpleType>
    </xsd:element>
    <xsd:element name="KolegijIteracija" ma:index="9" ma:displayName="StatusDokumentaKolegij" ma:default="Za pregled" ma:description="Status dokumenta na kolegiju" ma:format="Dropdown" ma:indexed="true" ma:internalName="KolegijIteracija">
      <xsd:simpleType>
        <xsd:restriction base="dms:Choice">
          <xsd:enumeration value="Za pregled"/>
          <xsd:enumeration value="Pregledano"/>
          <xsd:enumeration value="Za doradu"/>
          <xsd:enumeration value="Dorađeno"/>
          <xsd:enumeration value="Za odlučiti"/>
        </xsd:restriction>
      </xsd:simpleType>
    </xsd:element>
    <xsd:element name="VrstaDokumenta" ma:index="10" ma:displayName="VrstaDokumenta" ma:default="-" ma:description="Precizna vrsta dokumenta" ma:format="Dropdown" ma:indexed="true" ma:internalName="VrstaDokumenta">
      <xsd:simpleType>
        <xsd:restriction base="dms:Choice">
          <xsd:enumeration value="Rješenje"/>
          <xsd:enumeration value="Mišljenje"/>
          <xsd:enumeration value="Odluka"/>
          <xsd:enumeration value="Zaključak"/>
          <xsd:enumeration value="Pravilnik"/>
          <xsd:enumeration value="Pravilnik nacrt (za javnu raspravu)"/>
          <xsd:enumeration value="Tehnička uputa"/>
          <xsd:enumeration value="Kaznena prijava"/>
          <xsd:enumeration value="Optužni prijedlog"/>
          <xsd:enumeration value="Obavijest o nadzoru/ Zahtjev za pokretanje postupka nadzora"/>
          <xsd:enumeration value="Postupovnik (na razini Agencije)"/>
          <xsd:enumeration value="Postupovnik (sektorski)"/>
          <xsd:enumeration value="Zapisnik o nadzoru"/>
          <xsd:enumeration value="Zapisnik o ispitima za zastupnike i posrednike"/>
          <xsd:enumeration value="Metodologija"/>
          <xsd:enumeration value="Izvješće"/>
          <xsd:enumeration value="Analiza"/>
          <xsd:enumeration value="Informacija"/>
          <xsd:enumeration value="Prezentacija"/>
          <xsd:enumeration value="Dopis"/>
          <xsd:enumeration value="Prijedlog nabave (opreme/ usluga)"/>
          <xsd:enumeration value="Prijedlog zapošljavanja"/>
          <xsd:enumeration value="Odgovor na tužbu"/>
          <xsd:enumeration value="Očitovanje na tužbu"/>
          <xsd:enumeration value="-"/>
        </xsd:restriction>
      </xsd:simpleType>
    </xsd:element>
    <xsd:element name="VrstaPredmeta" ma:index="11" ma:displayName="VrstaPredmeta" ma:default="-" ma:description="" ma:format="Dropdown" ma:internalName="VrstaPredmeta">
      <xsd:simpleType>
        <xsd:restriction base="dms:Choice">
          <xsd:enumeration value="Administrativni, kadrovski poslovi i dokumentacija Hanfe"/>
          <xsd:enumeration value="Ispit"/>
          <xsd:enumeration value="Licenciranje"/>
          <xsd:enumeration value="Mišljenja"/>
          <xsd:enumeration value="Neposredni nadzor"/>
          <xsd:enumeration value="Posredni nadzor"/>
          <xsd:enumeration value="Predstavke"/>
          <xsd:enumeration value="Sudski postupci"/>
          <xsd:enumeration value="Suradnja"/>
          <xsd:enumeration value="Zakonski i podzakonski akti"/>
          <xsd:enumeration value="-"/>
        </xsd:restriction>
      </xsd:simpleType>
    </xsd:element>
    <xsd:element name="TipPredmeta" ma:index="12" ma:displayName="TipPredmeta" ma:default="-" ma:description="Tip predmeta kojem dokument pripada" ma:format="Dropdown" ma:internalName="TipPredmeta">
      <xsd:simpleType>
        <xsd:restriction base="dms:Choice">
          <xsd:enumeration value="Upravni"/>
          <xsd:enumeration value="Neupravni"/>
          <xsd:enumeration value="-"/>
        </xsd:restriction>
      </xsd:simpleType>
    </xsd:element>
    <xsd:element name="KategorijaPoslovanja" ma:index="13" nillable="true" ma:displayName="KategorijaPoslovanja" ma:default="-" ma:description="Kategorija poslovanja" ma:internalName="KategorijaPoslovanj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ndovi"/>
                    <xsd:enumeration value="Osiguranja"/>
                    <xsd:enumeration value="Tržište kapitala"/>
                    <xsd:enumeration value="Leasing"/>
                    <xsd:enumeration value="Faktoring"/>
                    <xsd:enumeration value="HANFA interno"/>
                    <xsd:enumeration value="Ostalo"/>
                    <xsd:enumeration value="-"/>
                  </xsd:restriction>
                </xsd:simpleType>
              </xsd:element>
            </xsd:sequence>
          </xsd:extension>
        </xsd:complexContent>
      </xsd:complexType>
    </xsd:element>
    <xsd:element name="Godina" ma:index="14" ma:displayName="Godina" ma:default="-" ma:description="" ma:format="Dropdown" ma:internalName="Godina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-"/>
        </xsd:restriction>
      </xsd:simpleType>
    </xsd:element>
    <xsd:element name="PregledBjedovKostelac" ma:index="15" ma:displayName="PregledBjedovKostelac" ma:default="-" ma:description="Komentar Branke Bjedov Kostelac" ma:format="Dropdown" ma:indexed="true" ma:internalName="PregledBjedovKostelac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PregledBozic" ma:index="16" ma:displayName="PregledBozic" ma:default="-" ma:description="Komentar Silvane Božić" ma:format="Dropdown" ma:indexed="true" ma:internalName="PregledBozic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PregledLetica" ma:index="17" ma:displayName="PregledLetica" ma:default="-" ma:description="Komentar Gordane Letice" ma:format="Dropdown" ma:indexed="true" ma:internalName="PregledLetica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PregledaoMatek" ma:index="18" ma:displayName="PregledMatek" ma:default="-" ma:description="Komentar Petra-Pierra Mateka" ma:format="Dropdown" ma:indexed="true" ma:internalName="PregledaoMatek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PregledRadakovic" ma:index="19" ma:displayName="PregledRadakovic" ma:default="-" ma:description="Komentar Maria Radakovića" ma:format="Dropdown" ma:indexed="true" ma:internalName="PregledRadakovic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BrSjednice" ma:index="20" ma:displayName="BrSjednice" ma:decimals="2" ma:default="14" ma:description="Broj sjednice u YY.NN formatu (npr. 14.01)" ma:internalName="BrSjednice" ma:percentage="FALSE">
      <xsd:simpleType>
        <xsd:restriction base="dms:Number">
          <xsd:maxInclusive value="20"/>
          <xsd:minInclusive value="10"/>
        </xsd:restriction>
      </xsd:simpleType>
    </xsd:element>
    <xsd:element name="StatusDokumentaSjednica" ma:index="21" ma:displayName="StatusDokumentaSjednica" ma:default="-" ma:description="Status dokumenta na sjednici" ma:format="Dropdown" ma:internalName="StatusDokumentaSjednica">
      <xsd:simpleType>
        <xsd:restriction base="dms:Choice">
          <xsd:enumeration value="-"/>
          <xsd:enumeration value="Prihvaćen"/>
          <xsd:enumeration value="Odbijen"/>
          <xsd:enumeration value="Izvršten"/>
        </xsd:restriction>
      </xsd:simpleType>
    </xsd:element>
    <xsd:element name="Izreka" ma:index="29" nillable="true" ma:displayName="Izreka" ma:hidden="true" ma:internalName="Izrek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8DB9-0985-41E1-96E0-5CC9D094DFB2}">
  <ds:schemaRefs>
    <ds:schemaRef ds:uri="fb73d67a-ef9b-4070-a30f-7dc6f9d2849c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d8745bc5-821e-4205-946a-621c2da728c8"/>
  </ds:schemaRefs>
</ds:datastoreItem>
</file>

<file path=customXml/itemProps2.xml><?xml version="1.0" encoding="utf-8"?>
<ds:datastoreItem xmlns:ds="http://schemas.openxmlformats.org/officeDocument/2006/customXml" ds:itemID="{7A8B7E5A-4671-4A5B-8D0E-C1A113FBE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3d67a-ef9b-4070-a30f-7dc6f9d2849c"/>
    <ds:schemaRef ds:uri="d8745bc5-821e-4205-946a-621c2da72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922F5-4364-4B51-BED5-601171E11B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38A8D-902B-4D60-8B61-F3C9F3AD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4941</Words>
  <Characters>28732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SIMF-06 Pravilnik o dozvoljenim ulaganjima i ograničenjima ulaganja UCITS fonda</vt:lpstr>
    </vt:vector>
  </TitlesOfParts>
  <Company>HANFA</Company>
  <LinksUpToDate>false</LinksUpToDate>
  <CharactersWithSpaces>33606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SIMF-06 Pravilnik o dozvoljenim ulaganjima i ograničenjima ulaganja UCITS fonda</dc:title>
  <dc:subject/>
  <dc:creator>Marko.Perisa@hanfa.hr</dc:creator>
  <cp:keywords/>
  <cp:lastModifiedBy>Maja Makar</cp:lastModifiedBy>
  <cp:revision>9</cp:revision>
  <cp:lastPrinted>2016-09-02T12:38:00Z</cp:lastPrinted>
  <dcterms:created xsi:type="dcterms:W3CDTF">2016-09-21T07:13:00Z</dcterms:created>
  <dcterms:modified xsi:type="dcterms:W3CDTF">2016-09-21T12:09:00Z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0x010100FCD3EF2E89D4154A8D7DD13DB3BC4AA6</vt:lpwstr>
  </property>
  <property fmtid="{D5CDD505-2E9C-101B-9397-08002B2CF9AE}" pid="3" name="Order">
    <vt:r8>17448700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CopySource">
    <vt:lpwstr>https://hanfanet/s/imf/D/OPĆI POSLOVI/PROJEKTI/Izmjene ZOIFJP-ZAIF (UCITS V)/ZOIFJP 2016 Pravilnici/Nacrti Pravilnika/SIMF-02 Pravilnik o dozvoljenim ulaganjima i ograničenjima ulaganja UCITS fonda.docx</vt:lpwstr>
  </property>
  <property fmtid="{D5CDD505-2E9C-101B-9397-08002B2CF9AE}" pid="7" name="StatusDokumenta">
    <vt:lpwstr>Autorizirano</vt:lpwstr>
  </property>
</Properties>
</file>