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30" w:rsidRDefault="003D2E30">
      <w:pPr>
        <w:jc w:val="center"/>
        <w:rPr>
          <w:rFonts w:ascii="Arial" w:hAnsi="Arial" w:cs="Arial"/>
          <w:sz w:val="20"/>
          <w:szCs w:val="20"/>
        </w:rPr>
      </w:pPr>
    </w:p>
    <w:p w:rsidR="003D2E30" w:rsidRDefault="003D2E30">
      <w:pPr>
        <w:jc w:val="center"/>
        <w:rPr>
          <w:rFonts w:ascii="Arial" w:hAnsi="Arial" w:cs="Arial"/>
          <w:sz w:val="20"/>
          <w:szCs w:val="20"/>
        </w:rPr>
      </w:pP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FINANCIJA</w:t>
      </w: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SEKTOR ZA FINANCIJSKI SUSTAV</w:t>
      </w:r>
    </w:p>
    <w:p w:rsidR="003D2E30" w:rsidRDefault="003D2E30">
      <w:pPr>
        <w:rPr>
          <w:rFonts w:ascii="Arial" w:hAnsi="Arial" w:cs="Arial"/>
          <w:sz w:val="20"/>
          <w:szCs w:val="20"/>
        </w:rPr>
      </w:pP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   011-01/16-04/19</w:t>
      </w: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 513-06-03-16-2</w:t>
      </w:r>
    </w:p>
    <w:p w:rsidR="003D2E30" w:rsidRDefault="003D2E30">
      <w:pPr>
        <w:rPr>
          <w:rFonts w:ascii="Arial" w:hAnsi="Arial" w:cs="Arial"/>
          <w:sz w:val="20"/>
          <w:szCs w:val="20"/>
        </w:rPr>
      </w:pP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Zagreb, 8. studenoga 2016.</w:t>
      </w:r>
    </w:p>
    <w:p w:rsidR="003D2E30" w:rsidRDefault="003D2E30">
      <w:pPr>
        <w:jc w:val="center"/>
        <w:rPr>
          <w:rFonts w:ascii="Arial" w:hAnsi="Arial" w:cs="Arial"/>
          <w:sz w:val="20"/>
          <w:szCs w:val="20"/>
        </w:rPr>
      </w:pPr>
    </w:p>
    <w:p w:rsidR="003D2E30" w:rsidRDefault="003D2E30">
      <w:pPr>
        <w:rPr>
          <w:rFonts w:ascii="Arial" w:hAnsi="Arial" w:cs="Arial"/>
          <w:sz w:val="20"/>
          <w:szCs w:val="20"/>
        </w:rPr>
      </w:pPr>
    </w:p>
    <w:p w:rsidR="003D2E30" w:rsidRDefault="00E43B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PRETHODNA PROCJENA ZA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  <w:t>Zakon o dopuni zakona o platnom prometu</w:t>
      </w:r>
    </w:p>
    <w:p w:rsidR="003D2E30" w:rsidRDefault="00E43BB6">
      <w:pPr>
        <w:pStyle w:val="t-9-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Ovaj Obrazac primjenjuje u postupku prethodne procjene </w:t>
      </w:r>
      <w:r>
        <w:rPr>
          <w:rFonts w:ascii="Arial" w:hAnsi="Arial" w:cs="Arial"/>
          <w:color w:val="000000"/>
          <w:sz w:val="20"/>
          <w:szCs w:val="20"/>
        </w:rPr>
        <w:t>radi utvrđivanja potrebe za provedbom postupka procjene učinaka propisa. Potreba za provedbom procjene učinaka propisa, osim u slučaju utvrđivanja financijskog praga iz članka 3. Uredbe o provedbi postupka procjene učinaka propisa, postoji obvezno i kada j</w:t>
      </w:r>
      <w:r>
        <w:rPr>
          <w:rFonts w:ascii="Arial" w:hAnsi="Arial" w:cs="Arial"/>
          <w:color w:val="000000"/>
          <w:sz w:val="20"/>
          <w:szCs w:val="20"/>
        </w:rPr>
        <w:t>e na dva od 8. do 12. pitanja iz ovoga Obrasca odgovoreno sa »DA« odnosno potvrdno.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1"/>
        <w:gridCol w:w="8997"/>
      </w:tblGrid>
      <w:tr w:rsidR="003D2E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Red.br.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Ukratko, jasno i sažeto odgovorite na pitanja: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Opišite ukratko problem koji se namjerava riješiti normativnim rješenjem (izrađene teze propisa):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Nacionalni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odbor za platni promet (dalje: NOPP) je na svojoj 23. sjednici (održana 15.05.2014.) prihvatio da se u Republici Hrvatskoj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nacionalna plaćanja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pa tako i na izravna terećenja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primjenjuju istovjetni SEPA standardi koji se pr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imjenjuju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eurska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plaćanja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temeljem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SEPA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Uredbe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(EU) br. 260/2012 Europskog parlamenta i Vijeća od 14.03.2012. o utvrđivanju tehničkih i poslovnih zahtjeva za kreditne transfere i izravna terećenja u eurima i o izmjeni Uredbe (EZ) br. 924/2009). Slijedom toga, radne skupine nacionalnog SEPA projekta su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izradile Pravila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HRK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SDD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sheme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(Osnovne i Poslovne)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prema uzoru na Pravila SEPA sheme za izravno terećenje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(engl. SEPA </w:t>
            </w:r>
            <w:proofErr w:type="spellStart"/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>Direct</w:t>
            </w:r>
            <w:proofErr w:type="spellEnd"/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Debit</w:t>
            </w:r>
            <w:proofErr w:type="spellEnd"/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BB6">
              <w:rPr>
                <w:rFonts w:ascii="Arial" w:hAnsi="Arial" w:cs="Arial"/>
                <w:i/>
                <w:color w:val="000000"/>
                <w:sz w:val="20"/>
                <w:szCs w:val="20"/>
              </w:rPr>
              <w:t>Rulebook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NOPP je na svojoj 25. sjednici (održana 30.06.2015.) prihvatio Pravila naved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enih shema za izravna terećenja u kunama.</w:t>
            </w:r>
          </w:p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2E30" w:rsidRDefault="00E4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Obzirom da je sukladno Pravilima nacionalne HRK SDD sheme,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pružanje platne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uslug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izravnog terećenja u kunama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uvjetovano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davanjem prethodne suglasnosti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platitelja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primatelju plaćanja, potrebno je osigurati kontinuitet pružanja ranije ugovorenih izravnih terećenja kod kojih se suglasnost davala banci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platitelja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Zbog toga je Nacionalnim planom migracije na SEPA-u predviđeno provođenje migracije postojećih izravnih 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erećenja na SEPA izravna terećenja u kunama. Navedena bi se migracija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provodila između pružatelja platnih usluga i primatelja plaćanja,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prijenos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podataka s potpisanih suglasnosti od banaka prema primateljim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plaćanja. Da bi se omogućio takav prijenos podataka iz postojećih suglasnosti na primatelje plaćanja, a zbog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poštivanja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instituta bankovne tajne, potrebno je definirati zakonski okvir za dopustivost prijenosa tih podataka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platiteljima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 se u tu svrhu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predlaže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dopuna Zakona o platnom prometu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to novim člankom 62.a.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Opišite ukratko cilj koji se želi postići normativnim rješenjem (izrađene teze propisa):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Dopunom Zakona o platnom prometu omogućava se prijenos podataka s potpisanih </w:t>
            </w:r>
            <w:r>
              <w:rPr>
                <w:rFonts w:ascii="Arial" w:hAnsi="Arial" w:cs="Arial"/>
                <w:sz w:val="20"/>
                <w:szCs w:val="20"/>
              </w:rPr>
              <w:t>suglasnosti od pružatelja platnih usluga (banaka) prema primateljima plaćanja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 se omogućava kontinuitet provođenja </w:t>
            </w:r>
            <w:r>
              <w:rPr>
                <w:rFonts w:ascii="Arial" w:hAnsi="Arial" w:cs="Arial"/>
                <w:sz w:val="20"/>
                <w:szCs w:val="20"/>
              </w:rPr>
              <w:t xml:space="preserve">platne </w:t>
            </w:r>
            <w:r>
              <w:rPr>
                <w:rFonts w:ascii="Arial" w:hAnsi="Arial" w:cs="Arial"/>
                <w:sz w:val="20"/>
                <w:szCs w:val="20"/>
              </w:rPr>
              <w:t>usluge izravnog terećenja u kunama prema novim Pravilima osnovne HRK</w:t>
            </w:r>
            <w:r>
              <w:rPr>
                <w:rFonts w:ascii="Arial" w:hAnsi="Arial" w:cs="Arial"/>
                <w:sz w:val="20"/>
                <w:szCs w:val="20"/>
              </w:rPr>
              <w:t xml:space="preserve"> SDD</w:t>
            </w:r>
            <w:r>
              <w:rPr>
                <w:rFonts w:ascii="Arial" w:hAnsi="Arial" w:cs="Arial"/>
                <w:sz w:val="20"/>
                <w:szCs w:val="20"/>
              </w:rPr>
              <w:t xml:space="preserve"> sheme.</w:t>
            </w:r>
          </w:p>
        </w:tc>
      </w:tr>
      <w:tr w:rsidR="003D2E30">
        <w:trPr>
          <w:trHeight w:val="732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Navedite adresate na koje se problem trenutno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odnosi i adresate na koje bi se mogao odnositi u budućnosti.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Adresati jesu banke (pružatelji platnih usluga) i primatelji plaćanja.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Objasnite ukratko normativno rješenje (izrađene teze propisa) i utvrdite jedno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nenormativno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rješenje kojim bi se takođ</w:t>
            </w:r>
            <w:r>
              <w:rPr>
                <w:rFonts w:ascii="Arial" w:hAnsi="Arial" w:cs="Arial"/>
                <w:sz w:val="20"/>
                <w:szCs w:val="20"/>
              </w:rPr>
              <w:t>er mogao postići cilj.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Normativno rješenje (izrađene teze propisa):  Zakon o dopuni zakona o platnom prometu.</w:t>
            </w:r>
          </w:p>
          <w:p w:rsidR="003D2E30" w:rsidRDefault="00E43BB6">
            <w:pPr>
              <w:pStyle w:val="t-9-8-bez-uvl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Nenormativno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rješenje: Cilj nije moguće postići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nenormativnim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rješenjem.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Odredite vremenski okvir za rješavanje problema i postizanje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navedenog cilja te ukratko objasnite moguće prepreke, rizike u rješavanju problema.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Kako bi se banke (pružatelji platnih usluga) mogle uskladiti s novim Pravilima osnovne HRK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SDD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sheme i provesti testiranja svojih aplikativnih rješenja, Zakon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 platnom prometu potrebno je dopuniti što prije.</w:t>
            </w:r>
          </w:p>
        </w:tc>
      </w:tr>
    </w:tbl>
    <w:p w:rsidR="003D2E30" w:rsidRDefault="003D2E30">
      <w:pPr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"/>
        <w:gridCol w:w="8503"/>
        <w:gridCol w:w="428"/>
        <w:gridCol w:w="443"/>
      </w:tblGrid>
      <w:tr w:rsidR="003D2E3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sljedeća pitanja potrebno je odgovoriti sa »DA« odnosno »NE«, uz obvezni sažeti pisani osvrt.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li normativno rješenje (izrađene teze propisa) zahtijeva izmjenu važećeg zakonodavstva?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Da, zahtijeva dopunu Zakona o platnom prometu.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Hoće li navedeno normativno rješenje imati značajan financijski učinak u barem jednom sektoru/ području i u kojem? Da li utječe na tržišno natjecanje? Ukratko navedite kakvi se učinci očekuju.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Navedeno normativno rješenje neće imati značajan financijski učinak ni na jedan sektor/ područje niti na tržišno natjecanje.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Hoće li navedeno normativno rješenje imati učinak na državni proračun odnosno proračune jedinica lokalne i područne (regional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ne) samouprave? Ukratko navedite kakvi se učinci očekuju.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Navedeno normativno rješenje neće imati učinak na državni proračun, odnosno proračune jedinica lokalne i područne (regionalne) samouprave.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Hoće li navedeno normativno rješenje imati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značajan učinak na socijalno osjetljive skupine, socijalni status građana, interesne skupine u društvu odnosno društvo u cjelini? Ukratko navedite kakvi se učinci očekuju.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Navedeno normativno rješenje neće imati značajan učinak na socijalno osjetljive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skupine, socijalni status građana, interesne skupine u društvu odnosno društvo u cjelini.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Hoće li navedeno normativno rješenje imati značajan učinak na okoliš, održivi razvitak i s tim u svezi na zdravlje ljudi? Ukratko navedite kakvi se učinci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očekuju.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Navedeni Zakon neće imati učinak na okoliš, održivi razvitak i s tim u vezi zdravlje ljudi.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Hoće li navedeno normativno rješenje zahtijevati provedbu administrativnih i upravnih postupaka vezano za adresate i s kojim ciljem? Hoće li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navedena rješenja dodatno povećati administrativne prepreke za poslovanje? Ukratko navedite kakvi se učinci očekuju.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Navedeni Zakon ne zahtijeva provedbu administrativnih i upravnih postupaka.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Hoće li za postizanje cilja biti nužan povezani rad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više tijela državne uprave odnosno tijela lokalne i područne (regionalne) samouprave? Ukratko navedite tijela od kojih se očekuje povezani rad.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postizanje cilja neće biti nužno povezati rad više tijela državne uprave.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E3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pStyle w:val="t-9-8-bez-uvl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ate li saznanja da li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 isti problem postojao i na koji način je riješen u zakonodavstvu zemalja Europske unije odnosno trećih zemalja? – navedite primjere.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D2E30">
        <w:trPr>
          <w:trHeight w:val="179"/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3D2E30" w:rsidRDefault="003D2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E43BB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Nemamo saznanja o postojanju sličnog problema u zemljama Europske unije.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0" w:rsidRDefault="003D2E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D2E30" w:rsidRDefault="003D2E30">
      <w:pPr>
        <w:rPr>
          <w:rFonts w:ascii="Arial" w:hAnsi="Arial" w:cs="Arial"/>
          <w:sz w:val="20"/>
          <w:szCs w:val="20"/>
        </w:rPr>
      </w:pPr>
    </w:p>
    <w:p w:rsidR="003D2E30" w:rsidRDefault="00E43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Privitak:   Teze o sadržaju Zakona o </w:t>
      </w:r>
      <w:r>
        <w:rPr>
          <w:rFonts w:ascii="Arial" w:hAnsi="Arial" w:cs="Arial"/>
          <w:sz w:val="20"/>
          <w:szCs w:val="20"/>
        </w:rPr>
        <w:t>dopuni zakona o platnom prometu</w:t>
      </w:r>
    </w:p>
    <w:sectPr w:rsidR="003D2E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ja Marček Behin">
    <w15:presenceInfo w15:providerId="AD" w15:userId="S-1-5-21-1288235128-2553061431-1978169118-7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E30"/>
    <w:rsid w:val="003D2E30"/>
    <w:rsid w:val="00E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pPr>
      <w:spacing w:before="100" w:beforeAutospacing="1" w:after="100" w:afterAutospacing="1"/>
    </w:p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mfkor</cp:lastModifiedBy>
  <cp:revision>8</cp:revision>
  <cp:lastPrinted>2016-11-11T07:54:00Z</cp:lastPrinted>
  <dcterms:created xsi:type="dcterms:W3CDTF">2016-11-11T09:03:00Z</dcterms:created>
  <dcterms:modified xsi:type="dcterms:W3CDTF">2016-11-14T07:54:00Z</dcterms:modified>
</cp:coreProperties>
</file>