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394F5" w14:textId="77777777" w:rsidR="001F2119" w:rsidRDefault="001F2119" w:rsidP="001F2119">
      <w:pPr>
        <w:pStyle w:val="Title"/>
      </w:pPr>
    </w:p>
    <w:p w14:paraId="1D463440" w14:textId="77777777" w:rsidR="001F2119" w:rsidRDefault="001F2119" w:rsidP="001F2119">
      <w:pPr>
        <w:pStyle w:val="Title"/>
      </w:pPr>
    </w:p>
    <w:p w14:paraId="5164DFB4" w14:textId="77777777" w:rsidR="006667D2" w:rsidRDefault="006667D2" w:rsidP="001F2119">
      <w:pPr>
        <w:pStyle w:val="Title"/>
      </w:pPr>
      <w:r w:rsidRPr="001F2119">
        <w:t>Prijedlog ključnih elemenata Poziva na dostavu projektnih prijedloga</w:t>
      </w:r>
    </w:p>
    <w:p w14:paraId="501DCB76" w14:textId="77777777" w:rsidR="001F2119" w:rsidRPr="001F2119" w:rsidRDefault="001F2119" w:rsidP="001F2119">
      <w:pPr>
        <w:pStyle w:val="Title"/>
        <w:rPr>
          <w:sz w:val="6"/>
        </w:rPr>
      </w:pPr>
    </w:p>
    <w:p w14:paraId="7377AB85" w14:textId="25E6D9AE" w:rsidR="003521EE" w:rsidRPr="001F2119" w:rsidRDefault="006667D2" w:rsidP="001F2119">
      <w:pPr>
        <w:pStyle w:val="Title"/>
        <w:rPr>
          <w:rFonts w:eastAsia="Times New Roman"/>
          <w:b/>
          <w:bCs/>
          <w:lang w:val="en-US" w:eastAsia="ar-SA"/>
        </w:rPr>
      </w:pPr>
      <w:r w:rsidRPr="001F2119">
        <w:rPr>
          <w:b/>
        </w:rPr>
        <w:t>„Provedba HKO-a na razini visokog obrazovanja“</w:t>
      </w:r>
    </w:p>
    <w:p w14:paraId="50FC0307" w14:textId="77777777" w:rsidR="003521EE" w:rsidRPr="00BE0BF9" w:rsidRDefault="003521EE" w:rsidP="006667D2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</w:pPr>
    </w:p>
    <w:p w14:paraId="6F0D0B2B" w14:textId="77777777" w:rsidR="00A226EA" w:rsidRDefault="00BF18E3" w:rsidP="008D1CDE">
      <w:pPr>
        <w:spacing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  <w:sectPr w:rsidR="00A226EA" w:rsidSect="00A226E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397" w:gutter="0"/>
          <w:cols w:space="708"/>
          <w:docGrid w:linePitch="360"/>
        </w:sectPr>
      </w:pPr>
      <w:r w:rsidRPr="00BE0BF9"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  <w:t xml:space="preserve"> </w:t>
      </w:r>
      <w:r w:rsidR="0003776A" w:rsidRPr="00BE0BF9">
        <w:rPr>
          <w:rFonts w:ascii="Lucida Sans Unicode" w:eastAsia="Times New Roman" w:hAnsi="Lucida Sans Unicode" w:cs="Lucida Sans Unicode"/>
          <w:bCs/>
          <w:sz w:val="20"/>
          <w:szCs w:val="20"/>
          <w:lang w:val="en-US" w:eastAsia="ar-SA"/>
        </w:rPr>
        <w:br w:type="page"/>
      </w:r>
    </w:p>
    <w:p w14:paraId="6272527A" w14:textId="77777777" w:rsidR="0003776A" w:rsidRPr="006667D2" w:rsidRDefault="006C570B" w:rsidP="00857513">
      <w:pPr>
        <w:pStyle w:val="Heading1"/>
        <w:rPr>
          <w:rStyle w:val="hps"/>
        </w:rPr>
      </w:pPr>
      <w:r w:rsidRPr="006667D2">
        <w:rPr>
          <w:rStyle w:val="hps"/>
        </w:rPr>
        <w:lastRenderedPageBreak/>
        <w:t>Temelji i opće odredbe</w:t>
      </w:r>
    </w:p>
    <w:p w14:paraId="76082390" w14:textId="77777777" w:rsidR="006C570B" w:rsidRPr="00A91A56" w:rsidRDefault="006C570B" w:rsidP="00A91A56">
      <w:pPr>
        <w:pStyle w:val="Heading2"/>
        <w:rPr>
          <w:rStyle w:val="hps"/>
        </w:rPr>
      </w:pPr>
      <w:r w:rsidRPr="00A91A56">
        <w:rPr>
          <w:rStyle w:val="hps"/>
        </w:rPr>
        <w:t>Svrha Poziva</w:t>
      </w:r>
    </w:p>
    <w:p w14:paraId="31493962" w14:textId="6A0C1732" w:rsidR="0003776A" w:rsidRPr="00BE0BF9" w:rsidRDefault="00342FE8" w:rsidP="005B5C80">
      <w:pPr>
        <w:tabs>
          <w:tab w:val="left" w:pos="709"/>
          <w:tab w:val="center" w:pos="4320"/>
          <w:tab w:val="right" w:pos="8640"/>
        </w:tabs>
        <w:spacing w:before="240"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BE0BF9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ab/>
      </w:r>
      <w:r w:rsidR="002A2218" w:rsidRPr="002A221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Uvođenjem odrednica </w:t>
      </w:r>
      <w:proofErr w:type="spellStart"/>
      <w:r w:rsidR="00C524C0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B</w:t>
      </w:r>
      <w:r w:rsidR="002A2218" w:rsidRPr="002A221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olonjskog</w:t>
      </w:r>
      <w:proofErr w:type="spellEnd"/>
      <w:r w:rsidR="002A2218" w:rsidRPr="002A221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 procesa u visokoobrazovni prostor visoka učilišta pokušala su identificirati nove, moderne programe koji bi udovoljili  potrebama tržišta rada. Međutim </w:t>
      </w:r>
      <w:proofErr w:type="spellStart"/>
      <w:r w:rsidR="00C524C0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B</w:t>
      </w:r>
      <w:r w:rsidR="002A2218" w:rsidRPr="002A221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olonjski</w:t>
      </w:r>
      <w:proofErr w:type="spellEnd"/>
      <w:r w:rsidR="002A2218" w:rsidRPr="002A221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 proces je doveo i do multipliciranja programa, pa i do obnavljanja dijela starih programa za koje više ne postoje društvene potrebe. Studijske programe treba stalno prilagođavati potrebama kvalitetnog obrazovanja i potrebama tržišta rada  u skladu s promjenama u širem društvenom kontekstu. Nadalje, broj studijskih programa je prevelik (1350 sukladno Strategiji obrazovanja, znanosti i tehnologije) – postoji niz sličnih ili gotovo istovjetnih programa, za što u velikom broju slučajeva nema stvarnog opravdanja. Prilikom uvođenja novih programa usklađenih s </w:t>
      </w:r>
      <w:proofErr w:type="spellStart"/>
      <w:r w:rsidR="00C524C0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B</w:t>
      </w:r>
      <w:r w:rsidR="002A2218" w:rsidRPr="002A221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olonjskom</w:t>
      </w:r>
      <w:proofErr w:type="spellEnd"/>
      <w:r w:rsidR="002A2218" w:rsidRPr="002A221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 reformom u Hrvatskoj nisu bili definirani izlazni parametri kao što su ishodi učenja. Većina novih studijskih programa izrađena je u okviru visokih učilišta bez posebnih konzultacija s drugim dionicima kao što su poslodavci, odgovarajuća državna tijela i drugi što je dovelo do neujednačenosti u kvaliteti različitih programa, u njihovom lošem prihvaćanju od strane tržišta rada kao i u njihovom nedovoljnom općem doprinosu društvu.</w:t>
      </w:r>
    </w:p>
    <w:p w14:paraId="060B16E6" w14:textId="77777777" w:rsidR="002A2218" w:rsidRDefault="00342FE8" w:rsidP="002A2218">
      <w:pPr>
        <w:pStyle w:val="FootnoteText"/>
        <w:jc w:val="both"/>
        <w:rPr>
          <w:rFonts w:ascii="Lucida Sans Unicode" w:hAnsi="Lucida Sans Unicode" w:cs="Lucida Sans Unicode"/>
          <w:bCs/>
        </w:rPr>
      </w:pPr>
      <w:r w:rsidRPr="00BE0BF9">
        <w:rPr>
          <w:rStyle w:val="hps"/>
          <w:rFonts w:ascii="Lucida Sans Unicode" w:eastAsia="Times New Roman" w:hAnsi="Lucida Sans Unicode" w:cs="Lucida Sans Unicode"/>
          <w:bCs/>
          <w:lang w:eastAsia="ar-SA"/>
        </w:rPr>
        <w:tab/>
      </w:r>
      <w:r w:rsidR="002A2218">
        <w:rPr>
          <w:rFonts w:ascii="Lucida Sans Unicode" w:hAnsi="Lucida Sans Unicode" w:cs="Lucida Sans Unicode"/>
          <w:bCs/>
        </w:rPr>
        <w:t xml:space="preserve">Postojeći mehanizmi i procedure osiguravanja kvalitete nisu dovoljno jaki da osiguraju kvalitetu i relevantnost stečenih kvalifikacija. Kvalifikacije odnosno kompetencije  koje se stječu temeljem postojećih obrazovnih programa nisu uvijek prepoznate od poslodavaca i često ne doprinose </w:t>
      </w:r>
      <w:proofErr w:type="spellStart"/>
      <w:r w:rsidR="002A2218">
        <w:rPr>
          <w:rFonts w:ascii="Lucida Sans Unicode" w:hAnsi="Lucida Sans Unicode" w:cs="Lucida Sans Unicode"/>
          <w:bCs/>
        </w:rPr>
        <w:t>zapošljivosti</w:t>
      </w:r>
      <w:proofErr w:type="spellEnd"/>
      <w:r w:rsidR="002A2218">
        <w:rPr>
          <w:rFonts w:ascii="Lucida Sans Unicode" w:hAnsi="Lucida Sans Unicode" w:cs="Lucida Sans Unicode"/>
          <w:bCs/>
        </w:rPr>
        <w:t xml:space="preserve"> pojedinaca. </w:t>
      </w:r>
    </w:p>
    <w:p w14:paraId="521011D8" w14:textId="418E5B7C" w:rsidR="00AE56AD" w:rsidRPr="00BE0BF9" w:rsidRDefault="002A2218" w:rsidP="002226A7">
      <w:pPr>
        <w:spacing w:before="6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BE0BF9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 </w:t>
      </w:r>
      <w:r w:rsidR="002226A7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ab/>
      </w:r>
      <w:r w:rsidR="002226A7">
        <w:rPr>
          <w:rFonts w:ascii="Lucida Sans Unicode" w:hAnsi="Lucida Sans Unicode" w:cs="Lucida Sans Unicode"/>
          <w:sz w:val="20"/>
          <w:szCs w:val="20"/>
        </w:rPr>
        <w:t>U međuvremenu je uspostavljen zakonski okvir osiguravanja kvalitete u visokom obrazovanju, (</w:t>
      </w:r>
      <w:hyperlink r:id="rId12" w:history="1">
        <w:r w:rsidR="002226A7">
          <w:rPr>
            <w:rStyle w:val="Hyperlink"/>
            <w:rFonts w:ascii="Lucida Sans Unicode" w:hAnsi="Lucida Sans Unicode" w:cs="Lucida Sans Unicode"/>
            <w:sz w:val="20"/>
            <w:szCs w:val="20"/>
          </w:rPr>
          <w:t>Zakon o osiguravanju kvalitete u znanosti i visokom obrazovanju, NN 45/09)</w:t>
        </w:r>
      </w:hyperlink>
      <w:r w:rsidR="002226A7">
        <w:rPr>
          <w:rFonts w:ascii="Lucida Sans Unicode" w:hAnsi="Lucida Sans Unicode" w:cs="Lucida Sans Unicode"/>
          <w:sz w:val="20"/>
          <w:szCs w:val="20"/>
        </w:rPr>
        <w:t>, a na snagu je stupio i Zakon o Hrvatskom kvalifikacijskom okviru (NN 22/13), čime su definirani i glavni alati za ujednačavanje kvalitete studijskih programa te se stoga nameće potreba revizije njihovih struktura i ishoda učenja, kao i načina njihova izvođenja. Studijski programi moraju osigurati stjecanje ishoda učenja, ali i zadržati fleksibilnost kojom će se prilagođavati stalnim i brzim promjenama u širem društvenom kontekstu. Potrebno je razviti i učinkovit način provjere tih ishoda. Hrvatski kvalifikacijski okvir (HKO) uspostavljen je kao  ključni reformski instrument kojim se uređuje sustav kvalifikacija uz unapređenje obrazovnih programa usklađenih sa standardima zanimanja i standardima kvalifikacija s ciljem podizanja kvalitete obrazovne ponude i njenog usklađivanja s potrebama tržišta rada i cjeloživotnog učenja. Budući da je za izradu standarda zanimanja i standarda kvalifikacija te izradu skupova ishoda učenja potrebno uspostaviti suradnju i partnerstva između različitih dionika kako bi u okviru zajedničkih aktivnosti razvili prijedloge standarda zanimanja i standarda kvalifikacija te ispunili uvjete za pokretanje procedure za ulazak u Registar HKO-a, ovom operacijom koja je ujedno nastavak aktivnosti provedenih kroz ESF poziv na dostavu projektnih prijedloga „Unapređivanje kvalitete visokog obrazovanja kroz primjenu Hrvatskoga kvalifikacijskog okvira (HKO)“ potiče se udruživanje dionika u zajedničkim poduhvatima istraživanja potreba tržišta rada i s tim usklađivanja obrazovne ponude.</w:t>
      </w:r>
    </w:p>
    <w:p w14:paraId="4D896E00" w14:textId="195026B4" w:rsidR="00342FE8" w:rsidRPr="00BE0BF9" w:rsidRDefault="00342FE8" w:rsidP="005B5C80">
      <w:pPr>
        <w:spacing w:before="60" w:after="0" w:line="240" w:lineRule="auto"/>
        <w:ind w:firstLine="357"/>
        <w:jc w:val="both"/>
        <w:rPr>
          <w:rFonts w:ascii="Lucida Sans Unicode" w:hAnsi="Lucida Sans Unicode" w:cs="Lucida Sans Unicode"/>
          <w:sz w:val="20"/>
          <w:szCs w:val="20"/>
        </w:rPr>
      </w:pPr>
      <w:r w:rsidRPr="00BE0BF9">
        <w:rPr>
          <w:rFonts w:ascii="Lucida Sans Unicode" w:hAnsi="Lucida Sans Unicode" w:cs="Lucida Sans Unicode"/>
          <w:bCs/>
          <w:sz w:val="20"/>
          <w:szCs w:val="20"/>
        </w:rPr>
        <w:lastRenderedPageBreak/>
        <w:t xml:space="preserve">Radi pune primjene HKO-a u visokom obrazovanju </w:t>
      </w:r>
      <w:r w:rsidR="00DF7D44">
        <w:rPr>
          <w:rFonts w:ascii="Lucida Sans Unicode" w:hAnsi="Lucida Sans Unicode" w:cs="Lucida Sans Unicode"/>
          <w:b/>
          <w:bCs/>
          <w:sz w:val="20"/>
          <w:szCs w:val="20"/>
        </w:rPr>
        <w:t>ovom operacijom</w:t>
      </w:r>
      <w:r w:rsidRPr="00804AFB">
        <w:rPr>
          <w:rFonts w:ascii="Lucida Sans Unicode" w:hAnsi="Lucida Sans Unicode" w:cs="Lucida Sans Unicode"/>
          <w:b/>
          <w:bCs/>
          <w:sz w:val="20"/>
          <w:szCs w:val="20"/>
        </w:rPr>
        <w:t xml:space="preserve"> omogućit će se </w:t>
      </w:r>
      <w:r w:rsidRPr="00804AFB">
        <w:rPr>
          <w:rFonts w:ascii="Lucida Sans Unicode" w:hAnsi="Lucida Sans Unicode" w:cs="Lucida Sans Unicode"/>
          <w:b/>
          <w:sz w:val="20"/>
          <w:szCs w:val="20"/>
        </w:rPr>
        <w:t>izrada standarda zanimanja i standarda kvalifikacija</w:t>
      </w:r>
      <w:r w:rsidRPr="00BE0BF9">
        <w:rPr>
          <w:rFonts w:ascii="Lucida Sans Unicode" w:hAnsi="Lucida Sans Unicode" w:cs="Lucida Sans Unicode"/>
          <w:sz w:val="20"/>
          <w:szCs w:val="20"/>
        </w:rPr>
        <w:t xml:space="preserve"> uz korištenje smjernica i metodologija razvijenih kroz ESF projekt „Potpora radu HKO sektorskih vijeća i ostalih dionika u procesu provedbe HKO-a“  te </w:t>
      </w:r>
      <w:r w:rsidRPr="00804AFB">
        <w:rPr>
          <w:rFonts w:ascii="Lucida Sans Unicode" w:hAnsi="Lucida Sans Unicode" w:cs="Lucida Sans Unicode"/>
          <w:b/>
          <w:sz w:val="20"/>
          <w:szCs w:val="20"/>
        </w:rPr>
        <w:t>modernizacija i/ili izrada novih studijskih programa</w:t>
      </w:r>
      <w:r w:rsidR="00652E08">
        <w:rPr>
          <w:rFonts w:ascii="Lucida Sans Unicode" w:hAnsi="Lucida Sans Unicode" w:cs="Lucida Sans Unicode"/>
          <w:b/>
          <w:sz w:val="20"/>
          <w:szCs w:val="20"/>
        </w:rPr>
        <w:t>/</w:t>
      </w:r>
      <w:r w:rsidR="00652E08" w:rsidRPr="00652E08">
        <w:t xml:space="preserve"> </w:t>
      </w:r>
      <w:r w:rsidR="00652E08" w:rsidRPr="00C524C0">
        <w:rPr>
          <w:b/>
        </w:rPr>
        <w:t>programa cjeloživotnog učenja</w:t>
      </w:r>
      <w:r w:rsidRPr="00804AFB">
        <w:rPr>
          <w:rFonts w:ascii="Lucida Sans Unicode" w:hAnsi="Lucida Sans Unicode" w:cs="Lucida Sans Unicode"/>
          <w:b/>
          <w:sz w:val="20"/>
          <w:szCs w:val="20"/>
        </w:rPr>
        <w:t xml:space="preserve"> usklađenih sa novo izrađenim standardima kvalifikacija</w:t>
      </w:r>
      <w:r w:rsidRPr="00BE0BF9">
        <w:rPr>
          <w:rFonts w:ascii="Lucida Sans Unicode" w:hAnsi="Lucida Sans Unicode" w:cs="Lucida Sans Unicode"/>
          <w:sz w:val="20"/>
          <w:szCs w:val="20"/>
        </w:rPr>
        <w:t>.</w:t>
      </w:r>
    </w:p>
    <w:p w14:paraId="2C4DCA5F" w14:textId="77777777" w:rsidR="00342FE8" w:rsidRDefault="00804AFB" w:rsidP="005B5C80">
      <w:pPr>
        <w:spacing w:before="60" w:after="60" w:line="240" w:lineRule="auto"/>
        <w:ind w:firstLine="709"/>
        <w:jc w:val="both"/>
        <w:rPr>
          <w:rFonts w:ascii="Lucida Sans Unicode" w:hAnsi="Lucida Sans Unicode" w:cs="Lucida Sans Unicode"/>
          <w:sz w:val="20"/>
          <w:szCs w:val="20"/>
        </w:rPr>
      </w:pPr>
      <w:r w:rsidRPr="00F207DB">
        <w:rPr>
          <w:rFonts w:ascii="Lucida Sans Unicode" w:hAnsi="Lucida Sans Unicode" w:cs="Lucida Sans Unicode"/>
          <w:sz w:val="20"/>
          <w:szCs w:val="20"/>
        </w:rPr>
        <w:t xml:space="preserve">Sukladno HKO metodologiji, standardi zanimanja izrađuju se u skladu sa </w:t>
      </w:r>
      <w:hyperlink r:id="rId13" w:history="1">
        <w:r w:rsidRPr="00483BF9">
          <w:rPr>
            <w:rStyle w:val="Hyperlink"/>
            <w:rFonts w:ascii="Lucida Sans Unicode" w:hAnsi="Lucida Sans Unicode" w:cs="Lucida Sans Unicode"/>
            <w:sz w:val="20"/>
            <w:szCs w:val="20"/>
          </w:rPr>
          <w:t>Smjernicama za izradu standarda zanimanja</w:t>
        </w:r>
      </w:hyperlink>
      <w:r>
        <w:rPr>
          <w:rFonts w:ascii="Lucida Sans Unicode" w:hAnsi="Lucida Sans Unicode" w:cs="Lucida Sans Unicode"/>
          <w:sz w:val="20"/>
          <w:szCs w:val="20"/>
        </w:rPr>
        <w:t>,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 koristeći Profile sektora i ostale relevantne podatke vezane uz </w:t>
      </w:r>
      <w:proofErr w:type="spellStart"/>
      <w:r w:rsidRPr="00F207DB">
        <w:rPr>
          <w:rFonts w:ascii="Lucida Sans Unicode" w:hAnsi="Lucida Sans Unicode" w:cs="Lucida Sans Unicode"/>
          <w:sz w:val="20"/>
          <w:szCs w:val="20"/>
        </w:rPr>
        <w:t>zapošljivost</w:t>
      </w:r>
      <w:proofErr w:type="spellEnd"/>
      <w:r w:rsidRPr="00F207DB">
        <w:rPr>
          <w:rFonts w:ascii="Lucida Sans Unicode" w:hAnsi="Lucida Sans Unicode" w:cs="Lucida Sans Unicode"/>
          <w:sz w:val="20"/>
          <w:szCs w:val="20"/>
        </w:rPr>
        <w:t xml:space="preserve"> po sektorima dostupne na portalu koji je razvilo Ministarstva rada i mirovinskoga sustava </w:t>
      </w:r>
      <w:hyperlink r:id="rId14" w:history="1">
        <w:r w:rsidRPr="00F207DB">
          <w:rPr>
            <w:rFonts w:ascii="Lucida Sans Unicode" w:hAnsi="Lucida Sans Unicode" w:cs="Lucida Sans Unicode"/>
            <w:color w:val="0000FF"/>
            <w:sz w:val="20"/>
            <w:szCs w:val="20"/>
            <w:u w:val="single"/>
          </w:rPr>
          <w:t>http://www.hkoportal.hr/</w:t>
        </w:r>
      </w:hyperlink>
      <w:r w:rsidRPr="00F207DB">
        <w:rPr>
          <w:rFonts w:ascii="Lucida Sans Unicode" w:hAnsi="Lucida Sans Unicode" w:cs="Lucida Sans Unicode"/>
          <w:sz w:val="20"/>
          <w:szCs w:val="20"/>
        </w:rPr>
        <w:t>, provode</w:t>
      </w:r>
      <w:r>
        <w:rPr>
          <w:rFonts w:ascii="Lucida Sans Unicode" w:hAnsi="Lucida Sans Unicode" w:cs="Lucida Sans Unicode"/>
          <w:sz w:val="20"/>
          <w:szCs w:val="20"/>
        </w:rPr>
        <w:t xml:space="preserve">ći Anketu o standardu zanimanja. </w:t>
      </w:r>
      <w:r w:rsidRPr="00F207DB">
        <w:rPr>
          <w:rFonts w:ascii="Lucida Sans Unicode" w:hAnsi="Lucida Sans Unicode" w:cs="Lucida Sans Unicode"/>
          <w:sz w:val="20"/>
          <w:szCs w:val="20"/>
        </w:rPr>
        <w:t>Za izradu jednog standarda zanimanja p</w:t>
      </w:r>
      <w:r w:rsidR="00CF297E">
        <w:rPr>
          <w:rFonts w:ascii="Lucida Sans Unicode" w:hAnsi="Lucida Sans Unicode" w:cs="Lucida Sans Unicode"/>
          <w:sz w:val="20"/>
          <w:szCs w:val="20"/>
        </w:rPr>
        <w:t>otrebno je okvirno šest mjeseci te je s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tandarde zanimanja potrebno predstaviti </w:t>
      </w:r>
      <w:r>
        <w:rPr>
          <w:rFonts w:ascii="Lucida Sans Unicode" w:hAnsi="Lucida Sans Unicode" w:cs="Lucida Sans Unicode"/>
          <w:sz w:val="20"/>
          <w:szCs w:val="20"/>
        </w:rPr>
        <w:t>dionicima i sektorskim vijećima.</w:t>
      </w:r>
    </w:p>
    <w:p w14:paraId="3F596638" w14:textId="616AA964" w:rsidR="00804AFB" w:rsidRDefault="00804AFB" w:rsidP="008D1CDE">
      <w:pPr>
        <w:spacing w:after="0" w:line="240" w:lineRule="auto"/>
        <w:ind w:firstLine="709"/>
        <w:jc w:val="both"/>
        <w:rPr>
          <w:rFonts w:ascii="Lucida Sans Unicode" w:hAnsi="Lucida Sans Unicode" w:cs="Lucida Sans Unicode"/>
          <w:sz w:val="20"/>
          <w:szCs w:val="20"/>
        </w:rPr>
      </w:pPr>
      <w:r w:rsidRPr="00F207DB">
        <w:rPr>
          <w:rFonts w:ascii="Lucida Sans Unicode" w:hAnsi="Lucida Sans Unicode" w:cs="Lucida Sans Unicode"/>
          <w:sz w:val="20"/>
          <w:szCs w:val="20"/>
        </w:rPr>
        <w:t xml:space="preserve">Standardi kvalifikacija izrađuju se nakon izrađenih standarda zanimanja u skladu s </w:t>
      </w:r>
      <w:r w:rsidRPr="00A86D56">
        <w:rPr>
          <w:rFonts w:ascii="Lucida Sans Unicode" w:hAnsi="Lucida Sans Unicode" w:cs="Lucida Sans Unicode"/>
          <w:sz w:val="20"/>
          <w:szCs w:val="20"/>
        </w:rPr>
        <w:t>Uputama za izradu standarda kvalifikacija.</w:t>
      </w:r>
      <w:r w:rsidRPr="00F207DB">
        <w:rPr>
          <w:rFonts w:ascii="Lucida Sans Unicode" w:hAnsi="Lucida Sans Unicode" w:cs="Lucida Sans Unicode"/>
          <w:color w:val="FF0000"/>
          <w:sz w:val="20"/>
          <w:szCs w:val="20"/>
        </w:rPr>
        <w:t xml:space="preserve"> </w:t>
      </w:r>
      <w:hyperlink r:id="rId15" w:history="1">
        <w:r w:rsidRPr="00616384">
          <w:rPr>
            <w:rStyle w:val="Hyperlink"/>
            <w:rFonts w:ascii="Lucida Sans Unicode" w:hAnsi="Lucida Sans Unicode" w:cs="Lucida Sans Unicode"/>
            <w:sz w:val="20"/>
            <w:szCs w:val="20"/>
          </w:rPr>
          <w:t>Upute za izradu standarda kvalifikacije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dostupne su i u obliku e-modula na portalu HKO-a </w:t>
      </w:r>
      <w:hyperlink r:id="rId16" w:history="1">
        <w:r w:rsidRPr="009B3C0C">
          <w:rPr>
            <w:rStyle w:val="Hyperlink"/>
            <w:rFonts w:ascii="Lucida Sans Unicode" w:hAnsi="Lucida Sans Unicode" w:cs="Lucida Sans Unicode"/>
            <w:sz w:val="20"/>
            <w:szCs w:val="20"/>
          </w:rPr>
          <w:t>www.kvalifikacije.hr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na kojem se nalaze i sve druge relevantne informacije o aktivnostima dionika uključenih u provedbu HKO (sektorska vijeća, Nacionalno vijeće za razvoj ljudskih potencijala, resorna ministarstva). </w:t>
      </w:r>
      <w:r w:rsidRPr="009F25A7">
        <w:rPr>
          <w:rFonts w:ascii="Lucida Sans Unicode" w:hAnsi="Lucida Sans Unicode" w:cs="Lucida Sans Unicode"/>
          <w:b/>
          <w:sz w:val="20"/>
          <w:szCs w:val="20"/>
        </w:rPr>
        <w:t xml:space="preserve">U izradu standarda kvalifikacija obvezno je uključivanje svih potencijalnih izvoditelja studijskog programa temeljenog na standardu kvalifikacije. 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Potencijalnim izvoditeljima smatraju se oni koji izvode </w:t>
      </w:r>
      <w:r w:rsidR="00207971">
        <w:rPr>
          <w:rFonts w:ascii="Lucida Sans Unicode" w:hAnsi="Lucida Sans Unicode" w:cs="Lucida Sans Unicode"/>
          <w:sz w:val="20"/>
          <w:szCs w:val="20"/>
        </w:rPr>
        <w:t xml:space="preserve">isti 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studijski program </w:t>
      </w:r>
      <w:r w:rsidR="00207971">
        <w:rPr>
          <w:rFonts w:ascii="Lucida Sans Unicode" w:hAnsi="Lucida Sans Unicode" w:cs="Lucida Sans Unicode"/>
          <w:sz w:val="20"/>
          <w:szCs w:val="20"/>
        </w:rPr>
        <w:t>kojim se stječe kvalifikacija iz naziva standarda kvalifikacije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 prema </w:t>
      </w:r>
      <w:hyperlink r:id="rId17" w:history="1">
        <w:r w:rsidRPr="00F207DB">
          <w:rPr>
            <w:rFonts w:ascii="Lucida Sans Unicode" w:hAnsi="Lucida Sans Unicode" w:cs="Lucida Sans Unicode"/>
            <w:color w:val="0000FF"/>
            <w:sz w:val="20"/>
            <w:szCs w:val="20"/>
            <w:u w:val="single"/>
          </w:rPr>
          <w:t>popisu akreditiranih studijskih programa</w:t>
        </w:r>
      </w:hyperlink>
      <w:r w:rsidRPr="00F207DB">
        <w:rPr>
          <w:rFonts w:ascii="Lucida Sans Unicode" w:hAnsi="Lucida Sans Unicode" w:cs="Lucida Sans Unicode"/>
          <w:sz w:val="20"/>
          <w:szCs w:val="20"/>
        </w:rPr>
        <w:t xml:space="preserve"> dostupnih na stranicama Ministarstva znanosti</w:t>
      </w:r>
      <w:r>
        <w:rPr>
          <w:rFonts w:ascii="Lucida Sans Unicode" w:hAnsi="Lucida Sans Unicode" w:cs="Lucida Sans Unicode"/>
          <w:sz w:val="20"/>
          <w:szCs w:val="20"/>
        </w:rPr>
        <w:t xml:space="preserve"> i </w:t>
      </w:r>
      <w:r w:rsidRPr="00F207DB">
        <w:rPr>
          <w:rFonts w:ascii="Lucida Sans Unicode" w:hAnsi="Lucida Sans Unicode" w:cs="Lucida Sans Unicode"/>
          <w:sz w:val="20"/>
          <w:szCs w:val="20"/>
        </w:rPr>
        <w:t>obrazovanja, s naznakom nositelja i izvođača studijskog programa. Za izradu standarda kvalifikacija preporuča se šest mjeseci.</w:t>
      </w:r>
    </w:p>
    <w:p w14:paraId="63B345AA" w14:textId="18C977C0" w:rsidR="0095779D" w:rsidRDefault="00FC5B6F" w:rsidP="0095779D">
      <w:pPr>
        <w:spacing w:before="60" w:after="60" w:line="240" w:lineRule="auto"/>
        <w:ind w:firstLine="709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Dodatni bodovi dodijelit će se projektima kojima se izrađuju standardi zanimanja i   standardi kvalifikacija u sektorski prioritetnim područjima</w:t>
      </w:r>
      <w: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iz </w:t>
      </w:r>
      <w:hyperlink r:id="rId18" w:history="1">
        <w:r>
          <w:rPr>
            <w:rStyle w:val="Hyperlink"/>
            <w:rFonts w:ascii="Lucida Sans Unicode" w:hAnsi="Lucida Sans Unicode" w:cs="Lucida Sans Unicode"/>
            <w:sz w:val="20"/>
            <w:szCs w:val="20"/>
          </w:rPr>
          <w:t>Strategije pametne specijalizacije Republike Hrvatske za razdoblje od 2016. do 2020. godine</w:t>
        </w:r>
      </w:hyperlink>
      <w:r>
        <w:t>:</w:t>
      </w:r>
      <w:r>
        <w:rPr>
          <w:rFonts w:ascii="Lucida Sans Unicode" w:hAnsi="Lucida Sans Unicode" w:cs="Lucida Sans Unicode"/>
          <w:sz w:val="20"/>
          <w:szCs w:val="20"/>
        </w:rPr>
        <w:t xml:space="preserve"> zdravlje i kvaliteta života, energija i održivi okoliš, promet i mobilnost, sigurnost, hrana i biokemija te informacijsko-komunikacijske tehnologije (ICT) kao horizontalna tema.</w:t>
      </w:r>
    </w:p>
    <w:p w14:paraId="6F8463FF" w14:textId="353BD761" w:rsidR="00804AFB" w:rsidRDefault="007459B1" w:rsidP="005B5C80">
      <w:pPr>
        <w:spacing w:before="60" w:after="60" w:line="240" w:lineRule="auto"/>
        <w:ind w:firstLine="709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</w:t>
      </w:r>
      <w:r w:rsidRPr="0064342C">
        <w:rPr>
          <w:rFonts w:ascii="Lucida Sans Unicode" w:hAnsi="Lucida Sans Unicode" w:cs="Lucida Sans Unicode"/>
          <w:sz w:val="20"/>
          <w:szCs w:val="20"/>
        </w:rPr>
        <w:t>a temelju standarda kvalifikacija razvijenih kroz projekte financirane iz ove operacije izrađivat će se novi i/ili unaprijediti postojeći studijski programi.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 Pritom će se prijavitelji služiti </w:t>
      </w:r>
      <w:hyperlink r:id="rId19" w:history="1">
        <w:r w:rsidRPr="002A2218">
          <w:rPr>
            <w:rStyle w:val="Hyperlink"/>
            <w:rFonts w:ascii="Lucida Sans Unicode" w:hAnsi="Lucida Sans Unicode" w:cs="Lucida Sans Unicode"/>
            <w:sz w:val="20"/>
            <w:szCs w:val="20"/>
          </w:rPr>
          <w:t>Vodičem za ECTS</w:t>
        </w:r>
      </w:hyperlink>
      <w:r>
        <w:rPr>
          <w:rFonts w:ascii="Lucida Sans Unicode" w:hAnsi="Lucida Sans Unicode" w:cs="Lucida Sans Unicode"/>
          <w:sz w:val="20"/>
          <w:szCs w:val="20"/>
        </w:rPr>
        <w:t>, uputama za izradu studijskih programa usklađenih sa standardima kvalifikacija</w:t>
      </w:r>
      <w:r w:rsidR="00FC5B6F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F207DB">
        <w:rPr>
          <w:rFonts w:ascii="Lucida Sans Unicode" w:hAnsi="Lucida Sans Unicode" w:cs="Lucida Sans Unicode"/>
          <w:sz w:val="20"/>
          <w:szCs w:val="20"/>
        </w:rPr>
        <w:t>(</w:t>
      </w:r>
      <w:r w:rsidR="006667D2">
        <w:rPr>
          <w:rFonts w:ascii="Lucida Sans Unicode" w:hAnsi="Lucida Sans Unicode" w:cs="Lucida Sans Unicode"/>
          <w:sz w:val="20"/>
          <w:szCs w:val="20"/>
        </w:rPr>
        <w:t>koje će biti dostupne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 na portalu </w:t>
      </w:r>
      <w:hyperlink r:id="rId20" w:history="1">
        <w:r w:rsidRPr="00F207DB">
          <w:rPr>
            <w:rFonts w:ascii="Lucida Sans Unicode" w:hAnsi="Lucida Sans Unicode" w:cs="Lucida Sans Unicode"/>
            <w:color w:val="0000FF"/>
            <w:sz w:val="20"/>
            <w:szCs w:val="20"/>
            <w:u w:val="single"/>
          </w:rPr>
          <w:t>www.kvalifikacije.hr</w:t>
        </w:r>
      </w:hyperlink>
      <w:r w:rsidRPr="00F207DB">
        <w:rPr>
          <w:rFonts w:ascii="Lucida Sans Unicode" w:hAnsi="Lucida Sans Unicode" w:cs="Lucida Sans Unicode"/>
          <w:sz w:val="20"/>
          <w:szCs w:val="20"/>
        </w:rPr>
        <w:t xml:space="preserve">) i </w:t>
      </w:r>
      <w:hyperlink r:id="rId21" w:history="1">
        <w:r w:rsidRPr="00544514">
          <w:rPr>
            <w:rStyle w:val="Hyperlink"/>
            <w:rFonts w:ascii="Lucida Sans Unicode" w:hAnsi="Lucida Sans Unicode" w:cs="Lucida Sans Unicode"/>
            <w:sz w:val="20"/>
            <w:szCs w:val="20"/>
          </w:rPr>
          <w:t>uputama za izradu studijskih programa</w:t>
        </w:r>
      </w:hyperlink>
      <w:r w:rsidRPr="00F207DB">
        <w:rPr>
          <w:rFonts w:ascii="Lucida Sans Unicode" w:hAnsi="Lucida Sans Unicode" w:cs="Lucida Sans Unicode"/>
          <w:sz w:val="20"/>
          <w:szCs w:val="20"/>
        </w:rPr>
        <w:t xml:space="preserve">, a mogu se služiti i rezultatima analiza </w:t>
      </w:r>
      <w:proofErr w:type="spellStart"/>
      <w:r w:rsidRPr="00F207DB">
        <w:rPr>
          <w:rFonts w:ascii="Lucida Sans Unicode" w:hAnsi="Lucida Sans Unicode" w:cs="Lucida Sans Unicode"/>
          <w:sz w:val="20"/>
          <w:szCs w:val="20"/>
        </w:rPr>
        <w:t>zapošljivosti</w:t>
      </w:r>
      <w:proofErr w:type="spellEnd"/>
      <w:r w:rsidRPr="00F207DB">
        <w:rPr>
          <w:rFonts w:ascii="Lucida Sans Unicode" w:hAnsi="Lucida Sans Unicode" w:cs="Lucida Sans Unicode"/>
          <w:sz w:val="20"/>
          <w:szCs w:val="20"/>
        </w:rPr>
        <w:t xml:space="preserve"> provedenih u okviru projekata</w:t>
      </w:r>
      <w:r>
        <w:rPr>
          <w:rFonts w:ascii="Lucida Sans Unicode" w:hAnsi="Lucida Sans Unicode" w:cs="Lucida Sans Unicode"/>
          <w:sz w:val="20"/>
          <w:szCs w:val="20"/>
        </w:rPr>
        <w:t xml:space="preserve"> koje će provoditi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. </w:t>
      </w:r>
      <w:r>
        <w:rPr>
          <w:rFonts w:ascii="Lucida Sans Unicode" w:hAnsi="Lucida Sans Unicode" w:cs="Lucida Sans Unicode"/>
          <w:sz w:val="20"/>
          <w:szCs w:val="20"/>
        </w:rPr>
        <w:t>Tako izr</w:t>
      </w:r>
      <w:r w:rsidR="00DF7D44">
        <w:rPr>
          <w:rFonts w:ascii="Lucida Sans Unicode" w:hAnsi="Lucida Sans Unicode" w:cs="Lucida Sans Unicode"/>
          <w:sz w:val="20"/>
          <w:szCs w:val="20"/>
        </w:rPr>
        <w:t>ađeni studijski programi dovest</w:t>
      </w:r>
      <w:r>
        <w:rPr>
          <w:rFonts w:ascii="Lucida Sans Unicode" w:hAnsi="Lucida Sans Unicode" w:cs="Lucida Sans Unicode"/>
          <w:sz w:val="20"/>
          <w:szCs w:val="20"/>
        </w:rPr>
        <w:t xml:space="preserve"> će do njihove </w:t>
      </w:r>
      <w:r w:rsidRPr="00F207DB">
        <w:rPr>
          <w:rFonts w:ascii="Lucida Sans Unicode" w:hAnsi="Lucida Sans Unicode" w:cs="Lucida Sans Unicode"/>
          <w:sz w:val="20"/>
          <w:szCs w:val="20"/>
        </w:rPr>
        <w:t>ujednačen</w:t>
      </w:r>
      <w:r>
        <w:rPr>
          <w:rFonts w:ascii="Lucida Sans Unicode" w:hAnsi="Lucida Sans Unicode" w:cs="Lucida Sans Unicode"/>
          <w:sz w:val="20"/>
          <w:szCs w:val="20"/>
        </w:rPr>
        <w:t>e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 kvalitet</w:t>
      </w:r>
      <w:r>
        <w:rPr>
          <w:rFonts w:ascii="Lucida Sans Unicode" w:hAnsi="Lucida Sans Unicode" w:cs="Lucida Sans Unicode"/>
          <w:sz w:val="20"/>
          <w:szCs w:val="20"/>
        </w:rPr>
        <w:t>e</w:t>
      </w:r>
      <w:r w:rsidRPr="00F207DB">
        <w:rPr>
          <w:rFonts w:ascii="Lucida Sans Unicode" w:hAnsi="Lucida Sans Unicode" w:cs="Lucida Sans Unicode"/>
          <w:sz w:val="20"/>
          <w:szCs w:val="20"/>
        </w:rPr>
        <w:t>, transparentno</w:t>
      </w:r>
      <w:r>
        <w:rPr>
          <w:rFonts w:ascii="Lucida Sans Unicode" w:hAnsi="Lucida Sans Unicode" w:cs="Lucida Sans Unicode"/>
          <w:sz w:val="20"/>
          <w:szCs w:val="20"/>
        </w:rPr>
        <w:t>g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 prikazivanj</w:t>
      </w:r>
      <w:r>
        <w:rPr>
          <w:rFonts w:ascii="Lucida Sans Unicode" w:hAnsi="Lucida Sans Unicode" w:cs="Lucida Sans Unicode"/>
          <w:sz w:val="20"/>
          <w:szCs w:val="20"/>
        </w:rPr>
        <w:t>a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 ishoda učenja i bolj</w:t>
      </w:r>
      <w:r>
        <w:rPr>
          <w:rFonts w:ascii="Lucida Sans Unicode" w:hAnsi="Lucida Sans Unicode" w:cs="Lucida Sans Unicode"/>
          <w:sz w:val="20"/>
          <w:szCs w:val="20"/>
        </w:rPr>
        <w:t>e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 po</w:t>
      </w:r>
      <w:r>
        <w:rPr>
          <w:rFonts w:ascii="Lucida Sans Unicode" w:hAnsi="Lucida Sans Unicode" w:cs="Lucida Sans Unicode"/>
          <w:sz w:val="20"/>
          <w:szCs w:val="20"/>
        </w:rPr>
        <w:t>vezanost sa potrebama tržišta rada.</w:t>
      </w:r>
    </w:p>
    <w:p w14:paraId="139D69AA" w14:textId="3E5583DD" w:rsidR="00703DF8" w:rsidRDefault="00703DF8" w:rsidP="005B5C80">
      <w:pPr>
        <w:spacing w:before="60" w:after="60" w:line="240" w:lineRule="auto"/>
        <w:ind w:firstLine="709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Projektom će se financirati standardizacija kvalifikacija koje se stječu preddiplomskim i diplomskim studijima, odnosno razvoj standarda zanimanja, standarda cjelovitih i djelomičnih kvalifikacija na kojima će se temeljiti preddiplomski i diplomski studiji te programi cjeloživotnog učenja.</w:t>
      </w:r>
    </w:p>
    <w:p w14:paraId="44FD144A" w14:textId="77777777" w:rsidR="007459B1" w:rsidRDefault="00AB1723" w:rsidP="00AB1723">
      <w:pPr>
        <w:spacing w:before="60" w:after="60" w:line="240" w:lineRule="auto"/>
        <w:ind w:firstLine="709"/>
        <w:jc w:val="both"/>
        <w:rPr>
          <w:rFonts w:ascii="Lucida Sans Unicode" w:hAnsi="Lucida Sans Unicode" w:cs="Lucida Sans Unicode"/>
          <w:sz w:val="20"/>
          <w:szCs w:val="20"/>
        </w:rPr>
      </w:pPr>
      <w:r w:rsidRPr="00F207DB">
        <w:rPr>
          <w:rFonts w:ascii="Lucida Sans Unicode" w:hAnsi="Lucida Sans Unicode" w:cs="Lucida Sans Unicode"/>
          <w:sz w:val="20"/>
          <w:szCs w:val="20"/>
        </w:rPr>
        <w:t xml:space="preserve">Osim reformske uloge u povezivanju obrazovanja s potrebama tržišta rada, HKO utječe i na podizanje razine kvalitete obrazovanja. </w:t>
      </w:r>
      <w:r>
        <w:rPr>
          <w:rFonts w:ascii="Lucida Sans Unicode" w:hAnsi="Lucida Sans Unicode" w:cs="Lucida Sans Unicode"/>
          <w:sz w:val="20"/>
          <w:szCs w:val="20"/>
        </w:rPr>
        <w:t>HKO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 je podloga za razvoj unutrašnjeg i vanjskog sustava osiguravanja kvalitete kojim se osigurava da se programom propisani ishodi učenja </w:t>
      </w:r>
      <w:r w:rsidRPr="00F207DB">
        <w:rPr>
          <w:rFonts w:ascii="Lucida Sans Unicode" w:hAnsi="Lucida Sans Unicode" w:cs="Lucida Sans Unicode"/>
          <w:sz w:val="20"/>
          <w:szCs w:val="20"/>
        </w:rPr>
        <w:lastRenderedPageBreak/>
        <w:t>stječu i provjeravaju na kraju obrazovnog procesa.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3D7A55">
        <w:rPr>
          <w:rFonts w:ascii="Lucida Sans Unicode" w:hAnsi="Lucida Sans Unicode" w:cs="Lucida Sans Unicode"/>
          <w:sz w:val="20"/>
          <w:szCs w:val="20"/>
        </w:rPr>
        <w:t xml:space="preserve">Prema </w:t>
      </w:r>
      <w:r w:rsidRPr="00F207DB">
        <w:rPr>
          <w:rFonts w:ascii="Lucida Sans Unicode" w:hAnsi="Lucida Sans Unicode" w:cs="Lucida Sans Unicode"/>
          <w:sz w:val="20"/>
          <w:szCs w:val="20"/>
        </w:rPr>
        <w:t>Europskim standardima i smjernicama za osiguravanje kvalitete u Europskom prostoru visokog obrazovanja</w:t>
      </w:r>
      <w:r>
        <w:rPr>
          <w:rFonts w:ascii="Lucida Sans Unicode" w:hAnsi="Lucida Sans Unicode" w:cs="Lucida Sans Unicode"/>
          <w:sz w:val="20"/>
          <w:szCs w:val="20"/>
        </w:rPr>
        <w:t xml:space="preserve"> v</w:t>
      </w:r>
      <w:r w:rsidRPr="00D012AD">
        <w:rPr>
          <w:rFonts w:ascii="Lucida Sans Unicode" w:hAnsi="Lucida Sans Unicode" w:cs="Lucida Sans Unicode"/>
          <w:sz w:val="20"/>
          <w:szCs w:val="20"/>
        </w:rPr>
        <w:t>isoka učilišta moraju imati politiku osiguravanja kvalitete koja je javno dostupna i dio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D012AD">
        <w:rPr>
          <w:rFonts w:ascii="Lucida Sans Unicode" w:hAnsi="Lucida Sans Unicode" w:cs="Lucida Sans Unicode"/>
          <w:sz w:val="20"/>
          <w:szCs w:val="20"/>
        </w:rPr>
        <w:t xml:space="preserve">njihovog strateškog upravljanja. </w:t>
      </w:r>
      <w:hyperlink r:id="rId22" w:history="1">
        <w:r w:rsidRPr="00E86D2F">
          <w:rPr>
            <w:rStyle w:val="Hyperlink"/>
            <w:rFonts w:ascii="Lucida Sans Unicode" w:hAnsi="Lucida Sans Unicode" w:cs="Lucida Sans Unicode"/>
            <w:sz w:val="20"/>
            <w:szCs w:val="20"/>
          </w:rPr>
          <w:t>Preporukama o primjeni HKO-a u području visokog obrazovanja</w:t>
        </w:r>
      </w:hyperlink>
      <w:r w:rsidRPr="00F207DB">
        <w:rPr>
          <w:rFonts w:ascii="Lucida Sans Unicode" w:hAnsi="Lucida Sans Unicode" w:cs="Lucida Sans Unicode"/>
          <w:sz w:val="20"/>
          <w:szCs w:val="20"/>
        </w:rPr>
        <w:t xml:space="preserve"> (OZNAKA: NVRLJP-00001-15-0058, 22. prosinca 2015.), Nacionalno vijeće za razvoj ljudskih potencijala javnim sveučilištima u Republici Hrvatskoj preporučuje da u svojim internim sustavima osiguravanja kvalitete u postupcima izrade i donošenja studijskih programa propišu korištenje metodologije i alata HKO-a. </w:t>
      </w:r>
      <w:r w:rsidR="00742BE0" w:rsidRPr="00742BE0">
        <w:rPr>
          <w:rFonts w:ascii="Lucida Sans Unicode" w:hAnsi="Lucida Sans Unicode" w:cs="Lucida Sans Unicode"/>
          <w:sz w:val="20"/>
          <w:szCs w:val="20"/>
        </w:rPr>
        <w:t>Ovom operacijom potiče se korištenje instrumenata HKO-a u unutarnjem sustavu osiguravanja kvalitete u visokom obrazovanju.</w:t>
      </w:r>
    </w:p>
    <w:p w14:paraId="14559F34" w14:textId="77777777" w:rsidR="00FF5CC9" w:rsidRDefault="00FF5CC9" w:rsidP="00AB1723">
      <w:pPr>
        <w:spacing w:before="60" w:after="60" w:line="240" w:lineRule="auto"/>
        <w:ind w:firstLine="709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6E18F8B5" w14:textId="77777777" w:rsidR="007459B1" w:rsidRPr="006667D2" w:rsidRDefault="007459B1" w:rsidP="00A91A56">
      <w:pPr>
        <w:pStyle w:val="Heading2"/>
        <w:rPr>
          <w:rStyle w:val="hps"/>
        </w:rPr>
      </w:pPr>
      <w:r w:rsidRPr="006667D2">
        <w:rPr>
          <w:rStyle w:val="hps"/>
        </w:rPr>
        <w:t>Ciljevi poziva</w:t>
      </w:r>
    </w:p>
    <w:p w14:paraId="4F0A1770" w14:textId="77777777" w:rsidR="0003776A" w:rsidRPr="00BE0BF9" w:rsidRDefault="0003776A" w:rsidP="008D1CDE">
      <w:pPr>
        <w:tabs>
          <w:tab w:val="center" w:pos="4320"/>
          <w:tab w:val="right" w:pos="8640"/>
        </w:tabs>
        <w:spacing w:before="360"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BE0BF9">
        <w:rPr>
          <w:rStyle w:val="hps"/>
          <w:rFonts w:ascii="Lucida Sans Unicode" w:eastAsia="Times New Roman" w:hAnsi="Lucida Sans Unicode" w:cs="Lucida Sans Unicode"/>
          <w:b/>
          <w:bCs/>
          <w:sz w:val="20"/>
          <w:szCs w:val="20"/>
          <w:lang w:eastAsia="ar-SA"/>
        </w:rPr>
        <w:t>Opći cilj</w:t>
      </w:r>
      <w:r w:rsidRPr="00BE0BF9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: Unapređenje kvalitete visokog obrazovanja kroz primjenu HKO-a</w:t>
      </w:r>
    </w:p>
    <w:p w14:paraId="5131FBE1" w14:textId="77777777" w:rsidR="0003776A" w:rsidRPr="00BE0BF9" w:rsidRDefault="0003776A" w:rsidP="008D1CDE">
      <w:pPr>
        <w:tabs>
          <w:tab w:val="center" w:pos="4320"/>
          <w:tab w:val="right" w:pos="8640"/>
        </w:tabs>
        <w:spacing w:before="240"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BE0BF9">
        <w:rPr>
          <w:rStyle w:val="hps"/>
          <w:rFonts w:ascii="Lucida Sans Unicode" w:eastAsia="Times New Roman" w:hAnsi="Lucida Sans Unicode" w:cs="Lucida Sans Unicode"/>
          <w:b/>
          <w:bCs/>
          <w:sz w:val="20"/>
          <w:szCs w:val="20"/>
          <w:lang w:eastAsia="ar-SA"/>
        </w:rPr>
        <w:t>Specifični ciljevi operacije</w:t>
      </w:r>
      <w:r w:rsidRPr="00BE0BF9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: </w:t>
      </w:r>
    </w:p>
    <w:p w14:paraId="0598B890" w14:textId="77777777" w:rsidR="0003776A" w:rsidRPr="00BE0BF9" w:rsidRDefault="0003776A" w:rsidP="008D1CDE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before="240"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BE0BF9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Razvoj i izrada alata za osiguravanje kvalitete i relevantnosti kvalifikacija</w:t>
      </w:r>
    </w:p>
    <w:p w14:paraId="4EED2D46" w14:textId="3484D795" w:rsidR="0003776A" w:rsidRPr="00BE0BF9" w:rsidRDefault="00703DF8" w:rsidP="008D1CDE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Unapr</w:t>
      </w:r>
      <w:r w:rsidR="0003776A" w:rsidRPr="00BE0BF9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eđenje unutarnjeg sustava osiguravanja kvalitete visokog obrazovanja  </w:t>
      </w:r>
    </w:p>
    <w:p w14:paraId="7BEEC2C6" w14:textId="1B6138C7" w:rsidR="0003776A" w:rsidRDefault="007C53BA" w:rsidP="008D1CDE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Unapređen</w:t>
      </w:r>
      <w:r w:rsidR="0003776A" w:rsidRPr="00BE0BF9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je relevantnosti nastavne djelatnosti u visokom obrazovanju</w:t>
      </w:r>
    </w:p>
    <w:p w14:paraId="11B318CC" w14:textId="77777777" w:rsidR="002D72D7" w:rsidRDefault="002D72D7" w:rsidP="002D72D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</w:p>
    <w:p w14:paraId="1ECB0F1F" w14:textId="77777777" w:rsidR="002D72D7" w:rsidRPr="001F2119" w:rsidRDefault="002D72D7" w:rsidP="00A91A56">
      <w:pPr>
        <w:pStyle w:val="Heading2"/>
        <w:rPr>
          <w:rStyle w:val="hps"/>
        </w:rPr>
      </w:pPr>
      <w:r w:rsidRPr="001F2119">
        <w:rPr>
          <w:rStyle w:val="hps"/>
        </w:rPr>
        <w:t>Ciljne skupine</w:t>
      </w:r>
    </w:p>
    <w:p w14:paraId="6F0FD6E6" w14:textId="2377B539" w:rsidR="002D72D7" w:rsidRDefault="00B61188" w:rsidP="002D72D7">
      <w:pPr>
        <w:tabs>
          <w:tab w:val="center" w:pos="4320"/>
          <w:tab w:val="right" w:pos="8640"/>
        </w:tabs>
        <w:spacing w:before="240"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Ciljne skupine u okviru ovog Poziva su: </w:t>
      </w:r>
      <w:r w:rsidR="00FF5CC9" w:rsidRPr="00FF5CC9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nastavno i nenastavno osoblje na visokim učilištima, studenti</w:t>
      </w: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.</w:t>
      </w:r>
    </w:p>
    <w:p w14:paraId="28AFD935" w14:textId="1F5ABC74" w:rsidR="008A7592" w:rsidRDefault="008A7592" w:rsidP="002D72D7">
      <w:pPr>
        <w:tabs>
          <w:tab w:val="center" w:pos="4320"/>
          <w:tab w:val="right" w:pos="8640"/>
        </w:tabs>
        <w:spacing w:before="240"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K</w:t>
      </w:r>
      <w:r w:rsidR="000B7424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orisnici će biti obvezni osigurati dokaze o pripadnosti ciljnim skupinama:</w:t>
      </w:r>
    </w:p>
    <w:p w14:paraId="5C0E6677" w14:textId="02B53468" w:rsidR="000B7424" w:rsidRDefault="000B7424" w:rsidP="000B7424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za nastavno i nenastavno osoblje:</w:t>
      </w:r>
    </w:p>
    <w:p w14:paraId="7D824201" w14:textId="77777777" w:rsidR="000B7424" w:rsidRPr="000B7424" w:rsidRDefault="000B7424" w:rsidP="000B7424">
      <w:pPr>
        <w:pStyle w:val="ListParagraph"/>
        <w:numPr>
          <w:ilvl w:val="1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0B7424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Izjava institucije o ciljnoj skupini (temeljem evidencije o osobnim podacima zaposlenika koje vodi visoko učilište i zbirke podataka - evidencija zaposlenika koju vodi nadležno Ministarstvo</w:t>
      </w:r>
    </w:p>
    <w:p w14:paraId="381B19B0" w14:textId="092B1302" w:rsidR="000B7424" w:rsidRDefault="000B7424" w:rsidP="000B7424">
      <w:pPr>
        <w:pStyle w:val="ListParagraph"/>
        <w:numPr>
          <w:ilvl w:val="1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0B7424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Ugovor o radu/djelu</w:t>
      </w:r>
    </w:p>
    <w:p w14:paraId="5484E3E8" w14:textId="445A124B" w:rsidR="000B7424" w:rsidRDefault="000B7424" w:rsidP="000B7424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za studente:</w:t>
      </w:r>
    </w:p>
    <w:p w14:paraId="4416AE1D" w14:textId="77777777" w:rsidR="000B7424" w:rsidRPr="000B7424" w:rsidRDefault="000B7424" w:rsidP="000B7424">
      <w:pPr>
        <w:pStyle w:val="ListParagraph"/>
        <w:numPr>
          <w:ilvl w:val="1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0B7424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Izjava institucije o ciljnoj skupini (temeljem evidencije studenata koje vodi visoko učilište ) </w:t>
      </w:r>
    </w:p>
    <w:p w14:paraId="3522659A" w14:textId="03029D83" w:rsidR="00703DF8" w:rsidRDefault="000B7424" w:rsidP="000B7424">
      <w:pPr>
        <w:pStyle w:val="ListParagraph"/>
        <w:numPr>
          <w:ilvl w:val="1"/>
          <w:numId w:val="20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0B7424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Studentska iskaznica </w:t>
      </w:r>
      <w:r w:rsidR="00703DF8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br w:type="page"/>
      </w:r>
    </w:p>
    <w:p w14:paraId="4DB43010" w14:textId="77777777" w:rsidR="00B61188" w:rsidRPr="00C76F75" w:rsidRDefault="00B61188" w:rsidP="00C76F75">
      <w:pPr>
        <w:pStyle w:val="Heading2"/>
        <w:rPr>
          <w:rStyle w:val="hps"/>
        </w:rPr>
      </w:pPr>
      <w:r w:rsidRPr="00C76F75">
        <w:rPr>
          <w:rStyle w:val="hps"/>
        </w:rPr>
        <w:lastRenderedPageBreak/>
        <w:t>Pokazatelji</w:t>
      </w:r>
    </w:p>
    <w:p w14:paraId="14A4AF0E" w14:textId="77777777" w:rsidR="006C570B" w:rsidRPr="006C570B" w:rsidRDefault="006C570B" w:rsidP="006C570B">
      <w:pPr>
        <w:tabs>
          <w:tab w:val="center" w:pos="4320"/>
          <w:tab w:val="right" w:pos="8640"/>
        </w:tabs>
        <w:spacing w:before="240"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6C570B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Projektni prijedlozi moraju pridonijeti ispunjavanju ciljeva ovog Poziva, kao i uspješnosti provedbe cjelokupnog Operativnog programa, mjereno sljedećim pokazateljima provedbe:</w:t>
      </w:r>
    </w:p>
    <w:p w14:paraId="0CDC6C61" w14:textId="77777777" w:rsidR="00346D6D" w:rsidRDefault="00346D6D" w:rsidP="00346D6D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/>
          <w:bCs/>
          <w:sz w:val="20"/>
          <w:szCs w:val="20"/>
          <w:u w:val="single"/>
          <w:lang w:eastAsia="ar-S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4502"/>
      </w:tblGrid>
      <w:tr w:rsidR="0087377B" w:rsidRPr="0087377B" w14:paraId="72211F5B" w14:textId="77777777" w:rsidTr="005E4C24">
        <w:tc>
          <w:tcPr>
            <w:tcW w:w="1384" w:type="dxa"/>
            <w:vAlign w:val="center"/>
          </w:tcPr>
          <w:p w14:paraId="7F3672DE" w14:textId="77777777" w:rsidR="00B61188" w:rsidRPr="0087377B" w:rsidRDefault="0087377B" w:rsidP="00346D6D">
            <w:pPr>
              <w:jc w:val="center"/>
              <w:rPr>
                <w:rFonts w:ascii="Lucida Sans Unicode" w:hAnsi="Lucida Sans Unicode" w:cs="Lucida Sans Unicode"/>
                <w:b/>
                <w:lang w:val="hr-HR"/>
              </w:rPr>
            </w:pPr>
            <w:r w:rsidRPr="0087377B">
              <w:rPr>
                <w:rFonts w:ascii="Lucida Sans Unicode" w:hAnsi="Lucida Sans Unicode" w:cs="Lucida Sans Unicode"/>
                <w:b/>
                <w:lang w:val="hr-HR"/>
              </w:rPr>
              <w:t>Šifra pokazatelja iz OP-a</w:t>
            </w:r>
          </w:p>
        </w:tc>
        <w:tc>
          <w:tcPr>
            <w:tcW w:w="3402" w:type="dxa"/>
            <w:vAlign w:val="center"/>
          </w:tcPr>
          <w:p w14:paraId="66E1A03D" w14:textId="77777777" w:rsidR="00B61188" w:rsidRPr="0087377B" w:rsidRDefault="00B61188" w:rsidP="00AE2FF3">
            <w:pPr>
              <w:jc w:val="center"/>
              <w:rPr>
                <w:rFonts w:ascii="Lucida Sans Unicode" w:hAnsi="Lucida Sans Unicode" w:cs="Lucida Sans Unicode"/>
                <w:b/>
                <w:lang w:val="hr-HR"/>
              </w:rPr>
            </w:pPr>
            <w:r w:rsidRPr="0087377B">
              <w:rPr>
                <w:rFonts w:ascii="Lucida Sans Unicode" w:hAnsi="Lucida Sans Unicode" w:cs="Lucida Sans Unicode"/>
                <w:b/>
                <w:lang w:val="hr-HR"/>
              </w:rPr>
              <w:t>Naziv pokazatelja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78CD2C15" w14:textId="77777777" w:rsidR="00B61188" w:rsidRPr="0087377B" w:rsidRDefault="00B61188" w:rsidP="00AE2FF3">
            <w:pPr>
              <w:jc w:val="center"/>
              <w:rPr>
                <w:rFonts w:ascii="Lucida Sans Unicode" w:hAnsi="Lucida Sans Unicode" w:cs="Lucida Sans Unicode"/>
                <w:b/>
                <w:lang w:val="hr-HR"/>
              </w:rPr>
            </w:pPr>
            <w:r w:rsidRPr="0087377B">
              <w:rPr>
                <w:rFonts w:ascii="Lucida Sans Unicode" w:hAnsi="Lucida Sans Unicode" w:cs="Lucida Sans Unicode"/>
                <w:b/>
                <w:lang w:val="hr-HR"/>
              </w:rPr>
              <w:t>Opis pokazatelja</w:t>
            </w:r>
          </w:p>
        </w:tc>
      </w:tr>
      <w:tr w:rsidR="0087377B" w:rsidRPr="0087377B" w14:paraId="6D1A80F5" w14:textId="77777777" w:rsidTr="005E4C24">
        <w:trPr>
          <w:trHeight w:val="584"/>
        </w:trPr>
        <w:tc>
          <w:tcPr>
            <w:tcW w:w="1384" w:type="dxa"/>
            <w:vAlign w:val="center"/>
          </w:tcPr>
          <w:p w14:paraId="184C7C1E" w14:textId="77777777" w:rsidR="00B61188" w:rsidRPr="0087377B" w:rsidRDefault="00AE2FF3" w:rsidP="00AE2FF3">
            <w:pPr>
              <w:jc w:val="center"/>
              <w:rPr>
                <w:rFonts w:ascii="Lucida Sans Unicode" w:hAnsi="Lucida Sans Unicode" w:cs="Lucida Sans Unicode"/>
                <w:highlight w:val="lightGray"/>
                <w:lang w:val="hr-HR"/>
              </w:rPr>
            </w:pPr>
            <w:r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SO 302</w:t>
            </w:r>
          </w:p>
        </w:tc>
        <w:tc>
          <w:tcPr>
            <w:tcW w:w="3402" w:type="dxa"/>
            <w:vAlign w:val="center"/>
          </w:tcPr>
          <w:p w14:paraId="49424E55" w14:textId="77777777" w:rsidR="00B61188" w:rsidRPr="0087377B" w:rsidRDefault="00AE2FF3" w:rsidP="00AE2FF3">
            <w:pPr>
              <w:rPr>
                <w:rFonts w:ascii="Lucida Sans Unicode" w:hAnsi="Lucida Sans Unicode" w:cs="Lucida Sans Unicode"/>
                <w:noProof/>
                <w:lang w:val="hr-HR" w:bidi="hr-HR"/>
              </w:rPr>
            </w:pPr>
            <w:r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Broj razvijenih obrazovnih programa/standarda kvalifikacija u skladu s HKO-om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222ED02C" w14:textId="77777777" w:rsidR="00B61188" w:rsidRDefault="00313A54" w:rsidP="00D33A7F">
            <w:pPr>
              <w:rPr>
                <w:rFonts w:ascii="Lucida Sans Unicode" w:hAnsi="Lucida Sans Unicode" w:cs="Lucida Sans Unicode"/>
                <w:lang w:val="hr-HR"/>
              </w:rPr>
            </w:pPr>
            <w:r>
              <w:rPr>
                <w:rFonts w:ascii="Lucida Sans Unicode" w:hAnsi="Lucida Sans Unicode" w:cs="Lucida Sans Unicode"/>
                <w:lang w:val="hr-HR"/>
              </w:rPr>
              <w:t>Broj obrazovnih programa/</w:t>
            </w:r>
            <w:r w:rsidR="00FF5CC9">
              <w:rPr>
                <w:rFonts w:ascii="Lucida Sans Unicode" w:hAnsi="Lucida Sans Unicode" w:cs="Lucida Sans Unicode"/>
                <w:lang w:val="hr-HR"/>
              </w:rPr>
              <w:t xml:space="preserve">standarda </w:t>
            </w:r>
            <w:r>
              <w:rPr>
                <w:rFonts w:ascii="Lucida Sans Unicode" w:hAnsi="Lucida Sans Unicode" w:cs="Lucida Sans Unicode"/>
                <w:lang w:val="hr-HR"/>
              </w:rPr>
              <w:t xml:space="preserve">kvalifikacija u skladu s HKO-om </w:t>
            </w:r>
            <w:r w:rsidR="00C4107D">
              <w:rPr>
                <w:rFonts w:ascii="Lucida Sans Unicode" w:hAnsi="Lucida Sans Unicode" w:cs="Lucida Sans Unicode"/>
                <w:lang w:val="hr-HR"/>
              </w:rPr>
              <w:t>koji su razvijeni kroz projekt.</w:t>
            </w:r>
          </w:p>
          <w:p w14:paraId="0FC3FF01" w14:textId="5AAEEF65" w:rsidR="00D33A7F" w:rsidRPr="0087377B" w:rsidRDefault="00D33A7F" w:rsidP="00D33A7F">
            <w:pPr>
              <w:rPr>
                <w:rFonts w:ascii="Lucida Sans Unicode" w:hAnsi="Lucida Sans Unicode" w:cs="Lucida Sans Unicode"/>
                <w:lang w:val="hr-HR"/>
              </w:rPr>
            </w:pPr>
            <w:r w:rsidRPr="00B673CF">
              <w:rPr>
                <w:rFonts w:ascii="Lucida Sans Unicode" w:hAnsi="Lucida Sans Unicode" w:cs="Lucida Sans Unicode"/>
                <w:lang w:val="hr-HR"/>
              </w:rPr>
              <w:t>U okviru ovog Poziva broj razvijenih obrazovnih programa odnosi se na broj razvijenih studijskih programa</w:t>
            </w:r>
            <w:r w:rsidR="009A29EB" w:rsidRPr="00B673CF">
              <w:rPr>
                <w:rFonts w:ascii="Lucida Sans Unicode" w:hAnsi="Lucida Sans Unicode" w:cs="Lucida Sans Unicode"/>
                <w:lang w:val="hr-HR"/>
              </w:rPr>
              <w:t xml:space="preserve"> i programa cjeloživotnog učenja</w:t>
            </w:r>
            <w:r w:rsidRPr="00B673CF">
              <w:rPr>
                <w:rFonts w:ascii="Lucida Sans Unicode" w:hAnsi="Lucida Sans Unicode" w:cs="Lucida Sans Unicode"/>
                <w:lang w:val="hr-HR"/>
              </w:rPr>
              <w:t>.</w:t>
            </w:r>
          </w:p>
        </w:tc>
      </w:tr>
      <w:tr w:rsidR="00AE2FF3" w:rsidRPr="0087377B" w14:paraId="64636A69" w14:textId="77777777" w:rsidTr="005E4C24">
        <w:trPr>
          <w:trHeight w:val="584"/>
        </w:trPr>
        <w:tc>
          <w:tcPr>
            <w:tcW w:w="1384" w:type="dxa"/>
            <w:vAlign w:val="center"/>
          </w:tcPr>
          <w:p w14:paraId="2CD22EAA" w14:textId="77777777" w:rsidR="00AE2FF3" w:rsidRPr="0087377B" w:rsidRDefault="00AE2FF3" w:rsidP="00AE2FF3">
            <w:pPr>
              <w:jc w:val="center"/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</w:pPr>
            <w:r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CO 11</w:t>
            </w:r>
          </w:p>
        </w:tc>
        <w:tc>
          <w:tcPr>
            <w:tcW w:w="3402" w:type="dxa"/>
            <w:vAlign w:val="center"/>
          </w:tcPr>
          <w:p w14:paraId="16550CBF" w14:textId="77777777" w:rsidR="00AE2FF3" w:rsidRPr="0087377B" w:rsidRDefault="00AE2FF3" w:rsidP="00AE2FF3">
            <w:pPr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</w:pPr>
            <w:r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Sudionici s tercijarnim obrazovanjem (ISCED od 5 do 8)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57D6BED2" w14:textId="77777777" w:rsidR="00AE2FF3" w:rsidRPr="0087377B" w:rsidRDefault="00346D6D" w:rsidP="00AE2FF3">
            <w:pPr>
              <w:rPr>
                <w:rFonts w:ascii="Lucida Sans Unicode" w:hAnsi="Lucida Sans Unicode" w:cs="Lucida Sans Unicode"/>
                <w:lang w:val="hr-HR"/>
              </w:rPr>
            </w:pPr>
            <w:r w:rsidRPr="0087377B">
              <w:rPr>
                <w:rFonts w:ascii="Lucida Sans Unicode" w:hAnsi="Lucida Sans Unicode" w:cs="Lucida Sans Unicode"/>
                <w:lang w:val="hr-HR"/>
              </w:rPr>
              <w:t>Broj sudionika s tercijarnim obrazovanjem - praćenje pokazatelja ISCED 5-8 (osobe s tercijarnim obrazovanjem) u okviru pojedinog projekta jedna je od obaveznih kategorija koje se prate tijekom provedbe projekata, a sukladno odredbama Uredbe 1304/2013.</w:t>
            </w:r>
          </w:p>
        </w:tc>
      </w:tr>
      <w:tr w:rsidR="00AE2FF3" w:rsidRPr="0087377B" w14:paraId="0BD1CEAE" w14:textId="77777777" w:rsidTr="005E4C24">
        <w:trPr>
          <w:trHeight w:val="584"/>
        </w:trPr>
        <w:tc>
          <w:tcPr>
            <w:tcW w:w="1384" w:type="dxa"/>
            <w:vAlign w:val="center"/>
          </w:tcPr>
          <w:p w14:paraId="54F61C1B" w14:textId="77777777" w:rsidR="00AE2FF3" w:rsidRPr="0087377B" w:rsidRDefault="00346D6D" w:rsidP="00AE2FF3">
            <w:pPr>
              <w:jc w:val="center"/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</w:pPr>
            <w:r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SO 30</w:t>
            </w:r>
            <w:r w:rsidR="00AE2FF3"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9</w:t>
            </w:r>
          </w:p>
        </w:tc>
        <w:tc>
          <w:tcPr>
            <w:tcW w:w="3402" w:type="dxa"/>
            <w:vAlign w:val="center"/>
          </w:tcPr>
          <w:p w14:paraId="00A1091C" w14:textId="77777777" w:rsidR="00AE2FF3" w:rsidRPr="0087377B" w:rsidRDefault="00AE2FF3" w:rsidP="00AE2FF3">
            <w:pPr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</w:pPr>
            <w:r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 xml:space="preserve">Sudionici s </w:t>
            </w:r>
            <w:proofErr w:type="spellStart"/>
            <w:r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>predtercijarnim</w:t>
            </w:r>
            <w:proofErr w:type="spellEnd"/>
            <w:r w:rsidRPr="0087377B">
              <w:rPr>
                <w:rStyle w:val="hps"/>
                <w:rFonts w:ascii="Lucida Sans Unicode" w:hAnsi="Lucida Sans Unicode" w:cs="Lucida Sans Unicode"/>
                <w:bCs/>
                <w:lang w:val="hr-HR" w:eastAsia="ar-SA"/>
              </w:rPr>
              <w:t xml:space="preserve"> obrazovanjem (ISCED 1-4)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3CE72DB8" w14:textId="77777777" w:rsidR="00AE2FF3" w:rsidRPr="0087377B" w:rsidRDefault="00346D6D" w:rsidP="00346D6D">
            <w:pPr>
              <w:rPr>
                <w:rFonts w:ascii="Lucida Sans Unicode" w:hAnsi="Lucida Sans Unicode" w:cs="Lucida Sans Unicode"/>
                <w:lang w:val="hr-HR"/>
              </w:rPr>
            </w:pPr>
            <w:r w:rsidRPr="0087377B">
              <w:rPr>
                <w:rFonts w:ascii="Lucida Sans Unicode" w:hAnsi="Lucida Sans Unicode" w:cs="Lucida Sans Unicode"/>
                <w:lang w:val="hr-HR"/>
              </w:rPr>
              <w:t xml:space="preserve">Broj sudionika s tercijarnim obrazovanjem - praćenje pokazatelja ISCED 1-4 (osobe s </w:t>
            </w:r>
            <w:proofErr w:type="spellStart"/>
            <w:r w:rsidRPr="0087377B">
              <w:rPr>
                <w:rFonts w:ascii="Lucida Sans Unicode" w:hAnsi="Lucida Sans Unicode" w:cs="Lucida Sans Unicode"/>
                <w:lang w:val="hr-HR"/>
              </w:rPr>
              <w:t>predtercijarnim</w:t>
            </w:r>
            <w:proofErr w:type="spellEnd"/>
            <w:r w:rsidRPr="0087377B">
              <w:rPr>
                <w:rFonts w:ascii="Lucida Sans Unicode" w:hAnsi="Lucida Sans Unicode" w:cs="Lucida Sans Unicode"/>
                <w:lang w:val="hr-HR"/>
              </w:rPr>
              <w:t xml:space="preserve"> obrazovanjem) u okviru pojedinog projekta jedna je od obaveznih kategorija koje se prate tijekom provedbe projekata, a sukladno odredbama Uredbe 1304/2013.</w:t>
            </w:r>
          </w:p>
        </w:tc>
      </w:tr>
    </w:tbl>
    <w:p w14:paraId="0AF29832" w14:textId="77777777" w:rsidR="0095779D" w:rsidRPr="00AE2FF3" w:rsidRDefault="00B61188" w:rsidP="001A2FA5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AE2FF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  </w:t>
      </w:r>
      <w:r w:rsidR="00AE2FF3" w:rsidRPr="00AE2FF3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 xml:space="preserve">                           </w:t>
      </w:r>
    </w:p>
    <w:p w14:paraId="17C5655F" w14:textId="77777777" w:rsidR="00133E07" w:rsidRPr="001F2119" w:rsidRDefault="00C4107D" w:rsidP="00A91A56">
      <w:pPr>
        <w:pStyle w:val="Heading2"/>
        <w:rPr>
          <w:rStyle w:val="hps"/>
        </w:rPr>
      </w:pPr>
      <w:r w:rsidRPr="001F2119">
        <w:rPr>
          <w:rStyle w:val="hps"/>
        </w:rPr>
        <w:t>T</w:t>
      </w:r>
      <w:r w:rsidR="00133E07" w:rsidRPr="001F2119">
        <w:rPr>
          <w:rStyle w:val="hps"/>
        </w:rPr>
        <w:t>rajanje projekta</w:t>
      </w:r>
    </w:p>
    <w:p w14:paraId="0ACEB1A0" w14:textId="77777777" w:rsidR="00133E07" w:rsidRDefault="00133E07" w:rsidP="00133E07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</w:p>
    <w:p w14:paraId="3680FEDF" w14:textId="77777777" w:rsidR="00AE2FF3" w:rsidRDefault="0095779D" w:rsidP="00133E0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133E07"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Predviđeno trajanje projekata je 24-36 mjeseci.</w:t>
      </w:r>
    </w:p>
    <w:p w14:paraId="2177DC22" w14:textId="77777777" w:rsidR="006667D2" w:rsidRDefault="006667D2" w:rsidP="00133E0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</w:p>
    <w:p w14:paraId="0E44C3F8" w14:textId="35D19F12" w:rsidR="006667D2" w:rsidRDefault="006667D2" w:rsidP="00A91A56">
      <w:pPr>
        <w:pStyle w:val="Heading2"/>
        <w:rPr>
          <w:rStyle w:val="hps"/>
          <w:bCs w:val="0"/>
        </w:rPr>
      </w:pPr>
      <w:r>
        <w:rPr>
          <w:rStyle w:val="hps"/>
          <w:bCs w:val="0"/>
        </w:rPr>
        <w:t>Lokacija projekta</w:t>
      </w:r>
    </w:p>
    <w:p w14:paraId="7733876D" w14:textId="376B48A0" w:rsidR="001F2119" w:rsidRPr="001F2119" w:rsidRDefault="001F2119" w:rsidP="001F2119">
      <w:pPr>
        <w:rPr>
          <w:rFonts w:ascii="Lucida Sans Unicode" w:hAnsi="Lucida Sans Unicode" w:cs="Lucida Sans Unicode"/>
          <w:sz w:val="20"/>
          <w:lang w:eastAsia="ar-SA"/>
        </w:rPr>
      </w:pPr>
      <w:r w:rsidRPr="001F2119">
        <w:rPr>
          <w:rFonts w:ascii="Lucida Sans Unicode" w:hAnsi="Lucida Sans Unicode" w:cs="Lucida Sans Unicode"/>
          <w:sz w:val="20"/>
          <w:lang w:eastAsia="ar-SA"/>
        </w:rPr>
        <w:t>Projektne aktivnosti se moraju provoditi u Republici Hrvatskoj</w:t>
      </w:r>
      <w:r>
        <w:rPr>
          <w:rStyle w:val="FootnoteReference"/>
          <w:rFonts w:ascii="Lucida Sans Unicode" w:hAnsi="Lucida Sans Unicode" w:cs="Lucida Sans Unicode"/>
          <w:sz w:val="20"/>
          <w:lang w:eastAsia="ar-SA"/>
        </w:rPr>
        <w:footnoteReference w:id="1"/>
      </w:r>
      <w:r w:rsidRPr="001F2119">
        <w:rPr>
          <w:rFonts w:ascii="Lucida Sans Unicode" w:hAnsi="Lucida Sans Unicode" w:cs="Lucida Sans Unicode"/>
          <w:sz w:val="20"/>
          <w:lang w:eastAsia="ar-SA"/>
        </w:rPr>
        <w:t>.</w:t>
      </w:r>
    </w:p>
    <w:p w14:paraId="4BF82264" w14:textId="77777777" w:rsidR="005E4C24" w:rsidRPr="00133E07" w:rsidRDefault="005E4C24" w:rsidP="00133E0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</w:p>
    <w:p w14:paraId="0DBE9040" w14:textId="32E984C2" w:rsidR="007459B1" w:rsidRPr="001F2119" w:rsidRDefault="00C4107D" w:rsidP="00857513">
      <w:pPr>
        <w:pStyle w:val="Heading1"/>
        <w:rPr>
          <w:rStyle w:val="hps"/>
        </w:rPr>
      </w:pPr>
      <w:r w:rsidRPr="001F2119">
        <w:rPr>
          <w:rStyle w:val="hps"/>
        </w:rPr>
        <w:lastRenderedPageBreak/>
        <w:t>Financijsk</w:t>
      </w:r>
      <w:r w:rsidR="00CE1F00" w:rsidRPr="001F2119">
        <w:rPr>
          <w:rStyle w:val="hps"/>
        </w:rPr>
        <w:t>a alokacija i iznos bespovratnih sredstava</w:t>
      </w:r>
    </w:p>
    <w:p w14:paraId="62B0958E" w14:textId="77777777" w:rsidR="00CE1F00" w:rsidRPr="00CE1F00" w:rsidRDefault="00CE1F00" w:rsidP="00A91A56">
      <w:pPr>
        <w:pStyle w:val="Heading2"/>
      </w:pPr>
      <w:r w:rsidRPr="00CE1F00">
        <w:t>Ukupna raspoloživa sredstva</w:t>
      </w:r>
    </w:p>
    <w:p w14:paraId="2B664C2B" w14:textId="77777777" w:rsidR="005E3E28" w:rsidRDefault="005E3E28" w:rsidP="008D1CDE">
      <w:p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5E3E28">
        <w:rPr>
          <w:rFonts w:ascii="Lucida Sans Unicode" w:hAnsi="Lucida Sans Unicode" w:cs="Lucida Sans Unicode"/>
          <w:b/>
          <w:sz w:val="20"/>
          <w:szCs w:val="20"/>
        </w:rPr>
        <w:t>Ukupni iznos operacije</w:t>
      </w:r>
      <w:r>
        <w:rPr>
          <w:rFonts w:ascii="Lucida Sans Unicode" w:hAnsi="Lucida Sans Unicode" w:cs="Lucida Sans Unicode"/>
          <w:sz w:val="20"/>
          <w:szCs w:val="20"/>
        </w:rPr>
        <w:t xml:space="preserve">: 30.400.000,00 KN </w:t>
      </w:r>
    </w:p>
    <w:p w14:paraId="0E84D076" w14:textId="77777777" w:rsidR="005E3E28" w:rsidRDefault="005E3E28" w:rsidP="008D1CDE">
      <w:p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ESF sufinanciranje (85%): </w:t>
      </w:r>
      <w:r w:rsidRPr="005E3E28">
        <w:rPr>
          <w:rFonts w:ascii="Lucida Sans Unicode" w:hAnsi="Lucida Sans Unicode" w:cs="Lucida Sans Unicode"/>
          <w:sz w:val="20"/>
          <w:szCs w:val="20"/>
        </w:rPr>
        <w:t>25.840.000,00 KN</w:t>
      </w:r>
    </w:p>
    <w:p w14:paraId="183DF33F" w14:textId="77777777" w:rsidR="005E3E28" w:rsidRDefault="005E3E28" w:rsidP="008D1CDE">
      <w:p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Nacionalno sufinanciranje (15%): </w:t>
      </w:r>
      <w:r w:rsidRPr="005E3E28">
        <w:rPr>
          <w:rFonts w:ascii="Lucida Sans Unicode" w:hAnsi="Lucida Sans Unicode" w:cs="Lucida Sans Unicode"/>
          <w:sz w:val="20"/>
          <w:szCs w:val="20"/>
        </w:rPr>
        <w:t>4.560.000,00 KN</w:t>
      </w:r>
    </w:p>
    <w:p w14:paraId="1BA96A17" w14:textId="77777777" w:rsidR="005E3E28" w:rsidRPr="00CE1F00" w:rsidRDefault="005E3E28" w:rsidP="00A91A56">
      <w:pPr>
        <w:pStyle w:val="Heading2"/>
      </w:pPr>
      <w:r w:rsidRPr="00CE1F00">
        <w:t xml:space="preserve">Raspoloživa sredstva po prijavitelju </w:t>
      </w:r>
    </w:p>
    <w:p w14:paraId="4D57C2A8" w14:textId="77777777" w:rsidR="005E3E28" w:rsidRDefault="005E3E28" w:rsidP="008D1CDE">
      <w:p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5E3E28">
        <w:rPr>
          <w:rFonts w:ascii="Lucida Sans Unicode" w:hAnsi="Lucida Sans Unicode" w:cs="Lucida Sans Unicode"/>
          <w:sz w:val="20"/>
          <w:szCs w:val="20"/>
        </w:rPr>
        <w:t>Minimalni iznos:</w:t>
      </w:r>
      <w:r>
        <w:rPr>
          <w:rFonts w:ascii="Lucida Sans Unicode" w:hAnsi="Lucida Sans Unicode" w:cs="Lucida Sans Unicode"/>
          <w:sz w:val="20"/>
          <w:szCs w:val="20"/>
        </w:rPr>
        <w:t xml:space="preserve"> 500.000,00 KN</w:t>
      </w:r>
    </w:p>
    <w:p w14:paraId="3AD379C1" w14:textId="77777777" w:rsidR="005E3E28" w:rsidRDefault="005E3E28" w:rsidP="008D1CDE">
      <w:p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Maksimalni iznos: 2.000.000,00 KN</w:t>
      </w:r>
    </w:p>
    <w:p w14:paraId="5DF2A8F8" w14:textId="77777777" w:rsidR="00463E16" w:rsidRPr="001F2119" w:rsidRDefault="00463E16" w:rsidP="00A91A56">
      <w:pPr>
        <w:pStyle w:val="Heading2"/>
        <w:rPr>
          <w:rStyle w:val="hps"/>
        </w:rPr>
      </w:pPr>
      <w:r w:rsidRPr="001F2119">
        <w:rPr>
          <w:rStyle w:val="hps"/>
        </w:rPr>
        <w:t>Predviđeni intenzitet potpore</w:t>
      </w:r>
    </w:p>
    <w:p w14:paraId="4149135A" w14:textId="77777777" w:rsidR="00463E16" w:rsidRDefault="00AE0191" w:rsidP="008D1CDE">
      <w:pPr>
        <w:spacing w:before="240" w:after="0"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AE0191">
        <w:rPr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Projekti se mogu financirati u iznosu do 100% prihvatljivih troškova. Sufinanciranje projekta u s</w:t>
      </w:r>
      <w:r>
        <w:rPr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klopu ovog Poziva nije obvezno.</w:t>
      </w:r>
    </w:p>
    <w:p w14:paraId="2B7834B2" w14:textId="77777777" w:rsidR="00381654" w:rsidRDefault="00381654" w:rsidP="008D1CDE">
      <w:pPr>
        <w:spacing w:before="240" w:after="0" w:line="240" w:lineRule="auto"/>
        <w:jc w:val="both"/>
        <w:rPr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</w:pPr>
      <w:r w:rsidRPr="004E0F6E">
        <w:rPr>
          <w:rFonts w:ascii="Lucida Sans Unicode" w:eastAsia="Times New Roman" w:hAnsi="Lucida Sans Unicode" w:cs="Lucida Sans Unicode"/>
          <w:bCs/>
          <w:sz w:val="20"/>
          <w:szCs w:val="20"/>
          <w:lang w:eastAsia="ar-SA"/>
        </w:rPr>
        <w:t>U ovom Pozivu na dostavu projektnih prijedloga Ministarstvo znanosti i obrazovanja kao PT 1 osigurava korisnicima isplatu predujma u iznosu do 40 % ukupne vrijednosti dodijeljenih bespovratnih sredstava.</w:t>
      </w:r>
    </w:p>
    <w:p w14:paraId="3D8A51B4" w14:textId="273250E2" w:rsidR="004037CD" w:rsidRPr="004037CD" w:rsidRDefault="004037CD" w:rsidP="00857513">
      <w:pPr>
        <w:pStyle w:val="Heading1"/>
      </w:pPr>
      <w:r w:rsidRPr="004037CD">
        <w:t>Prihvatljivi prijavitelji</w:t>
      </w:r>
      <w:r w:rsidR="00294FAB">
        <w:t>/partneri</w:t>
      </w:r>
    </w:p>
    <w:p w14:paraId="7E6D3357" w14:textId="029C0BB9" w:rsidR="004037CD" w:rsidRDefault="004037CD" w:rsidP="008D1CDE">
      <w:pPr>
        <w:spacing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Prihvatljivi prijavitelji u okviru ovog Poziva su</w:t>
      </w:r>
      <w:r w:rsidR="00381654">
        <w:rPr>
          <w:rFonts w:ascii="Lucida Sans Unicode" w:hAnsi="Lucida Sans Unicode" w:cs="Lucida Sans Unicode"/>
          <w:sz w:val="20"/>
          <w:szCs w:val="20"/>
        </w:rPr>
        <w:t>: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4037CD">
        <w:rPr>
          <w:rFonts w:ascii="Lucida Sans Unicode" w:hAnsi="Lucida Sans Unicode" w:cs="Lucida Sans Unicode"/>
          <w:sz w:val="20"/>
          <w:szCs w:val="20"/>
        </w:rPr>
        <w:t>visoka učilišta (tj. sveučilišta, sastavnice sveučilišta, veleučilišta, visoke škole)</w:t>
      </w:r>
      <w:r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536D9D">
        <w:rPr>
          <w:rStyle w:val="FootnoteReference"/>
          <w:rFonts w:ascii="Lucida Sans Unicode" w:hAnsi="Lucida Sans Unicode" w:cs="Lucida Sans Unicode"/>
          <w:sz w:val="20"/>
          <w:szCs w:val="20"/>
        </w:rPr>
        <w:footnoteReference w:id="2"/>
      </w:r>
    </w:p>
    <w:p w14:paraId="3E577F5A" w14:textId="77777777" w:rsidR="00074629" w:rsidRDefault="00074629" w:rsidP="00074629">
      <w:pPr>
        <w:spacing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Partnerstvo na projektu je obvezno.</w:t>
      </w:r>
    </w:p>
    <w:p w14:paraId="207CE0A1" w14:textId="3A529A7B" w:rsidR="005514B4" w:rsidRPr="005514B4" w:rsidRDefault="00294FAB" w:rsidP="005514B4">
      <w:pPr>
        <w:spacing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Prihvatljivi partneri u okviru ovog Poziva su</w:t>
      </w:r>
      <w:r w:rsidR="00381654">
        <w:rPr>
          <w:rFonts w:ascii="Lucida Sans Unicode" w:hAnsi="Lucida Sans Unicode" w:cs="Lucida Sans Unicode"/>
          <w:sz w:val="20"/>
          <w:szCs w:val="20"/>
        </w:rPr>
        <w:t>: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514B4" w:rsidRPr="005514B4">
        <w:rPr>
          <w:rFonts w:ascii="Lucida Sans Unicode" w:hAnsi="Lucida Sans Unicode" w:cs="Lucida Sans Unicode"/>
          <w:sz w:val="20"/>
          <w:szCs w:val="20"/>
        </w:rPr>
        <w:t>visoka učilišta i sve druge pravne osobe</w:t>
      </w:r>
      <w:r w:rsidR="009D5509">
        <w:rPr>
          <w:rFonts w:ascii="Lucida Sans Unicode" w:hAnsi="Lucida Sans Unicode" w:cs="Lucida Sans Unicode"/>
          <w:sz w:val="20"/>
          <w:szCs w:val="20"/>
        </w:rPr>
        <w:t xml:space="preserve"> upisane u sudski registar</w:t>
      </w:r>
      <w:r w:rsidR="005514B4" w:rsidRPr="005514B4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4372AF57" w14:textId="77777777" w:rsidR="005514B4" w:rsidRDefault="005514B4" w:rsidP="005514B4">
      <w:pPr>
        <w:spacing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5514B4">
        <w:rPr>
          <w:rFonts w:ascii="Lucida Sans Unicode" w:hAnsi="Lucida Sans Unicode" w:cs="Lucida Sans Unicode"/>
          <w:sz w:val="20"/>
          <w:szCs w:val="20"/>
        </w:rPr>
        <w:t>Obavezno je partnerstvo svih potencijalnih izvoditelja studijskih programa kojima se stječe kvalifikacija koja će se standardizirati. Potencijalnim izvoditeljima studijskih programa smatraju se sva visoka učilišta koja izvode taj studijski program.</w:t>
      </w:r>
    </w:p>
    <w:p w14:paraId="61B99C2E" w14:textId="77777777" w:rsidR="004037CD" w:rsidRDefault="004037CD" w:rsidP="00857513">
      <w:pPr>
        <w:pStyle w:val="Heading1"/>
      </w:pPr>
      <w:r w:rsidRPr="004037CD">
        <w:t>Prihvatljiv</w:t>
      </w:r>
      <w:r w:rsidR="00294FAB">
        <w:t>e aktivnosti</w:t>
      </w:r>
    </w:p>
    <w:p w14:paraId="28A96C20" w14:textId="77777777" w:rsidR="00294FAB" w:rsidRPr="00294FAB" w:rsidRDefault="00294FAB" w:rsidP="008D1CDE">
      <w:pPr>
        <w:pStyle w:val="ListParagraph"/>
        <w:spacing w:before="240" w:after="240" w:line="240" w:lineRule="auto"/>
        <w:ind w:left="0"/>
        <w:contextualSpacing w:val="0"/>
        <w:jc w:val="both"/>
        <w:rPr>
          <w:rFonts w:ascii="Lucida Sans Unicode" w:hAnsi="Lucida Sans Unicode" w:cs="Lucida Sans Unicode"/>
          <w:b/>
          <w:i/>
          <w:sz w:val="20"/>
          <w:szCs w:val="20"/>
        </w:rPr>
      </w:pPr>
      <w:r w:rsidRPr="00294FAB">
        <w:rPr>
          <w:rFonts w:ascii="Lucida Sans Unicode" w:hAnsi="Lucida Sans Unicode" w:cs="Lucida Sans Unicode"/>
          <w:b/>
          <w:i/>
          <w:sz w:val="20"/>
          <w:szCs w:val="20"/>
        </w:rPr>
        <w:t>Element 1. Upravljanje projektom i administracija</w:t>
      </w:r>
    </w:p>
    <w:p w14:paraId="06A5D22F" w14:textId="77777777" w:rsidR="00294FAB" w:rsidRPr="00294FAB" w:rsidRDefault="00294FAB" w:rsidP="008D1CDE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294FAB">
        <w:rPr>
          <w:rFonts w:ascii="Lucida Sans Unicode" w:hAnsi="Lucida Sans Unicode" w:cs="Lucida Sans Unicode"/>
          <w:sz w:val="20"/>
          <w:szCs w:val="20"/>
        </w:rPr>
        <w:lastRenderedPageBreak/>
        <w:t>Upravljanje projektom, praćenje provedbe i izvještavanje o provedbi</w:t>
      </w:r>
    </w:p>
    <w:p w14:paraId="227CFE49" w14:textId="0E7A94E9" w:rsidR="00294FAB" w:rsidRPr="00294FAB" w:rsidRDefault="00294FAB" w:rsidP="008D1CDE">
      <w:pPr>
        <w:pStyle w:val="ListParagraph"/>
        <w:spacing w:before="240" w:after="240" w:line="240" w:lineRule="auto"/>
        <w:ind w:left="0"/>
        <w:contextualSpacing w:val="0"/>
        <w:jc w:val="both"/>
        <w:rPr>
          <w:rFonts w:ascii="Lucida Sans Unicode" w:hAnsi="Lucida Sans Unicode" w:cs="Lucida Sans Unicode"/>
          <w:b/>
          <w:i/>
          <w:sz w:val="20"/>
          <w:szCs w:val="20"/>
        </w:rPr>
      </w:pPr>
      <w:r w:rsidRPr="00294FAB">
        <w:rPr>
          <w:rFonts w:ascii="Lucida Sans Unicode" w:hAnsi="Lucida Sans Unicode" w:cs="Lucida Sans Unicode"/>
          <w:b/>
          <w:i/>
          <w:sz w:val="20"/>
          <w:szCs w:val="20"/>
        </w:rPr>
        <w:t>Element 2. Razvoj i izrada standarda zanimanja, standarda djelomičnih i cjelovitih kvalifikacija</w:t>
      </w:r>
      <w:r w:rsidR="003D61E2">
        <w:rPr>
          <w:rFonts w:ascii="Lucida Sans Unicode" w:hAnsi="Lucida Sans Unicode" w:cs="Lucida Sans Unicode"/>
          <w:b/>
          <w:i/>
          <w:sz w:val="20"/>
          <w:szCs w:val="20"/>
        </w:rPr>
        <w:t xml:space="preserve">  i</w:t>
      </w:r>
      <w:r w:rsidR="00772943" w:rsidRPr="00772943">
        <w:t xml:space="preserve"> </w:t>
      </w:r>
      <w:r w:rsidR="00772943">
        <w:t xml:space="preserve"> </w:t>
      </w:r>
      <w:r w:rsidR="00772943" w:rsidRPr="003D61E2">
        <w:t>programa cjeloživotnog učenja</w:t>
      </w:r>
      <w:r w:rsidR="00772943">
        <w:t>/</w:t>
      </w:r>
      <w:r w:rsidR="003D61E2">
        <w:rPr>
          <w:rFonts w:ascii="Lucida Sans Unicode" w:hAnsi="Lucida Sans Unicode" w:cs="Lucida Sans Unicode"/>
          <w:b/>
          <w:i/>
          <w:sz w:val="20"/>
          <w:szCs w:val="20"/>
        </w:rPr>
        <w:t xml:space="preserve"> studijskih programa</w:t>
      </w:r>
    </w:p>
    <w:p w14:paraId="30340C9D" w14:textId="77777777" w:rsidR="00294FAB" w:rsidRPr="00294FAB" w:rsidRDefault="00294FAB" w:rsidP="008D1CDE">
      <w:pPr>
        <w:pStyle w:val="ListParagraph"/>
        <w:spacing w:line="240" w:lineRule="auto"/>
        <w:ind w:left="0"/>
        <w:contextualSpacing w:val="0"/>
        <w:jc w:val="both"/>
        <w:rPr>
          <w:rFonts w:ascii="Lucida Sans Unicode" w:hAnsi="Lucida Sans Unicode" w:cs="Lucida Sans Unicode"/>
          <w:sz w:val="20"/>
          <w:szCs w:val="20"/>
          <w:u w:val="single"/>
        </w:rPr>
      </w:pPr>
      <w:r w:rsidRPr="00294FAB">
        <w:rPr>
          <w:rFonts w:ascii="Lucida Sans Unicode" w:hAnsi="Lucida Sans Unicode" w:cs="Lucida Sans Unicode"/>
          <w:sz w:val="20"/>
          <w:szCs w:val="20"/>
          <w:u w:val="single"/>
        </w:rPr>
        <w:t>Sve navedene aktivnosti su obvezne:</w:t>
      </w:r>
    </w:p>
    <w:p w14:paraId="6B95F2D4" w14:textId="16FC39F9" w:rsidR="00AE09D3" w:rsidRPr="00AE09D3" w:rsidRDefault="003D61E2" w:rsidP="00C524C0">
      <w:pPr>
        <w:pStyle w:val="ListParagraph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2.1. </w:t>
      </w:r>
      <w:r w:rsidR="00AE09D3">
        <w:rPr>
          <w:rFonts w:ascii="Lucida Sans Unicode" w:hAnsi="Lucida Sans Unicode" w:cs="Lucida Sans Unicode"/>
          <w:sz w:val="20"/>
          <w:szCs w:val="20"/>
        </w:rPr>
        <w:t>r</w:t>
      </w:r>
      <w:r w:rsidR="00AE09D3" w:rsidRPr="00AE09D3">
        <w:rPr>
          <w:rFonts w:ascii="Lucida Sans Unicode" w:hAnsi="Lucida Sans Unicode" w:cs="Lucida Sans Unicode"/>
          <w:sz w:val="20"/>
          <w:szCs w:val="20"/>
        </w:rPr>
        <w:t xml:space="preserve">azvoj i izrada standarda zanimanja u skladu sa Smjernicama za izradu standarda zanimanja (korištenje Profila sektora i tumačenje relevantnih podataka dostupnih na portalu </w:t>
      </w:r>
      <w:hyperlink r:id="rId23" w:history="1">
        <w:r w:rsidR="00AE09D3" w:rsidRPr="00ED1C43">
          <w:rPr>
            <w:rStyle w:val="Hyperlink"/>
            <w:rFonts w:ascii="Lucida Sans Unicode" w:hAnsi="Lucida Sans Unicode" w:cs="Lucida Sans Unicode"/>
            <w:sz w:val="20"/>
            <w:szCs w:val="20"/>
          </w:rPr>
          <w:t>http://www.hkoportal.hr/</w:t>
        </w:r>
      </w:hyperlink>
      <w:r w:rsidR="00AE09D3" w:rsidRPr="00AE09D3">
        <w:rPr>
          <w:rFonts w:ascii="Lucida Sans Unicode" w:hAnsi="Lucida Sans Unicode" w:cs="Lucida Sans Unicode"/>
          <w:sz w:val="20"/>
          <w:szCs w:val="20"/>
        </w:rPr>
        <w:t>,  provedba Ankete o standardu zanimanja, analiza rezultata ankete, održavanje fokus grupa o rezultatima ankete i izrada standarda zanimanja)</w:t>
      </w:r>
    </w:p>
    <w:p w14:paraId="1AE5C343" w14:textId="0FAF7A66" w:rsidR="00294FAB" w:rsidRDefault="003D61E2" w:rsidP="00B673CF">
      <w:pPr>
        <w:pStyle w:val="ListParagraph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2.2. r</w:t>
      </w:r>
      <w:r w:rsidR="00AE09D3" w:rsidRPr="00AE09D3">
        <w:rPr>
          <w:rFonts w:ascii="Lucida Sans Unicode" w:hAnsi="Lucida Sans Unicode" w:cs="Lucida Sans Unicode"/>
          <w:sz w:val="20"/>
          <w:szCs w:val="20"/>
        </w:rPr>
        <w:t>azvoj i izrada standarda djelomičnih i cjelovitih kvalifikacija u skladu s Uputama za izradu standarda kvalifikacija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5F860DF1" w14:textId="4F477957" w:rsidR="003D61E2" w:rsidRPr="003D61E2" w:rsidRDefault="003D61E2" w:rsidP="00C524C0">
      <w:pPr>
        <w:pStyle w:val="ListParagraph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2.3. </w:t>
      </w:r>
      <w:r w:rsidRPr="003D61E2">
        <w:rPr>
          <w:rFonts w:ascii="Lucida Sans Unicode" w:hAnsi="Lucida Sans Unicode" w:cs="Lucida Sans Unicode"/>
          <w:sz w:val="20"/>
          <w:szCs w:val="20"/>
        </w:rPr>
        <w:t>izrada novih ili unapređenje postojećih studijskih programa u skladu s izrađenim standardima kvalifikacija ili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3D61E2">
        <w:rPr>
          <w:rFonts w:ascii="Lucida Sans Unicode" w:hAnsi="Lucida Sans Unicode" w:cs="Lucida Sans Unicode"/>
          <w:sz w:val="20"/>
          <w:szCs w:val="20"/>
        </w:rPr>
        <w:t>izrada novih ili unapređenje postojećih programa cjeloživotnog učenja koji se izvode na visokim učilištima u skladu sa standardima djelomičnih kvalifikacija</w:t>
      </w:r>
    </w:p>
    <w:p w14:paraId="4ED49832" w14:textId="77777777" w:rsidR="003D61E2" w:rsidRPr="00294FAB" w:rsidRDefault="003D61E2" w:rsidP="003D61E2">
      <w:pPr>
        <w:pStyle w:val="ListParagraph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7B809D5B" w14:textId="1D649129" w:rsidR="00294FAB" w:rsidRPr="00554921" w:rsidRDefault="00554921" w:rsidP="008D1CDE">
      <w:pPr>
        <w:pStyle w:val="ListParagraph"/>
        <w:spacing w:before="240" w:after="240" w:line="240" w:lineRule="auto"/>
        <w:ind w:left="0"/>
        <w:contextualSpacing w:val="0"/>
        <w:jc w:val="both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>Element 3.</w:t>
      </w:r>
      <w:r w:rsidR="007C53BA">
        <w:rPr>
          <w:rFonts w:ascii="Lucida Sans Unicode" w:hAnsi="Lucida Sans Unicode" w:cs="Lucida Sans Unicode"/>
          <w:b/>
          <w:i/>
          <w:sz w:val="20"/>
          <w:szCs w:val="20"/>
        </w:rPr>
        <w:t xml:space="preserve"> </w:t>
      </w:r>
      <w:r w:rsidR="00411FD2">
        <w:rPr>
          <w:rFonts w:ascii="Lucida Sans Unicode" w:hAnsi="Lucida Sans Unicode" w:cs="Lucida Sans Unicode"/>
          <w:b/>
          <w:i/>
          <w:sz w:val="20"/>
          <w:szCs w:val="20"/>
        </w:rPr>
        <w:t xml:space="preserve">Unapređenje </w:t>
      </w:r>
      <w:r w:rsidR="00AE09D3">
        <w:rPr>
          <w:rFonts w:ascii="Lucida Sans Unicode" w:hAnsi="Lucida Sans Unicode" w:cs="Lucida Sans Unicode"/>
          <w:b/>
          <w:i/>
          <w:sz w:val="20"/>
          <w:szCs w:val="20"/>
        </w:rPr>
        <w:t xml:space="preserve">postupka osiguravanja </w:t>
      </w:r>
      <w:r w:rsidR="00294FAB" w:rsidRPr="00554921">
        <w:rPr>
          <w:rFonts w:ascii="Lucida Sans Unicode" w:hAnsi="Lucida Sans Unicode" w:cs="Lucida Sans Unicode"/>
          <w:b/>
          <w:i/>
          <w:sz w:val="20"/>
          <w:szCs w:val="20"/>
        </w:rPr>
        <w:t>kvalitete</w:t>
      </w:r>
      <w:r w:rsidR="00AE09D3">
        <w:rPr>
          <w:rFonts w:ascii="Lucida Sans Unicode" w:hAnsi="Lucida Sans Unicode" w:cs="Lucida Sans Unicode"/>
          <w:b/>
          <w:i/>
          <w:sz w:val="20"/>
          <w:szCs w:val="20"/>
        </w:rPr>
        <w:t xml:space="preserve"> visokog obrazovanja</w:t>
      </w:r>
    </w:p>
    <w:p w14:paraId="09A5C2C9" w14:textId="43D787B4" w:rsidR="00AE09D3" w:rsidRPr="00AE09D3" w:rsidRDefault="00411FD2" w:rsidP="00AE09D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unapr</w:t>
      </w:r>
      <w:r w:rsidR="00AE09D3" w:rsidRPr="00AE09D3">
        <w:rPr>
          <w:rFonts w:ascii="Lucida Sans Unicode" w:hAnsi="Lucida Sans Unicode" w:cs="Lucida Sans Unicode"/>
          <w:sz w:val="20"/>
          <w:szCs w:val="20"/>
        </w:rPr>
        <w:t>eđenje evidencija, sustava i alata za vođenje evidencija na visokom učilištu</w:t>
      </w:r>
    </w:p>
    <w:p w14:paraId="372E4CF2" w14:textId="7D367570" w:rsidR="00AE09D3" w:rsidRPr="00AE09D3" w:rsidRDefault="00411FD2" w:rsidP="00AE09D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unapr</w:t>
      </w:r>
      <w:r w:rsidR="00AE09D3" w:rsidRPr="00AE09D3">
        <w:rPr>
          <w:rFonts w:ascii="Lucida Sans Unicode" w:hAnsi="Lucida Sans Unicode" w:cs="Lucida Sans Unicode"/>
          <w:sz w:val="20"/>
          <w:szCs w:val="20"/>
        </w:rPr>
        <w:t>eđenje propisa kojima se uređuju unutarnji sustavi osiguravanja kvalitete</w:t>
      </w:r>
    </w:p>
    <w:p w14:paraId="064AB509" w14:textId="77777777" w:rsidR="00AE09D3" w:rsidRPr="00AE09D3" w:rsidRDefault="00AE09D3" w:rsidP="00AE09D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AE09D3">
        <w:rPr>
          <w:rFonts w:ascii="Lucida Sans Unicode" w:hAnsi="Lucida Sans Unicode" w:cs="Lucida Sans Unicode"/>
          <w:sz w:val="20"/>
          <w:szCs w:val="20"/>
        </w:rPr>
        <w:t>izrada alata za povećanje transparentnosti postupaka i rezultata vrednovanja (ispita)</w:t>
      </w:r>
    </w:p>
    <w:p w14:paraId="7B0FDAEE" w14:textId="77777777" w:rsidR="00AE09D3" w:rsidRPr="00AE09D3" w:rsidRDefault="00AE09D3" w:rsidP="00AE09D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AE09D3">
        <w:rPr>
          <w:rFonts w:ascii="Lucida Sans Unicode" w:hAnsi="Lucida Sans Unicode" w:cs="Lucida Sans Unicode"/>
          <w:sz w:val="20"/>
          <w:szCs w:val="20"/>
        </w:rPr>
        <w:t>radionice, seminari, okrugli stolovi i skupovi o osiguravanju i unapređenju kvalitete u znanosti i visokom obrazovanju</w:t>
      </w:r>
    </w:p>
    <w:p w14:paraId="2A4ED34D" w14:textId="314650D1" w:rsidR="00AE09D3" w:rsidRPr="00AE09D3" w:rsidRDefault="00411FD2" w:rsidP="00AE09D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unapr</w:t>
      </w:r>
      <w:r w:rsidR="00AE09D3" w:rsidRPr="00AE09D3">
        <w:rPr>
          <w:rFonts w:ascii="Lucida Sans Unicode" w:hAnsi="Lucida Sans Unicode" w:cs="Lucida Sans Unicode"/>
          <w:sz w:val="20"/>
          <w:szCs w:val="20"/>
        </w:rPr>
        <w:t>eđenje svrhovitosti i provedba anketa studenata</w:t>
      </w:r>
    </w:p>
    <w:p w14:paraId="2D0CE7BF" w14:textId="77777777" w:rsidR="00AE09D3" w:rsidRPr="00AE09D3" w:rsidRDefault="00AE09D3" w:rsidP="00AE09D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AE09D3">
        <w:rPr>
          <w:rFonts w:ascii="Lucida Sans Unicode" w:hAnsi="Lucida Sans Unicode" w:cs="Lucida Sans Unicode"/>
          <w:sz w:val="20"/>
          <w:szCs w:val="20"/>
        </w:rPr>
        <w:t>recenzija programa u skladu sa standardom kvalifikacije kao dio unutarnjeg sustava osiguravanja kvalitete</w:t>
      </w:r>
    </w:p>
    <w:p w14:paraId="63235BC2" w14:textId="529D3736" w:rsidR="00AE09D3" w:rsidRDefault="00411FD2" w:rsidP="00AE09D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unapr</w:t>
      </w:r>
      <w:r w:rsidR="00AE09D3" w:rsidRPr="00AE09D3">
        <w:rPr>
          <w:rFonts w:ascii="Lucida Sans Unicode" w:hAnsi="Lucida Sans Unicode" w:cs="Lucida Sans Unicode"/>
          <w:sz w:val="20"/>
          <w:szCs w:val="20"/>
        </w:rPr>
        <w:t>eđenje i provedba aktivnosti suradničke procjene (</w:t>
      </w:r>
      <w:proofErr w:type="spellStart"/>
      <w:r w:rsidR="00AE09D3" w:rsidRPr="00AE09D3">
        <w:rPr>
          <w:rFonts w:ascii="Lucida Sans Unicode" w:hAnsi="Lucida Sans Unicode" w:cs="Lucida Sans Unicode"/>
          <w:sz w:val="20"/>
          <w:szCs w:val="20"/>
        </w:rPr>
        <w:t>peer</w:t>
      </w:r>
      <w:proofErr w:type="spellEnd"/>
      <w:r w:rsidR="00AE09D3" w:rsidRPr="00AE09D3">
        <w:rPr>
          <w:rFonts w:ascii="Lucida Sans Unicode" w:hAnsi="Lucida Sans Unicode" w:cs="Lucida Sans Unicode"/>
          <w:sz w:val="20"/>
          <w:szCs w:val="20"/>
        </w:rPr>
        <w:t xml:space="preserve"> to </w:t>
      </w:r>
      <w:proofErr w:type="spellStart"/>
      <w:r w:rsidR="00AE09D3" w:rsidRPr="00AE09D3">
        <w:rPr>
          <w:rFonts w:ascii="Lucida Sans Unicode" w:hAnsi="Lucida Sans Unicode" w:cs="Lucida Sans Unicode"/>
          <w:sz w:val="20"/>
          <w:szCs w:val="20"/>
        </w:rPr>
        <w:t>peer</w:t>
      </w:r>
      <w:proofErr w:type="spellEnd"/>
      <w:r w:rsidR="00AE09D3" w:rsidRPr="00AE09D3">
        <w:rPr>
          <w:rFonts w:ascii="Lucida Sans Unicode" w:hAnsi="Lucida Sans Unicode" w:cs="Lucida Sans Unicode"/>
          <w:sz w:val="20"/>
          <w:szCs w:val="20"/>
        </w:rPr>
        <w:t xml:space="preserve">, </w:t>
      </w:r>
      <w:proofErr w:type="spellStart"/>
      <w:r w:rsidR="00AE09D3" w:rsidRPr="00AE09D3">
        <w:rPr>
          <w:rFonts w:ascii="Lucida Sans Unicode" w:hAnsi="Lucida Sans Unicode" w:cs="Lucida Sans Unicode"/>
          <w:sz w:val="20"/>
          <w:szCs w:val="20"/>
        </w:rPr>
        <w:t>peer</w:t>
      </w:r>
      <w:proofErr w:type="spellEnd"/>
      <w:r w:rsidR="00AE09D3" w:rsidRPr="00AE09D3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AE09D3" w:rsidRPr="00AE09D3">
        <w:rPr>
          <w:rFonts w:ascii="Lucida Sans Unicode" w:hAnsi="Lucida Sans Unicode" w:cs="Lucida Sans Unicode"/>
          <w:sz w:val="20"/>
          <w:szCs w:val="20"/>
        </w:rPr>
        <w:t>review</w:t>
      </w:r>
      <w:proofErr w:type="spellEnd"/>
      <w:r w:rsidR="00AE09D3" w:rsidRPr="00AE09D3">
        <w:rPr>
          <w:rFonts w:ascii="Lucida Sans Unicode" w:hAnsi="Lucida Sans Unicode" w:cs="Lucida Sans Unicode"/>
          <w:sz w:val="20"/>
          <w:szCs w:val="20"/>
        </w:rPr>
        <w:t>)</w:t>
      </w:r>
    </w:p>
    <w:p w14:paraId="22F998C2" w14:textId="1F5E5139" w:rsidR="009E7390" w:rsidRPr="00AE09D3" w:rsidRDefault="009E7390" w:rsidP="009E73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osnaživanje unutarnjih sustava osiguravanja kvalitete u skladu s Europskim </w:t>
      </w:r>
      <w:r w:rsidRPr="009E7390">
        <w:rPr>
          <w:rFonts w:ascii="Lucida Sans Unicode" w:hAnsi="Lucida Sans Unicode" w:cs="Lucida Sans Unicode"/>
          <w:sz w:val="20"/>
          <w:szCs w:val="20"/>
        </w:rPr>
        <w:t>standardima i smjernicama za osiguravanje kvalitete u visokom obrazovanju</w:t>
      </w:r>
      <w:r>
        <w:rPr>
          <w:rFonts w:ascii="Lucida Sans Unicode" w:hAnsi="Lucida Sans Unicode" w:cs="Lucida Sans Unicode"/>
          <w:sz w:val="20"/>
          <w:szCs w:val="20"/>
        </w:rPr>
        <w:t xml:space="preserve"> (2015.)</w:t>
      </w:r>
    </w:p>
    <w:p w14:paraId="4F898EFA" w14:textId="7BCA0E75" w:rsidR="00AE09D3" w:rsidRPr="00554921" w:rsidRDefault="00AE09D3" w:rsidP="00AE09D3">
      <w:pPr>
        <w:pStyle w:val="ListParagraph"/>
        <w:spacing w:before="240" w:after="240" w:line="240" w:lineRule="auto"/>
        <w:ind w:left="0"/>
        <w:contextualSpacing w:val="0"/>
        <w:jc w:val="both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>Element 4.</w:t>
      </w:r>
      <w:r w:rsidRPr="00554921">
        <w:rPr>
          <w:rFonts w:ascii="Lucida Sans Unicode" w:hAnsi="Lucida Sans Unicode" w:cs="Lucida Sans Unicode"/>
          <w:b/>
          <w:i/>
          <w:sz w:val="20"/>
          <w:szCs w:val="20"/>
        </w:rPr>
        <w:t xml:space="preserve"> </w:t>
      </w:r>
      <w:r w:rsidR="007C53BA">
        <w:rPr>
          <w:rFonts w:ascii="Lucida Sans Unicode" w:hAnsi="Lucida Sans Unicode" w:cs="Lucida Sans Unicode"/>
          <w:b/>
          <w:i/>
          <w:sz w:val="20"/>
          <w:szCs w:val="20"/>
        </w:rPr>
        <w:t>Razvoj</w:t>
      </w:r>
      <w:r w:rsidRPr="00AE09D3">
        <w:rPr>
          <w:rFonts w:ascii="Lucida Sans Unicode" w:hAnsi="Lucida Sans Unicode" w:cs="Lucida Sans Unicode"/>
          <w:b/>
          <w:i/>
          <w:sz w:val="20"/>
          <w:szCs w:val="20"/>
        </w:rPr>
        <w:t xml:space="preserve"> nastavne djelatnosti u visokom obrazovanju</w:t>
      </w:r>
    </w:p>
    <w:p w14:paraId="07085FFD" w14:textId="77777777" w:rsidR="00B94CEE" w:rsidRPr="00B94CEE" w:rsidRDefault="00B94CEE" w:rsidP="00B94CEE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>razvoj i provedba programa, seminara i radionica za unapređenje nastavničkih kompetencija u visokom obrazovanju</w:t>
      </w:r>
    </w:p>
    <w:p w14:paraId="67572242" w14:textId="77777777" w:rsidR="00B94CEE" w:rsidRPr="00B94CEE" w:rsidRDefault="00B94CEE" w:rsidP="00B94CEE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>razvoj i provedba programa, seminara i radionica za stjecanje upravljačkih i poduzetničkih kompetencija studenata</w:t>
      </w:r>
    </w:p>
    <w:p w14:paraId="14CA2468" w14:textId="77777777" w:rsidR="00B94CEE" w:rsidRPr="00B94CEE" w:rsidRDefault="00B94CEE" w:rsidP="00B94CEE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>unapređenje stručne prakse kroz izradu ishoda učenja i postupaka za vrednovanje stečenih ishoda učenja</w:t>
      </w:r>
    </w:p>
    <w:p w14:paraId="29E368DF" w14:textId="045A63E3" w:rsidR="00B94CEE" w:rsidRPr="00B94CEE" w:rsidRDefault="00411FD2" w:rsidP="00B94CEE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unapr</w:t>
      </w:r>
      <w:r w:rsidR="00B94CEE" w:rsidRPr="00B94CEE">
        <w:rPr>
          <w:rFonts w:ascii="Lucida Sans Unicode" w:hAnsi="Lucida Sans Unicode" w:cs="Lucida Sans Unicode"/>
          <w:sz w:val="20"/>
          <w:szCs w:val="20"/>
        </w:rPr>
        <w:t>eđenje kvalitete stažiranja/pripravništva kroz izradu programa stažiranja/pripravništva razrađenih kroz ishode učenja i postupke za vrednovanje stečenih ishoda učenja</w:t>
      </w:r>
    </w:p>
    <w:p w14:paraId="143B0A9B" w14:textId="6F8A0C64" w:rsidR="00B94CEE" w:rsidRPr="00B94CEE" w:rsidRDefault="00B94CEE" w:rsidP="00B94CEE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lastRenderedPageBreak/>
        <w:t xml:space="preserve">razvoj i </w:t>
      </w:r>
      <w:r w:rsidR="00411FD2">
        <w:rPr>
          <w:rFonts w:ascii="Lucida Sans Unicode" w:hAnsi="Lucida Sans Unicode" w:cs="Lucida Sans Unicode"/>
          <w:sz w:val="20"/>
          <w:szCs w:val="20"/>
        </w:rPr>
        <w:t>unapređenje</w:t>
      </w:r>
      <w:r w:rsidRPr="00B94CEE">
        <w:rPr>
          <w:rFonts w:ascii="Lucida Sans Unicode" w:hAnsi="Lucida Sans Unicode" w:cs="Lucida Sans Unicode"/>
          <w:sz w:val="20"/>
          <w:szCs w:val="20"/>
        </w:rPr>
        <w:t xml:space="preserve"> sustava mentorstva i stručne prakse, stručnih ekskurzija i terenske nastave kao dijela studijskog programa i učenja kroz rad</w:t>
      </w:r>
    </w:p>
    <w:p w14:paraId="38129CBF" w14:textId="77777777" w:rsidR="00B94CEE" w:rsidRPr="00B94CEE" w:rsidRDefault="00B94CEE" w:rsidP="00B94CEE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>provedba zajedničkih istraživačkih projekata studenata i nastavnika povezanih sa stjecanjem ishoda učenja predviđenih studijskim programom</w:t>
      </w:r>
    </w:p>
    <w:p w14:paraId="3D142D52" w14:textId="77777777" w:rsidR="00B94CEE" w:rsidRPr="00B94CEE" w:rsidRDefault="00B94CEE" w:rsidP="00B94CEE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 xml:space="preserve">uključivanje mentora iz svijeta rada i gospodarstva kao gostujućih predavača u izvedbu studijskog programa </w:t>
      </w:r>
    </w:p>
    <w:p w14:paraId="4A1B65C6" w14:textId="77777777" w:rsidR="00B94CEE" w:rsidRPr="00B94CEE" w:rsidRDefault="00B94CEE" w:rsidP="00B94CEE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>izrada završnih i diplomskih radova u suradnji s gospodarstvom</w:t>
      </w:r>
    </w:p>
    <w:p w14:paraId="181C459B" w14:textId="77777777" w:rsidR="00B94CEE" w:rsidRPr="00B94CEE" w:rsidRDefault="00B94CEE" w:rsidP="00B94CEE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 xml:space="preserve">praćenje i analize </w:t>
      </w:r>
      <w:proofErr w:type="spellStart"/>
      <w:r w:rsidRPr="00B94CEE">
        <w:rPr>
          <w:rFonts w:ascii="Lucida Sans Unicode" w:hAnsi="Lucida Sans Unicode" w:cs="Lucida Sans Unicode"/>
          <w:sz w:val="20"/>
          <w:szCs w:val="20"/>
        </w:rPr>
        <w:t>zapošljivosti</w:t>
      </w:r>
      <w:proofErr w:type="spellEnd"/>
      <w:r w:rsidRPr="00B94CEE">
        <w:rPr>
          <w:rFonts w:ascii="Lucida Sans Unicode" w:hAnsi="Lucida Sans Unicode" w:cs="Lucida Sans Unicode"/>
          <w:sz w:val="20"/>
          <w:szCs w:val="20"/>
        </w:rPr>
        <w:t xml:space="preserve"> diplomiranih (</w:t>
      </w:r>
      <w:proofErr w:type="spellStart"/>
      <w:r w:rsidRPr="00B94CEE">
        <w:rPr>
          <w:rFonts w:ascii="Lucida Sans Unicode" w:hAnsi="Lucida Sans Unicode" w:cs="Lucida Sans Unicode"/>
          <w:sz w:val="20"/>
          <w:szCs w:val="20"/>
        </w:rPr>
        <w:t>alumnija</w:t>
      </w:r>
      <w:proofErr w:type="spellEnd"/>
      <w:r w:rsidRPr="00B94CEE">
        <w:rPr>
          <w:rFonts w:ascii="Lucida Sans Unicode" w:hAnsi="Lucida Sans Unicode" w:cs="Lucida Sans Unicode"/>
          <w:sz w:val="20"/>
          <w:szCs w:val="20"/>
        </w:rPr>
        <w:t>)</w:t>
      </w:r>
    </w:p>
    <w:p w14:paraId="0FA71BA3" w14:textId="77777777" w:rsidR="00B94CEE" w:rsidRPr="00B94CEE" w:rsidRDefault="00B94CEE" w:rsidP="00B94CEE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 xml:space="preserve">anketiranje poslodavaca i </w:t>
      </w:r>
      <w:proofErr w:type="spellStart"/>
      <w:r w:rsidRPr="00B94CEE">
        <w:rPr>
          <w:rFonts w:ascii="Lucida Sans Unicode" w:hAnsi="Lucida Sans Unicode" w:cs="Lucida Sans Unicode"/>
          <w:sz w:val="20"/>
          <w:szCs w:val="20"/>
        </w:rPr>
        <w:t>alumnija</w:t>
      </w:r>
      <w:proofErr w:type="spellEnd"/>
    </w:p>
    <w:p w14:paraId="18DBE4E7" w14:textId="77777777" w:rsidR="00B94CEE" w:rsidRPr="00B94CEE" w:rsidRDefault="00B94CEE" w:rsidP="00B94CEE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>opremanje laboratorija, vježbaonica i radionica</w:t>
      </w:r>
    </w:p>
    <w:p w14:paraId="5E84055B" w14:textId="46E93D98" w:rsidR="00AE09D3" w:rsidRPr="009E7390" w:rsidRDefault="00B94CEE" w:rsidP="00B94CEE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>sudjelovanje studenata i nastavnika na znanstvenim i stručnim skupovima u Republici Hrvatskoj i u inozemstvu</w:t>
      </w:r>
      <w:r w:rsidR="00AE09D3" w:rsidRPr="00B94CEE">
        <w:rPr>
          <w:rFonts w:ascii="Lucida Sans Unicode" w:hAnsi="Lucida Sans Unicode" w:cs="Lucida Sans Unicode"/>
          <w:sz w:val="20"/>
          <w:szCs w:val="20"/>
        </w:rPr>
        <w:t>)</w:t>
      </w:r>
    </w:p>
    <w:p w14:paraId="10354BCC" w14:textId="759BD32A" w:rsidR="009E7390" w:rsidRPr="003019F7" w:rsidRDefault="009E7390" w:rsidP="00B94CEE">
      <w:pPr>
        <w:pStyle w:val="ListParagraph"/>
        <w:numPr>
          <w:ilvl w:val="0"/>
          <w:numId w:val="21"/>
        </w:numPr>
        <w:spacing w:before="240" w:after="0" w:line="240" w:lineRule="auto"/>
        <w:jc w:val="both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izrada didaktičkih materijala uz korištenje tradicionalnih i inovativnih tehnologija</w:t>
      </w:r>
    </w:p>
    <w:p w14:paraId="51297353" w14:textId="0C35493C" w:rsidR="00554921" w:rsidRPr="00554921" w:rsidRDefault="00554921" w:rsidP="008D1CDE">
      <w:pPr>
        <w:spacing w:before="240" w:after="0" w:line="240" w:lineRule="auto"/>
        <w:jc w:val="both"/>
        <w:rPr>
          <w:rFonts w:ascii="Lucida Sans Unicode" w:hAnsi="Lucida Sans Unicode" w:cs="Lucida Sans Unicode"/>
          <w:b/>
          <w:i/>
          <w:sz w:val="20"/>
          <w:szCs w:val="20"/>
        </w:rPr>
      </w:pPr>
      <w:r w:rsidRPr="00554921">
        <w:rPr>
          <w:rFonts w:ascii="Lucida Sans Unicode" w:hAnsi="Lucida Sans Unicode" w:cs="Lucida Sans Unicode"/>
          <w:b/>
          <w:i/>
          <w:sz w:val="20"/>
          <w:szCs w:val="20"/>
        </w:rPr>
        <w:t xml:space="preserve">Element </w:t>
      </w:r>
      <w:r w:rsidR="00B94CEE">
        <w:rPr>
          <w:rFonts w:ascii="Lucida Sans Unicode" w:hAnsi="Lucida Sans Unicode" w:cs="Lucida Sans Unicode"/>
          <w:b/>
          <w:i/>
          <w:sz w:val="20"/>
          <w:szCs w:val="20"/>
        </w:rPr>
        <w:t>5</w:t>
      </w:r>
      <w:r w:rsidRPr="00554921">
        <w:rPr>
          <w:rFonts w:ascii="Lucida Sans Unicode" w:hAnsi="Lucida Sans Unicode" w:cs="Lucida Sans Unicode"/>
          <w:b/>
          <w:i/>
          <w:sz w:val="20"/>
          <w:szCs w:val="20"/>
        </w:rPr>
        <w:t>. Promidžba i vidljivost</w:t>
      </w:r>
    </w:p>
    <w:p w14:paraId="3E3A1304" w14:textId="77777777" w:rsidR="00554921" w:rsidRPr="00554921" w:rsidRDefault="00554921" w:rsidP="008D1CDE">
      <w:pPr>
        <w:pStyle w:val="ListParagraph"/>
        <w:numPr>
          <w:ilvl w:val="0"/>
          <w:numId w:val="11"/>
        </w:numPr>
        <w:spacing w:before="240"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554921">
        <w:rPr>
          <w:rFonts w:ascii="Lucida Sans Unicode" w:hAnsi="Lucida Sans Unicode" w:cs="Lucida Sans Unicode"/>
          <w:sz w:val="20"/>
          <w:szCs w:val="20"/>
        </w:rPr>
        <w:t xml:space="preserve">organizacija promotivnih aktivnosti; </w:t>
      </w:r>
    </w:p>
    <w:p w14:paraId="54F84E74" w14:textId="77777777" w:rsidR="00554921" w:rsidRPr="00554921" w:rsidRDefault="00554921" w:rsidP="008D1CD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554921">
        <w:rPr>
          <w:rFonts w:ascii="Lucida Sans Unicode" w:hAnsi="Lucida Sans Unicode" w:cs="Lucida Sans Unicode"/>
          <w:sz w:val="20"/>
          <w:szCs w:val="20"/>
        </w:rPr>
        <w:t>organizacija okruglih stolova, t</w:t>
      </w:r>
      <w:r>
        <w:rPr>
          <w:rFonts w:ascii="Lucida Sans Unicode" w:hAnsi="Lucida Sans Unicode" w:cs="Lucida Sans Unicode"/>
          <w:sz w:val="20"/>
          <w:szCs w:val="20"/>
        </w:rPr>
        <w:t xml:space="preserve">iskovnih i drugih konferencija, </w:t>
      </w:r>
      <w:proofErr w:type="spellStart"/>
      <w:r w:rsidRPr="00554921">
        <w:rPr>
          <w:rFonts w:ascii="Lucida Sans Unicode" w:hAnsi="Lucida Sans Unicode" w:cs="Lucida Sans Unicode"/>
          <w:sz w:val="20"/>
          <w:szCs w:val="20"/>
        </w:rPr>
        <w:t>diseminacijskih</w:t>
      </w:r>
      <w:proofErr w:type="spellEnd"/>
      <w:r w:rsidRPr="00554921">
        <w:rPr>
          <w:rFonts w:ascii="Lucida Sans Unicode" w:hAnsi="Lucida Sans Unicode" w:cs="Lucida Sans Unicode"/>
          <w:sz w:val="20"/>
          <w:szCs w:val="20"/>
        </w:rPr>
        <w:t xml:space="preserve"> radionica;</w:t>
      </w:r>
    </w:p>
    <w:p w14:paraId="54E6955A" w14:textId="77777777" w:rsidR="00554921" w:rsidRPr="00554921" w:rsidRDefault="00554921" w:rsidP="008D1CD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554921">
        <w:rPr>
          <w:rFonts w:ascii="Lucida Sans Unicode" w:hAnsi="Lucida Sans Unicode" w:cs="Lucida Sans Unicode"/>
          <w:sz w:val="20"/>
          <w:szCs w:val="20"/>
        </w:rPr>
        <w:t>priprema promotivnog materijala;</w:t>
      </w:r>
    </w:p>
    <w:p w14:paraId="2CFC760A" w14:textId="77777777" w:rsidR="00554921" w:rsidRPr="00554921" w:rsidRDefault="00554921" w:rsidP="008D1CD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554921">
        <w:rPr>
          <w:rFonts w:ascii="Lucida Sans Unicode" w:hAnsi="Lucida Sans Unicode" w:cs="Lucida Sans Unicode"/>
          <w:sz w:val="20"/>
          <w:szCs w:val="20"/>
        </w:rPr>
        <w:t>uspostava i održavanje internetskih stranica;</w:t>
      </w:r>
    </w:p>
    <w:p w14:paraId="6C491707" w14:textId="77777777" w:rsidR="00554921" w:rsidRDefault="00554921" w:rsidP="008D1CD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554921">
        <w:rPr>
          <w:rFonts w:ascii="Lucida Sans Unicode" w:hAnsi="Lucida Sans Unicode" w:cs="Lucida Sans Unicode"/>
          <w:sz w:val="20"/>
          <w:szCs w:val="20"/>
        </w:rPr>
        <w:t>oglasi i objave u medijskom prostoru</w:t>
      </w:r>
    </w:p>
    <w:p w14:paraId="4B0546A0" w14:textId="77777777" w:rsidR="005109C4" w:rsidRDefault="005109C4" w:rsidP="005109C4">
      <w:p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2473554C" w14:textId="460F509F" w:rsidR="005109C4" w:rsidRPr="00B94CEE" w:rsidRDefault="005109C4" w:rsidP="005109C4">
      <w:pPr>
        <w:rPr>
          <w:rFonts w:ascii="Lucida Sans Unicode" w:hAnsi="Lucida Sans Unicode" w:cs="Lucida Sans Unicode"/>
          <w:b/>
          <w:sz w:val="20"/>
        </w:rPr>
      </w:pPr>
      <w:r w:rsidRPr="00B94CEE">
        <w:rPr>
          <w:rFonts w:ascii="Lucida Sans Unicode" w:hAnsi="Lucida Sans Unicode" w:cs="Lucida Sans Unicode"/>
          <w:sz w:val="20"/>
        </w:rPr>
        <w:t xml:space="preserve">Prijavitelj </w:t>
      </w:r>
      <w:r w:rsidRPr="00B94CEE">
        <w:rPr>
          <w:rFonts w:ascii="Lucida Sans Unicode" w:hAnsi="Lucida Sans Unicode" w:cs="Lucida Sans Unicode"/>
          <w:b/>
          <w:sz w:val="20"/>
        </w:rPr>
        <w:t>mora provesti sve aktivnosti iz Elementa 2. te barem jednu aktivnost iz Elemen</w:t>
      </w:r>
      <w:r w:rsidR="00B94CEE" w:rsidRPr="00B94CEE">
        <w:rPr>
          <w:rFonts w:ascii="Lucida Sans Unicode" w:hAnsi="Lucida Sans Unicode" w:cs="Lucida Sans Unicode"/>
          <w:b/>
          <w:sz w:val="20"/>
        </w:rPr>
        <w:t>a</w:t>
      </w:r>
      <w:r w:rsidRPr="00B94CEE">
        <w:rPr>
          <w:rFonts w:ascii="Lucida Sans Unicode" w:hAnsi="Lucida Sans Unicode" w:cs="Lucida Sans Unicode"/>
          <w:b/>
          <w:sz w:val="20"/>
        </w:rPr>
        <w:t>ta 3.</w:t>
      </w:r>
      <w:r w:rsidR="00B94CEE" w:rsidRPr="00B94CEE">
        <w:rPr>
          <w:rFonts w:ascii="Lucida Sans Unicode" w:hAnsi="Lucida Sans Unicode" w:cs="Lucida Sans Unicode"/>
          <w:b/>
          <w:sz w:val="20"/>
        </w:rPr>
        <w:t xml:space="preserve"> i 4.</w:t>
      </w:r>
    </w:p>
    <w:p w14:paraId="779C1108" w14:textId="71774E21" w:rsidR="005109C4" w:rsidRPr="00B94CEE" w:rsidRDefault="005109C4" w:rsidP="005109C4">
      <w:pPr>
        <w:jc w:val="both"/>
        <w:rPr>
          <w:rFonts w:ascii="Lucida Sans Unicode" w:hAnsi="Lucida Sans Unicode" w:cs="Lucida Sans Unicode"/>
          <w:sz w:val="20"/>
        </w:rPr>
      </w:pPr>
      <w:r w:rsidRPr="00B94CEE">
        <w:rPr>
          <w:rFonts w:ascii="Lucida Sans Unicode" w:hAnsi="Lucida Sans Unicode" w:cs="Lucida Sans Unicode"/>
          <w:sz w:val="20"/>
        </w:rPr>
        <w:t xml:space="preserve">Pored gore navedenih aktivnosti, prijavitelj može predložiti i dodatne aktivnosti koje su u skladu s navedenim Elementima i ciljevima Poziva osim onih navedenih u točki 5. (Neprihvatljive aktivnosti). </w:t>
      </w:r>
    </w:p>
    <w:p w14:paraId="06D49227" w14:textId="61864407" w:rsidR="003D61E2" w:rsidRPr="005109C4" w:rsidRDefault="003D61E2" w:rsidP="003D61E2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>Troškovi ve</w:t>
      </w:r>
      <w:r>
        <w:rPr>
          <w:rFonts w:ascii="Lucida Sans Unicode" w:hAnsi="Lucida Sans Unicode" w:cs="Lucida Sans Unicode"/>
          <w:sz w:val="20"/>
          <w:szCs w:val="20"/>
        </w:rPr>
        <w:t>zani uz provedbu Elemen</w:t>
      </w:r>
      <w:r w:rsidRPr="00B94CEE">
        <w:rPr>
          <w:rFonts w:ascii="Lucida Sans Unicode" w:hAnsi="Lucida Sans Unicode" w:cs="Lucida Sans Unicode"/>
          <w:sz w:val="20"/>
          <w:szCs w:val="20"/>
        </w:rPr>
        <w:t>ta 2</w:t>
      </w:r>
      <w:r>
        <w:rPr>
          <w:rFonts w:ascii="Lucida Sans Unicode" w:hAnsi="Lucida Sans Unicode" w:cs="Lucida Sans Unicode"/>
          <w:sz w:val="20"/>
          <w:szCs w:val="20"/>
        </w:rPr>
        <w:t>.</w:t>
      </w:r>
      <w:r w:rsidRPr="00B94CEE">
        <w:rPr>
          <w:rFonts w:ascii="Lucida Sans Unicode" w:hAnsi="Lucida Sans Unicode" w:cs="Lucida Sans Unicode"/>
          <w:sz w:val="20"/>
          <w:szCs w:val="20"/>
        </w:rPr>
        <w:t xml:space="preserve"> ne iznose manje od 50% ukupnih prihvatljivih troškova projekta.</w:t>
      </w:r>
    </w:p>
    <w:p w14:paraId="39466A99" w14:textId="4619988D" w:rsidR="00434339" w:rsidRPr="00B94CEE" w:rsidRDefault="00434339" w:rsidP="00434339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 xml:space="preserve">Troškovi studijskih putovanja ne iznose više od </w:t>
      </w:r>
      <w:r w:rsidR="00B94CEE" w:rsidRPr="00B94CEE">
        <w:rPr>
          <w:rFonts w:ascii="Lucida Sans Unicode" w:hAnsi="Lucida Sans Unicode" w:cs="Lucida Sans Unicode"/>
          <w:sz w:val="20"/>
          <w:szCs w:val="20"/>
        </w:rPr>
        <w:t>5</w:t>
      </w:r>
      <w:r w:rsidRPr="00B94CEE">
        <w:rPr>
          <w:rFonts w:ascii="Lucida Sans Unicode" w:hAnsi="Lucida Sans Unicode" w:cs="Lucida Sans Unicode"/>
          <w:sz w:val="20"/>
          <w:szCs w:val="20"/>
        </w:rPr>
        <w:t>% ukupnih prihvatljivih troškova projekta.</w:t>
      </w:r>
    </w:p>
    <w:p w14:paraId="5D7451D0" w14:textId="77777777" w:rsidR="00434339" w:rsidRPr="00B94CEE" w:rsidRDefault="00434339" w:rsidP="00434339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B94CEE">
        <w:rPr>
          <w:rFonts w:ascii="Lucida Sans Unicode" w:hAnsi="Lucida Sans Unicode" w:cs="Lucida Sans Unicode"/>
          <w:sz w:val="20"/>
          <w:szCs w:val="20"/>
        </w:rPr>
        <w:t>Troškovi nabave opreme i namještaja ne iznose više od 20% ukupnih prihvatljivih troškova projekta.</w:t>
      </w:r>
    </w:p>
    <w:p w14:paraId="32B9426D" w14:textId="77777777" w:rsidR="001A2FA5" w:rsidRPr="00C76F75" w:rsidRDefault="001A2FA5" w:rsidP="00C76F75">
      <w:pPr>
        <w:pStyle w:val="Heading1"/>
        <w:rPr>
          <w:rStyle w:val="hps"/>
        </w:rPr>
      </w:pPr>
      <w:r w:rsidRPr="00C76F75">
        <w:rPr>
          <w:rStyle w:val="hps"/>
        </w:rPr>
        <w:t>Neprihvatljive aktivnosti</w:t>
      </w:r>
    </w:p>
    <w:p w14:paraId="0836216C" w14:textId="12564980" w:rsidR="00961E89" w:rsidRDefault="006E4938" w:rsidP="00961E89">
      <w:pPr>
        <w:pStyle w:val="ListParagraph"/>
        <w:numPr>
          <w:ilvl w:val="0"/>
          <w:numId w:val="19"/>
        </w:numPr>
        <w:spacing w:before="60" w:after="6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652E08">
        <w:rPr>
          <w:rFonts w:ascii="Lucida Sans Unicode" w:hAnsi="Lucida Sans Unicode" w:cs="Lucida Sans Unicode"/>
          <w:sz w:val="20"/>
          <w:szCs w:val="20"/>
        </w:rPr>
        <w:t>I</w:t>
      </w:r>
      <w:r w:rsidR="00961E89" w:rsidRPr="00652E08">
        <w:rPr>
          <w:rFonts w:ascii="Lucida Sans Unicode" w:hAnsi="Lucida Sans Unicode" w:cs="Lucida Sans Unicode"/>
          <w:sz w:val="20"/>
          <w:szCs w:val="20"/>
        </w:rPr>
        <w:t xml:space="preserve">zrada standarda zanimanja ili standarda kvalifikacija koji su već </w:t>
      </w:r>
      <w:r w:rsidR="00536D9D">
        <w:rPr>
          <w:rFonts w:ascii="Lucida Sans Unicode" w:hAnsi="Lucida Sans Unicode" w:cs="Lucida Sans Unicode"/>
          <w:sz w:val="20"/>
          <w:szCs w:val="20"/>
        </w:rPr>
        <w:t>izrađeni</w:t>
      </w:r>
      <w:r w:rsidR="00961E89" w:rsidRPr="00652E08">
        <w:rPr>
          <w:rFonts w:ascii="Lucida Sans Unicode" w:hAnsi="Lucida Sans Unicode" w:cs="Lucida Sans Unicode"/>
          <w:sz w:val="20"/>
          <w:szCs w:val="20"/>
        </w:rPr>
        <w:t xml:space="preserve"> kroz IPA </w:t>
      </w:r>
      <w:r w:rsidR="007C0ADD">
        <w:rPr>
          <w:rFonts w:ascii="Lucida Sans Unicode" w:hAnsi="Lucida Sans Unicode" w:cs="Lucida Sans Unicode"/>
          <w:sz w:val="20"/>
          <w:szCs w:val="20"/>
        </w:rPr>
        <w:t>Poziv</w:t>
      </w:r>
      <w:r w:rsidR="00961E89" w:rsidRPr="00652E08">
        <w:rPr>
          <w:rFonts w:ascii="Lucida Sans Unicode" w:hAnsi="Lucida Sans Unicode" w:cs="Lucida Sans Unicode"/>
          <w:sz w:val="20"/>
          <w:szCs w:val="20"/>
        </w:rPr>
        <w:t xml:space="preserve"> „Daljnji razvoj i provedba HKO-a” i ESF operaciju „Unapređenje kvalitete visokog obrazovanja kroz primjenu Hrvatskoga kvalifikacijskog okvira (HKO)“ (131 standard zanimanja i 164 standarda kvalifikacija)</w:t>
      </w:r>
      <w:r w:rsidR="00AA3BBF">
        <w:rPr>
          <w:rFonts w:ascii="Lucida Sans Unicode" w:hAnsi="Lucida Sans Unicode" w:cs="Lucida Sans Unicode"/>
          <w:sz w:val="20"/>
          <w:szCs w:val="20"/>
        </w:rPr>
        <w:t>*</w:t>
      </w:r>
    </w:p>
    <w:p w14:paraId="661D6FC8" w14:textId="146D8391" w:rsidR="00AA3BBF" w:rsidRDefault="00AA3BBF" w:rsidP="00AA3BBF">
      <w:pPr>
        <w:pStyle w:val="ListParagraph"/>
        <w:spacing w:before="60" w:after="60" w:line="240" w:lineRule="auto"/>
        <w:jc w:val="both"/>
      </w:pPr>
      <w:r>
        <w:rPr>
          <w:rFonts w:ascii="Lucida Sans Unicode" w:hAnsi="Lucida Sans Unicode" w:cs="Lucida Sans Unicode"/>
          <w:sz w:val="20"/>
          <w:szCs w:val="20"/>
        </w:rPr>
        <w:lastRenderedPageBreak/>
        <w:t>*</w:t>
      </w:r>
      <w:r w:rsidRPr="00AA3BBF">
        <w:t xml:space="preserve"> </w:t>
      </w:r>
      <w:r>
        <w:t>Popis već izrađenih standarda zanimanja i standarda kvalifikacija bit će javno dostupan pri objavi Poziva na dostavu projektnih prijedloga</w:t>
      </w:r>
    </w:p>
    <w:p w14:paraId="485D1915" w14:textId="77777777" w:rsidR="00AA3BBF" w:rsidRPr="00652E08" w:rsidRDefault="00AA3BBF" w:rsidP="00AA3BBF">
      <w:pPr>
        <w:pStyle w:val="ListParagraph"/>
        <w:spacing w:before="60" w:after="6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p w14:paraId="7DBF10F4" w14:textId="20BCD8E5" w:rsidR="00652E08" w:rsidRDefault="00243DAC" w:rsidP="00652E08">
      <w:pPr>
        <w:pStyle w:val="ListParagraph"/>
        <w:numPr>
          <w:ilvl w:val="0"/>
          <w:numId w:val="19"/>
        </w:numPr>
        <w:spacing w:before="60" w:after="6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Izrada </w:t>
      </w:r>
      <w:r w:rsidR="00652E08" w:rsidRPr="00652E08">
        <w:rPr>
          <w:rFonts w:ascii="Lucida Sans Unicode" w:hAnsi="Lucida Sans Unicode" w:cs="Lucida Sans Unicode"/>
          <w:sz w:val="20"/>
          <w:szCs w:val="20"/>
        </w:rPr>
        <w:t>standard</w:t>
      </w:r>
      <w:r w:rsidR="00D151D3">
        <w:rPr>
          <w:rFonts w:ascii="Lucida Sans Unicode" w:hAnsi="Lucida Sans Unicode" w:cs="Lucida Sans Unicode"/>
          <w:sz w:val="20"/>
          <w:szCs w:val="20"/>
        </w:rPr>
        <w:t>a</w:t>
      </w:r>
      <w:r w:rsidR="00652E08" w:rsidRPr="00652E08">
        <w:rPr>
          <w:rFonts w:ascii="Lucida Sans Unicode" w:hAnsi="Lucida Sans Unicode" w:cs="Lucida Sans Unicode"/>
          <w:sz w:val="20"/>
          <w:szCs w:val="20"/>
        </w:rPr>
        <w:t xml:space="preserve"> kvalifikacija koje se </w:t>
      </w:r>
      <w:r w:rsidR="00652E08">
        <w:rPr>
          <w:rFonts w:ascii="Lucida Sans Unicode" w:hAnsi="Lucida Sans Unicode" w:cs="Lucida Sans Unicode"/>
          <w:sz w:val="20"/>
          <w:szCs w:val="20"/>
        </w:rPr>
        <w:t>ne stječu</w:t>
      </w:r>
      <w:r w:rsidR="00652E08" w:rsidRPr="00652E08">
        <w:rPr>
          <w:rFonts w:ascii="Lucida Sans Unicode" w:hAnsi="Lucida Sans Unicode" w:cs="Lucida Sans Unicode"/>
          <w:sz w:val="20"/>
          <w:szCs w:val="20"/>
        </w:rPr>
        <w:t xml:space="preserve"> preddiplomskim i diplomskim studijima</w:t>
      </w:r>
      <w:r w:rsidR="0022545D">
        <w:rPr>
          <w:rFonts w:ascii="Lucida Sans Unicode" w:hAnsi="Lucida Sans Unicode" w:cs="Lucida Sans Unicode"/>
          <w:sz w:val="20"/>
          <w:szCs w:val="20"/>
        </w:rPr>
        <w:t xml:space="preserve"> te programima cjeloživotnog učenja,</w:t>
      </w:r>
      <w:r w:rsidR="00652E08" w:rsidRPr="00652E08">
        <w:rPr>
          <w:rFonts w:ascii="Lucida Sans Unicode" w:hAnsi="Lucida Sans Unicode" w:cs="Lucida Sans Unicode"/>
          <w:sz w:val="20"/>
          <w:szCs w:val="20"/>
        </w:rPr>
        <w:t xml:space="preserve"> odnosno razvoj standarda zanimanja, </w:t>
      </w:r>
      <w:r w:rsidR="00652E08">
        <w:rPr>
          <w:rFonts w:ascii="Lucida Sans Unicode" w:hAnsi="Lucida Sans Unicode" w:cs="Lucida Sans Unicode"/>
          <w:sz w:val="20"/>
          <w:szCs w:val="20"/>
        </w:rPr>
        <w:t xml:space="preserve">na </w:t>
      </w:r>
      <w:r w:rsidR="00652E08" w:rsidRPr="00652E08">
        <w:rPr>
          <w:rFonts w:ascii="Lucida Sans Unicode" w:hAnsi="Lucida Sans Unicode" w:cs="Lucida Sans Unicode"/>
          <w:sz w:val="20"/>
          <w:szCs w:val="20"/>
        </w:rPr>
        <w:t xml:space="preserve">kojima se </w:t>
      </w:r>
      <w:r w:rsidR="00652E08">
        <w:rPr>
          <w:rFonts w:ascii="Lucida Sans Unicode" w:hAnsi="Lucida Sans Unicode" w:cs="Lucida Sans Unicode"/>
          <w:sz w:val="20"/>
          <w:szCs w:val="20"/>
        </w:rPr>
        <w:t xml:space="preserve">neće </w:t>
      </w:r>
      <w:r w:rsidR="00652E08" w:rsidRPr="00652E08">
        <w:rPr>
          <w:rFonts w:ascii="Lucida Sans Unicode" w:hAnsi="Lucida Sans Unicode" w:cs="Lucida Sans Unicode"/>
          <w:sz w:val="20"/>
          <w:szCs w:val="20"/>
        </w:rPr>
        <w:t>temeljiti preddiplomski i diplomski studiji t</w:t>
      </w:r>
      <w:r w:rsidR="00652E08">
        <w:rPr>
          <w:rFonts w:ascii="Lucida Sans Unicode" w:hAnsi="Lucida Sans Unicode" w:cs="Lucida Sans Unicode"/>
          <w:sz w:val="20"/>
          <w:szCs w:val="20"/>
        </w:rPr>
        <w:t>e programi cjeloživotnog učenja</w:t>
      </w:r>
    </w:p>
    <w:p w14:paraId="48148383" w14:textId="0E4C96FA" w:rsidR="006E4938" w:rsidRDefault="006E4938" w:rsidP="006E4938">
      <w:pPr>
        <w:pStyle w:val="ListParagraph"/>
        <w:numPr>
          <w:ilvl w:val="0"/>
          <w:numId w:val="19"/>
        </w:numPr>
        <w:spacing w:before="60" w:after="6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6E4938">
        <w:rPr>
          <w:rFonts w:ascii="Lucida Sans Unicode" w:hAnsi="Lucida Sans Unicode" w:cs="Lucida Sans Unicode"/>
          <w:sz w:val="20"/>
          <w:szCs w:val="20"/>
        </w:rPr>
        <w:t>Sponzoriranje sudjelovanja na radionicama, seminari</w:t>
      </w:r>
      <w:r>
        <w:rPr>
          <w:rFonts w:ascii="Lucida Sans Unicode" w:hAnsi="Lucida Sans Unicode" w:cs="Lucida Sans Unicode"/>
          <w:sz w:val="20"/>
          <w:szCs w:val="20"/>
        </w:rPr>
        <w:t xml:space="preserve">ma, konferencijama, kongresima </w:t>
      </w:r>
      <w:r w:rsidR="003D61E2">
        <w:rPr>
          <w:rFonts w:ascii="Lucida Sans Unicode" w:hAnsi="Lucida Sans Unicode" w:cs="Lucida Sans Unicode"/>
          <w:sz w:val="20"/>
          <w:szCs w:val="20"/>
        </w:rPr>
        <w:t>koji nisu u skladu s Elementima 2., 3. i 4.</w:t>
      </w:r>
    </w:p>
    <w:p w14:paraId="56060517" w14:textId="68FE8618" w:rsidR="006E4938" w:rsidRDefault="006E4938" w:rsidP="006E4938">
      <w:pPr>
        <w:pStyle w:val="ListParagraph"/>
        <w:numPr>
          <w:ilvl w:val="0"/>
          <w:numId w:val="19"/>
        </w:numPr>
        <w:spacing w:before="60" w:after="6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6E4938">
        <w:rPr>
          <w:rFonts w:ascii="Lucida Sans Unicode" w:hAnsi="Lucida Sans Unicode" w:cs="Lucida Sans Unicode"/>
          <w:sz w:val="20"/>
          <w:szCs w:val="20"/>
        </w:rPr>
        <w:t xml:space="preserve">Školarine za studij </w:t>
      </w:r>
    </w:p>
    <w:p w14:paraId="3FFE2EA7" w14:textId="77777777" w:rsidR="006E4938" w:rsidRDefault="006E4938" w:rsidP="006E4938">
      <w:pPr>
        <w:pStyle w:val="ListParagraph"/>
        <w:numPr>
          <w:ilvl w:val="0"/>
          <w:numId w:val="19"/>
        </w:numPr>
        <w:spacing w:before="60" w:after="6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 w:rsidRPr="006E4938">
        <w:rPr>
          <w:rFonts w:ascii="Lucida Sans Unicode" w:hAnsi="Lucida Sans Unicode" w:cs="Lucida Sans Unicode"/>
          <w:sz w:val="20"/>
          <w:szCs w:val="20"/>
        </w:rPr>
        <w:t>Projekti koji su povezani s političkim ili vjerskim aktivnostima</w:t>
      </w:r>
    </w:p>
    <w:p w14:paraId="3AF5C256" w14:textId="77777777" w:rsidR="00D22905" w:rsidRDefault="00D22905" w:rsidP="00434339">
      <w:pPr>
        <w:pStyle w:val="ListParagraph"/>
        <w:spacing w:before="60" w:after="6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D22905" w:rsidSect="00A226EA">
      <w:headerReference w:type="default" r:id="rId24"/>
      <w:footerReference w:type="default" r:id="rId25"/>
      <w:pgSz w:w="11906" w:h="16838"/>
      <w:pgMar w:top="1417" w:right="1417" w:bottom="1417" w:left="1417" w:header="708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415BD" w14:textId="77777777" w:rsidR="000575EC" w:rsidRDefault="000575EC" w:rsidP="005B0573">
      <w:pPr>
        <w:spacing w:after="0" w:line="240" w:lineRule="auto"/>
      </w:pPr>
      <w:r>
        <w:separator/>
      </w:r>
    </w:p>
  </w:endnote>
  <w:endnote w:type="continuationSeparator" w:id="0">
    <w:p w14:paraId="601AFDD3" w14:textId="77777777" w:rsidR="000575EC" w:rsidRDefault="000575EC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58"/>
      <w:gridCol w:w="4614"/>
    </w:tblGrid>
    <w:tr w:rsidR="002F1286" w14:paraId="45B7E0DD" w14:textId="77777777" w:rsidTr="002F1286">
      <w:tc>
        <w:tcPr>
          <w:tcW w:w="4644" w:type="dxa"/>
          <w:vAlign w:val="center"/>
        </w:tcPr>
        <w:p w14:paraId="462DF3A1" w14:textId="77777777" w:rsidR="002F1286" w:rsidRPr="002F1286" w:rsidRDefault="002F1286" w:rsidP="00A226EA">
          <w:pPr>
            <w:pStyle w:val="Footer"/>
            <w:jc w:val="right"/>
            <w:rPr>
              <w:rFonts w:ascii="Lucida Sans Unicode" w:hAnsi="Lucida Sans Unicode" w:cs="Lucida Sans Unicode"/>
            </w:rPr>
          </w:pPr>
        </w:p>
      </w:tc>
      <w:tc>
        <w:tcPr>
          <w:tcW w:w="4644" w:type="dxa"/>
          <w:vAlign w:val="center"/>
        </w:tcPr>
        <w:p w14:paraId="6BE8314A" w14:textId="77777777" w:rsidR="002F1286" w:rsidRDefault="002F1286" w:rsidP="002F1286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59F54B46" wp14:editId="3255A4BB">
                <wp:extent cx="2352675" cy="571500"/>
                <wp:effectExtent l="0" t="0" r="952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nta mala 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41" b="12283"/>
                        <a:stretch/>
                      </pic:blipFill>
                      <pic:spPr bwMode="auto">
                        <a:xfrm>
                          <a:off x="0" y="0"/>
                          <a:ext cx="2354249" cy="5718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A3A573A" w14:textId="77777777" w:rsidR="002F1286" w:rsidRDefault="002F12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251A5" w14:textId="77777777" w:rsidR="00A226EA" w:rsidRDefault="00A226EA" w:rsidP="00A226EA">
    <w:pPr>
      <w:pStyle w:val="Footer"/>
      <w:jc w:val="right"/>
    </w:pPr>
    <w:r>
      <w:rPr>
        <w:noProof/>
      </w:rPr>
      <w:drawing>
        <wp:inline distT="0" distB="0" distL="0" distR="0" wp14:anchorId="42A68A15" wp14:editId="0A0C1E40">
          <wp:extent cx="2352675" cy="571500"/>
          <wp:effectExtent l="0" t="0" r="952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 mala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41" b="12283"/>
                  <a:stretch/>
                </pic:blipFill>
                <pic:spPr bwMode="auto">
                  <a:xfrm>
                    <a:off x="0" y="0"/>
                    <a:ext cx="2354249" cy="5718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3"/>
      <w:gridCol w:w="4609"/>
    </w:tblGrid>
    <w:tr w:rsidR="00A226EA" w14:paraId="6B34269F" w14:textId="77777777" w:rsidTr="002F1286">
      <w:tc>
        <w:tcPr>
          <w:tcW w:w="4644" w:type="dxa"/>
          <w:vAlign w:val="center"/>
        </w:tcPr>
        <w:p w14:paraId="47DF50E3" w14:textId="77777777" w:rsidR="00A226EA" w:rsidRPr="002F1286" w:rsidRDefault="000A585A" w:rsidP="000A585A">
          <w:pPr>
            <w:pStyle w:val="Footer"/>
            <w:rPr>
              <w:rFonts w:ascii="Lucida Sans Unicode" w:hAnsi="Lucida Sans Unicode" w:cs="Lucida Sans Unicode"/>
            </w:rPr>
          </w:pPr>
          <w:proofErr w:type="spellStart"/>
          <w:r w:rsidRPr="000A585A">
            <w:rPr>
              <w:rFonts w:ascii="Lucida Sans Unicode" w:hAnsi="Lucida Sans Unicode" w:cs="Lucida Sans Unicode"/>
            </w:rPr>
            <w:t>Stranica</w:t>
          </w:r>
          <w:proofErr w:type="spellEnd"/>
          <w:r w:rsidRPr="000A585A">
            <w:rPr>
              <w:rFonts w:ascii="Lucida Sans Unicode" w:hAnsi="Lucida Sans Unicode" w:cs="Lucida Sans Unicode"/>
            </w:rPr>
            <w:t xml:space="preserve"> | </w:t>
          </w:r>
          <w:r w:rsidRPr="000A585A">
            <w:rPr>
              <w:rFonts w:ascii="Lucida Sans Unicode" w:hAnsi="Lucida Sans Unicode" w:cs="Lucida Sans Unicode"/>
            </w:rPr>
            <w:fldChar w:fldCharType="begin"/>
          </w:r>
          <w:r w:rsidRPr="000A585A">
            <w:rPr>
              <w:rFonts w:ascii="Lucida Sans Unicode" w:hAnsi="Lucida Sans Unicode" w:cs="Lucida Sans Unicode"/>
            </w:rPr>
            <w:instrText>PAGE   \* MERGEFORMAT</w:instrText>
          </w:r>
          <w:r w:rsidRPr="000A585A">
            <w:rPr>
              <w:rFonts w:ascii="Lucida Sans Unicode" w:hAnsi="Lucida Sans Unicode" w:cs="Lucida Sans Unicode"/>
            </w:rPr>
            <w:fldChar w:fldCharType="separate"/>
          </w:r>
          <w:r w:rsidR="00AA3BBF">
            <w:rPr>
              <w:rFonts w:ascii="Lucida Sans Unicode" w:hAnsi="Lucida Sans Unicode" w:cs="Lucida Sans Unicode"/>
              <w:noProof/>
            </w:rPr>
            <w:t>8</w:t>
          </w:r>
          <w:r w:rsidRPr="000A585A">
            <w:rPr>
              <w:rFonts w:ascii="Lucida Sans Unicode" w:hAnsi="Lucida Sans Unicode" w:cs="Lucida Sans Unicode"/>
            </w:rPr>
            <w:fldChar w:fldCharType="end"/>
          </w:r>
        </w:p>
      </w:tc>
      <w:tc>
        <w:tcPr>
          <w:tcW w:w="4644" w:type="dxa"/>
          <w:vAlign w:val="center"/>
        </w:tcPr>
        <w:p w14:paraId="5D2EE5D6" w14:textId="77777777" w:rsidR="00A226EA" w:rsidRDefault="00A226EA" w:rsidP="002F1286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AA62A3A" wp14:editId="43AEBCE0">
                <wp:extent cx="2352675" cy="57150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nta mala 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41" b="12283"/>
                        <a:stretch/>
                      </pic:blipFill>
                      <pic:spPr bwMode="auto">
                        <a:xfrm>
                          <a:off x="0" y="0"/>
                          <a:ext cx="2354249" cy="5718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ABA8079" w14:textId="77777777" w:rsidR="00A226EA" w:rsidRDefault="00A226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8BA0B" w14:textId="77777777" w:rsidR="000575EC" w:rsidRDefault="000575EC" w:rsidP="005B0573">
      <w:pPr>
        <w:spacing w:after="0" w:line="240" w:lineRule="auto"/>
      </w:pPr>
      <w:r>
        <w:separator/>
      </w:r>
    </w:p>
  </w:footnote>
  <w:footnote w:type="continuationSeparator" w:id="0">
    <w:p w14:paraId="4C8C2E6B" w14:textId="77777777" w:rsidR="000575EC" w:rsidRDefault="000575EC" w:rsidP="005B0573">
      <w:pPr>
        <w:spacing w:after="0" w:line="240" w:lineRule="auto"/>
      </w:pPr>
      <w:r>
        <w:continuationSeparator/>
      </w:r>
    </w:p>
  </w:footnote>
  <w:footnote w:id="1">
    <w:p w14:paraId="29CDF572" w14:textId="7AD9C261" w:rsidR="001F2119" w:rsidRDefault="001F2119" w:rsidP="001F211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F2119">
        <w:rPr>
          <w:rFonts w:ascii="Lucida Sans Unicode" w:hAnsi="Lucida Sans Unicode" w:cs="Lucida Sans Unicode"/>
          <w:sz w:val="16"/>
        </w:rPr>
        <w:t>Pojedine aktivn</w:t>
      </w:r>
      <w:r w:rsidR="005A735C">
        <w:rPr>
          <w:rFonts w:ascii="Lucida Sans Unicode" w:hAnsi="Lucida Sans Unicode" w:cs="Lucida Sans Unicode"/>
          <w:sz w:val="16"/>
        </w:rPr>
        <w:t>osti (npr. studijska putovanja</w:t>
      </w:r>
      <w:r w:rsidRPr="001F2119">
        <w:rPr>
          <w:rFonts w:ascii="Lucida Sans Unicode" w:hAnsi="Lucida Sans Unicode" w:cs="Lucida Sans Unicode"/>
          <w:sz w:val="16"/>
        </w:rPr>
        <w:t>) moguće je organizirati izvan teritorija Republike Hrvatske ako je to opravdano i nužno za postizanje ciljeva projekta.</w:t>
      </w:r>
    </w:p>
  </w:footnote>
  <w:footnote w:id="2">
    <w:p w14:paraId="448A9A9C" w14:textId="0838AC4C" w:rsidR="00536D9D" w:rsidRDefault="00536D9D" w:rsidP="00536D9D">
      <w:pPr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P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rijavitelji koji su već primili sredstva </w:t>
      </w:r>
      <w:r>
        <w:rPr>
          <w:rFonts w:ascii="Lucida Sans Unicode" w:hAnsi="Lucida Sans Unicode" w:cs="Lucida Sans Unicode"/>
          <w:sz w:val="20"/>
          <w:szCs w:val="20"/>
        </w:rPr>
        <w:t xml:space="preserve">iz IPA-e ili ESF-a </w:t>
      </w:r>
      <w:r w:rsidRPr="00F207DB">
        <w:rPr>
          <w:rFonts w:ascii="Lucida Sans Unicode" w:hAnsi="Lucida Sans Unicode" w:cs="Lucida Sans Unicode"/>
          <w:sz w:val="20"/>
          <w:szCs w:val="20"/>
        </w:rPr>
        <w:t>za izradu</w:t>
      </w:r>
      <w:r w:rsidR="00D151D3">
        <w:rPr>
          <w:rFonts w:ascii="Lucida Sans Unicode" w:hAnsi="Lucida Sans Unicode" w:cs="Lucida Sans Unicode"/>
          <w:sz w:val="20"/>
          <w:szCs w:val="20"/>
        </w:rPr>
        <w:t xml:space="preserve"> standarda</w:t>
      </w:r>
      <w:r w:rsidR="009E7390">
        <w:rPr>
          <w:rFonts w:ascii="Lucida Sans Unicode" w:hAnsi="Lucida Sans Unicode" w:cs="Lucida Sans Unicode"/>
          <w:sz w:val="20"/>
          <w:szCs w:val="20"/>
        </w:rPr>
        <w:t xml:space="preserve"> zanimanja i standarda kvalifikacije </w:t>
      </w:r>
      <w:r w:rsidRPr="00F207DB">
        <w:rPr>
          <w:rFonts w:ascii="Lucida Sans Unicode" w:hAnsi="Lucida Sans Unicode" w:cs="Lucida Sans Unicode"/>
          <w:sz w:val="20"/>
          <w:szCs w:val="20"/>
        </w:rPr>
        <w:t xml:space="preserve">ne mogu ponovno primiti sredstva za </w:t>
      </w:r>
      <w:r w:rsidR="009E7390">
        <w:rPr>
          <w:rFonts w:ascii="Lucida Sans Unicode" w:hAnsi="Lucida Sans Unicode" w:cs="Lucida Sans Unicode"/>
          <w:sz w:val="20"/>
          <w:szCs w:val="20"/>
        </w:rPr>
        <w:t>razvoj tog istog</w:t>
      </w:r>
      <w:r>
        <w:rPr>
          <w:rFonts w:ascii="Lucida Sans Unicode" w:hAnsi="Lucida Sans Unicode" w:cs="Lucida Sans Unicode"/>
          <w:sz w:val="20"/>
          <w:szCs w:val="20"/>
        </w:rPr>
        <w:t xml:space="preserve"> standard</w:t>
      </w:r>
      <w:r w:rsidR="009E7390">
        <w:rPr>
          <w:rFonts w:ascii="Lucida Sans Unicode" w:hAnsi="Lucida Sans Unicode" w:cs="Lucida Sans Unicode"/>
          <w:sz w:val="20"/>
          <w:szCs w:val="20"/>
        </w:rPr>
        <w:t>a</w:t>
      </w:r>
      <w:r w:rsidR="00005C79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kvalifikacije.</w:t>
      </w:r>
    </w:p>
    <w:p w14:paraId="377A616B" w14:textId="0555B843" w:rsidR="00536D9D" w:rsidRDefault="00536D9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0629D" w14:textId="77777777" w:rsidR="00420C0E" w:rsidRDefault="00CD7A34" w:rsidP="00CD7A34">
    <w:pPr>
      <w:pStyle w:val="Header"/>
      <w:tabs>
        <w:tab w:val="clear" w:pos="4536"/>
        <w:tab w:val="clear" w:pos="9072"/>
        <w:tab w:val="left" w:pos="3705"/>
      </w:tabs>
    </w:pPr>
    <w:r>
      <w:rPr>
        <w:noProof/>
      </w:rPr>
      <w:drawing>
        <wp:inline distT="0" distB="0" distL="0" distR="0" wp14:anchorId="6AB052EF" wp14:editId="096A9C27">
          <wp:extent cx="1906667" cy="48577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os_hr_novi_logo_dokument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667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CA3E2F8" w14:textId="77777777" w:rsidR="00CD7A34" w:rsidRPr="00133E07" w:rsidRDefault="00CD7A34" w:rsidP="00CD7A34">
    <w:pPr>
      <w:pStyle w:val="Header"/>
      <w:tabs>
        <w:tab w:val="clear" w:pos="4536"/>
        <w:tab w:val="clear" w:pos="9072"/>
        <w:tab w:val="left" w:pos="370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6674F" w14:textId="77777777" w:rsidR="00A226EA" w:rsidRDefault="00A226EA">
    <w:pPr>
      <w:pStyle w:val="Header"/>
    </w:pPr>
    <w:r>
      <w:rPr>
        <w:noProof/>
      </w:rPr>
      <w:drawing>
        <wp:inline distT="0" distB="0" distL="0" distR="0" wp14:anchorId="1A9D6DC8" wp14:editId="24894EF3">
          <wp:extent cx="1906667" cy="48577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os_hr_novi_logo_dokument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667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631DF" w14:textId="77777777" w:rsidR="00A226EA" w:rsidRPr="00A226EA" w:rsidRDefault="00A226EA">
    <w:pPr>
      <w:pStyle w:val="Header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00452" w14:textId="77777777" w:rsidR="00A226EA" w:rsidRDefault="00A226EA" w:rsidP="00CD7A34">
    <w:pPr>
      <w:pStyle w:val="Header"/>
      <w:tabs>
        <w:tab w:val="clear" w:pos="4536"/>
        <w:tab w:val="clear" w:pos="9072"/>
        <w:tab w:val="left" w:pos="3705"/>
      </w:tabs>
    </w:pPr>
    <w:r>
      <w:rPr>
        <w:noProof/>
      </w:rPr>
      <w:drawing>
        <wp:inline distT="0" distB="0" distL="0" distR="0" wp14:anchorId="0DF12FD4" wp14:editId="78C4A2CA">
          <wp:extent cx="1906667" cy="48577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os_hr_novi_logo_dokument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667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E42ADE1" w14:textId="77777777" w:rsidR="00A226EA" w:rsidRPr="00133E07" w:rsidRDefault="00A226EA" w:rsidP="00CD7A34">
    <w:pPr>
      <w:pStyle w:val="Header"/>
      <w:tabs>
        <w:tab w:val="clear" w:pos="4536"/>
        <w:tab w:val="clear" w:pos="9072"/>
        <w:tab w:val="left" w:pos="37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07F0"/>
    <w:multiLevelType w:val="hybridMultilevel"/>
    <w:tmpl w:val="DEA05E3C"/>
    <w:lvl w:ilvl="0" w:tplc="858E00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75EF"/>
    <w:multiLevelType w:val="hybridMultilevel"/>
    <w:tmpl w:val="F91EA4FA"/>
    <w:lvl w:ilvl="0" w:tplc="1C6A8E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35F7F"/>
    <w:multiLevelType w:val="hybridMultilevel"/>
    <w:tmpl w:val="ABDA5486"/>
    <w:lvl w:ilvl="0" w:tplc="0400B850">
      <w:start w:val="1"/>
      <w:numFmt w:val="bullet"/>
      <w:lvlText w:val="-"/>
      <w:lvlJc w:val="left"/>
      <w:pPr>
        <w:ind w:left="1065" w:hanging="705"/>
      </w:pPr>
      <w:rPr>
        <w:rFonts w:ascii="Lucida Sans Unicode" w:eastAsiaTheme="minorEastAsia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6135B"/>
    <w:multiLevelType w:val="hybridMultilevel"/>
    <w:tmpl w:val="37A288D8"/>
    <w:lvl w:ilvl="0" w:tplc="7A08EF48">
      <w:start w:val="1"/>
      <w:numFmt w:val="bullet"/>
      <w:lvlText w:val=""/>
      <w:lvlJc w:val="left"/>
      <w:pPr>
        <w:ind w:left="1440" w:hanging="360"/>
      </w:pPr>
      <w:rPr>
        <w:rFonts w:ascii="Lucida Sans Unicode" w:eastAsiaTheme="minorEastAsia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11056C"/>
    <w:multiLevelType w:val="multilevel"/>
    <w:tmpl w:val="1F207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46A6168"/>
    <w:multiLevelType w:val="hybridMultilevel"/>
    <w:tmpl w:val="37CC198C"/>
    <w:lvl w:ilvl="0" w:tplc="42CA9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148CE"/>
    <w:multiLevelType w:val="hybridMultilevel"/>
    <w:tmpl w:val="7AD487D6"/>
    <w:lvl w:ilvl="0" w:tplc="0400B850">
      <w:start w:val="1"/>
      <w:numFmt w:val="bullet"/>
      <w:lvlText w:val="-"/>
      <w:lvlJc w:val="left"/>
      <w:pPr>
        <w:ind w:left="1065" w:hanging="705"/>
      </w:pPr>
      <w:rPr>
        <w:rFonts w:ascii="Lucida Sans Unicode" w:eastAsiaTheme="minorEastAsia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772CE"/>
    <w:multiLevelType w:val="hybridMultilevel"/>
    <w:tmpl w:val="366ADAC2"/>
    <w:lvl w:ilvl="0" w:tplc="F3ACC6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62130"/>
    <w:multiLevelType w:val="hybridMultilevel"/>
    <w:tmpl w:val="B27CDA8A"/>
    <w:lvl w:ilvl="0" w:tplc="B3BCE0EE">
      <w:start w:val="1"/>
      <w:numFmt w:val="bullet"/>
      <w:lvlText w:val="-"/>
      <w:lvlJc w:val="left"/>
      <w:pPr>
        <w:ind w:left="1065" w:hanging="705"/>
      </w:pPr>
      <w:rPr>
        <w:rFonts w:ascii="Lucida Sans Unicode" w:eastAsiaTheme="minorEastAsia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C3CE9"/>
    <w:multiLevelType w:val="hybridMultilevel"/>
    <w:tmpl w:val="97DE9280"/>
    <w:lvl w:ilvl="0" w:tplc="42A400A2">
      <w:start w:val="2"/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cs="Lucida Sans Unicode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74CBA"/>
    <w:multiLevelType w:val="multilevel"/>
    <w:tmpl w:val="1F207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B9D2E24"/>
    <w:multiLevelType w:val="hybridMultilevel"/>
    <w:tmpl w:val="C81A3436"/>
    <w:lvl w:ilvl="0" w:tplc="42CA9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7617D"/>
    <w:multiLevelType w:val="hybridMultilevel"/>
    <w:tmpl w:val="9E9E88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63F9E"/>
    <w:multiLevelType w:val="hybridMultilevel"/>
    <w:tmpl w:val="3DD0E732"/>
    <w:lvl w:ilvl="0" w:tplc="55D653C6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5F3B65"/>
    <w:multiLevelType w:val="hybridMultilevel"/>
    <w:tmpl w:val="9FF63FC4"/>
    <w:lvl w:ilvl="0" w:tplc="42CA9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11295"/>
    <w:multiLevelType w:val="hybridMultilevel"/>
    <w:tmpl w:val="0AFEF734"/>
    <w:lvl w:ilvl="0" w:tplc="42CA9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9274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742F8"/>
    <w:multiLevelType w:val="hybridMultilevel"/>
    <w:tmpl w:val="CB063180"/>
    <w:lvl w:ilvl="0" w:tplc="D4FEA156">
      <w:start w:val="1"/>
      <w:numFmt w:val="bullet"/>
      <w:lvlText w:val="-"/>
      <w:lvlJc w:val="left"/>
      <w:pPr>
        <w:ind w:left="1065" w:hanging="705"/>
      </w:pPr>
      <w:rPr>
        <w:rFonts w:ascii="Lucida Sans Unicode" w:eastAsiaTheme="minorEastAsia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C24C1F"/>
    <w:multiLevelType w:val="multilevel"/>
    <w:tmpl w:val="B69E7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6F8D3C2E"/>
    <w:multiLevelType w:val="hybridMultilevel"/>
    <w:tmpl w:val="BD88C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178E3"/>
    <w:multiLevelType w:val="multilevel"/>
    <w:tmpl w:val="1F207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CEB25B0"/>
    <w:multiLevelType w:val="hybridMultilevel"/>
    <w:tmpl w:val="2AF20D8E"/>
    <w:lvl w:ilvl="0" w:tplc="55D653C6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19470C"/>
    <w:multiLevelType w:val="multilevel"/>
    <w:tmpl w:val="17824B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12"/>
  </w:num>
  <w:num w:numId="5">
    <w:abstractNumId w:val="16"/>
  </w:num>
  <w:num w:numId="6">
    <w:abstractNumId w:val="15"/>
  </w:num>
  <w:num w:numId="7">
    <w:abstractNumId w:val="11"/>
  </w:num>
  <w:num w:numId="8">
    <w:abstractNumId w:val="8"/>
  </w:num>
  <w:num w:numId="9">
    <w:abstractNumId w:val="5"/>
  </w:num>
  <w:num w:numId="10">
    <w:abstractNumId w:val="17"/>
  </w:num>
  <w:num w:numId="11">
    <w:abstractNumId w:val="14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9"/>
  </w:num>
  <w:num w:numId="17">
    <w:abstractNumId w:val="4"/>
  </w:num>
  <w:num w:numId="18">
    <w:abstractNumId w:val="10"/>
  </w:num>
  <w:num w:numId="19">
    <w:abstractNumId w:val="9"/>
  </w:num>
  <w:num w:numId="20">
    <w:abstractNumId w:val="13"/>
  </w:num>
  <w:num w:numId="21">
    <w:abstractNumId w:val="21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EE"/>
    <w:rsid w:val="000014C2"/>
    <w:rsid w:val="00005C79"/>
    <w:rsid w:val="0003776A"/>
    <w:rsid w:val="00051941"/>
    <w:rsid w:val="000524BE"/>
    <w:rsid w:val="000575EC"/>
    <w:rsid w:val="00057A00"/>
    <w:rsid w:val="00063CE9"/>
    <w:rsid w:val="00071E82"/>
    <w:rsid w:val="00071FF0"/>
    <w:rsid w:val="00074629"/>
    <w:rsid w:val="000A585A"/>
    <w:rsid w:val="000B7424"/>
    <w:rsid w:val="001223EB"/>
    <w:rsid w:val="001247F8"/>
    <w:rsid w:val="00133E07"/>
    <w:rsid w:val="001407A9"/>
    <w:rsid w:val="001615F2"/>
    <w:rsid w:val="001A2FA5"/>
    <w:rsid w:val="001B1428"/>
    <w:rsid w:val="001B1769"/>
    <w:rsid w:val="001B3959"/>
    <w:rsid w:val="001E5546"/>
    <w:rsid w:val="001F2119"/>
    <w:rsid w:val="002033BF"/>
    <w:rsid w:val="00205693"/>
    <w:rsid w:val="00207971"/>
    <w:rsid w:val="002226A7"/>
    <w:rsid w:val="0022545D"/>
    <w:rsid w:val="00227101"/>
    <w:rsid w:val="00241EB8"/>
    <w:rsid w:val="00243DAC"/>
    <w:rsid w:val="00260BC4"/>
    <w:rsid w:val="002630F8"/>
    <w:rsid w:val="00274FCA"/>
    <w:rsid w:val="00294FAB"/>
    <w:rsid w:val="00295613"/>
    <w:rsid w:val="002A2218"/>
    <w:rsid w:val="002C2929"/>
    <w:rsid w:val="002C4A89"/>
    <w:rsid w:val="002D3485"/>
    <w:rsid w:val="002D72D7"/>
    <w:rsid w:val="002F1286"/>
    <w:rsid w:val="003019F7"/>
    <w:rsid w:val="00313A54"/>
    <w:rsid w:val="003418E7"/>
    <w:rsid w:val="00342FE8"/>
    <w:rsid w:val="00346D6D"/>
    <w:rsid w:val="003521EE"/>
    <w:rsid w:val="00381654"/>
    <w:rsid w:val="003C0590"/>
    <w:rsid w:val="003D5B3F"/>
    <w:rsid w:val="003D61E2"/>
    <w:rsid w:val="00401337"/>
    <w:rsid w:val="004037CD"/>
    <w:rsid w:val="00411FD2"/>
    <w:rsid w:val="00417310"/>
    <w:rsid w:val="00420C0E"/>
    <w:rsid w:val="00434339"/>
    <w:rsid w:val="00440612"/>
    <w:rsid w:val="00463E16"/>
    <w:rsid w:val="004E0F6E"/>
    <w:rsid w:val="004E7701"/>
    <w:rsid w:val="005109C4"/>
    <w:rsid w:val="00522B99"/>
    <w:rsid w:val="00536D9D"/>
    <w:rsid w:val="00544514"/>
    <w:rsid w:val="00544A0C"/>
    <w:rsid w:val="005514B4"/>
    <w:rsid w:val="00554921"/>
    <w:rsid w:val="005653A4"/>
    <w:rsid w:val="00567B10"/>
    <w:rsid w:val="005A236F"/>
    <w:rsid w:val="005A735C"/>
    <w:rsid w:val="005B0573"/>
    <w:rsid w:val="005B4F68"/>
    <w:rsid w:val="005B5C80"/>
    <w:rsid w:val="005E3E28"/>
    <w:rsid w:val="005E4C24"/>
    <w:rsid w:val="005F6808"/>
    <w:rsid w:val="006477C0"/>
    <w:rsid w:val="00652E08"/>
    <w:rsid w:val="0065799B"/>
    <w:rsid w:val="006667D2"/>
    <w:rsid w:val="00682AB3"/>
    <w:rsid w:val="00691078"/>
    <w:rsid w:val="006C51B4"/>
    <w:rsid w:val="006C570B"/>
    <w:rsid w:val="006E4938"/>
    <w:rsid w:val="006F4AD8"/>
    <w:rsid w:val="00703DF8"/>
    <w:rsid w:val="00742BE0"/>
    <w:rsid w:val="007459B1"/>
    <w:rsid w:val="0075122C"/>
    <w:rsid w:val="00764691"/>
    <w:rsid w:val="00771227"/>
    <w:rsid w:val="00772943"/>
    <w:rsid w:val="00785A6B"/>
    <w:rsid w:val="007863F1"/>
    <w:rsid w:val="00793520"/>
    <w:rsid w:val="007C0ADD"/>
    <w:rsid w:val="007C28E4"/>
    <w:rsid w:val="007C4022"/>
    <w:rsid w:val="007C53BA"/>
    <w:rsid w:val="007D251A"/>
    <w:rsid w:val="007F0867"/>
    <w:rsid w:val="00804AFB"/>
    <w:rsid w:val="008079C1"/>
    <w:rsid w:val="00832AF7"/>
    <w:rsid w:val="00857513"/>
    <w:rsid w:val="0087377B"/>
    <w:rsid w:val="008A7592"/>
    <w:rsid w:val="008B5286"/>
    <w:rsid w:val="008D1CDE"/>
    <w:rsid w:val="008E38F9"/>
    <w:rsid w:val="0090562E"/>
    <w:rsid w:val="00907DF3"/>
    <w:rsid w:val="00931E38"/>
    <w:rsid w:val="009345F5"/>
    <w:rsid w:val="0093519E"/>
    <w:rsid w:val="0095779D"/>
    <w:rsid w:val="00961E89"/>
    <w:rsid w:val="00984D31"/>
    <w:rsid w:val="009944DC"/>
    <w:rsid w:val="009A1DC5"/>
    <w:rsid w:val="009A29EB"/>
    <w:rsid w:val="009A4F66"/>
    <w:rsid w:val="009D3985"/>
    <w:rsid w:val="009D5509"/>
    <w:rsid w:val="009E7390"/>
    <w:rsid w:val="009F25A7"/>
    <w:rsid w:val="00A06DD9"/>
    <w:rsid w:val="00A20099"/>
    <w:rsid w:val="00A226EA"/>
    <w:rsid w:val="00A24C72"/>
    <w:rsid w:val="00A470A7"/>
    <w:rsid w:val="00A91A56"/>
    <w:rsid w:val="00A92666"/>
    <w:rsid w:val="00A979D4"/>
    <w:rsid w:val="00A97AF9"/>
    <w:rsid w:val="00AA3BBF"/>
    <w:rsid w:val="00AB1723"/>
    <w:rsid w:val="00AB2D1A"/>
    <w:rsid w:val="00AC497C"/>
    <w:rsid w:val="00AD069D"/>
    <w:rsid w:val="00AD073A"/>
    <w:rsid w:val="00AE0191"/>
    <w:rsid w:val="00AE09D3"/>
    <w:rsid w:val="00AE2FF3"/>
    <w:rsid w:val="00AE56AD"/>
    <w:rsid w:val="00B016E1"/>
    <w:rsid w:val="00B471AC"/>
    <w:rsid w:val="00B606C1"/>
    <w:rsid w:val="00B61188"/>
    <w:rsid w:val="00B63026"/>
    <w:rsid w:val="00B673CF"/>
    <w:rsid w:val="00B70469"/>
    <w:rsid w:val="00B82DED"/>
    <w:rsid w:val="00B9154C"/>
    <w:rsid w:val="00B94CEE"/>
    <w:rsid w:val="00B971A7"/>
    <w:rsid w:val="00BB2FAD"/>
    <w:rsid w:val="00BB4BC4"/>
    <w:rsid w:val="00BE0BF9"/>
    <w:rsid w:val="00BF18E3"/>
    <w:rsid w:val="00BF2400"/>
    <w:rsid w:val="00C01D48"/>
    <w:rsid w:val="00C23369"/>
    <w:rsid w:val="00C4107D"/>
    <w:rsid w:val="00C43FD2"/>
    <w:rsid w:val="00C524C0"/>
    <w:rsid w:val="00C63AF7"/>
    <w:rsid w:val="00C76F75"/>
    <w:rsid w:val="00C917C5"/>
    <w:rsid w:val="00CD7A34"/>
    <w:rsid w:val="00CE1F00"/>
    <w:rsid w:val="00CF297E"/>
    <w:rsid w:val="00D03EF7"/>
    <w:rsid w:val="00D114F8"/>
    <w:rsid w:val="00D151D3"/>
    <w:rsid w:val="00D22905"/>
    <w:rsid w:val="00D33A7F"/>
    <w:rsid w:val="00D4082C"/>
    <w:rsid w:val="00D52FE9"/>
    <w:rsid w:val="00D8473F"/>
    <w:rsid w:val="00DA75D6"/>
    <w:rsid w:val="00DC6D85"/>
    <w:rsid w:val="00DF7D44"/>
    <w:rsid w:val="00E43FB9"/>
    <w:rsid w:val="00E440F3"/>
    <w:rsid w:val="00E561F7"/>
    <w:rsid w:val="00E7405E"/>
    <w:rsid w:val="00E84CB7"/>
    <w:rsid w:val="00E87FEF"/>
    <w:rsid w:val="00E94945"/>
    <w:rsid w:val="00E9728C"/>
    <w:rsid w:val="00EA17C2"/>
    <w:rsid w:val="00EC4D4F"/>
    <w:rsid w:val="00F03560"/>
    <w:rsid w:val="00F30CD7"/>
    <w:rsid w:val="00F60D88"/>
    <w:rsid w:val="00F77806"/>
    <w:rsid w:val="00F77B91"/>
    <w:rsid w:val="00F91B96"/>
    <w:rsid w:val="00FA5ABD"/>
    <w:rsid w:val="00FC2024"/>
    <w:rsid w:val="00FC5B6F"/>
    <w:rsid w:val="00FD3CF9"/>
    <w:rsid w:val="00FE7D6E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855F9"/>
  <w15:docId w15:val="{4CD75FE3-3A4F-4F9A-B92D-08D86554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76F75"/>
    <w:pPr>
      <w:keepNext/>
      <w:keepLines/>
      <w:numPr>
        <w:numId w:val="23"/>
      </w:numPr>
      <w:spacing w:before="360" w:after="240"/>
      <w:outlineLvl w:val="0"/>
    </w:pPr>
    <w:rPr>
      <w:rFonts w:ascii="Lucida Sans Unicode" w:eastAsia="Times New Roman" w:hAnsi="Lucida Sans Unicode" w:cs="Lucida Sans Unicode"/>
      <w:b/>
      <w:bCs/>
      <w:color w:val="365F91" w:themeColor="accent1" w:themeShade="BF"/>
      <w:sz w:val="28"/>
      <w:szCs w:val="20"/>
      <w:lang w:eastAsia="ar-SA"/>
    </w:rPr>
  </w:style>
  <w:style w:type="paragraph" w:styleId="Heading2">
    <w:name w:val="heading 2"/>
    <w:basedOn w:val="Normal"/>
    <w:next w:val="Normal"/>
    <w:link w:val="Heading2Char1"/>
    <w:autoRedefine/>
    <w:uiPriority w:val="9"/>
    <w:unhideWhenUsed/>
    <w:qFormat/>
    <w:rsid w:val="00C76F75"/>
    <w:pPr>
      <w:keepNext/>
      <w:keepLines/>
      <w:numPr>
        <w:ilvl w:val="1"/>
        <w:numId w:val="23"/>
      </w:numPr>
      <w:spacing w:before="120" w:after="120"/>
      <w:outlineLvl w:val="1"/>
    </w:pPr>
    <w:rPr>
      <w:rFonts w:ascii="Lucida Sans Unicode" w:eastAsia="Times New Roman" w:hAnsi="Lucida Sans Unicode" w:cs="Lucida Sans Unicode"/>
      <w:bCs/>
      <w:color w:val="365F91" w:themeColor="accent1" w:themeShade="BF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7D2"/>
    <w:pPr>
      <w:keepNext/>
      <w:keepLines/>
      <w:numPr>
        <w:ilvl w:val="2"/>
        <w:numId w:val="2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7D2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7D2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7D2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7D2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7D2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7D2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73"/>
  </w:style>
  <w:style w:type="paragraph" w:styleId="Footer">
    <w:name w:val="footer"/>
    <w:basedOn w:val="Normal"/>
    <w:link w:val="Footer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73"/>
  </w:style>
  <w:style w:type="character" w:customStyle="1" w:styleId="hps">
    <w:name w:val="hps"/>
    <w:basedOn w:val="DefaultParagraphFont"/>
    <w:rsid w:val="00BF18E3"/>
  </w:style>
  <w:style w:type="paragraph" w:styleId="BalloonText">
    <w:name w:val="Balloon Text"/>
    <w:basedOn w:val="Normal"/>
    <w:link w:val="BalloonText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F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19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9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1941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42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F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FE8"/>
    <w:rPr>
      <w:rFonts w:ascii="Times New Roman" w:eastAsia="Times New Roman" w:hAnsi="Times New Roman" w:cs="Times New Roman"/>
      <w:sz w:val="20"/>
      <w:szCs w:val="20"/>
      <w:lang w:val="en-IE" w:eastAsia="zh-CN"/>
    </w:rPr>
  </w:style>
  <w:style w:type="character" w:styleId="Hyperlink">
    <w:name w:val="Hyperlink"/>
    <w:rsid w:val="00804AF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654"/>
    <w:pPr>
      <w:suppressAutoHyphens w:val="0"/>
      <w:spacing w:after="200"/>
    </w:pPr>
    <w:rPr>
      <w:rFonts w:asciiTheme="minorHAnsi" w:eastAsiaTheme="minorEastAsia" w:hAnsiTheme="minorHAnsi" w:cstheme="minorBidi"/>
      <w:b/>
      <w:bCs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654"/>
    <w:rPr>
      <w:rFonts w:ascii="Times New Roman" w:eastAsia="Times New Roman" w:hAnsi="Times New Roman" w:cs="Times New Roman"/>
      <w:b/>
      <w:bCs/>
      <w:sz w:val="20"/>
      <w:szCs w:val="20"/>
      <w:lang w:val="en-I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6302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F2119"/>
    <w:pPr>
      <w:spacing w:after="0" w:line="240" w:lineRule="auto"/>
      <w:contextualSpacing/>
    </w:pPr>
    <w:rPr>
      <w:rFonts w:ascii="Lucida Sans Unicode" w:eastAsiaTheme="majorEastAsia" w:hAnsi="Lucida Sans Unicode" w:cstheme="majorBidi"/>
      <w:color w:val="365F91" w:themeColor="accent1" w:themeShade="BF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119"/>
    <w:rPr>
      <w:rFonts w:ascii="Lucida Sans Unicode" w:eastAsiaTheme="majorEastAsia" w:hAnsi="Lucida Sans Unicode" w:cstheme="majorBidi"/>
      <w:color w:val="365F91" w:themeColor="accent1" w:themeShade="BF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6F75"/>
    <w:rPr>
      <w:rFonts w:ascii="Lucida Sans Unicode" w:eastAsia="Times New Roman" w:hAnsi="Lucida Sans Unicode" w:cs="Lucida Sans Unicode"/>
      <w:b/>
      <w:bCs/>
      <w:color w:val="365F91" w:themeColor="accent1" w:themeShade="BF"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uiPriority w:val="9"/>
    <w:rsid w:val="001F2119"/>
    <w:rPr>
      <w:rFonts w:ascii="Lucida Sans Unicode" w:eastAsia="Times New Roman" w:hAnsi="Lucida Sans Unicode" w:cs="Lucida Sans Unicode"/>
      <w:b/>
      <w:bCs/>
      <w:color w:val="365F91" w:themeColor="accent1" w:themeShade="BF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7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7D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7D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7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7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7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7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1">
    <w:name w:val="Heading 2 Char1"/>
    <w:basedOn w:val="DefaultParagraphFont"/>
    <w:link w:val="Heading2"/>
    <w:uiPriority w:val="9"/>
    <w:rsid w:val="00C76F75"/>
    <w:rPr>
      <w:rFonts w:ascii="Lucida Sans Unicode" w:eastAsia="Times New Roman" w:hAnsi="Lucida Sans Unicode" w:cs="Lucida Sans Unicode"/>
      <w:b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kvalifikacije.hr/fgs.axd?id=922" TargetMode="External"/><Relationship Id="rId18" Type="http://schemas.openxmlformats.org/officeDocument/2006/relationships/hyperlink" Target="http://narodne-novine.nn.hr/clanci/sluzbeni/dodatni/439965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zvo.hr/images/stories/vrednovanja/Upute_za_sastavljanje_prijedloga_studijskih_programa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arodne-novine.nn.hr/clanci/sluzbeni/2009_04_45_1031.html" TargetMode="External"/><Relationship Id="rId17" Type="http://schemas.openxmlformats.org/officeDocument/2006/relationships/hyperlink" Target="http://www.mzos.hr/dbApp/pregled.aspx?appName=StudProgrami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kvalifikacije.hr" TargetMode="External"/><Relationship Id="rId20" Type="http://schemas.openxmlformats.org/officeDocument/2006/relationships/hyperlink" Target="http://www.kvalifikacije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hr/url?sa=t&amp;rct=j&amp;q=&amp;esrc=s&amp;source=web&amp;cd=1&amp;ved=0ahUKEwjH3LTi_I7QAhUE0xQKHa4XC0kQFggYMAA&amp;url=http%3A%2F%2Fwww.kvalifikacije.hr%2Ffgs.axd%3Fid%3D924&amp;usg=AFQjCNF-XkFfDvEt1u83qDhc8KAIY8bfgw&amp;sig2=7BikqWw6fwvy6lbMmldU4Q" TargetMode="External"/><Relationship Id="rId23" Type="http://schemas.openxmlformats.org/officeDocument/2006/relationships/hyperlink" Target="http://www.hkoportal.hr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kvalifikacije.hr/fgs.axd?id=117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hkoportal.hr/" TargetMode="External"/><Relationship Id="rId22" Type="http://schemas.openxmlformats.org/officeDocument/2006/relationships/hyperlink" Target="http://www.kvalifikacije.hr/nacionalno-vijece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8C83-6FC9-41B3-8576-96565505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2569</Words>
  <Characters>14649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Vanja Pavlović</cp:lastModifiedBy>
  <cp:revision>8</cp:revision>
  <cp:lastPrinted>2016-02-09T10:31:00Z</cp:lastPrinted>
  <dcterms:created xsi:type="dcterms:W3CDTF">2016-12-19T14:39:00Z</dcterms:created>
  <dcterms:modified xsi:type="dcterms:W3CDTF">2016-12-29T11:57:00Z</dcterms:modified>
</cp:coreProperties>
</file>