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47" w:rsidRDefault="007B3647" w:rsidP="007B3647">
      <w:pPr>
        <w:ind w:right="3850"/>
        <w:rPr>
          <w:rFonts w:cs="Arial"/>
          <w:sz w:val="22"/>
        </w:rPr>
      </w:pPr>
    </w:p>
    <w:p w:rsidR="007B3647" w:rsidRDefault="007B3647" w:rsidP="007B3647">
      <w:pPr>
        <w:ind w:right="3850"/>
        <w:rPr>
          <w:rFonts w:cs="Arial"/>
          <w:sz w:val="22"/>
        </w:rPr>
      </w:pPr>
      <w:r>
        <w:rPr>
          <w:rFonts w:cs="Arial"/>
          <w:sz w:val="22"/>
        </w:rPr>
        <w:t>MINISTARSTVO ZNANOSTI I OBRAZOVANJA</w:t>
      </w:r>
    </w:p>
    <w:p w:rsidR="007B3647" w:rsidRDefault="007B3647" w:rsidP="007B3647">
      <w:pPr>
        <w:rPr>
          <w:rFonts w:cs="Arial"/>
          <w:sz w:val="22"/>
        </w:rPr>
      </w:pPr>
    </w:p>
    <w:p w:rsidR="007B3647" w:rsidRDefault="007B3647" w:rsidP="007B3647">
      <w:pPr>
        <w:rPr>
          <w:rFonts w:cs="Arial"/>
          <w:sz w:val="22"/>
        </w:rPr>
      </w:pPr>
    </w:p>
    <w:p w:rsidR="007B3647" w:rsidRDefault="007B3647" w:rsidP="007B3647">
      <w:pPr>
        <w:rPr>
          <w:rFonts w:cs="Arial"/>
          <w:sz w:val="22"/>
        </w:rPr>
      </w:pP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rPr>
          <w:rFonts w:cs="Arial"/>
          <w:b/>
          <w:sz w:val="22"/>
        </w:rPr>
      </w:pPr>
    </w:p>
    <w:p w:rsidR="007B3647" w:rsidRPr="007B3647" w:rsidRDefault="007B3647" w:rsidP="007B3647">
      <w:pPr>
        <w:pStyle w:val="Title"/>
        <w:jc w:val="center"/>
        <w:rPr>
          <w:b/>
        </w:rPr>
      </w:pPr>
      <w:r w:rsidRPr="007B3647">
        <w:rPr>
          <w:b/>
        </w:rPr>
        <w:t xml:space="preserve">NACRT </w:t>
      </w:r>
      <w:r w:rsidRPr="007B3647">
        <w:rPr>
          <w:b/>
        </w:rPr>
        <w:t>ODLUK</w:t>
      </w:r>
      <w:r w:rsidRPr="007B3647">
        <w:rPr>
          <w:b/>
        </w:rPr>
        <w:t>E</w:t>
      </w:r>
    </w:p>
    <w:p w:rsidR="007B3647" w:rsidRPr="007B3647" w:rsidRDefault="007B3647" w:rsidP="007B3647">
      <w:pPr>
        <w:pStyle w:val="Title"/>
        <w:jc w:val="center"/>
        <w:rPr>
          <w:b/>
        </w:rPr>
      </w:pPr>
      <w:r w:rsidRPr="007B3647">
        <w:rPr>
          <w:b/>
        </w:rPr>
        <w:t>O UVJETIMA ZA PRIJAM UČENIKA U UČENIČKE DOMOVE</w:t>
      </w:r>
    </w:p>
    <w:p w:rsidR="007B3647" w:rsidRPr="007B3647" w:rsidRDefault="007B3647" w:rsidP="007B3647">
      <w:pPr>
        <w:pStyle w:val="Title"/>
        <w:jc w:val="center"/>
        <w:rPr>
          <w:b/>
        </w:rPr>
      </w:pPr>
      <w:r w:rsidRPr="007B3647">
        <w:rPr>
          <w:b/>
        </w:rPr>
        <w:t>U ŠKOLSKOJ GODINI 2017./2018.</w:t>
      </w: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rPr>
          <w:rFonts w:cs="Arial"/>
          <w:b/>
          <w:sz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I.</w:t>
      </w: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sz w:val="22"/>
        </w:rPr>
        <w:t>Ovom odlukom utvrđuju se uvjeti za prijam učenika u učeničke domove u Republici Hrvatskoj u školskoj godini 2017./2018.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II.</w:t>
      </w: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sz w:val="22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iz država članica Europske unije te strani državljani iz zemalja izvan Europske unije.</w:t>
      </w:r>
    </w:p>
    <w:p w:rsidR="007B3647" w:rsidRDefault="007B3647" w:rsidP="007B3647">
      <w:pPr>
        <w:ind w:firstLine="708"/>
        <w:jc w:val="both"/>
        <w:rPr>
          <w:rFonts w:cs="Arial"/>
          <w:sz w:val="22"/>
        </w:rPr>
      </w:pPr>
    </w:p>
    <w:p w:rsidR="007B3647" w:rsidRDefault="007B3647" w:rsidP="007B3647">
      <w:pPr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>Učenički dom prima učenike strane državljane iz zemalja izvan Europske unije uz suglasnost Ministarstva znanosti i obrazovanja.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Na nepopunjena mjesta učenički dom može primiti i studente hrvatskih visokih učilišta koji su hrvatski državljani ili Hrvati iz drugih država isključivo s liste prvenstva koju utvrde studentski centri te polaznike drugih škola, seminara i tečajeva, ako to ne ometa redoviti odgojni rad i život u učeničkome domu.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III.</w:t>
      </w:r>
    </w:p>
    <w:p w:rsidR="007B3647" w:rsidRDefault="007B3647" w:rsidP="007B3647">
      <w:pPr>
        <w:jc w:val="both"/>
        <w:rPr>
          <w:rFonts w:cs="Arial"/>
          <w:b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Učenički dom prima učenike na smještaj za vrijeme trajanja upisanoga programa obrazovanja pod uvjetom da uspješno i redovito završavaju upisane razrede te poštuju pravila doma i odredbe sklopljenoga ugovora, a o čemu odlučuje odgajateljsko vijeće učeničkoga doma nakon temeljite analize ponašanja i uspjeha svakog učenika.</w:t>
      </w: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Sa svakim učenikom, studentom odnosno korisnikom programa i usluga učenički dom sklapa ugovor o međusobnim pravima i obvezama.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IV.</w:t>
      </w: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ab/>
        <w:t>Ako se za smještaj u dom prijavi više učenika nego što ima raspoloživih mjesta, učenički dom obavlja odabir onih učenika koji ostvaruju uvjete izravnoga prijma, a zatim obavlja odabir ostalih učenika prema broju bodova na temelju postignutoga uspjeha u posljednja četiri razreda osnovnog obrazovanja i prema socijalnome statusu.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V.</w:t>
      </w: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Pravo izravnoga prijma iz točke IV. ove odluke ostvaruju: 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učenici kojima su oba roditelja preminula;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učenici koji su upisali program obrazovanja u školi koja u sastavu ima učenički dom.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Za ostvarivanje navedenih prava iz ove točke učenik je dužan dokazati status odgovarajućim dokumentima nadležnih tijela.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VI.</w:t>
      </w:r>
    </w:p>
    <w:p w:rsidR="007B3647" w:rsidRDefault="007B3647" w:rsidP="007B3647">
      <w:pPr>
        <w:jc w:val="center"/>
        <w:rPr>
          <w:rFonts w:cs="Arial"/>
          <w:b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Broj bodova za prijam ostalih učenika u učenički dom iz točke IV. ove odluke ostvaruje se na sljedeći način: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učenik ostvaruje broj bodova u visini prosječne ocjene uspjeha u posljednja četiri razreda osnovnog obrazovanja pomnožene s koeficijentom petnaest (15);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učenik čiji je roditelj preminuo (što dokazuje preslikom smrtovnice) ostvaruje dodatnih deset (10) bodova;</w:t>
      </w:r>
    </w:p>
    <w:p w:rsidR="007B3647" w:rsidRDefault="007B3647" w:rsidP="007B3647">
      <w:pPr>
        <w:ind w:left="720"/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eastAsia="Calibri"/>
          <w:sz w:val="22"/>
          <w:szCs w:val="22"/>
          <w:lang w:eastAsia="en-US"/>
        </w:rPr>
        <w:t>učenici na temelju članka 56. Zakona o pravima hrvatskih branitelja i članova njihovih obitelji (Narodne novine, broj: 174/2004., 92/2005., 107/2007., 65/2009., 137/2009., 146/2010., 55/2011., 140/2012., 33/2013., 148/2013. i 92/2014.) - djeca hrvatskih ratnih vojnih invalida iz Domovinskoga rata koja imaju prednost pri smještaju u učeničke domove pod uvjetom da im redoviti mjesečni prihodi po članu kućanstva ne prelaze 60% proračunske osnovice (osim ako u trenutku objavljivanja natječaja za prijam učenika u učeničke domove navedeni uvjet Zakonom o pravima hrvatskih branitelja i članova njihovih obitelji ne bude drukčije određen te će se u tom slučaju primjenjivati odredba Zakona), ostvaruju dodatnih deset (10) bodova;</w:t>
      </w:r>
    </w:p>
    <w:p w:rsidR="007B3647" w:rsidRDefault="007B3647" w:rsidP="007B3647">
      <w:pPr>
        <w:ind w:left="720"/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eastAsia="Calibri"/>
          <w:sz w:val="22"/>
          <w:szCs w:val="22"/>
          <w:lang w:eastAsia="en-US"/>
        </w:rPr>
        <w:t>učenici na temelju članka 48.e Zakona o zaštiti vojnih i civilnih invalida rata (Narodne novine, broj: 33/1992., 57/1992., 77/1992., 58/1993., 2/1994., 76/1994., 108/1995., 108/1996., 82/2001., 94/2001., 103/2003. i 148/2013.) -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-tnim oštećenjem organizma, koja imaju prednost pri smještaju u učeničke domove ako im redoviti mjesečni prihodi po članu kućanstva ne prelaze 60% proračunske osnovice, ostvaruju dodatnih deset (10) bodova;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učenik čiji je roditelj mirnodopski vojni ili civilni invalid rata koji ima oštećenje organizma veće od 50%, ostvaruje dodatnih pet (5) bodova;</w:t>
      </w: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učenik s posebnim socijalnim statusom ostvaruje dodatnih 10 bodova ako:</w:t>
      </w:r>
    </w:p>
    <w:p w:rsidR="007B3647" w:rsidRDefault="007B3647" w:rsidP="007B3647">
      <w:pPr>
        <w:numPr>
          <w:ilvl w:val="0"/>
          <w:numId w:val="4"/>
        </w:numPr>
        <w:spacing w:before="120" w:after="12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živi uz jednoga i/ili oba roditelja s dugotrajnom teškom bolesti (što dokazuje liječničkom potvrdom o dugotrajnoj težoj bolesti jednoga i/ili obaju roditelja); </w:t>
      </w:r>
    </w:p>
    <w:p w:rsidR="007B3647" w:rsidRDefault="007B3647" w:rsidP="007B3647">
      <w:pPr>
        <w:numPr>
          <w:ilvl w:val="0"/>
          <w:numId w:val="4"/>
        </w:numPr>
        <w:spacing w:before="120" w:after="12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živi uz dugotrajno nezaposlena oba roditelja, u smislu članka 2. </w:t>
      </w:r>
      <w:r>
        <w:rPr>
          <w:i/>
          <w:sz w:val="22"/>
          <w:szCs w:val="22"/>
        </w:rPr>
        <w:t>Zakona o poticanju zapošljavanja</w:t>
      </w:r>
      <w:r>
        <w:rPr>
          <w:sz w:val="22"/>
          <w:szCs w:val="22"/>
        </w:rPr>
        <w:t xml:space="preserve"> (Narodne novine, broj: 57/2012. i 120/2012.), (što dokazuje potvrdom o dugotrajnoj nezaposlenosti obaju roditelja iz područnoga ureda Hrvatskoga zavoda za zapošljavanje); </w:t>
      </w:r>
    </w:p>
    <w:p w:rsidR="007B3647" w:rsidRDefault="007B3647" w:rsidP="007B3647">
      <w:pPr>
        <w:numPr>
          <w:ilvl w:val="0"/>
          <w:numId w:val="4"/>
        </w:numPr>
        <w:spacing w:before="120" w:after="120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živi uz samohranoga roditelja (roditelj koji nije u braku i ne živi u izvanbračnoj zajednici, a sam se skrbi o svome djetetu i uzdržava ga) korisnika socijalne skrbi, u smislu članaka 4., 21. i 30. </w:t>
      </w:r>
      <w:r>
        <w:rPr>
          <w:i/>
          <w:sz w:val="22"/>
          <w:szCs w:val="22"/>
        </w:rPr>
        <w:t xml:space="preserve">Zakona o socijalnoj skrbi </w:t>
      </w:r>
      <w:r>
        <w:rPr>
          <w:sz w:val="22"/>
          <w:szCs w:val="22"/>
        </w:rPr>
        <w:t>(Narodne novine, broj: 157/2013. 152/2014. i 99/2015.) te posjeduje rješenje ili drugi upravni akt centra za socijalnu skrb ili nadležnoga tijela u jedinici lokalne ili područne (regionalne) jedinice i Grada Zagreba o pravu samohranoga roditelja kao korisnika socijalne skrbi (što dokazuje potvrdom o korištenju socijalne pomoći, rješenjem ili drugim upravnim aktom centra za socijalnu skrb ili nadležnoga tijela u jedinici lokalne ili područne /regionalne/ jedinice i Grada Zagreba o pravu samohranoga roditelja u statusu socijalne skrbi koje su izdale ovlaštene službe u zdravstvu, socijalnoj skrbi i/ili</w:t>
      </w:r>
      <w:r>
        <w:rPr>
          <w:b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za zapošljavanje);</w:t>
      </w:r>
    </w:p>
    <w:p w:rsidR="007B3647" w:rsidRDefault="007B3647" w:rsidP="007B3647">
      <w:pPr>
        <w:ind w:left="708"/>
        <w:jc w:val="both"/>
        <w:rPr>
          <w:rFonts w:cs="Arial"/>
          <w:sz w:val="22"/>
        </w:rPr>
      </w:pPr>
    </w:p>
    <w:p w:rsidR="007B3647" w:rsidRDefault="007B3647" w:rsidP="007B36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učenici koji su u posljednja četiri razreda osnovnog obrazovanja osvojili jedno od prvih triju mjesta na državnome i/ili međunarodnome natjecanju iz znanja i/ili natjecanju školskih sportskih društava ostvaruju dodatnih šest (6) bodova;</w:t>
      </w:r>
    </w:p>
    <w:p w:rsidR="007B3647" w:rsidRDefault="007B3647" w:rsidP="007B3647">
      <w:pPr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3647" w:rsidRDefault="007B3647" w:rsidP="007B36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učenik koji je u posljednja četiri razreda osnovnog obrazovanja imao ocjenu iz vladanja uzorno ostvaruje pet (5) dodatnih bodova;</w:t>
      </w:r>
    </w:p>
    <w:p w:rsidR="007B3647" w:rsidRDefault="007B3647" w:rsidP="007B3647">
      <w:pPr>
        <w:jc w:val="both"/>
        <w:rPr>
          <w:sz w:val="22"/>
          <w:szCs w:val="22"/>
        </w:rPr>
      </w:pPr>
    </w:p>
    <w:p w:rsidR="007B3647" w:rsidRDefault="007B3647" w:rsidP="007B364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učenik čiji se brat odnosno sestra (ili više njih) redovito školuje i stanuje izvan mjesta stalnog prebivališta ostvaruje pet (5) dodatnih bodova po broju braće i sestara.</w:t>
      </w:r>
    </w:p>
    <w:p w:rsidR="007B3647" w:rsidRDefault="007B3647" w:rsidP="007B3647">
      <w:pPr>
        <w:jc w:val="both"/>
        <w:rPr>
          <w:rFonts w:cs="Arial"/>
          <w:sz w:val="22"/>
          <w:szCs w:val="22"/>
        </w:rPr>
      </w:pPr>
    </w:p>
    <w:p w:rsidR="007B3647" w:rsidRDefault="007B3647" w:rsidP="007B364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 ostvarivanje navedenih prava iz ove točke učenik je dužan dokazati status odgovarajućim dokumentima nadležnih tijela.</w:t>
      </w:r>
    </w:p>
    <w:p w:rsidR="007B3647" w:rsidRDefault="007B3647" w:rsidP="007B3647">
      <w:pPr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je učenik sudjelovao na nekoliko natjecanja ili na natjecanjima iz više područja, vrsta i razina, boduje mu se najpovoljniji rezultat. 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o sudjelovanju ili diplomu o ostvarenome rezultatu na natjecanju za državno natjecanje izdaje Agencija za odgoj i obrazovanje, a za natjecanje </w:t>
      </w:r>
      <w:r>
        <w:rPr>
          <w:rFonts w:cs="Arial"/>
          <w:sz w:val="22"/>
        </w:rPr>
        <w:t xml:space="preserve">školskih sportskih društava </w:t>
      </w:r>
      <w:r>
        <w:rPr>
          <w:sz w:val="22"/>
          <w:szCs w:val="22"/>
        </w:rPr>
        <w:t>Hrvatski školski sportski savez.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Vrednuju se državna natjecanja iz znanja iz Kataloga natjecanja i smotri učenika i učenica osnovnih i srednjih škola Republike Hrvatske, koja se provode u organizaciji Agencije za odgoj i obrazovanje, a koja je odobrilo Ministarstvo znanosti i obrazovanja te međunarodna natjecanja koja verificira</w:t>
      </w:r>
      <w:r>
        <w:t xml:space="preserve"> </w:t>
      </w:r>
      <w:r>
        <w:rPr>
          <w:sz w:val="22"/>
          <w:szCs w:val="22"/>
        </w:rPr>
        <w:t>Agencija za odgoj i obrazovanje.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Vrednuju se natjecanja </w:t>
      </w:r>
      <w:r>
        <w:rPr>
          <w:rFonts w:cs="Arial"/>
          <w:sz w:val="22"/>
        </w:rPr>
        <w:t>školskih sportskih društava koja su ustrojena prema Propisniku Državnoga prvenstva školskih sportskih društava Republike Hrvatske pod nadzorom natjecateljskog povjerenstva Hrvatskoga školskoga sportskog saveza.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Iznimno, o posebnim uvjetima prijma u učenički dom pri rješavanju pojedinačnih slučajeva koji nisu utvrđeni točkama V. i VI. ove odluke ili se ne utvrde na temelju točke VII. ove odluke, odlučuje ravnatelj doma uz suglasnost županijskoga upravnog odjela nadležnog za obrazovanje, ureda državne uprave u županiji odnosno Gradskoga ureda za obrazovanje, kulturu i sport Grada Zagreba.</w:t>
      </w:r>
    </w:p>
    <w:p w:rsidR="007B3647" w:rsidRDefault="007B3647" w:rsidP="007B3647">
      <w:pPr>
        <w:ind w:left="360" w:firstLine="708"/>
        <w:rPr>
          <w:sz w:val="22"/>
          <w:szCs w:val="22"/>
        </w:rPr>
      </w:pPr>
    </w:p>
    <w:p w:rsidR="007B3647" w:rsidRDefault="007B3647" w:rsidP="007B3647">
      <w:pPr>
        <w:ind w:left="360" w:firstLine="708"/>
        <w:rPr>
          <w:sz w:val="22"/>
          <w:szCs w:val="22"/>
        </w:rPr>
      </w:pPr>
    </w:p>
    <w:p w:rsidR="007B3647" w:rsidRDefault="007B3647" w:rsidP="007B3647">
      <w:pPr>
        <w:ind w:left="360" w:firstLine="708"/>
        <w:rPr>
          <w:sz w:val="22"/>
          <w:szCs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lastRenderedPageBreak/>
        <w:t>VII.</w:t>
      </w:r>
    </w:p>
    <w:p w:rsidR="007B3647" w:rsidRDefault="007B3647" w:rsidP="007B3647">
      <w:pPr>
        <w:ind w:left="360" w:firstLine="708"/>
        <w:jc w:val="center"/>
        <w:rPr>
          <w:b/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temelju mjerila iz točke V. i VI. ove odluke učenički dom utvrđuje svoja mjerila za prijam i boravak u domu kojima se prema vrsti doma i na prijedlog županijskoga upravnog odjela nadležnog za obrazovanje, ureda državne uprave u županiji odnosno Gradskoga ureda za obrazovanje, kulturu i sport Grada Zagreba utvrđuju i posebne prednosti za prijam po vrstama programa obrazovanja za potrebna zanimanja u županiji te drugi uvjeti prijma od općeg interesa u regiji.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Učenički domovi javno objavljuju natječaj za prijam učenika u učenički dom u kojem</w:t>
      </w:r>
      <w:r>
        <w:t xml:space="preserve"> </w:t>
      </w:r>
      <w:r>
        <w:rPr>
          <w:sz w:val="22"/>
          <w:szCs w:val="22"/>
        </w:rPr>
        <w:t>javno oglašavaju broj slobodnih mjesta i uvjete za prijam u školskoj godini 2017./2018. i to istodobno kada se objavljuje i natječaj za upis učenika u I. razred srednje škole.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Učenički domovi dogovaraju sadržaj natječaja s uredom državne uprave odnosno Gradskim uredom za obrazovanje, kulturu i sport Grada Zagreba, iz stavka 1. ove točke, i zajednički objavljuju u organizaciji županijskoga upravnog odjela.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VIII.</w:t>
      </w:r>
    </w:p>
    <w:p w:rsidR="007B3647" w:rsidRDefault="007B3647" w:rsidP="007B3647">
      <w:pPr>
        <w:jc w:val="center"/>
        <w:rPr>
          <w:b/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Učenici će se prijavljivati za prijam i upisivati u učeničke domove u školskoj godini 2017./2018. u ljetnome i jesenskome upisnom roku.</w:t>
      </w:r>
    </w:p>
    <w:p w:rsidR="007B3647" w:rsidRDefault="007B3647" w:rsidP="007B3647">
      <w:pPr>
        <w:jc w:val="both"/>
        <w:rPr>
          <w:b/>
          <w:sz w:val="22"/>
          <w:szCs w:val="22"/>
        </w:rPr>
      </w:pPr>
    </w:p>
    <w:p w:rsidR="007B3647" w:rsidRDefault="007B3647" w:rsidP="007B3647">
      <w:pPr>
        <w:rPr>
          <w:b/>
          <w:sz w:val="22"/>
          <w:szCs w:val="22"/>
        </w:rPr>
      </w:pPr>
    </w:p>
    <w:p w:rsidR="007B3647" w:rsidRDefault="007B3647" w:rsidP="007B3647">
      <w:pPr>
        <w:rPr>
          <w:b/>
          <w:sz w:val="22"/>
          <w:szCs w:val="22"/>
        </w:rPr>
      </w:pPr>
      <w:r>
        <w:rPr>
          <w:b/>
          <w:sz w:val="22"/>
          <w:szCs w:val="22"/>
        </w:rPr>
        <w:t>UPISNI ROKOVI</w:t>
      </w:r>
    </w:p>
    <w:p w:rsidR="007B3647" w:rsidRDefault="007B3647" w:rsidP="007B3647">
      <w:pPr>
        <w:rPr>
          <w:b/>
          <w:sz w:val="22"/>
          <w:szCs w:val="22"/>
        </w:rPr>
      </w:pPr>
    </w:p>
    <w:p w:rsidR="007B3647" w:rsidRDefault="007B3647" w:rsidP="007B364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Ljetni upisni rok</w:t>
      </w:r>
    </w:p>
    <w:p w:rsidR="007B3647" w:rsidRDefault="007B3647" w:rsidP="007B3647">
      <w:pPr>
        <w:rPr>
          <w:b/>
          <w:i/>
          <w:sz w:val="22"/>
          <w:szCs w:val="22"/>
        </w:rPr>
      </w:pPr>
    </w:p>
    <w:p w:rsidR="007B3647" w:rsidRDefault="007B3647" w:rsidP="007B3647">
      <w:pPr>
        <w:rPr>
          <w:b/>
          <w:i/>
          <w:sz w:val="22"/>
          <w:szCs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IX.</w:t>
      </w:r>
    </w:p>
    <w:p w:rsidR="007B3647" w:rsidRDefault="007B3647" w:rsidP="007B3647">
      <w:pPr>
        <w:jc w:val="both"/>
        <w:rPr>
          <w:sz w:val="22"/>
          <w:szCs w:val="22"/>
        </w:rPr>
      </w:pPr>
    </w:p>
    <w:tbl>
      <w:tblPr>
        <w:tblW w:w="5000" w:type="pct"/>
        <w:tblInd w:w="1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77"/>
        <w:gridCol w:w="1785"/>
      </w:tblGrid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solid" w:color="D9D9D9" w:fill="D9D9D9"/>
              </w:rPr>
              <w:t>Opis postupaka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solid" w:color="D9D9D9" w:fill="D9D9D9"/>
              </w:rPr>
              <w:t>Datum</w:t>
            </w:r>
          </w:p>
        </w:tc>
      </w:tr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Prijava kandidata 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12. 7. 2017.</w:t>
            </w:r>
          </w:p>
        </w:tc>
      </w:tr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Objava konačnih ljestvica poretka učenika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12. 7. 2017.</w:t>
            </w:r>
          </w:p>
        </w:tc>
      </w:tr>
      <w:tr w:rsidR="007B3647" w:rsidTr="007B3647">
        <w:trPr>
          <w:trHeight w:val="359"/>
        </w:trPr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3647" w:rsidRDefault="007B3647">
            <w:pPr>
              <w:ind w:left="-20" w:firstLine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Upis u učenički dom </w:t>
            </w:r>
          </w:p>
          <w:p w:rsidR="007B3647" w:rsidRDefault="007B3647">
            <w:pPr>
              <w:ind w:left="-2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(Učenik je dužan donijeti potvrdu škole o upisu u školu ili mjestu koje je zauzeo na konačnoj ljestvici poretka, a koja sadrži pečat škole i potpis ravnatelja.)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3647" w:rsidRDefault="007B3647">
            <w:pPr>
              <w:ind w:lef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13. 7. 2017.</w:t>
            </w:r>
          </w:p>
        </w:tc>
      </w:tr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Objava slobodnih mjesta za jesenski rok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3647" w:rsidRDefault="007B36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13. 7. 2017.</w:t>
            </w:r>
          </w:p>
        </w:tc>
      </w:tr>
    </w:tbl>
    <w:p w:rsidR="007B3647" w:rsidRDefault="007B3647" w:rsidP="007B3647">
      <w:pPr>
        <w:rPr>
          <w:b/>
          <w:i/>
          <w:sz w:val="22"/>
          <w:szCs w:val="22"/>
        </w:rPr>
      </w:pPr>
    </w:p>
    <w:p w:rsidR="007B3647" w:rsidRDefault="007B3647" w:rsidP="007B3647">
      <w:pPr>
        <w:rPr>
          <w:b/>
          <w:i/>
          <w:sz w:val="22"/>
          <w:szCs w:val="22"/>
        </w:rPr>
      </w:pPr>
    </w:p>
    <w:p w:rsidR="007B3647" w:rsidRDefault="007B3647" w:rsidP="007B364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Jesenski upisni rok</w:t>
      </w:r>
    </w:p>
    <w:p w:rsidR="007B3647" w:rsidRDefault="007B3647" w:rsidP="007B3647">
      <w:pPr>
        <w:jc w:val="center"/>
        <w:rPr>
          <w:b/>
          <w:color w:val="00B050"/>
          <w:sz w:val="22"/>
          <w:szCs w:val="22"/>
        </w:rPr>
      </w:pPr>
    </w:p>
    <w:p w:rsidR="007B3647" w:rsidRDefault="007B3647" w:rsidP="007B3647">
      <w:pPr>
        <w:jc w:val="center"/>
        <w:rPr>
          <w:b/>
          <w:color w:val="00B050"/>
          <w:sz w:val="22"/>
          <w:szCs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X.</w:t>
      </w:r>
    </w:p>
    <w:p w:rsidR="007B3647" w:rsidRDefault="007B3647" w:rsidP="007B3647">
      <w:pPr>
        <w:rPr>
          <w:b/>
          <w:color w:val="00B050"/>
          <w:sz w:val="22"/>
          <w:szCs w:val="22"/>
        </w:rPr>
      </w:pPr>
    </w:p>
    <w:tbl>
      <w:tblPr>
        <w:tblW w:w="5046" w:type="pct"/>
        <w:tblInd w:w="1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802"/>
      </w:tblGrid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solid" w:color="D9D9D9" w:fill="D9D9D9"/>
              </w:rPr>
              <w:t>Opis postupaka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solid" w:color="D9D9D9" w:fill="D9D9D9"/>
              </w:rPr>
              <w:t>Datum</w:t>
            </w:r>
          </w:p>
        </w:tc>
      </w:tr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kandidata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B3647" w:rsidRDefault="007B3647">
            <w:pPr>
              <w:ind w:left="-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31. 8. 2017.</w:t>
            </w:r>
          </w:p>
        </w:tc>
      </w:tr>
      <w:tr w:rsidR="007B3647" w:rsidTr="007B3647">
        <w:tc>
          <w:tcPr>
            <w:tcW w:w="4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3647" w:rsidRDefault="007B3647">
            <w:pPr>
              <w:ind w:left="-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·     Objava konačnih ljestvica poretka učenika i upis u učenički dom</w:t>
            </w:r>
          </w:p>
          <w:p w:rsidR="007B3647" w:rsidRDefault="007B3647">
            <w:pPr>
              <w:ind w:left="-20" w:hanging="3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(U  (Učenik je dužan donijeti potvrdu škole o upisu u školu ili mjestu koje je zauzeo na konačnoj ljestvici poretka, a koja sadrži pečat škole i potpis ravnatelja.)</w:t>
            </w:r>
          </w:p>
        </w:tc>
        <w:tc>
          <w:tcPr>
            <w:tcW w:w="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3647" w:rsidRDefault="007B3647">
            <w:pPr>
              <w:ind w:left="-20"/>
              <w:jc w:val="right"/>
              <w:rPr>
                <w:b/>
                <w:color w:val="FF0000"/>
                <w:sz w:val="22"/>
                <w:szCs w:val="22"/>
              </w:rPr>
            </w:pPr>
          </w:p>
          <w:p w:rsidR="007B3647" w:rsidRDefault="007B3647">
            <w:pPr>
              <w:ind w:left="-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1. 9. 2017.  </w:t>
            </w:r>
          </w:p>
        </w:tc>
      </w:tr>
    </w:tbl>
    <w:p w:rsidR="007B3647" w:rsidRDefault="007B3647" w:rsidP="007B3647">
      <w:pPr>
        <w:jc w:val="both"/>
        <w:rPr>
          <w:sz w:val="22"/>
          <w:szCs w:val="22"/>
        </w:rPr>
      </w:pPr>
    </w:p>
    <w:p w:rsidR="007B3647" w:rsidRDefault="007B3647" w:rsidP="007B3647">
      <w:pPr>
        <w:jc w:val="center"/>
        <w:rPr>
          <w:b/>
          <w:sz w:val="22"/>
          <w:szCs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r w:rsidRPr="007B3647">
        <w:rPr>
          <w:b/>
        </w:rPr>
        <w:t>XI.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Pisano izvješće o prijmu učenika u učeničke domove za školsku godinu 2017./2018. učenički domovi dostavljaju uredu državne uprave u županiji odnosno Gradskome uredu za obrazovanje, kulturu i sport Grada Zagreba te upravnome odjelu nadležnom za obrazovanje u županiji u </w:t>
      </w:r>
      <w:r>
        <w:rPr>
          <w:b/>
          <w:bCs/>
          <w:iCs/>
          <w:sz w:val="22"/>
          <w:szCs w:val="22"/>
        </w:rPr>
        <w:t xml:space="preserve">utorak, 5. rujna 2017. godine, </w:t>
      </w:r>
      <w:r>
        <w:rPr>
          <w:iCs/>
          <w:sz w:val="22"/>
          <w:szCs w:val="22"/>
        </w:rPr>
        <w:t xml:space="preserve">a uredi državne uprave odnosno Gradski ured za obrazovanje, kulturu i sport Grada Zagreba dostavljaju Ministarstvu znanosti i obrazovanja, Upravi za odgoj i obrazovanje (elektronički) u </w:t>
      </w:r>
      <w:r>
        <w:rPr>
          <w:b/>
          <w:bCs/>
          <w:iCs/>
          <w:sz w:val="22"/>
          <w:szCs w:val="22"/>
        </w:rPr>
        <w:t>srijedu, 6. rujna 2017. godine.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Obrazac za izvješće o prijmu učenika u učenički dom utvrđuje Ministarstvo znanosti i obrazovanja.</w:t>
      </w: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Default="007B3647" w:rsidP="007B3647">
      <w:pPr>
        <w:ind w:firstLine="708"/>
        <w:jc w:val="both"/>
        <w:rPr>
          <w:sz w:val="22"/>
          <w:szCs w:val="22"/>
        </w:rPr>
      </w:pPr>
    </w:p>
    <w:p w:rsidR="007B3647" w:rsidRPr="007B3647" w:rsidRDefault="007B3647" w:rsidP="007B3647">
      <w:pPr>
        <w:pStyle w:val="Heading1"/>
        <w:jc w:val="center"/>
        <w:rPr>
          <w:b/>
        </w:rPr>
      </w:pPr>
      <w:bookmarkStart w:id="0" w:name="_GoBack"/>
      <w:r w:rsidRPr="007B3647">
        <w:rPr>
          <w:b/>
        </w:rPr>
        <w:t>XII.</w:t>
      </w:r>
    </w:p>
    <w:bookmarkEnd w:id="0"/>
    <w:p w:rsidR="007B3647" w:rsidRDefault="007B3647" w:rsidP="007B3647">
      <w:pPr>
        <w:ind w:left="360" w:firstLine="349"/>
        <w:rPr>
          <w:sz w:val="22"/>
          <w:szCs w:val="22"/>
        </w:rPr>
      </w:pPr>
    </w:p>
    <w:p w:rsidR="007B3647" w:rsidRDefault="007B3647" w:rsidP="007B3647">
      <w:pPr>
        <w:ind w:left="360" w:firstLine="349"/>
        <w:rPr>
          <w:sz w:val="22"/>
          <w:szCs w:val="22"/>
        </w:rPr>
      </w:pPr>
      <w:r>
        <w:rPr>
          <w:sz w:val="22"/>
          <w:szCs w:val="22"/>
        </w:rPr>
        <w:t xml:space="preserve">Ova odluka stupa na snagu osmog dana od dana objave u Narodnim novinama. </w:t>
      </w:r>
    </w:p>
    <w:p w:rsidR="007B3647" w:rsidRDefault="007B3647" w:rsidP="007B3647">
      <w:pPr>
        <w:ind w:left="360" w:firstLine="708"/>
        <w:rPr>
          <w:sz w:val="22"/>
          <w:szCs w:val="22"/>
        </w:rPr>
      </w:pPr>
    </w:p>
    <w:p w:rsidR="007B3647" w:rsidRDefault="007B3647" w:rsidP="007B3647">
      <w:pPr>
        <w:ind w:left="360" w:firstLine="708"/>
        <w:rPr>
          <w:sz w:val="22"/>
          <w:szCs w:val="22"/>
        </w:rPr>
      </w:pPr>
    </w:p>
    <w:p w:rsidR="007B3647" w:rsidRDefault="007B3647" w:rsidP="007B3647">
      <w:pPr>
        <w:ind w:left="4248" w:firstLine="708"/>
        <w:jc w:val="center"/>
        <w:rPr>
          <w:b/>
          <w:sz w:val="22"/>
          <w:szCs w:val="22"/>
        </w:rPr>
      </w:pPr>
    </w:p>
    <w:p w:rsidR="007B3647" w:rsidRDefault="007B3647" w:rsidP="007B3647">
      <w:pPr>
        <w:ind w:left="4956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        MINISTAR</w:t>
      </w:r>
    </w:p>
    <w:p w:rsidR="007B3647" w:rsidRDefault="007B3647" w:rsidP="007B3647">
      <w:pPr>
        <w:ind w:left="5664"/>
        <w:rPr>
          <w:b/>
          <w:sz w:val="22"/>
          <w:szCs w:val="22"/>
        </w:rPr>
      </w:pPr>
    </w:p>
    <w:p w:rsidR="007B3647" w:rsidRDefault="007B3647" w:rsidP="007B3647">
      <w:pPr>
        <w:ind w:left="5664"/>
        <w:rPr>
          <w:b/>
          <w:sz w:val="22"/>
          <w:szCs w:val="22"/>
        </w:rPr>
      </w:pPr>
    </w:p>
    <w:p w:rsidR="007B3647" w:rsidRDefault="007B3647" w:rsidP="007B3647">
      <w:pPr>
        <w:ind w:left="4248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prof. dr. sc. Pavo Barišić</w:t>
      </w:r>
    </w:p>
    <w:p w:rsidR="007B3647" w:rsidRDefault="007B3647" w:rsidP="007B3647">
      <w:pPr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7B3647" w:rsidRDefault="007B3647" w:rsidP="007B3647">
      <w:pPr>
        <w:jc w:val="both"/>
        <w:rPr>
          <w:rFonts w:cs="Arial"/>
          <w:sz w:val="22"/>
        </w:rPr>
      </w:pPr>
    </w:p>
    <w:p w:rsidR="004144BC" w:rsidRDefault="004144BC"/>
    <w:sectPr w:rsidR="0041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2A86"/>
    <w:multiLevelType w:val="hybridMultilevel"/>
    <w:tmpl w:val="A886B1E6"/>
    <w:lvl w:ilvl="0" w:tplc="269EC42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4146CA"/>
    <w:multiLevelType w:val="hybridMultilevel"/>
    <w:tmpl w:val="C8CCCEBE"/>
    <w:lvl w:ilvl="0" w:tplc="F7D2E1B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5EE7AD3"/>
    <w:multiLevelType w:val="hybridMultilevel"/>
    <w:tmpl w:val="64F6B562"/>
    <w:lvl w:ilvl="0" w:tplc="359E6B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B41DA"/>
    <w:multiLevelType w:val="hybridMultilevel"/>
    <w:tmpl w:val="227EA334"/>
    <w:lvl w:ilvl="0" w:tplc="359E6B8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7A"/>
    <w:rsid w:val="004144BC"/>
    <w:rsid w:val="007B3647"/>
    <w:rsid w:val="00CA7F1D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F8D61-FD7B-47F9-8AF3-1F93FDE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1D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7F1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F1D"/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CA7F1D"/>
    <w:rPr>
      <w:rFonts w:ascii="Times New Roman" w:eastAsiaTheme="majorEastAsia" w:hAnsi="Times New Roman" w:cstheme="majorBidi"/>
      <w:sz w:val="24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2017-05-05T06:33:00Z</dcterms:created>
  <dcterms:modified xsi:type="dcterms:W3CDTF">2017-05-05T06:39:00Z</dcterms:modified>
</cp:coreProperties>
</file>