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65138C" w14:textId="77777777" w:rsidR="0094717F" w:rsidRPr="004E6D4B" w:rsidRDefault="0094717F" w:rsidP="004E6D4B">
      <w:pPr>
        <w:pStyle w:val="Title"/>
        <w:spacing w:line="240" w:lineRule="auto"/>
        <w:jc w:val="left"/>
        <w:rPr>
          <w:rFonts w:asciiTheme="majorHAnsi" w:hAnsiTheme="majorHAnsi"/>
          <w:b w:val="0"/>
          <w:sz w:val="56"/>
        </w:rPr>
      </w:pPr>
      <w:r w:rsidRPr="004E6D4B">
        <w:rPr>
          <w:rFonts w:asciiTheme="majorHAnsi" w:hAnsiTheme="majorHAnsi"/>
          <w:b w:val="0"/>
          <w:sz w:val="56"/>
        </w:rPr>
        <w:t xml:space="preserve">Nacrt ključnih elemenata ESF </w:t>
      </w:r>
      <w:r w:rsidR="003F3712" w:rsidRPr="004E6D4B">
        <w:rPr>
          <w:rFonts w:asciiTheme="majorHAnsi" w:hAnsiTheme="majorHAnsi"/>
          <w:b w:val="0"/>
          <w:sz w:val="56"/>
        </w:rPr>
        <w:t>Otvorenog trajnog p</w:t>
      </w:r>
      <w:r w:rsidRPr="004E6D4B">
        <w:rPr>
          <w:rFonts w:asciiTheme="majorHAnsi" w:hAnsiTheme="majorHAnsi"/>
          <w:b w:val="0"/>
          <w:sz w:val="56"/>
        </w:rPr>
        <w:t>oziva na dostavu projektnih prijedloga</w:t>
      </w:r>
    </w:p>
    <w:p w14:paraId="0BABB675" w14:textId="77777777" w:rsidR="0094717F" w:rsidRPr="004E6D4B" w:rsidRDefault="0094717F" w:rsidP="004E6D4B">
      <w:pPr>
        <w:pStyle w:val="Title"/>
        <w:spacing w:line="240" w:lineRule="auto"/>
        <w:jc w:val="left"/>
        <w:rPr>
          <w:rFonts w:asciiTheme="majorHAnsi" w:hAnsiTheme="majorHAnsi"/>
          <w:b w:val="0"/>
          <w:sz w:val="56"/>
        </w:rPr>
      </w:pPr>
      <w:r w:rsidRPr="004E6D4B">
        <w:rPr>
          <w:rFonts w:asciiTheme="majorHAnsi" w:hAnsiTheme="majorHAnsi"/>
          <w:b w:val="0"/>
          <w:sz w:val="56"/>
        </w:rPr>
        <w:t>„</w:t>
      </w:r>
      <w:r w:rsidR="00E10DD2" w:rsidRPr="004E6D4B">
        <w:rPr>
          <w:rFonts w:asciiTheme="majorHAnsi" w:hAnsiTheme="majorHAnsi"/>
          <w:b w:val="0"/>
          <w:sz w:val="56"/>
        </w:rPr>
        <w:t>Podrška socijalnom uključivanju i zapošljavanju marginaliziranih skupina</w:t>
      </w:r>
      <w:r w:rsidRPr="004E6D4B">
        <w:rPr>
          <w:rFonts w:asciiTheme="majorHAnsi" w:hAnsiTheme="majorHAnsi"/>
          <w:b w:val="0"/>
          <w:sz w:val="56"/>
        </w:rPr>
        <w:t>“</w:t>
      </w:r>
    </w:p>
    <w:p w14:paraId="55835CC0" w14:textId="77777777" w:rsidR="0094717F" w:rsidRPr="005A52C0" w:rsidRDefault="0094717F" w:rsidP="00AF23D6">
      <w:pPr>
        <w:jc w:val="both"/>
        <w:rPr>
          <w:b/>
          <w:sz w:val="24"/>
        </w:rPr>
      </w:pPr>
    </w:p>
    <w:p w14:paraId="2B8A1F12" w14:textId="77777777" w:rsidR="0094717F" w:rsidRPr="004E6D4B" w:rsidRDefault="0094717F" w:rsidP="00143293">
      <w:pPr>
        <w:pStyle w:val="Heading1"/>
        <w:numPr>
          <w:ilvl w:val="0"/>
          <w:numId w:val="40"/>
        </w:numPr>
        <w:rPr>
          <w:b w:val="0"/>
          <w:sz w:val="32"/>
        </w:rPr>
      </w:pPr>
      <w:r w:rsidRPr="004E6D4B">
        <w:rPr>
          <w:b w:val="0"/>
          <w:sz w:val="32"/>
        </w:rPr>
        <w:t>UVOD</w:t>
      </w:r>
    </w:p>
    <w:p w14:paraId="6CD6CFE6" w14:textId="77777777" w:rsidR="00E10DD2" w:rsidRPr="003C6641" w:rsidRDefault="00E10DD2" w:rsidP="00AF23D6">
      <w:pPr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>Okvir za korištenje instrumenata kohezijske politike Europske unije (EU) u Republici Hrvatskoj u razdoblju 2014. - 2020. reguliran je Sporazumom o partnerstvu između Republike Hrvatske i Europske Komisije za korištenje strukturnih i investicijskih fondova EU-a za rast i radna mjesta u razdoblju 2014. - 2020. (u daljnjem tekstu: Sporazum o partnerstvu). Sporazum o partnerstvu opisuje način na koji će Republika Hrvatska pristupiti ispunjavanju zajedničkih ciljeva strategije Europa 2020, kao i nacionalnih ciljeva, uz pomoć sredstava iz proračuna EU koja su joj dodijeljena kroz višegodišnji financijski okvir za razdoblje 2014.-2020. godine.</w:t>
      </w:r>
    </w:p>
    <w:p w14:paraId="07F2AD02" w14:textId="77777777" w:rsidR="00E10DD2" w:rsidRPr="003C6641" w:rsidRDefault="00E10DD2" w:rsidP="00AF23D6">
      <w:pPr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>Operativni program Učinkoviti ljudski potencijali 2014.-2020. (OP  ULJP) je plansko programski dokument u kojem se detaljno opisuju i razrađuju mjere i aktivnosti za učinkovitu provedbu i korištenje Europskog socijalnog fonda, jednog od glavnih instrumenta Europske unije  usmjerenog na pružanje potpora za ulaganje u ljudski kapital i jačanje konkurentnosti europskog gospodarstva, a koji je usvojen Provedbenom odlukom Europske komisije od 17. prosinca 2014. godine C(2014)10150).</w:t>
      </w:r>
    </w:p>
    <w:p w14:paraId="03E3E259" w14:textId="77777777" w:rsidR="00E10DD2" w:rsidRPr="003C6641" w:rsidRDefault="00E10DD2" w:rsidP="00AF23D6">
      <w:pPr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 xml:space="preserve">Osnovni cilj Operativnog programa Učinkoviti ljudski potencijali je pridonijeti rastu zapošljavanja i jačanju socijalne kohezije u Hrvatskoj. Operativnim su programom razrađena ulaganja u četiri temeljna područja: zapošljavanje i tržište rada, socijalno uključivanje, obrazovanje i cjeloživotno učenje te potpora javnoj upravi. </w:t>
      </w:r>
    </w:p>
    <w:p w14:paraId="586F21C9" w14:textId="77777777" w:rsidR="00E10DD2" w:rsidRPr="003C6641" w:rsidRDefault="00E10DD2" w:rsidP="00AF23D6">
      <w:pPr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>Aktivnosti financirane iz sredstava Europskog socijalnog fonda pomažu ljudima da unaprijede svoje vještine i lakše se integriraju na tržište rada, usmjerene su na borbu protiv siromaštva i socijalne isključenosti te na poboljšanje učinkovitosti javne uprave.</w:t>
      </w:r>
    </w:p>
    <w:p w14:paraId="3A6FF15D" w14:textId="77777777" w:rsidR="00AE7D38" w:rsidRPr="005A52C0" w:rsidRDefault="00E10DD2" w:rsidP="00AF23D6">
      <w:pPr>
        <w:jc w:val="both"/>
        <w:rPr>
          <w:sz w:val="24"/>
        </w:rPr>
      </w:pPr>
      <w:r w:rsidRPr="003C6641">
        <w:rPr>
          <w:rFonts w:cstheme="minorHAnsi"/>
          <w:sz w:val="24"/>
          <w:szCs w:val="24"/>
        </w:rPr>
        <w:t xml:space="preserve">Ovaj Poziv provodi se u okviru OP ULJP, Prioritetne osi 2: Socijalno uključivanje, Specifičnog cilja 9.i.1.: Borba protiv siromaštva i socijalne isključenosti kroz promociju integracije na tržište rada i socijalne integracije ranjivih skupina, i borba protiv svih oblika diskriminacije.  </w:t>
      </w:r>
    </w:p>
    <w:p w14:paraId="738B525A" w14:textId="77777777" w:rsidR="00AE7D38" w:rsidRPr="005A52C0" w:rsidRDefault="00AE7D38" w:rsidP="00AF23D6">
      <w:pPr>
        <w:jc w:val="both"/>
        <w:rPr>
          <w:b/>
          <w:color w:val="2E74B5" w:themeColor="accent1" w:themeShade="BF"/>
          <w:sz w:val="24"/>
        </w:rPr>
      </w:pPr>
      <w:bookmarkStart w:id="0" w:name="_Toc469046329"/>
      <w:r w:rsidRPr="005A52C0">
        <w:rPr>
          <w:b/>
          <w:sz w:val="24"/>
        </w:rPr>
        <w:br w:type="page"/>
      </w:r>
    </w:p>
    <w:bookmarkEnd w:id="0"/>
    <w:p w14:paraId="42E3312B" w14:textId="77777777" w:rsidR="00AE7D38" w:rsidRPr="00143293" w:rsidRDefault="0026748D" w:rsidP="00143293">
      <w:pPr>
        <w:pStyle w:val="Heading1"/>
        <w:numPr>
          <w:ilvl w:val="0"/>
          <w:numId w:val="40"/>
        </w:numPr>
      </w:pPr>
      <w:r w:rsidRPr="004E6D4B">
        <w:rPr>
          <w:b w:val="0"/>
          <w:sz w:val="32"/>
        </w:rPr>
        <w:lastRenderedPageBreak/>
        <w:t>POJMOVI I</w:t>
      </w:r>
      <w:r w:rsidRPr="00143293">
        <w:t xml:space="preserve"> </w:t>
      </w:r>
      <w:r w:rsidRPr="004E6D4B">
        <w:rPr>
          <w:b w:val="0"/>
          <w:sz w:val="32"/>
        </w:rPr>
        <w:t>KRATICE</w:t>
      </w:r>
      <w:r w:rsidRPr="00143293">
        <w:t xml:space="preserve"> </w:t>
      </w:r>
    </w:p>
    <w:p w14:paraId="20E21CCF" w14:textId="77777777" w:rsidR="00D12AB2" w:rsidRPr="003C6641" w:rsidRDefault="00D12AB2" w:rsidP="00AF23D6">
      <w:pPr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b/>
          <w:sz w:val="24"/>
          <w:szCs w:val="24"/>
        </w:rPr>
        <w:t>Operativni program  „Učinkoviti ljudski  potencijali“ 2014.-2020. (OP ULJP 2014.-2020.)</w:t>
      </w:r>
      <w:r w:rsidRPr="003C6641">
        <w:rPr>
          <w:rFonts w:cstheme="minorHAnsi"/>
          <w:sz w:val="24"/>
          <w:szCs w:val="24"/>
        </w:rPr>
        <w:t xml:space="preserve"> - Operativni program za financijsko razdoblje 2014.-2020. odobren Odlukom Europske komisije od 17. prosinca 2014. godine.</w:t>
      </w:r>
    </w:p>
    <w:p w14:paraId="1D77F10A" w14:textId="77777777" w:rsidR="00D12AB2" w:rsidRPr="003C6641" w:rsidRDefault="00D12AB2" w:rsidP="00AF23D6">
      <w:pPr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b/>
          <w:sz w:val="24"/>
          <w:szCs w:val="24"/>
        </w:rPr>
        <w:t>Projekt/Operacija</w:t>
      </w:r>
      <w:r w:rsidRPr="003C6641">
        <w:rPr>
          <w:rFonts w:cstheme="minorHAnsi"/>
          <w:sz w:val="24"/>
          <w:szCs w:val="24"/>
        </w:rPr>
        <w:t xml:space="preserve"> - projekt za financiranje odabire Upravljačko tijelo, ili se odabire pod njegovom nadležnošću, a u skladu s kriterijima koje je utvrdio Odbor za praćenje (OzP), a provodi ga Korisnik. Provedbom projekata omogućuje se ostvarenje ciljeva pripadajuće prioritetne osi.  Za potrebe ovih Uputa za prijavitelje, izraz „projekt“ ima isti smisao kao „operacija“.</w:t>
      </w:r>
    </w:p>
    <w:p w14:paraId="1D66DD2F" w14:textId="77777777" w:rsidR="00D12AB2" w:rsidRPr="003C6641" w:rsidRDefault="00D12AB2" w:rsidP="00AF23D6">
      <w:pPr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b/>
          <w:sz w:val="24"/>
          <w:szCs w:val="24"/>
        </w:rPr>
        <w:t>Upravljačko tijelo (UT)</w:t>
      </w:r>
      <w:r w:rsidRPr="003C6641">
        <w:rPr>
          <w:rFonts w:cstheme="minorHAnsi"/>
          <w:sz w:val="24"/>
          <w:szCs w:val="24"/>
        </w:rPr>
        <w:t xml:space="preserve"> - središnje tijelo državne uprave nadležno za poslove rada i mirovinskoga sustava.  </w:t>
      </w:r>
    </w:p>
    <w:p w14:paraId="0E4011AB" w14:textId="77777777" w:rsidR="002127E9" w:rsidRPr="002127E9" w:rsidRDefault="00307D84" w:rsidP="002127E9">
      <w:pPr>
        <w:pStyle w:val="ESFBodysivo"/>
        <w:spacing w:after="0" w:line="240" w:lineRule="auto"/>
        <w:rPr>
          <w:rFonts w:cstheme="minorHAnsi"/>
          <w:szCs w:val="24"/>
        </w:rPr>
      </w:pPr>
      <w:r w:rsidRPr="003C6641">
        <w:rPr>
          <w:rFonts w:cstheme="minorHAnsi"/>
          <w:b/>
          <w:szCs w:val="24"/>
        </w:rPr>
        <w:t>Posredničko tijelo (PT)</w:t>
      </w:r>
      <w:r w:rsidRPr="003C6641">
        <w:rPr>
          <w:rFonts w:cstheme="minorHAnsi"/>
          <w:szCs w:val="24"/>
        </w:rPr>
        <w:t xml:space="preserve"> - nacionalno ili javno tijelo kojemu je Upravljačko tijelo delegiralo određene funkcije u provedbi Operativnog programa. </w:t>
      </w:r>
      <w:r w:rsidR="002127E9" w:rsidRPr="002127E9">
        <w:rPr>
          <w:rFonts w:cstheme="minorHAnsi"/>
          <w:szCs w:val="24"/>
        </w:rPr>
        <w:t>Posredničko tijelo razine 1 za Poziv na dostavu projektnih prijedloga „</w:t>
      </w:r>
      <w:r w:rsidR="002127E9">
        <w:rPr>
          <w:rFonts w:cstheme="minorHAnsi"/>
          <w:szCs w:val="24"/>
        </w:rPr>
        <w:t>Podrška socijalnom uključivanju i zapošljavanju marginaliziranih skupina</w:t>
      </w:r>
      <w:r w:rsidR="002127E9" w:rsidRPr="002127E9">
        <w:rPr>
          <w:rFonts w:cstheme="minorHAnsi"/>
          <w:szCs w:val="24"/>
        </w:rPr>
        <w:t xml:space="preserve">“ je  </w:t>
      </w:r>
      <w:r w:rsidR="002127E9" w:rsidRPr="002127E9">
        <w:t xml:space="preserve">Ministarstvo za demografiju, obitelj, mlade i socijalnu politiku, a  Posredničko tijelo razine 2 je </w:t>
      </w:r>
      <w:r w:rsidR="002127E9">
        <w:t xml:space="preserve">Hrvatski zavod za zapošljavanje (HZZ). </w:t>
      </w:r>
    </w:p>
    <w:p w14:paraId="4AF28C6F" w14:textId="77777777" w:rsidR="00307D84" w:rsidRPr="003C6641" w:rsidRDefault="00307D84" w:rsidP="00AF23D6">
      <w:pPr>
        <w:pStyle w:val="ESFBodysivo"/>
        <w:spacing w:after="120" w:line="240" w:lineRule="auto"/>
        <w:rPr>
          <w:rFonts w:cstheme="minorHAnsi"/>
          <w:szCs w:val="24"/>
        </w:rPr>
      </w:pPr>
    </w:p>
    <w:p w14:paraId="56026AD2" w14:textId="77777777" w:rsidR="00307D84" w:rsidRPr="003C6641" w:rsidRDefault="00307D84" w:rsidP="00AF23D6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b/>
          <w:sz w:val="24"/>
          <w:szCs w:val="24"/>
        </w:rPr>
        <w:t>Poziv na dostavu projektnih prijedloga (PDP)</w:t>
      </w:r>
      <w:r w:rsidRPr="003C6641">
        <w:rPr>
          <w:rFonts w:cstheme="minorHAnsi"/>
          <w:sz w:val="24"/>
          <w:szCs w:val="24"/>
        </w:rPr>
        <w:t xml:space="preserve"> - natječajna procedura kojom se potencijalne prijavitelje poziva na pripremu i prijavu prijedloga projekata za financiranje sukladno unaprijed definiranim kriterijima</w:t>
      </w:r>
      <w:r w:rsidR="002127E9">
        <w:rPr>
          <w:rFonts w:cstheme="minorHAnsi"/>
          <w:sz w:val="24"/>
          <w:szCs w:val="24"/>
        </w:rPr>
        <w:t xml:space="preserve"> i postupcima</w:t>
      </w:r>
      <w:r w:rsidRPr="003C6641">
        <w:rPr>
          <w:rFonts w:cstheme="minorHAnsi"/>
          <w:sz w:val="24"/>
          <w:szCs w:val="24"/>
        </w:rPr>
        <w:t>.</w:t>
      </w:r>
    </w:p>
    <w:p w14:paraId="35C8D4BA" w14:textId="77777777" w:rsidR="00307D84" w:rsidRPr="003C6641" w:rsidRDefault="00307D84" w:rsidP="00AF23D6">
      <w:pPr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b/>
          <w:sz w:val="24"/>
          <w:szCs w:val="24"/>
        </w:rPr>
        <w:t xml:space="preserve">Prijavitelj - </w:t>
      </w:r>
      <w:r w:rsidRPr="003C6641">
        <w:rPr>
          <w:rFonts w:cstheme="minorHAnsi"/>
          <w:sz w:val="24"/>
          <w:szCs w:val="24"/>
        </w:rPr>
        <w:t xml:space="preserve">svaka pravna osoba javnog ili privatnog prava, uključujući osobe privatnog prava registrirane za obavljanje gospodarske djelatnosti i subjekte malog gospodarstva (kako su definirani u Prilogu I. Uredbe 651/2014), koja je izravno odgovorna za pokretanje, upravljanje, provedbu i ostvarenje rezultata projekta, odgovoran za pripremu projektnog prijedloga i  njegovo podnošenje na Poziv na dostavu projektnih prijedloga, u cilju dobivanja sufinanciranja za provedbu projekta. </w:t>
      </w:r>
    </w:p>
    <w:p w14:paraId="7495C69F" w14:textId="77777777" w:rsidR="00130396" w:rsidRPr="003C6641" w:rsidRDefault="00130396" w:rsidP="00AF23D6">
      <w:pPr>
        <w:pStyle w:val="ESFBodysivo"/>
        <w:spacing w:after="120" w:line="240" w:lineRule="auto"/>
        <w:rPr>
          <w:rFonts w:cstheme="minorHAnsi"/>
          <w:szCs w:val="24"/>
        </w:rPr>
      </w:pPr>
      <w:r w:rsidRPr="003C6641">
        <w:rPr>
          <w:rFonts w:cstheme="minorHAnsi"/>
          <w:b/>
          <w:szCs w:val="24"/>
        </w:rPr>
        <w:t>Korisnik</w:t>
      </w:r>
      <w:r w:rsidRPr="003C6641">
        <w:rPr>
          <w:rFonts w:cstheme="minorHAnsi"/>
          <w:szCs w:val="24"/>
        </w:rPr>
        <w:t xml:space="preserve"> - uspješan prijavitelj s kojim se potpisuje Ugovor o dodjeli bespovratnih sredstava. Izravno je odgovoran za početak, upravljanje, provedbu i rezultate projekta. Pojam Korisnik, tamo gdje je primjenjivo označava Korisnika i njegove Partnere.</w:t>
      </w:r>
    </w:p>
    <w:p w14:paraId="30F1C6E9" w14:textId="77777777" w:rsidR="00130396" w:rsidRPr="003C6641" w:rsidRDefault="00130396" w:rsidP="00AF23D6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b/>
          <w:sz w:val="24"/>
          <w:szCs w:val="24"/>
        </w:rPr>
        <w:lastRenderedPageBreak/>
        <w:t>Partner -</w:t>
      </w:r>
      <w:r w:rsidRPr="005A52C0">
        <w:rPr>
          <w:b/>
          <w:sz w:val="24"/>
        </w:rPr>
        <w:t xml:space="preserve"> </w:t>
      </w:r>
      <w:r w:rsidRPr="003C6641">
        <w:rPr>
          <w:rFonts w:cstheme="minorHAnsi"/>
          <w:sz w:val="24"/>
          <w:szCs w:val="24"/>
        </w:rPr>
        <w:t>svaka pravna osoba javnog ili privatnog prava, uključujući osobe privatnog prava registrirane za obavljanje gospodarske djelatnosti i subjekte malog gospodarstva (kako su definirani u Prilogu I. Uredbe 651/2014) koja koristi dio projektnih sredstava i sudjeluje u provedbi projekta provodeći povjerene mu projektne aktivnosti</w:t>
      </w:r>
      <w:r w:rsidR="002127E9">
        <w:rPr>
          <w:rFonts w:cstheme="minorHAnsi"/>
          <w:sz w:val="24"/>
          <w:szCs w:val="24"/>
        </w:rPr>
        <w:t xml:space="preserve">. </w:t>
      </w:r>
      <w:r w:rsidRPr="003C6641">
        <w:rPr>
          <w:rFonts w:cstheme="minorHAnsi"/>
          <w:sz w:val="24"/>
          <w:szCs w:val="24"/>
        </w:rPr>
        <w:t xml:space="preserve"> </w:t>
      </w:r>
    </w:p>
    <w:p w14:paraId="4668A9F1" w14:textId="77777777" w:rsidR="002127E9" w:rsidRDefault="002127E9" w:rsidP="00AF23D6">
      <w:pPr>
        <w:pStyle w:val="ESFBodysivo"/>
        <w:spacing w:after="0" w:line="240" w:lineRule="auto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Ciljna skupina </w:t>
      </w:r>
      <w:r w:rsidRPr="005A52C0">
        <w:rPr>
          <w:rFonts w:cstheme="minorHAnsi"/>
          <w:szCs w:val="24"/>
        </w:rPr>
        <w:t>– Skupina na koju projektne aktivnosti izravno utječu; izravni korisnici projektnih aktivnosti</w:t>
      </w:r>
      <w:r>
        <w:rPr>
          <w:rFonts w:cstheme="minorHAnsi"/>
          <w:b/>
          <w:szCs w:val="24"/>
        </w:rPr>
        <w:t xml:space="preserve"> </w:t>
      </w:r>
    </w:p>
    <w:p w14:paraId="384C5F76" w14:textId="77777777" w:rsidR="002127E9" w:rsidRDefault="002127E9" w:rsidP="00AF23D6">
      <w:pPr>
        <w:pStyle w:val="ESFBodysivo"/>
        <w:spacing w:after="0" w:line="240" w:lineRule="auto"/>
        <w:rPr>
          <w:rFonts w:cstheme="minorHAnsi"/>
          <w:b/>
          <w:szCs w:val="24"/>
        </w:rPr>
      </w:pPr>
    </w:p>
    <w:p w14:paraId="64F714B2" w14:textId="77777777" w:rsidR="00896BD8" w:rsidRPr="003C6641" w:rsidRDefault="00896BD8" w:rsidP="00AF23D6">
      <w:pPr>
        <w:pStyle w:val="ESFBodysivo"/>
        <w:spacing w:after="0" w:line="240" w:lineRule="auto"/>
        <w:rPr>
          <w:rFonts w:cstheme="minorHAnsi"/>
          <w:szCs w:val="24"/>
        </w:rPr>
      </w:pPr>
      <w:r w:rsidRPr="003C6641">
        <w:rPr>
          <w:rFonts w:cstheme="minorHAnsi"/>
          <w:b/>
          <w:szCs w:val="24"/>
        </w:rPr>
        <w:t xml:space="preserve">Sudionik - </w:t>
      </w:r>
      <w:r w:rsidRPr="003C6641">
        <w:rPr>
          <w:rFonts w:cstheme="minorHAnsi"/>
          <w:szCs w:val="24"/>
        </w:rPr>
        <w:t>sudionik je osoba koja sudjeluje i ima izravnu korist od ESF aktivnosti te za kojeg nastaje izdatak, a može se identificirati na način da se od njega traže osobni podaci.</w:t>
      </w:r>
    </w:p>
    <w:p w14:paraId="75E1E0E7" w14:textId="77777777" w:rsidR="00896BD8" w:rsidRPr="003C6641" w:rsidRDefault="00896BD8" w:rsidP="00AF23D6">
      <w:pPr>
        <w:pStyle w:val="ESFBodysivo"/>
        <w:spacing w:after="0" w:line="240" w:lineRule="auto"/>
        <w:rPr>
          <w:rFonts w:cstheme="minorHAnsi"/>
          <w:b/>
          <w:szCs w:val="24"/>
        </w:rPr>
      </w:pPr>
    </w:p>
    <w:p w14:paraId="757E01DD" w14:textId="77777777" w:rsidR="00130396" w:rsidRPr="003C6641" w:rsidRDefault="00130396" w:rsidP="00AF23D6">
      <w:pPr>
        <w:pStyle w:val="ESFBodysivo"/>
        <w:spacing w:after="120" w:line="240" w:lineRule="auto"/>
        <w:rPr>
          <w:rFonts w:cstheme="minorHAnsi"/>
          <w:szCs w:val="24"/>
        </w:rPr>
      </w:pPr>
      <w:r w:rsidRPr="003C6641">
        <w:rPr>
          <w:rFonts w:cstheme="minorHAnsi"/>
          <w:b/>
          <w:szCs w:val="24"/>
        </w:rPr>
        <w:t>Odbor za odabir projekata (OOP)</w:t>
      </w:r>
      <w:r w:rsidRPr="003C6641">
        <w:rPr>
          <w:rFonts w:cstheme="minorHAnsi"/>
          <w:szCs w:val="24"/>
        </w:rPr>
        <w:t xml:space="preserve"> - odbor kojeg imenuje nadležno tijelo, a u svrhu provođenja faze procjene kvalitete odnosno odabira operacije/projekta.</w:t>
      </w:r>
    </w:p>
    <w:p w14:paraId="7E1A768A" w14:textId="77777777" w:rsidR="00130396" w:rsidRPr="003C6641" w:rsidRDefault="00130396" w:rsidP="00AF23D6">
      <w:pPr>
        <w:pStyle w:val="ESFBodysivo"/>
        <w:spacing w:after="120" w:line="240" w:lineRule="auto"/>
        <w:rPr>
          <w:rFonts w:cstheme="minorHAnsi"/>
          <w:szCs w:val="24"/>
        </w:rPr>
      </w:pPr>
      <w:r w:rsidRPr="003C6641">
        <w:rPr>
          <w:rFonts w:cstheme="minorHAnsi"/>
          <w:b/>
          <w:szCs w:val="24"/>
        </w:rPr>
        <w:t>Odluka o financiranju</w:t>
      </w:r>
      <w:r w:rsidRPr="003C6641">
        <w:rPr>
          <w:rFonts w:cstheme="minorHAnsi"/>
          <w:szCs w:val="24"/>
        </w:rPr>
        <w:t xml:space="preserve"> - Odluka Posredničkog tijela razine 1 kojom se definira obveza nadoknade prihvatljivih troškova odobrenog projekta iz državnog proračuna i koja je temelj za potpisivanje Ugovora o dodjeli bespovratnih sredstava.</w:t>
      </w:r>
    </w:p>
    <w:p w14:paraId="584284B1" w14:textId="77777777" w:rsidR="00130396" w:rsidRPr="003C6641" w:rsidRDefault="00130396" w:rsidP="00AF23D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b/>
          <w:sz w:val="24"/>
          <w:szCs w:val="24"/>
        </w:rPr>
        <w:t>Ugovor o dodjeli bespovratnih sredstava</w:t>
      </w:r>
      <w:r w:rsidRPr="003C6641">
        <w:rPr>
          <w:rFonts w:cstheme="minorHAnsi"/>
          <w:sz w:val="24"/>
          <w:szCs w:val="24"/>
        </w:rPr>
        <w:t xml:space="preserve"> - Ugovor sklopljen između Korisnika, Posredničkog tijela razine 1 i Posredničkog tijela razine 2 kojim se utvrđuje maksimalni iznos sredstava koji je dodijeljen projektu iz EU izvora i nacionalnog proračuna te drug</w:t>
      </w:r>
      <w:r w:rsidR="002127E9">
        <w:rPr>
          <w:rFonts w:cstheme="minorHAnsi"/>
          <w:sz w:val="24"/>
          <w:szCs w:val="24"/>
        </w:rPr>
        <w:t>i</w:t>
      </w:r>
      <w:r w:rsidRPr="003C6641">
        <w:rPr>
          <w:rFonts w:cstheme="minorHAnsi"/>
          <w:sz w:val="24"/>
          <w:szCs w:val="24"/>
        </w:rPr>
        <w:t xml:space="preserve"> financijsk</w:t>
      </w:r>
      <w:r w:rsidR="002127E9">
        <w:rPr>
          <w:rFonts w:cstheme="minorHAnsi"/>
          <w:sz w:val="24"/>
          <w:szCs w:val="24"/>
        </w:rPr>
        <w:t>i</w:t>
      </w:r>
      <w:r w:rsidRPr="003C6641">
        <w:rPr>
          <w:rFonts w:cstheme="minorHAnsi"/>
          <w:sz w:val="24"/>
          <w:szCs w:val="24"/>
        </w:rPr>
        <w:t xml:space="preserve"> i provedben</w:t>
      </w:r>
      <w:r w:rsidR="002127E9">
        <w:rPr>
          <w:rFonts w:cstheme="minorHAnsi"/>
          <w:sz w:val="24"/>
          <w:szCs w:val="24"/>
        </w:rPr>
        <w:t>i</w:t>
      </w:r>
      <w:r w:rsidRPr="003C6641">
        <w:rPr>
          <w:rFonts w:cstheme="minorHAnsi"/>
          <w:sz w:val="24"/>
          <w:szCs w:val="24"/>
        </w:rPr>
        <w:t xml:space="preserve"> uvjet</w:t>
      </w:r>
      <w:r w:rsidR="002127E9">
        <w:rPr>
          <w:rFonts w:cstheme="minorHAnsi"/>
          <w:sz w:val="24"/>
          <w:szCs w:val="24"/>
        </w:rPr>
        <w:t>i</w:t>
      </w:r>
      <w:r w:rsidRPr="003C6641">
        <w:rPr>
          <w:rFonts w:cstheme="minorHAnsi"/>
          <w:sz w:val="24"/>
          <w:szCs w:val="24"/>
        </w:rPr>
        <w:t xml:space="preserve">.  </w:t>
      </w:r>
    </w:p>
    <w:p w14:paraId="0AE95E2F" w14:textId="77777777" w:rsidR="00130396" w:rsidRPr="005A52C0" w:rsidRDefault="00130396" w:rsidP="00AF23D6">
      <w:pPr>
        <w:spacing w:after="0" w:line="240" w:lineRule="auto"/>
        <w:jc w:val="both"/>
        <w:rPr>
          <w:sz w:val="24"/>
        </w:rPr>
      </w:pPr>
    </w:p>
    <w:p w14:paraId="35CEE96C" w14:textId="77777777" w:rsidR="00165A41" w:rsidRPr="004E6D4B" w:rsidRDefault="00AE5CCA" w:rsidP="00143293">
      <w:pPr>
        <w:pStyle w:val="Heading1"/>
        <w:numPr>
          <w:ilvl w:val="0"/>
          <w:numId w:val="40"/>
        </w:numPr>
        <w:rPr>
          <w:b w:val="0"/>
          <w:sz w:val="32"/>
        </w:rPr>
      </w:pPr>
      <w:r w:rsidRPr="004E6D4B">
        <w:rPr>
          <w:b w:val="0"/>
          <w:sz w:val="32"/>
        </w:rPr>
        <w:t>PREDMET POZIVA I OPĆE INFORMACIJE</w:t>
      </w:r>
    </w:p>
    <w:p w14:paraId="5DDD9E7D" w14:textId="77777777" w:rsidR="00AF23D6" w:rsidRPr="003C6641" w:rsidRDefault="00E10DD2" w:rsidP="00AF23D6">
      <w:pPr>
        <w:pStyle w:val="FootnoteText"/>
        <w:spacing w:after="120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>Nakon šest godina pada, hrvatsko gospodarstvo je u 2015. godini pokazalo određene znakove oporavka. Ostvaren je rast bruto domaćeg proizvoda na godišnjoj razini od 1,6 %, dok je tromjesečni bruto domaći proizvod za treći kvartal 2016. bio za 2,9 % veći od vrijednosti evidentiranih u trećem kvartalu 2015. (internetske stranice Državnog zavoda za statistiku, 2017.).</w:t>
      </w:r>
      <w:r w:rsidR="00AF23D6" w:rsidRPr="003C6641">
        <w:rPr>
          <w:rFonts w:cstheme="minorHAnsi"/>
          <w:sz w:val="24"/>
          <w:szCs w:val="24"/>
        </w:rPr>
        <w:t xml:space="preserve"> </w:t>
      </w:r>
      <w:r w:rsidRPr="003C6641">
        <w:rPr>
          <w:rFonts w:cstheme="minorHAnsi"/>
          <w:sz w:val="24"/>
          <w:szCs w:val="24"/>
        </w:rPr>
        <w:t>Također su ostvarene pozitivne promjene na tržištu rada, tj. došlo je do blagog povećanja zaposlenosti, značajnijeg smanjenja nezaposlenosti te slijedom toga i do smanjenja stope nezaposlenosti. Prema podacima Hrvatskog zavoda za zapošljavanje, prosječna  godišnja stopa registrirane nezaposlenosti u 2015. godini smanjila se za 2,2 postotna boda, tj. od 19,6 % u 2014. na 17,4 % u 2015. godini, dok je stopa registrirane nezaposlenosti u studenom 2016. iznosila 14,4 % uz ukupan broj evidentiranih</w:t>
      </w:r>
      <w:r w:rsidR="00AF23D6" w:rsidRPr="003C6641">
        <w:rPr>
          <w:rFonts w:cstheme="minorHAnsi"/>
          <w:sz w:val="24"/>
          <w:szCs w:val="24"/>
        </w:rPr>
        <w:t xml:space="preserve"> nezaposlenih osoba od 236.617.</w:t>
      </w:r>
      <w:r w:rsidRPr="003C6641">
        <w:rPr>
          <w:rFonts w:cstheme="minorHAnsi"/>
          <w:sz w:val="24"/>
          <w:szCs w:val="24"/>
        </w:rPr>
        <w:t xml:space="preserve"> Stopa anketne nezaposlenosti (prema rezultatima Ankete o radnoj snazi koja je usklađena s </w:t>
      </w:r>
      <w:r w:rsidRPr="003C6641">
        <w:rPr>
          <w:rFonts w:cstheme="minorHAnsi"/>
          <w:sz w:val="24"/>
          <w:szCs w:val="24"/>
        </w:rPr>
        <w:lastRenderedPageBreak/>
        <w:t>metodologijom Eurostata i usporediva sa zemljama Europske unije), u trećem tromjesečju 2016. godine iznosila je 10,9 % te je manja za 5,4 postotna boda u odnosu na prosječnu stopu anketne nezaposlenosti u 2015. godini (podatci preuzeti iz mjesečnog biltena Hrvatskog zavoda za zapošljavanje, br. 12, godina XXIX/2016). Unatoč smanjenju nezaposlenosti, Hrvatska je prema vrijednostima evidentiranima u prosincu 2016. bila na petom mjestu u EU po visini prosječne stope nezaposlenosti (stopa nezaposlenosti EU-27 za prosinac 2016. iznosila je 8,2  %, dok je Hrvatska u istom razdoblju prema podatcima Eurostata bilježila 11,4 %).</w:t>
      </w:r>
    </w:p>
    <w:p w14:paraId="1A15FB7A" w14:textId="77777777" w:rsidR="00E10DD2" w:rsidRPr="003C6641" w:rsidRDefault="00E10DD2" w:rsidP="00AF23D6">
      <w:pPr>
        <w:pStyle w:val="FootnoteText"/>
        <w:spacing w:after="120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>Stanje na tržištu rada, odnosno visoka nezaposlenost u još nepovoljniji položaj stavlja marginalizirane skupine, među kojima su osobe s invaliditetom, pripadnici romske nacionalne manjine, liječeni ovisnici o drogama, beskućnici, žrtve obiteljskog nasilja azilanti i migranti, te korisnici prava na zajamčenu minimalnu naknadu (u daljnjem tekst: ZMN) iz sustava socijalne skrbi jer u registar nezaposlenih kontinuirano ulazi i kvalificirana radna snaga</w:t>
      </w:r>
      <w:r w:rsidR="00AF23D6" w:rsidRPr="003C6641">
        <w:rPr>
          <w:rFonts w:cstheme="minorHAnsi"/>
          <w:sz w:val="24"/>
          <w:szCs w:val="24"/>
        </w:rPr>
        <w:t>,</w:t>
      </w:r>
      <w:r w:rsidRPr="003C6641">
        <w:rPr>
          <w:rFonts w:cstheme="minorHAnsi"/>
          <w:sz w:val="24"/>
          <w:szCs w:val="24"/>
        </w:rPr>
        <w:t xml:space="preserve"> kao i osobe s recentnim i relevantnim radnim iskustvom. Marginalizirane skupine stoga teško dolaze do zaposlenja što za sobom vuče i prijetnju dugotrajne nezaposlenosti, socijalne isključenosti i siromaštva. Navedene skupine suočavaju se s brojnim preprekama u traženju zaposlenja, odnosno pri ulasku na tržište rada, a neke od potencijalnih prepreka predstavljaju niska razina samopoštovanja, niska razina motivacije, nedostatak mekih socijalnih vještina (soft skills) i ključnih kompetencija za zapošljavanje, kao i niska razina obrazovanja i nedostatak radnog iskustva. Kako bi se doprinijelo povećanju zapošljivosti ovih skupina te umanjila opasnost od socijalne isključenosti, potrebno je poticati provedbu aktivnosti usmjerenih na aktivaciju i povećanje zapošljivosti pripadnika marginaliziranih skupina, kao što su uključivanje u programe osposobljavanja odraslih te programe za osnaživanje marginaliziranih skupina te poboljšanje socijalnih vještina i unapređenje zapošljivosti, kao i individualizirani pristup u radu s pripadnicima ciljnih skupina kroz usluge mentorstva. Kako bi osobe s invaliditetom, ali i ostale marginalizirane skupine, u što većoj mjeri stekle potrebna praktična znanja za obavljanje poslova iz zanimanja za koja su se obrazovale, važno je razvijati i podupirati programe njihovog osposobljavanja kojima će se pomaknuti težište s dosadašnjeg pasivnog oblika skrbi usmjerenog prvenstveno na zadovoljavanje osnovnih potreba korisnika prema aktivnoj podršci i osobno usmjerenom pristupu stavljajući pojedinca u ulogu aktivnog sudionika u vlastitom životu i životu zajednice.</w:t>
      </w:r>
    </w:p>
    <w:p w14:paraId="585D3788" w14:textId="77777777" w:rsidR="00E10DD2" w:rsidRPr="003C6641" w:rsidRDefault="00E10DD2" w:rsidP="00AF23D6">
      <w:pPr>
        <w:pStyle w:val="FootnoteText"/>
        <w:spacing w:after="120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 xml:space="preserve">Prema podacima Hrvatskog zavoda za zapošljavanje, zaključno s 31. prosinca 2016. godine, u evidenciji nezaposlenih evidentirano je 7.204 osobe s invaliditetom, od čega 4.098 muškaraca </w:t>
      </w:r>
      <w:r w:rsidRPr="003C6641">
        <w:rPr>
          <w:rFonts w:cstheme="minorHAnsi"/>
          <w:sz w:val="24"/>
          <w:szCs w:val="24"/>
        </w:rPr>
        <w:lastRenderedPageBreak/>
        <w:t xml:space="preserve">i 3.106 žena, no alarmantan je podatak da je njih čak 5.029, tj. 69 % nezaposleno dulje od godine dana, odnosno dugotrajno nezaposleno (izvor: Statistika HZZ-a). </w:t>
      </w:r>
    </w:p>
    <w:p w14:paraId="0B284FCD" w14:textId="77777777" w:rsidR="00E10DD2" w:rsidRPr="003C6641" w:rsidRDefault="00E10DD2" w:rsidP="00AF23D6">
      <w:pPr>
        <w:pStyle w:val="FootnoteText"/>
        <w:spacing w:after="120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 xml:space="preserve">Nadalje, dugotrajna nezaposlenost predstavlja problem koji posebice pogađa osjetljive skupine, zbog čega je potrebno provoditi aktivnosti usmjerene na aktivaciju i povećanje zapošljivosti navedenih skupina. Zaključno s 31. prosincem 2016. godine broj osoba u registru nezaposlenih s trajanjem nezaposlenosti duljim od 12 mjeseci iznosio je 126.973. </w:t>
      </w:r>
    </w:p>
    <w:p w14:paraId="248A1476" w14:textId="77777777" w:rsidR="00E10DD2" w:rsidRPr="003C6641" w:rsidRDefault="00E10DD2" w:rsidP="00AF23D6">
      <w:pPr>
        <w:pStyle w:val="FootnoteText"/>
        <w:spacing w:after="120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 xml:space="preserve">Na dan 31. prosinca 2016. u evidenciji Hrvatskoga zavoda za zapošljavanje registrirano je ukupno 397 liječenih ovisnika o drogama uključenih u Projekt resocijalizacije (320 muškaraca i 77 žena). Od tog broja, 64 liječenih ovisnika prijavilo se u evidenciju Zavoda u periodu od 1. siječnja do </w:t>
      </w:r>
      <w:r w:rsidR="00EE51F0" w:rsidRPr="003C6641">
        <w:rPr>
          <w:rFonts w:cstheme="minorHAnsi"/>
          <w:sz w:val="24"/>
          <w:szCs w:val="24"/>
        </w:rPr>
        <w:t>31. prosinca 2016. godine (novo</w:t>
      </w:r>
      <w:r w:rsidRPr="003C6641">
        <w:rPr>
          <w:rFonts w:cstheme="minorHAnsi"/>
          <w:sz w:val="24"/>
          <w:szCs w:val="24"/>
        </w:rPr>
        <w:t>prijavljeni u 2016.).</w:t>
      </w:r>
    </w:p>
    <w:p w14:paraId="603FB40E" w14:textId="77777777" w:rsidR="00E10DD2" w:rsidRPr="003C6641" w:rsidRDefault="00E10DD2" w:rsidP="00AF23D6">
      <w:pPr>
        <w:pStyle w:val="FootnoteText"/>
        <w:spacing w:after="120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 xml:space="preserve">Tijekom 2016. godine u aktivnosti informiranja / tribina u Hrvatskom zavodu za zapošljavanje uključeno je 358 osoba romske nacionalne manjine (od čega 139 žena); 4.516 osoba romske nacionalne manjine (od čega 2.019 žena) prošla je individualno savjetovanje, a održano je i 6 informiranja kojima je obuhvaćeno 16 osoba i 8 individualno savjetovanje o samozapošljavanju kojima je obuhvaćena 8 osoba romske nacionalne manjine od čega 4 žena. </w:t>
      </w:r>
    </w:p>
    <w:p w14:paraId="06EB57FA" w14:textId="77777777" w:rsidR="00E10DD2" w:rsidRPr="003C6641" w:rsidRDefault="00E10DD2" w:rsidP="00AF23D6">
      <w:pPr>
        <w:pStyle w:val="FootnoteText"/>
        <w:spacing w:after="120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 xml:space="preserve">Tijekom 2016. godine u svim područnim i regionalnim uredima Hrvatskoga zavoda za zapošljavanje evidentirano je ukupno 269 nezaposlene osobe koje su žrtve nasilja u obitelji. U razdoblju od 1. siječnja do 31. prosinca 2016. godine posredovanjem Hrvatskoga zavoda za zapošljavanje, zaposleno je 111 osoba - žrtava nasilja u obitelji, dok je u istom razdoblju 2015. godine zaposleno 108 osoba. </w:t>
      </w:r>
    </w:p>
    <w:p w14:paraId="0D9AD1F6" w14:textId="77777777" w:rsidR="00E10DD2" w:rsidRPr="003C6641" w:rsidRDefault="00E10DD2" w:rsidP="00AF23D6">
      <w:pPr>
        <w:pStyle w:val="FootnoteText"/>
        <w:spacing w:after="120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>Prema procjenama Hrvatske mreže za beskućnike trenutno je u Hrvatskoj više od 1000 beskućnica i beskućnika. Ukupni smještajni kapacitet prihvatilišta i prenoćišta u Hrvatskoj je do 420 korisni</w:t>
      </w:r>
      <w:r w:rsidR="00EE51F0" w:rsidRPr="003C6641">
        <w:rPr>
          <w:rFonts w:cstheme="minorHAnsi"/>
          <w:sz w:val="24"/>
          <w:szCs w:val="24"/>
        </w:rPr>
        <w:t>ka/c</w:t>
      </w:r>
      <w:r w:rsidRPr="003C6641">
        <w:rPr>
          <w:rFonts w:cstheme="minorHAnsi"/>
          <w:sz w:val="24"/>
          <w:szCs w:val="24"/>
        </w:rPr>
        <w:t>a (Izvor: www.beskucnici.info). Sukladno Smjernicama za razvoj i provedbu aktivne politike zapošljavanja u Republici Hrvatskoj za razdoblje od 2015. do 2017. beskućnici su definirani kao jedna od posebnih skupina za uključivanje u mjere aktivne politike u 2016. godini i prema podacima Hrvatskoga zavoda za zapošljavanje za 2016. godinu, u mjerama aktivne politike nije bilo uključenih beskućnika. Stoga se stavljanje naglaska na uključivanje ove skupine čini još opravdanijim</w:t>
      </w:r>
      <w:r w:rsidR="00AE26FA" w:rsidRPr="003C6641">
        <w:rPr>
          <w:rFonts w:cstheme="minorHAnsi"/>
          <w:sz w:val="24"/>
          <w:szCs w:val="24"/>
        </w:rPr>
        <w:t>.</w:t>
      </w:r>
    </w:p>
    <w:p w14:paraId="0775906E" w14:textId="77777777" w:rsidR="00E10DD2" w:rsidRPr="003C6641" w:rsidRDefault="00E10DD2" w:rsidP="00AF23D6">
      <w:pPr>
        <w:pStyle w:val="FootnoteText"/>
        <w:spacing w:after="120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 xml:space="preserve">Prema podacima Centra za mirovne studije u 2016. godini u Hrvatskoj je bilo 211 tražitelja azila, a u razdoblju od 2004. do 2016. godine, 165 tražitelja azila dobilo je azil. Na dan 31. prosinca 2016. godine u evidenciji nezaposlenih osoba Hrvatskoga zavoda za zapošljavanje </w:t>
      </w:r>
      <w:r w:rsidRPr="003C6641">
        <w:rPr>
          <w:rFonts w:cstheme="minorHAnsi"/>
          <w:sz w:val="24"/>
          <w:szCs w:val="24"/>
        </w:rPr>
        <w:lastRenderedPageBreak/>
        <w:t xml:space="preserve">bila su 75 azilanta (od čega 48 muškaraca i 27 žena) koji ostvaruju prava i mogućnosti za korištenje usluga pripreme za zapošljavanje, posredovanja pri zapošljavanju i uključivanja u mjere aktivne politike zapošljavanja. </w:t>
      </w:r>
    </w:p>
    <w:p w14:paraId="44327911" w14:textId="77777777" w:rsidR="00E10DD2" w:rsidRPr="003C6641" w:rsidRDefault="00E10DD2" w:rsidP="00AF23D6">
      <w:pPr>
        <w:pStyle w:val="FootnoteText"/>
        <w:spacing w:after="120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 xml:space="preserve">Nezaposleni korisnici prava na ZMN su u izrazito nepovoljnom položaju na tržištu rada i suočavaju se s dodatnim ograničenjima u traženju posla i ulasku na tržište rada. Pravo na zajamčenu minimalnu naknadu ostvaruje svaka osoba ili kućanstvo koje nema dovoljno sredstava za podmirenje osnovnih životnih potreba, a ista nije u mogućnosti ostvariti svojim radom, primitkom od imovine ili na drugi način. Prema podatcima Ministarstva za demografiju, obitelj, mlade i socijalnu politiku broj osoba koje su bile korisnici prava na zajamčenu minimalnu naknadu na dan 30.11.2016. godine je iznosio 98.062 korisnika. Od ovog broja osoba, njih 48,1% je bilo radno sposobno. Najveći apsolutni broj osoba, korisnika prava na ZMN je bio je zabilježen </w:t>
      </w:r>
      <w:r w:rsidR="00BC0839" w:rsidRPr="003C6641">
        <w:rPr>
          <w:rFonts w:cstheme="minorHAnsi"/>
          <w:sz w:val="24"/>
          <w:szCs w:val="24"/>
        </w:rPr>
        <w:t>u sljedećim županijama: Osječko-</w:t>
      </w:r>
      <w:r w:rsidRPr="003C6641">
        <w:rPr>
          <w:rFonts w:cstheme="minorHAnsi"/>
          <w:sz w:val="24"/>
          <w:szCs w:val="24"/>
        </w:rPr>
        <w:t>baranjska - 13.098</w:t>
      </w:r>
      <w:r w:rsidR="00BC0839" w:rsidRPr="003C6641">
        <w:rPr>
          <w:rFonts w:cstheme="minorHAnsi"/>
          <w:sz w:val="24"/>
          <w:szCs w:val="24"/>
        </w:rPr>
        <w:t>, Grad Zagreb - 12.238, Sisačko-moslavačka - 7.569, Splitsko-</w:t>
      </w:r>
      <w:r w:rsidRPr="003C6641">
        <w:rPr>
          <w:rFonts w:cstheme="minorHAnsi"/>
          <w:sz w:val="24"/>
          <w:szCs w:val="24"/>
        </w:rPr>
        <w:t>d</w:t>
      </w:r>
      <w:r w:rsidR="00BC0839" w:rsidRPr="003C6641">
        <w:rPr>
          <w:rFonts w:cstheme="minorHAnsi"/>
          <w:sz w:val="24"/>
          <w:szCs w:val="24"/>
        </w:rPr>
        <w:t>almatinska - 7.395 i Vukovarsko-</w:t>
      </w:r>
      <w:r w:rsidRPr="003C6641">
        <w:rPr>
          <w:rFonts w:cstheme="minorHAnsi"/>
          <w:sz w:val="24"/>
          <w:szCs w:val="24"/>
        </w:rPr>
        <w:t>srijemska županija - 6.217 osoba, dok županije s najvećim relativnim brojem osoba, korisnika prava na ZMN (u odnosu na broj stanovnika) sa stanjem na dan 30.11.2016. godine su</w:t>
      </w:r>
      <w:r w:rsidR="00BC0839" w:rsidRPr="003C6641">
        <w:rPr>
          <w:rFonts w:cstheme="minorHAnsi"/>
          <w:sz w:val="24"/>
          <w:szCs w:val="24"/>
        </w:rPr>
        <w:t>: Međimurska  - 4,7 %, Šibensko-kninska - 4,6 %, Virovitičko-podravska - 4,5 % i Sisačko-</w:t>
      </w:r>
      <w:r w:rsidRPr="003C6641">
        <w:rPr>
          <w:rFonts w:cstheme="minorHAnsi"/>
          <w:sz w:val="24"/>
          <w:szCs w:val="24"/>
        </w:rPr>
        <w:t>moslavačka županija - 4,4% .</w:t>
      </w:r>
    </w:p>
    <w:p w14:paraId="5F5B685A" w14:textId="77777777" w:rsidR="00E10DD2" w:rsidRPr="003C6641" w:rsidRDefault="00E10DD2" w:rsidP="00AF23D6">
      <w:pPr>
        <w:pStyle w:val="FootnoteText"/>
        <w:spacing w:after="120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>S obzirom da  gotovo polovi</w:t>
      </w:r>
      <w:r w:rsidR="005719BF" w:rsidRPr="003C6641">
        <w:rPr>
          <w:rFonts w:cstheme="minorHAnsi"/>
          <w:sz w:val="24"/>
          <w:szCs w:val="24"/>
        </w:rPr>
        <w:t xml:space="preserve">cu korisnika prava na ZMN čine </w:t>
      </w:r>
      <w:r w:rsidRPr="003C6641">
        <w:rPr>
          <w:rFonts w:cstheme="minorHAnsi"/>
          <w:sz w:val="24"/>
          <w:szCs w:val="24"/>
        </w:rPr>
        <w:t xml:space="preserve">radno sposobni pojedinci i kako je veliki broj njih dugotrajno u sustavu, kroz duži period važno je izbjeći naslanjanje tih osoba na sustav i poduzeti sve potrebne korake kako bi se uključili na tržište rada, kao i u društvo u cjelini. Kako bi spriječili pojavu nezainteresiranosti osobe za rad i prepuštanju ovisnosti o socijalnim naknadama kao redovitim prihodima, Zakon o socijalnoj skrbi propisuje kako je za vrijeme korištenja prava na ZMN nezaposlena radno sposobna ili djelomično radno sposobna osoba dužna prihvatiti zaposlenje u skladu s propisima o zapošljavanju. U cilju provođenja mjera socijalne uključenosti radno sposobnih korisnika prava na ZMN i njihovog aktiviranja na tržištu rada nadležni centar za socijalnu skrb, ured državne uprave u županiji, odnosno nadležni ured Grada Zagreba i služba nadležna za zapošljavanje dužni su međusobno surađivati. </w:t>
      </w:r>
      <w:r w:rsidR="00183F3C" w:rsidRPr="003C6641">
        <w:rPr>
          <w:rFonts w:cstheme="minorHAnsi"/>
          <w:sz w:val="24"/>
          <w:szCs w:val="24"/>
        </w:rPr>
        <w:t>Trenutno su ovi korisnici uključeni u mjeru javnog rada u okviru aktivne politike zapošljavanja koju provodi HZZ</w:t>
      </w:r>
      <w:r w:rsidRPr="003C6641">
        <w:rPr>
          <w:rFonts w:cstheme="minorHAnsi"/>
          <w:sz w:val="24"/>
          <w:szCs w:val="24"/>
        </w:rPr>
        <w:t xml:space="preserve">, a koja kroz zapošljavanje na privremeno novostvorenim poslovima nekonkurentnima postojećem gospodarstvu ima za cilj aktivaciju nezaposlenih osoba u nepovoljnom položaju na tržištu rada, a posebice za najugroženije skupine kao što su uostalom i primatelji ZMN prijavljeni u evidenciju nezaposlenih HZZ. Zakonom o socijalnoj </w:t>
      </w:r>
      <w:r w:rsidRPr="003C6641">
        <w:rPr>
          <w:rFonts w:cstheme="minorHAnsi"/>
          <w:sz w:val="24"/>
          <w:szCs w:val="24"/>
        </w:rPr>
        <w:lastRenderedPageBreak/>
        <w:t xml:space="preserve">skrbi predviđeno je da centri za socijalnu skrb na </w:t>
      </w:r>
      <w:r w:rsidR="00183F3C" w:rsidRPr="003C6641">
        <w:rPr>
          <w:rFonts w:cstheme="minorHAnsi"/>
          <w:sz w:val="24"/>
          <w:szCs w:val="24"/>
        </w:rPr>
        <w:t>temelju procjene</w:t>
      </w:r>
      <w:r w:rsidRPr="003C6641">
        <w:rPr>
          <w:rFonts w:cstheme="minorHAnsi"/>
          <w:sz w:val="24"/>
          <w:szCs w:val="24"/>
        </w:rPr>
        <w:t xml:space="preserve"> potreba korisnika i članova njegove obitelji izrade individualne planove skrbi za određene kategorije korisnika.</w:t>
      </w:r>
    </w:p>
    <w:p w14:paraId="50BF231B" w14:textId="77777777" w:rsidR="00E10DD2" w:rsidRPr="003C6641" w:rsidRDefault="00E10DD2" w:rsidP="00AF23D6">
      <w:pPr>
        <w:pStyle w:val="FootnoteText"/>
        <w:spacing w:after="120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 xml:space="preserve">U okviru Projekta modernizacije sustava socijalne zaštite, financiranom iz Ugovora o zajmu između Republike Hrvatske i Međunarodne banke za obnovu i razvoj, u okviru petog tematskog područja podupire se radna aktivacija korisnika socijalne zaštite. Kroz projektne aktivnosti pružit će se podrška poboljšanju učinkovitosti </w:t>
      </w:r>
      <w:r w:rsidR="00183F3C" w:rsidRPr="003C6641">
        <w:rPr>
          <w:rFonts w:cstheme="minorHAnsi"/>
          <w:sz w:val="24"/>
          <w:szCs w:val="24"/>
        </w:rPr>
        <w:t>HZZ-a</w:t>
      </w:r>
      <w:r w:rsidRPr="003C6641">
        <w:rPr>
          <w:rFonts w:cstheme="minorHAnsi"/>
          <w:sz w:val="24"/>
          <w:szCs w:val="24"/>
        </w:rPr>
        <w:t xml:space="preserve"> kako bi unaprijedio usluge prema korisnicima i promicao radnu aktivaciju, a posebno za osjetljivu populaciju. Cilj projekta je razvoj i unapređenje usluge koja se pruža nezaposlenim osobama kroz uvođenje pilot modela statistički potpomognutog profiliranja na nekoliko odabranih lokacija HZZ-a kako bi se procijenili učinci takvog modela na proces savjetovanja te mogućnosti primjene rezultata profiliranja u svrhu jače aktivacije pojedinaca.</w:t>
      </w:r>
    </w:p>
    <w:p w14:paraId="4FB2978D" w14:textId="77777777" w:rsidR="00E10DD2" w:rsidRPr="003C6641" w:rsidRDefault="00E10DD2" w:rsidP="00AF23D6">
      <w:pPr>
        <w:pStyle w:val="FootnoteText"/>
        <w:spacing w:after="120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 xml:space="preserve">Međutim, osim navedenih mjera iz Zakona koje se tiču samog zapošljavanja, potrebno je provesti dodatne aktivnosti kojima bi se navedeni korisnici dodatno motivirali i kako bi im se pružila pomoć u povećanju zapošljivosti, približavanju tržištu rada te pridonijelo socijalnoj uključenosti. </w:t>
      </w:r>
    </w:p>
    <w:p w14:paraId="116CE6C6" w14:textId="77777777" w:rsidR="00E10DD2" w:rsidRPr="003C6641" w:rsidRDefault="00E10DD2" w:rsidP="00AF23D6">
      <w:pPr>
        <w:pStyle w:val="FootnoteText"/>
        <w:spacing w:after="120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>Kao pozitivan primjer socijalnog uključivanja nezaposlenih osoba korisnika prava na zajamčenu minimalnu naknadu i njihovo zadržavanje na tržištu rada ističe se usluga socijalnog mentorstva. Socijalno mentorstvo je izuzetno važn</w:t>
      </w:r>
      <w:r w:rsidR="00E879B2" w:rsidRPr="003C6641">
        <w:rPr>
          <w:rFonts w:cstheme="minorHAnsi"/>
          <w:sz w:val="24"/>
          <w:szCs w:val="24"/>
        </w:rPr>
        <w:t>a komponenta u procesu socijalnog uključivanja</w:t>
      </w:r>
      <w:r w:rsidRPr="003C6641">
        <w:rPr>
          <w:rFonts w:cstheme="minorHAnsi"/>
          <w:sz w:val="24"/>
          <w:szCs w:val="24"/>
        </w:rPr>
        <w:t xml:space="preserve"> jer omogućuje individualizirani pristup u radu s nezaposlenim korisnicima prava na zajamčenu minimalnu naknadu. Pojam socijalno mentorstvo ističe socijalnu komponentu unutar uloge mentoriranja. Osobito ističe komponentu „socijalne aktivnosti“ u mentoriranju čiji je cilj utjecati na socijalni status pojedinca i koja je često usmjerena na osnaživanje ugroženih i/ili marginaliziranih skupina u društvu. Kao takvo, socijalno mentorstvo je direktno usmjereno na poboljšanje njihova sudjelovanja na tržištu rada. Mentori pružaju individualne programe za svoje</w:t>
      </w:r>
      <w:r w:rsidR="00516434" w:rsidRPr="003C6641">
        <w:rPr>
          <w:rFonts w:cstheme="minorHAnsi"/>
          <w:sz w:val="24"/>
          <w:szCs w:val="24"/>
        </w:rPr>
        <w:t xml:space="preserve"> klijente/korisnike</w:t>
      </w:r>
      <w:r w:rsidRPr="003C6641">
        <w:rPr>
          <w:rFonts w:cstheme="minorHAnsi"/>
          <w:sz w:val="24"/>
          <w:szCs w:val="24"/>
        </w:rPr>
        <w:t xml:space="preserve"> koristeći neke od ključnih elemenata mentorstva kao što su kvaliteta odnosa, kontinuitet, osnaživanje, empatija i komunikacija na temelju povratne informacije, aktivno slušanje, itd. Kroz mentorstvo </w:t>
      </w:r>
      <w:r w:rsidR="00516434" w:rsidRPr="003C6641">
        <w:rPr>
          <w:rFonts w:cstheme="minorHAnsi"/>
          <w:sz w:val="24"/>
          <w:szCs w:val="24"/>
        </w:rPr>
        <w:t xml:space="preserve">se </w:t>
      </w:r>
      <w:r w:rsidRPr="003C6641">
        <w:rPr>
          <w:rFonts w:cstheme="minorHAnsi"/>
          <w:sz w:val="24"/>
          <w:szCs w:val="24"/>
        </w:rPr>
        <w:t>promiče suradnja institucija s drugim dionicima na lokalnoj razini (lokalna samouprava, civilno društvo, odgojno-obrazovne ustanove).</w:t>
      </w:r>
    </w:p>
    <w:p w14:paraId="19DDF8A6" w14:textId="77777777" w:rsidR="00E10DD2" w:rsidRPr="003C6641" w:rsidRDefault="001D3769" w:rsidP="00AF23D6">
      <w:pPr>
        <w:pStyle w:val="FootnoteText"/>
        <w:spacing w:after="120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>U sklopu Projekta „</w:t>
      </w:r>
      <w:r w:rsidR="00E10DD2" w:rsidRPr="003C6641">
        <w:rPr>
          <w:rFonts w:cstheme="minorHAnsi"/>
          <w:sz w:val="24"/>
          <w:szCs w:val="24"/>
        </w:rPr>
        <w:t>Uspostava podrške u socijalnom uključivanju i zapošljavanju socijalno ugrož</w:t>
      </w:r>
      <w:r w:rsidRPr="003C6641">
        <w:rPr>
          <w:rFonts w:cstheme="minorHAnsi"/>
          <w:sz w:val="24"/>
          <w:szCs w:val="24"/>
        </w:rPr>
        <w:t>enih i marginaliziranih skupina“</w:t>
      </w:r>
      <w:r w:rsidR="00E10DD2" w:rsidRPr="003C6641">
        <w:rPr>
          <w:rFonts w:cstheme="minorHAnsi"/>
          <w:sz w:val="24"/>
          <w:szCs w:val="24"/>
        </w:rPr>
        <w:t xml:space="preserve"> kojeg je Ministarstvo za demografiju, obitelj, mlade i </w:t>
      </w:r>
      <w:r w:rsidR="00E10DD2" w:rsidRPr="003C6641">
        <w:rPr>
          <w:rFonts w:cstheme="minorHAnsi"/>
          <w:sz w:val="24"/>
          <w:szCs w:val="24"/>
        </w:rPr>
        <w:lastRenderedPageBreak/>
        <w:t xml:space="preserve">socijalnu politiku provelo u okviru Instrumenta pretpristupne pomoći (IPA) provedene su aktivnosti razvoja usluga mentoriranja za skupine u riziku od socijalne isključenosti. </w:t>
      </w:r>
    </w:p>
    <w:p w14:paraId="7398AD0D" w14:textId="77777777" w:rsidR="00E10DD2" w:rsidRPr="003C6641" w:rsidRDefault="00E10DD2" w:rsidP="00AF23D6">
      <w:pPr>
        <w:pStyle w:val="FootnoteText"/>
        <w:spacing w:after="120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>Kroz aktivnosti projekta, s ciljem razvoja navedene usluge, 21 odabrani stručni radnik centara za socijalnu skrb – socijalni radnik – prošao je edukaciju trenera za trenere o metodama i alatima socijalnog mentorstva, te je provedeno pilotiranje modela socijalnog mentorstva u centrima za socijalnu skrb diljem Hrvatske. Isto tako 60 stručnih radnika centara za socijalnu skrb pohađalo je šestodnevnu edukaciju o socijalnom mentorstvu. Kao jedan od rezultata projekta, izrađen je Priručnik za me</w:t>
      </w:r>
      <w:r w:rsidR="00516434" w:rsidRPr="003C6641">
        <w:rPr>
          <w:rFonts w:cstheme="minorHAnsi"/>
          <w:sz w:val="24"/>
          <w:szCs w:val="24"/>
        </w:rPr>
        <w:t>ntore za socijalno uključivanje</w:t>
      </w:r>
      <w:r w:rsidRPr="003C6641">
        <w:rPr>
          <w:rFonts w:cstheme="minorHAnsi"/>
          <w:sz w:val="24"/>
          <w:szCs w:val="24"/>
        </w:rPr>
        <w:t xml:space="preserve"> u kojem je predstavljeno socijalno mentorstvo kao vještina i usluga mentoriranja u zajednici. Osim osnova socijalnog mentorstva, Priručnik također daje smjernice za razvoj usluge u suradnji sa širokim spektrom dionika u lokalnoj zajednici. Zaključeno je da je socijalno mentorstvo izuzetno važna komponenta procesa socijalnog uključivanja jer ono osigurava individualizirani pristup u radu s nezaposlenim korisnicima prava na zajamčenu minimalnu naknadu, te njihovo uključivanje u tržište rada. </w:t>
      </w:r>
    </w:p>
    <w:p w14:paraId="4333C721" w14:textId="77777777" w:rsidR="00E10DD2" w:rsidRPr="003C6641" w:rsidRDefault="00E10DD2" w:rsidP="00AF23D6">
      <w:pPr>
        <w:pStyle w:val="FootnoteText"/>
        <w:spacing w:after="120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>Kao što je prethodno navedeno, specifičnost nepovoljnog položaja marginaliziranih skupina često podrazumijeva i probleme poput niskog samopouzdanja, manjka motivacije, zdravstvenih tegoba, dok se osobe s invaliditetom nerijetko susreću i s poteškoćama koje proizlaze iz neprilagođenosti radnog mjesta potrebama osobama s invaliditetom. Situaciju ne olakšava niti činjenica da marginaliziranim skupinama često nedostaje radnog iskustva ili pak određenih vještina potrebnih za zaposlenje.  Problemi/rizici kojima su oni izloženi često se ne mogu svrstati u jednu kategoriju stoga je potrebno posebno dizajnirati metodologiju koja uključuje psihološko osnaživanje, profesionalno usmjeravanje, mentorstvo, programe edukacije i prekvalifikacije kako bi se pospješilo njihovo uključivanje na tržište rada. Ujedno, potrebno je jačati i kapacitete stručnjaka iz različitih sektora za rad s pripadnicima ciljnih skupina, kako bi na najkvalitetniji način kroz individualizirani pristup pomogli pripadnicima ciljnim skupinama da se uključe u društvo i približe tržištu rada.</w:t>
      </w:r>
    </w:p>
    <w:p w14:paraId="346B1D1F" w14:textId="77777777" w:rsidR="00E10DD2" w:rsidRPr="003C6641" w:rsidRDefault="00E10DD2" w:rsidP="00AF23D6">
      <w:pPr>
        <w:pStyle w:val="FootnoteText"/>
        <w:spacing w:after="120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 xml:space="preserve">Iz prethodno navedenih razloga kroz ovu operaciju </w:t>
      </w:r>
      <w:r w:rsidR="002235D1" w:rsidRPr="003C6641">
        <w:rPr>
          <w:rFonts w:cstheme="minorHAnsi"/>
          <w:sz w:val="24"/>
          <w:szCs w:val="24"/>
        </w:rPr>
        <w:t xml:space="preserve">će se </w:t>
      </w:r>
      <w:r w:rsidRPr="003C6641">
        <w:rPr>
          <w:rFonts w:cstheme="minorHAnsi"/>
          <w:sz w:val="24"/>
          <w:szCs w:val="24"/>
        </w:rPr>
        <w:t>financirat</w:t>
      </w:r>
      <w:r w:rsidR="002235D1" w:rsidRPr="003C6641">
        <w:rPr>
          <w:rFonts w:cstheme="minorHAnsi"/>
          <w:sz w:val="24"/>
          <w:szCs w:val="24"/>
        </w:rPr>
        <w:t>i</w:t>
      </w:r>
      <w:r w:rsidRPr="003C6641">
        <w:rPr>
          <w:rFonts w:cstheme="minorHAnsi"/>
          <w:sz w:val="24"/>
          <w:szCs w:val="24"/>
        </w:rPr>
        <w:t xml:space="preserve"> projekti koji će pospješiti mogućnost marginaliziranih skupina za ulazak na tržište rada istovremeno suzbijajući siromaštvo i podupirući njihovu socijalnu uključenost.</w:t>
      </w:r>
    </w:p>
    <w:p w14:paraId="0C4909D4" w14:textId="77777777" w:rsidR="00F0438E" w:rsidRPr="005A52C0" w:rsidRDefault="00F0438E">
      <w:pPr>
        <w:rPr>
          <w:sz w:val="24"/>
        </w:rPr>
      </w:pPr>
      <w:r w:rsidRPr="005A52C0">
        <w:rPr>
          <w:sz w:val="24"/>
        </w:rPr>
        <w:br w:type="page"/>
      </w:r>
    </w:p>
    <w:p w14:paraId="690ABC24" w14:textId="77777777" w:rsidR="00617E18" w:rsidRPr="004E6D4B" w:rsidRDefault="007A7B99" w:rsidP="00143293">
      <w:pPr>
        <w:pStyle w:val="Heading1"/>
        <w:numPr>
          <w:ilvl w:val="0"/>
          <w:numId w:val="40"/>
        </w:numPr>
        <w:rPr>
          <w:b w:val="0"/>
          <w:sz w:val="32"/>
        </w:rPr>
      </w:pPr>
      <w:r w:rsidRPr="004E6D4B">
        <w:rPr>
          <w:b w:val="0"/>
          <w:sz w:val="32"/>
        </w:rPr>
        <w:lastRenderedPageBreak/>
        <w:t>CILJEVI POZIVA NA DOSTAVU PROJEKTNIH PRIJEDLOGA</w:t>
      </w:r>
    </w:p>
    <w:p w14:paraId="5BE09EC6" w14:textId="77777777" w:rsidR="00617E18" w:rsidRPr="003C6641" w:rsidRDefault="00617E18" w:rsidP="00AF23D6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b/>
          <w:sz w:val="24"/>
          <w:szCs w:val="24"/>
        </w:rPr>
        <w:t>Opći cilj:</w:t>
      </w:r>
      <w:r w:rsidRPr="003C6641">
        <w:rPr>
          <w:rFonts w:cstheme="minorHAnsi"/>
          <w:sz w:val="24"/>
          <w:szCs w:val="24"/>
        </w:rPr>
        <w:t xml:space="preserve"> </w:t>
      </w:r>
      <w:r w:rsidR="00E4104E" w:rsidRPr="003C6641">
        <w:rPr>
          <w:rFonts w:cstheme="minorHAnsi"/>
          <w:sz w:val="24"/>
          <w:szCs w:val="24"/>
        </w:rPr>
        <w:t>povećati mogućnosti za zapošljavanje, umanjiti rizik od socijalne isključenosti i siromaštva marginaliziranih skupina i poboljšati kvalitetu rada s marginaliziranim skupinama.</w:t>
      </w:r>
    </w:p>
    <w:p w14:paraId="5337E8C5" w14:textId="77777777" w:rsidR="00F0438E" w:rsidRPr="003C6641" w:rsidRDefault="00F0438E" w:rsidP="00AF23D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22E9BB6A" w14:textId="77777777" w:rsidR="00617E18" w:rsidRPr="003C6641" w:rsidRDefault="00617E18" w:rsidP="00F0438E">
      <w:pPr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b/>
          <w:sz w:val="24"/>
          <w:szCs w:val="24"/>
        </w:rPr>
        <w:t>Specifični ciljevi :</w:t>
      </w:r>
      <w:r w:rsidRPr="003C6641">
        <w:rPr>
          <w:rFonts w:cstheme="minorHAnsi"/>
          <w:sz w:val="24"/>
          <w:szCs w:val="24"/>
        </w:rPr>
        <w:t xml:space="preserve"> </w:t>
      </w:r>
    </w:p>
    <w:p w14:paraId="7BC78FEB" w14:textId="77777777" w:rsidR="00E4104E" w:rsidRPr="003C6641" w:rsidRDefault="00E4104E" w:rsidP="00AF23D6">
      <w:pPr>
        <w:pStyle w:val="FootnoteText"/>
        <w:numPr>
          <w:ilvl w:val="0"/>
          <w:numId w:val="30"/>
        </w:numPr>
        <w:spacing w:after="120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>Dokvalifikacija, prekvalifikacija i stjecanje stručnih znanja pripadnika ciljane skupine kroz razvoj i provedbu programa obrazovanja odraslih</w:t>
      </w:r>
      <w:r w:rsidR="002127E9">
        <w:rPr>
          <w:rFonts w:cstheme="minorHAnsi"/>
          <w:sz w:val="24"/>
          <w:szCs w:val="24"/>
        </w:rPr>
        <w:t>;</w:t>
      </w:r>
      <w:r w:rsidRPr="003C6641">
        <w:rPr>
          <w:rFonts w:cstheme="minorHAnsi"/>
          <w:sz w:val="24"/>
          <w:szCs w:val="24"/>
        </w:rPr>
        <w:t xml:space="preserve"> </w:t>
      </w:r>
    </w:p>
    <w:p w14:paraId="31E93657" w14:textId="77777777" w:rsidR="00E4104E" w:rsidRPr="003C6641" w:rsidRDefault="00E4104E" w:rsidP="00AF23D6">
      <w:pPr>
        <w:pStyle w:val="FootnoteText"/>
        <w:numPr>
          <w:ilvl w:val="0"/>
          <w:numId w:val="30"/>
        </w:numPr>
        <w:spacing w:after="120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>Osnaživanje te razvoj mekih i transverzalnih (prenosivih) vještina marginaliziranih skupina razvojem i provedbom ciljanih programa te radionica;</w:t>
      </w:r>
    </w:p>
    <w:p w14:paraId="5AD666C5" w14:textId="77777777" w:rsidR="00E4104E" w:rsidRPr="003C6641" w:rsidRDefault="00E4104E" w:rsidP="00AF23D6">
      <w:pPr>
        <w:pStyle w:val="FootnoteText"/>
        <w:numPr>
          <w:ilvl w:val="0"/>
          <w:numId w:val="30"/>
        </w:numPr>
        <w:spacing w:after="120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>Razvoj i širenje individualiziranog pristupa u pružanju usluga mentorstva korisnicima prava na zajamčenu minimalnu naknadu s ciljem radne aktivacije i socijalnog uključivanja;</w:t>
      </w:r>
    </w:p>
    <w:p w14:paraId="6E317220" w14:textId="77777777" w:rsidR="00E4104E" w:rsidRPr="003C6641" w:rsidRDefault="00E4104E" w:rsidP="00AF23D6">
      <w:pPr>
        <w:pStyle w:val="FootnoteText"/>
        <w:numPr>
          <w:ilvl w:val="0"/>
          <w:numId w:val="30"/>
        </w:numPr>
        <w:spacing w:after="120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>Jačanje kapaciteta stručnjaka  iz različitih sektora u svrhu unaprjeđenja usluga povezanih s pristupom tržištu rada</w:t>
      </w:r>
      <w:r w:rsidR="00C512E7" w:rsidRPr="003C6641">
        <w:rPr>
          <w:rFonts w:cstheme="minorHAnsi"/>
          <w:sz w:val="24"/>
          <w:szCs w:val="24"/>
        </w:rPr>
        <w:t xml:space="preserve"> za  pripadnike ciljnih skupina.</w:t>
      </w:r>
    </w:p>
    <w:p w14:paraId="79F4184D" w14:textId="77777777" w:rsidR="00ED3466" w:rsidRPr="003C6641" w:rsidRDefault="00B22B47" w:rsidP="00E31DC7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 xml:space="preserve">Napomena: </w:t>
      </w:r>
    </w:p>
    <w:p w14:paraId="24554AB8" w14:textId="77777777" w:rsidR="00B22B47" w:rsidRPr="003C6641" w:rsidRDefault="00B22B47" w:rsidP="00E31DC7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>Projekti koji doprinose samo specifičnom cilju 4 neće bi</w:t>
      </w:r>
      <w:r w:rsidR="000E35B1" w:rsidRPr="003C6641">
        <w:rPr>
          <w:rFonts w:cstheme="minorHAnsi"/>
          <w:sz w:val="24"/>
          <w:szCs w:val="24"/>
        </w:rPr>
        <w:t xml:space="preserve">ti prihvatljivi za financiranje. </w:t>
      </w:r>
    </w:p>
    <w:p w14:paraId="77203B59" w14:textId="77777777" w:rsidR="00B22B47" w:rsidRPr="005A52C0" w:rsidRDefault="00B22B47" w:rsidP="00AF23D6">
      <w:pPr>
        <w:jc w:val="both"/>
        <w:rPr>
          <w:sz w:val="24"/>
        </w:rPr>
      </w:pPr>
    </w:p>
    <w:p w14:paraId="2A91C29D" w14:textId="77777777" w:rsidR="00374319" w:rsidRPr="004E6D4B" w:rsidRDefault="007A7B99" w:rsidP="00143293">
      <w:pPr>
        <w:pStyle w:val="Heading1"/>
        <w:numPr>
          <w:ilvl w:val="0"/>
          <w:numId w:val="40"/>
        </w:numPr>
        <w:rPr>
          <w:b w:val="0"/>
          <w:sz w:val="32"/>
        </w:rPr>
      </w:pPr>
      <w:r w:rsidRPr="004E6D4B">
        <w:rPr>
          <w:b w:val="0"/>
          <w:sz w:val="32"/>
        </w:rPr>
        <w:t xml:space="preserve">CILJNE SKUPINE POZIVA: </w:t>
      </w:r>
    </w:p>
    <w:p w14:paraId="34E3CF7C" w14:textId="77777777" w:rsidR="00C512E7" w:rsidRPr="003C6641" w:rsidRDefault="00C512E7" w:rsidP="00AF23D6">
      <w:pPr>
        <w:pStyle w:val="FootnoteText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 xml:space="preserve">1. </w:t>
      </w:r>
      <w:r w:rsidRPr="003C6641">
        <w:rPr>
          <w:rFonts w:cstheme="minorHAnsi"/>
          <w:b/>
          <w:sz w:val="24"/>
          <w:szCs w:val="24"/>
        </w:rPr>
        <w:t>Nezaposlene osobe</w:t>
      </w:r>
      <w:r w:rsidR="00DC46B0" w:rsidRPr="003C6641">
        <w:rPr>
          <w:rFonts w:cstheme="minorHAnsi"/>
          <w:b/>
          <w:sz w:val="24"/>
          <w:szCs w:val="24"/>
        </w:rPr>
        <w:t xml:space="preserve"> </w:t>
      </w:r>
      <w:r w:rsidRPr="003C6641">
        <w:rPr>
          <w:rFonts w:cstheme="minorHAnsi"/>
          <w:b/>
          <w:sz w:val="24"/>
          <w:szCs w:val="24"/>
        </w:rPr>
        <w:t>pripadnici sljedećih marginaliziranih skupina:</w:t>
      </w:r>
    </w:p>
    <w:p w14:paraId="229BA8B5" w14:textId="77777777" w:rsidR="00C512E7" w:rsidRPr="003C6641" w:rsidRDefault="00C512E7" w:rsidP="00AF23D6">
      <w:pPr>
        <w:pStyle w:val="FootnoteText"/>
        <w:numPr>
          <w:ilvl w:val="0"/>
          <w:numId w:val="31"/>
        </w:numPr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>dugotrajno</w:t>
      </w:r>
      <w:r w:rsidR="00AB57BD" w:rsidRPr="003C6641">
        <w:rPr>
          <w:rFonts w:cstheme="minorHAnsi"/>
          <w:sz w:val="24"/>
          <w:szCs w:val="24"/>
        </w:rPr>
        <w:t xml:space="preserve"> nezaposlene osobe;</w:t>
      </w:r>
    </w:p>
    <w:p w14:paraId="48A3E75E" w14:textId="77777777" w:rsidR="00C512E7" w:rsidRPr="003C6641" w:rsidRDefault="00C512E7" w:rsidP="00AF23D6">
      <w:pPr>
        <w:pStyle w:val="FootnoteText"/>
        <w:numPr>
          <w:ilvl w:val="0"/>
          <w:numId w:val="31"/>
        </w:numPr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>osobe romske nacionalne manjine</w:t>
      </w:r>
      <w:r w:rsidR="00AB57BD" w:rsidRPr="003C6641">
        <w:rPr>
          <w:rFonts w:cstheme="minorHAnsi"/>
          <w:sz w:val="24"/>
          <w:szCs w:val="24"/>
        </w:rPr>
        <w:t>;</w:t>
      </w:r>
    </w:p>
    <w:p w14:paraId="52EFE327" w14:textId="77777777" w:rsidR="00C512E7" w:rsidRPr="003C6641" w:rsidRDefault="00C512E7" w:rsidP="00AF23D6">
      <w:pPr>
        <w:pStyle w:val="FootnoteText"/>
        <w:numPr>
          <w:ilvl w:val="0"/>
          <w:numId w:val="31"/>
        </w:numPr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>osobe s invaliditetom</w:t>
      </w:r>
      <w:r w:rsidR="00AB57BD" w:rsidRPr="003C6641">
        <w:rPr>
          <w:rFonts w:cstheme="minorHAnsi"/>
          <w:sz w:val="24"/>
          <w:szCs w:val="24"/>
        </w:rPr>
        <w:t>;</w:t>
      </w:r>
    </w:p>
    <w:p w14:paraId="57EA3F7C" w14:textId="77777777" w:rsidR="00C512E7" w:rsidRPr="003C6641" w:rsidRDefault="00AB57BD" w:rsidP="00AF23D6">
      <w:pPr>
        <w:pStyle w:val="FootnoteText"/>
        <w:numPr>
          <w:ilvl w:val="0"/>
          <w:numId w:val="31"/>
        </w:numPr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>beskućnici;</w:t>
      </w:r>
    </w:p>
    <w:p w14:paraId="50925C9A" w14:textId="77777777" w:rsidR="00C512E7" w:rsidRPr="003C6641" w:rsidRDefault="00AB57BD" w:rsidP="00AF23D6">
      <w:pPr>
        <w:pStyle w:val="FootnoteText"/>
        <w:numPr>
          <w:ilvl w:val="0"/>
          <w:numId w:val="31"/>
        </w:numPr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>liječeni ovisnici o drogama;</w:t>
      </w:r>
    </w:p>
    <w:p w14:paraId="19F750A5" w14:textId="77777777" w:rsidR="00C512E7" w:rsidRPr="003C6641" w:rsidRDefault="00AB57BD" w:rsidP="00AF23D6">
      <w:pPr>
        <w:pStyle w:val="FootnoteText"/>
        <w:numPr>
          <w:ilvl w:val="0"/>
          <w:numId w:val="31"/>
        </w:numPr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>žrtve obiteljskog nasilja;</w:t>
      </w:r>
    </w:p>
    <w:p w14:paraId="3FDD9578" w14:textId="77777777" w:rsidR="00C512E7" w:rsidRPr="003C6641" w:rsidRDefault="00AB57BD" w:rsidP="00AF23D6">
      <w:pPr>
        <w:pStyle w:val="FootnoteText"/>
        <w:numPr>
          <w:ilvl w:val="0"/>
          <w:numId w:val="31"/>
        </w:numPr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>azilanti;</w:t>
      </w:r>
    </w:p>
    <w:p w14:paraId="32BBFA08" w14:textId="77777777" w:rsidR="00C512E7" w:rsidRPr="003C6641" w:rsidRDefault="00C512E7" w:rsidP="00AF23D6">
      <w:pPr>
        <w:pStyle w:val="FootnoteText"/>
        <w:numPr>
          <w:ilvl w:val="0"/>
          <w:numId w:val="31"/>
        </w:numPr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>migranti.</w:t>
      </w:r>
    </w:p>
    <w:p w14:paraId="7073CBC9" w14:textId="77777777" w:rsidR="00AB77C9" w:rsidRPr="003C6641" w:rsidRDefault="00AB77C9">
      <w:pPr>
        <w:rPr>
          <w:rFonts w:cstheme="minorHAnsi"/>
          <w:sz w:val="24"/>
          <w:szCs w:val="24"/>
        </w:rPr>
      </w:pPr>
    </w:p>
    <w:p w14:paraId="255DD7C8" w14:textId="77777777" w:rsidR="00C512E7" w:rsidRPr="003C6641" w:rsidRDefault="00C512E7" w:rsidP="00AF23D6">
      <w:pPr>
        <w:pStyle w:val="FootnoteText"/>
        <w:jc w:val="both"/>
        <w:rPr>
          <w:rFonts w:cstheme="minorHAnsi"/>
          <w:b/>
          <w:sz w:val="24"/>
          <w:szCs w:val="24"/>
        </w:rPr>
      </w:pPr>
      <w:r w:rsidRPr="003C6641">
        <w:rPr>
          <w:rFonts w:cstheme="minorHAnsi"/>
          <w:sz w:val="24"/>
          <w:szCs w:val="24"/>
        </w:rPr>
        <w:t xml:space="preserve">2. </w:t>
      </w:r>
      <w:r w:rsidRPr="003C6641">
        <w:rPr>
          <w:rFonts w:cstheme="minorHAnsi"/>
          <w:b/>
          <w:sz w:val="24"/>
          <w:szCs w:val="24"/>
        </w:rPr>
        <w:t>Evidentirane nezaposlene osobe  korisnici prava na zajamčenu minimalnu naknadu</w:t>
      </w:r>
      <w:r w:rsidR="007160F1" w:rsidRPr="003C6641">
        <w:rPr>
          <w:rFonts w:cstheme="minorHAnsi"/>
          <w:b/>
          <w:sz w:val="24"/>
          <w:szCs w:val="24"/>
        </w:rPr>
        <w:t>,</w:t>
      </w:r>
    </w:p>
    <w:p w14:paraId="1C2BCD94" w14:textId="77777777" w:rsidR="00C512E7" w:rsidRPr="003C6641" w:rsidRDefault="00C512E7" w:rsidP="00AF23D6">
      <w:pPr>
        <w:pStyle w:val="FootnoteText"/>
        <w:jc w:val="both"/>
        <w:rPr>
          <w:rFonts w:cstheme="minorHAnsi"/>
          <w:b/>
          <w:sz w:val="24"/>
          <w:szCs w:val="24"/>
        </w:rPr>
      </w:pPr>
    </w:p>
    <w:p w14:paraId="577A69E6" w14:textId="77777777" w:rsidR="00C512E7" w:rsidRPr="003C6641" w:rsidRDefault="00C512E7" w:rsidP="00AF23D6">
      <w:pPr>
        <w:pStyle w:val="FootnoteText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 xml:space="preserve">3. </w:t>
      </w:r>
      <w:r w:rsidRPr="003C6641">
        <w:rPr>
          <w:rFonts w:cstheme="minorHAnsi"/>
          <w:b/>
          <w:sz w:val="24"/>
          <w:szCs w:val="24"/>
        </w:rPr>
        <w:t>Stručnjaci</w:t>
      </w:r>
      <w:r w:rsidR="003F5D14" w:rsidRPr="003C6641">
        <w:rPr>
          <w:rFonts w:cstheme="minorHAnsi"/>
          <w:b/>
          <w:sz w:val="24"/>
          <w:szCs w:val="24"/>
        </w:rPr>
        <w:t xml:space="preserve"> (iz jav</w:t>
      </w:r>
      <w:r w:rsidR="001823B0" w:rsidRPr="003C6641">
        <w:rPr>
          <w:rFonts w:cstheme="minorHAnsi"/>
          <w:b/>
          <w:sz w:val="24"/>
          <w:szCs w:val="24"/>
        </w:rPr>
        <w:t>n</w:t>
      </w:r>
      <w:r w:rsidR="003F5D14" w:rsidRPr="003C6641">
        <w:rPr>
          <w:rFonts w:cstheme="minorHAnsi"/>
          <w:b/>
          <w:sz w:val="24"/>
          <w:szCs w:val="24"/>
        </w:rPr>
        <w:t>og i civilnog sektora)</w:t>
      </w:r>
      <w:r w:rsidRPr="003C6641">
        <w:rPr>
          <w:rFonts w:cstheme="minorHAnsi"/>
          <w:b/>
          <w:sz w:val="24"/>
          <w:szCs w:val="24"/>
          <w:vertAlign w:val="superscript"/>
        </w:rPr>
        <w:t xml:space="preserve"> </w:t>
      </w:r>
      <w:r w:rsidRPr="003C6641">
        <w:rPr>
          <w:rFonts w:cstheme="minorHAnsi"/>
          <w:b/>
          <w:sz w:val="24"/>
          <w:szCs w:val="24"/>
        </w:rPr>
        <w:t xml:space="preserve"> koji rade s pripadnicima ciljnih skupina</w:t>
      </w:r>
      <w:r w:rsidR="007160F1" w:rsidRPr="003C6641">
        <w:rPr>
          <w:rFonts w:cstheme="minorHAnsi"/>
          <w:sz w:val="24"/>
          <w:szCs w:val="24"/>
        </w:rPr>
        <w:t>.</w:t>
      </w:r>
    </w:p>
    <w:p w14:paraId="0E3D932B" w14:textId="77777777" w:rsidR="00057A4E" w:rsidRPr="004E6D4B" w:rsidRDefault="007A7B99" w:rsidP="00143293">
      <w:pPr>
        <w:pStyle w:val="Heading1"/>
        <w:numPr>
          <w:ilvl w:val="0"/>
          <w:numId w:val="40"/>
        </w:numPr>
        <w:rPr>
          <w:b w:val="0"/>
          <w:sz w:val="32"/>
        </w:rPr>
      </w:pPr>
      <w:r w:rsidRPr="004E6D4B">
        <w:rPr>
          <w:b w:val="0"/>
          <w:sz w:val="32"/>
        </w:rPr>
        <w:t>POKAZATELJI PROVEDBE (INDIKATORI)</w:t>
      </w:r>
    </w:p>
    <w:p w14:paraId="6B43A0B3" w14:textId="77777777" w:rsidR="00F136EA" w:rsidRPr="003C6641" w:rsidRDefault="00057A4E" w:rsidP="00F136E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 xml:space="preserve">Projektni prijedlozi moraju pridonijeti ispunjavanju </w:t>
      </w:r>
      <w:r w:rsidR="005F0889" w:rsidRPr="003C6641">
        <w:rPr>
          <w:rFonts w:cstheme="minorHAnsi"/>
          <w:sz w:val="24"/>
          <w:szCs w:val="24"/>
        </w:rPr>
        <w:t>ciljeva</w:t>
      </w:r>
      <w:r w:rsidR="005F0889" w:rsidRPr="003C6641" w:rsidDel="005F0889">
        <w:rPr>
          <w:rFonts w:cstheme="minorHAnsi"/>
          <w:sz w:val="24"/>
          <w:szCs w:val="24"/>
        </w:rPr>
        <w:t xml:space="preserve"> </w:t>
      </w:r>
      <w:r w:rsidRPr="003C6641">
        <w:rPr>
          <w:rFonts w:cstheme="minorHAnsi"/>
          <w:sz w:val="24"/>
          <w:szCs w:val="24"/>
        </w:rPr>
        <w:t>ovog Poziva, kao i uspješnosti provedbe cjelokupnog Operativnog programa, mjereno pokazateljima provedbe</w:t>
      </w:r>
      <w:r w:rsidR="00061306" w:rsidRPr="003C6641">
        <w:rPr>
          <w:rFonts w:cstheme="minorHAnsi"/>
          <w:sz w:val="24"/>
          <w:szCs w:val="24"/>
        </w:rPr>
        <w:t xml:space="preserve"> navedenim u nastavku.</w:t>
      </w:r>
      <w:r w:rsidRPr="003C6641">
        <w:rPr>
          <w:rFonts w:cstheme="minorHAnsi"/>
          <w:sz w:val="24"/>
          <w:szCs w:val="24"/>
        </w:rPr>
        <w:t xml:space="preserve"> </w:t>
      </w:r>
      <w:r w:rsidR="00F136EA" w:rsidRPr="003C6641">
        <w:rPr>
          <w:rFonts w:cstheme="minorHAnsi"/>
          <w:sz w:val="24"/>
          <w:szCs w:val="24"/>
        </w:rPr>
        <w:t xml:space="preserve">Projektni prijedlozi koji pridonose specifičnom cilju 4 moraju također pridonijeti specifičnom cilju 1., 2. ili 3. </w:t>
      </w:r>
    </w:p>
    <w:p w14:paraId="1C78E931" w14:textId="77777777" w:rsidR="00057A4E" w:rsidRPr="003C6641" w:rsidRDefault="00057A4E" w:rsidP="00AF23D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596C182" w14:textId="77777777" w:rsidR="005F0889" w:rsidRPr="003C6641" w:rsidRDefault="005F0889" w:rsidP="004E6D4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4858279" w14:textId="03662F38" w:rsidR="007133FE" w:rsidRPr="004E6D4B" w:rsidRDefault="004E6D4B" w:rsidP="004E6D4B">
      <w:pPr>
        <w:pStyle w:val="Heading2"/>
        <w:numPr>
          <w:ilvl w:val="1"/>
          <w:numId w:val="42"/>
        </w:numPr>
        <w:jc w:val="both"/>
      </w:pPr>
      <w:r>
        <w:t xml:space="preserve"> </w:t>
      </w:r>
      <w:r w:rsidR="007133FE" w:rsidRPr="004E6D4B">
        <w:t>N</w:t>
      </w:r>
      <w:r w:rsidR="00360326" w:rsidRPr="004E6D4B">
        <w:t>aziv</w:t>
      </w:r>
      <w:r w:rsidR="006C6C9F" w:rsidRPr="004E6D4B">
        <w:t>i</w:t>
      </w:r>
      <w:r w:rsidR="00360326" w:rsidRPr="004E6D4B">
        <w:t xml:space="preserve"> </w:t>
      </w:r>
      <w:r w:rsidR="007133FE" w:rsidRPr="004E6D4B">
        <w:t>i o</w:t>
      </w:r>
      <w:r w:rsidR="00360326" w:rsidRPr="004E6D4B">
        <w:t>pis</w:t>
      </w:r>
      <w:r w:rsidR="006C6C9F" w:rsidRPr="004E6D4B">
        <w:t>i</w:t>
      </w:r>
      <w:r w:rsidR="00360326" w:rsidRPr="004E6D4B">
        <w:t xml:space="preserve"> pokazatelja</w:t>
      </w:r>
      <w:r w:rsidR="00A933EA" w:rsidRPr="004E6D4B">
        <w:t xml:space="preserve"> Operativnog programa „Učinkoviti ljudski potencijali“</w:t>
      </w:r>
      <w:r w:rsidR="00E8268A" w:rsidRPr="004E6D4B">
        <w:t xml:space="preserve"> </w:t>
      </w:r>
    </w:p>
    <w:p w14:paraId="20EB33A0" w14:textId="77777777" w:rsidR="007133FE" w:rsidRPr="003C6641" w:rsidRDefault="007133FE" w:rsidP="00AF23D6">
      <w:pPr>
        <w:spacing w:after="0" w:line="240" w:lineRule="auto"/>
        <w:ind w:left="3540" w:hanging="3540"/>
        <w:jc w:val="both"/>
        <w:rPr>
          <w:rFonts w:eastAsia="Calibri" w:cstheme="minorHAnsi"/>
          <w:b/>
          <w:i/>
          <w:sz w:val="24"/>
          <w:szCs w:val="24"/>
          <w:u w:val="single"/>
        </w:rPr>
      </w:pPr>
      <w:r w:rsidRPr="003C6641">
        <w:rPr>
          <w:rFonts w:eastAsia="Calibri" w:cstheme="minorHAnsi"/>
          <w:b/>
          <w:i/>
          <w:sz w:val="24"/>
          <w:szCs w:val="24"/>
          <w:u w:val="single"/>
        </w:rPr>
        <w:t>CO01 Nezaposleni, uključujući dugotrajno nezaposlene</w:t>
      </w:r>
    </w:p>
    <w:p w14:paraId="7A284887" w14:textId="77777777" w:rsidR="00F12DF4" w:rsidRPr="003C6641" w:rsidRDefault="00F12DF4" w:rsidP="00AF23D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>Nezaposlene osobe su osobe koje nemaju posao, raspoložive su za posao i aktivno traže posao. Osobe koje se smatraju registriranim nezaposlenim osobama u skladu s nacionalnim definicijama, uvijek se uključuju u ovu definiciju, čak i ukoliko ne ispunjavaju sva tri navedena kriterija.</w:t>
      </w:r>
    </w:p>
    <w:p w14:paraId="76736737" w14:textId="77777777" w:rsidR="00F12DF4" w:rsidRPr="003C6641" w:rsidRDefault="00F12DF4" w:rsidP="00AF23D6">
      <w:pPr>
        <w:spacing w:after="0" w:line="240" w:lineRule="auto"/>
        <w:ind w:left="3540" w:hanging="3540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 xml:space="preserve">Definicija dugotrajno nezaposlenih osoba razlikuje se ovisno o dobi: </w:t>
      </w:r>
    </w:p>
    <w:p w14:paraId="444B92B4" w14:textId="77777777" w:rsidR="00F12DF4" w:rsidRPr="003C6641" w:rsidRDefault="00F12DF4" w:rsidP="00AF23D6">
      <w:pPr>
        <w:spacing w:after="0" w:line="240" w:lineRule="auto"/>
        <w:ind w:left="3540" w:hanging="3540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>- Mladi (&lt; 29 godina) – kontinuirano nezaposleni dulje od 6 mjeseci (&gt;6 mjeseci).</w:t>
      </w:r>
    </w:p>
    <w:p w14:paraId="2247E89F" w14:textId="77777777" w:rsidR="00F12DF4" w:rsidRPr="003C6641" w:rsidRDefault="00F12DF4" w:rsidP="00AF23D6">
      <w:pPr>
        <w:spacing w:after="0" w:line="240" w:lineRule="auto"/>
        <w:ind w:left="3540" w:hanging="3540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>- Odrasli (30 godina ili više) – kontinuirano nezaposleni dulje od 12 mjeseci (&gt; 12 mjeseci).</w:t>
      </w:r>
    </w:p>
    <w:p w14:paraId="3BB3DE73" w14:textId="77777777" w:rsidR="00F12DF4" w:rsidRPr="003C6641" w:rsidRDefault="00F12DF4" w:rsidP="00AF23D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>Definicija "nezaposlenih" identična je definiciji "Nezaposleni, uključujući dugotrajno nezaposleni (gore), pri čemu je pokazatelj "dugotrajno nezaposleni" pod-grupa.</w:t>
      </w:r>
    </w:p>
    <w:p w14:paraId="7E69AE93" w14:textId="77777777" w:rsidR="00F12DF4" w:rsidRPr="003C6641" w:rsidRDefault="00F12DF4" w:rsidP="00AF23D6">
      <w:pPr>
        <w:spacing w:after="0" w:line="240" w:lineRule="auto"/>
        <w:ind w:left="3540" w:hanging="3540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>Dodatno:</w:t>
      </w:r>
    </w:p>
    <w:p w14:paraId="375B4493" w14:textId="77777777" w:rsidR="00F12DF4" w:rsidRPr="003C6641" w:rsidRDefault="00F12DF4" w:rsidP="00AF23D6">
      <w:pPr>
        <w:spacing w:after="0" w:line="240" w:lineRule="auto"/>
        <w:ind w:left="3540" w:hanging="3540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>Odnosi se na definiciju nezaposlenih Ankete radne snage, kao i nezaposlene koji su registrirani.</w:t>
      </w:r>
    </w:p>
    <w:p w14:paraId="436288F4" w14:textId="77777777" w:rsidR="00F12DF4" w:rsidRPr="003C6641" w:rsidRDefault="00F12DF4" w:rsidP="00AF23D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>Redovni studenti, čak i ukoliko ispunjavaju kriterije za nezaposlene u skladu s definicijom, smatraju se "neaktivnima".</w:t>
      </w:r>
    </w:p>
    <w:p w14:paraId="362CD268" w14:textId="77777777" w:rsidR="00F12DF4" w:rsidRPr="003C6641" w:rsidRDefault="00F12DF4" w:rsidP="00AF23D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 xml:space="preserve">Osobe koje imaju pravo na rodiljni dopust (majka ili otac) dok su nezaposleni uvijek se smatraju „nezaposlenima“. </w:t>
      </w:r>
    </w:p>
    <w:p w14:paraId="7090AA7B" w14:textId="77777777" w:rsidR="00F12DF4" w:rsidRPr="003C6641" w:rsidRDefault="00F12DF4" w:rsidP="00AF23D6">
      <w:pPr>
        <w:spacing w:after="0" w:line="240" w:lineRule="auto"/>
        <w:ind w:left="3540" w:hanging="3540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>Status na tržištu rada određuje se na datum ulaska u ESF operaciju.</w:t>
      </w:r>
    </w:p>
    <w:p w14:paraId="78E9348E" w14:textId="77777777" w:rsidR="007133FE" w:rsidRPr="003C6641" w:rsidRDefault="00F12DF4" w:rsidP="00AF23D6">
      <w:pPr>
        <w:spacing w:after="0" w:line="240" w:lineRule="auto"/>
        <w:ind w:left="3540" w:hanging="3540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>Dob sudionika računa se od datuma rođenja te utvrđuje na dan ulaska u projekt.</w:t>
      </w:r>
    </w:p>
    <w:p w14:paraId="25921FCD" w14:textId="77777777" w:rsidR="00F12DF4" w:rsidRPr="003C6641" w:rsidRDefault="00F12DF4" w:rsidP="00AF23D6">
      <w:pPr>
        <w:spacing w:after="0" w:line="240" w:lineRule="auto"/>
        <w:ind w:left="3540" w:hanging="3540"/>
        <w:jc w:val="both"/>
        <w:rPr>
          <w:rFonts w:cstheme="minorHAnsi"/>
          <w:sz w:val="24"/>
          <w:szCs w:val="24"/>
        </w:rPr>
      </w:pPr>
    </w:p>
    <w:p w14:paraId="71DACAD2" w14:textId="77777777" w:rsidR="00677B45" w:rsidRPr="003C6641" w:rsidRDefault="00677B45" w:rsidP="00AF23D6">
      <w:pPr>
        <w:spacing w:after="0" w:line="240" w:lineRule="auto"/>
        <w:ind w:left="3540" w:hanging="3540"/>
        <w:jc w:val="both"/>
        <w:rPr>
          <w:rFonts w:cstheme="minorHAnsi"/>
          <w:sz w:val="24"/>
          <w:szCs w:val="24"/>
        </w:rPr>
      </w:pPr>
    </w:p>
    <w:p w14:paraId="71A3C1D6" w14:textId="77777777" w:rsidR="007160F1" w:rsidRPr="003C6641" w:rsidRDefault="007160F1">
      <w:pPr>
        <w:rPr>
          <w:rFonts w:eastAsia="Calibri" w:cstheme="minorHAnsi"/>
          <w:b/>
          <w:i/>
          <w:sz w:val="24"/>
          <w:szCs w:val="24"/>
          <w:u w:val="single"/>
        </w:rPr>
      </w:pPr>
      <w:r w:rsidRPr="003C6641">
        <w:rPr>
          <w:rFonts w:eastAsia="Calibri" w:cstheme="minorHAnsi"/>
          <w:b/>
          <w:i/>
          <w:sz w:val="24"/>
          <w:szCs w:val="24"/>
          <w:u w:val="single"/>
        </w:rPr>
        <w:lastRenderedPageBreak/>
        <w:br w:type="page"/>
      </w:r>
    </w:p>
    <w:p w14:paraId="32503025" w14:textId="77777777" w:rsidR="007160F1" w:rsidRPr="003C6641" w:rsidRDefault="007160F1" w:rsidP="00AF23D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953C997" w14:textId="77777777" w:rsidR="00A933EA" w:rsidRPr="003C6641" w:rsidRDefault="00A933EA" w:rsidP="00AF23D6">
      <w:pPr>
        <w:spacing w:after="0" w:line="240" w:lineRule="auto"/>
        <w:ind w:left="3540" w:hanging="3540"/>
        <w:jc w:val="both"/>
        <w:rPr>
          <w:rFonts w:eastAsia="Calibri" w:cstheme="minorHAnsi"/>
          <w:b/>
          <w:i/>
          <w:sz w:val="24"/>
          <w:szCs w:val="24"/>
          <w:u w:val="single"/>
        </w:rPr>
      </w:pPr>
      <w:r w:rsidRPr="003C6641">
        <w:rPr>
          <w:rFonts w:eastAsia="Calibri" w:cstheme="minorHAnsi"/>
          <w:b/>
          <w:i/>
          <w:sz w:val="24"/>
          <w:szCs w:val="24"/>
          <w:u w:val="single"/>
        </w:rPr>
        <w:t>SO202 Nezaposleni koji sudjeluju u osposobljavanju</w:t>
      </w:r>
    </w:p>
    <w:p w14:paraId="2E699101" w14:textId="77777777" w:rsidR="00A933EA" w:rsidRPr="003C6641" w:rsidRDefault="00A933EA" w:rsidP="00AF23D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 xml:space="preserve">Osobe navedene pod pokazateljem CO01 a koje su sudjelovale u edukaciji, radionici ili drugom obliku stručnog osposobljavanja financiranog iz projekta koji će doprinijeti njihovoj zapošljivosti.   </w:t>
      </w:r>
    </w:p>
    <w:p w14:paraId="22ECA377" w14:textId="77777777" w:rsidR="00AD4E3E" w:rsidRPr="003C6641" w:rsidRDefault="00AD4E3E" w:rsidP="00AF23D6">
      <w:pPr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</w:p>
    <w:p w14:paraId="6B47C65F" w14:textId="77777777" w:rsidR="00AD4E3E" w:rsidRPr="003C6641" w:rsidRDefault="00AD4E3E" w:rsidP="00AF23D6">
      <w:pPr>
        <w:spacing w:after="0" w:line="240" w:lineRule="auto"/>
        <w:jc w:val="both"/>
        <w:rPr>
          <w:rFonts w:eastAsia="Calibri" w:cstheme="minorHAnsi"/>
          <w:b/>
          <w:bCs/>
          <w:i/>
          <w:sz w:val="24"/>
          <w:szCs w:val="24"/>
          <w:u w:val="single"/>
        </w:rPr>
      </w:pPr>
      <w:r w:rsidRPr="003C6641">
        <w:rPr>
          <w:rFonts w:eastAsia="Calibri" w:cstheme="minorHAnsi"/>
          <w:b/>
          <w:bCs/>
          <w:i/>
          <w:sz w:val="24"/>
          <w:szCs w:val="24"/>
          <w:u w:val="single"/>
        </w:rPr>
        <w:t>SO207 Broj sudionika pripadnika romske i drugih nacionalnih manjina</w:t>
      </w:r>
    </w:p>
    <w:p w14:paraId="3B9228EB" w14:textId="77777777" w:rsidR="00AD4E3E" w:rsidRPr="003C6641" w:rsidRDefault="00AD4E3E" w:rsidP="00AF23D6">
      <w:pPr>
        <w:spacing w:after="0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>Odnosi se na osobe iz pokazatelja CO01 Nezaposleni, koje su ujedno pripadnici romske i drugih nacionalnih manjina.</w:t>
      </w:r>
    </w:p>
    <w:p w14:paraId="71388354" w14:textId="77777777" w:rsidR="00AD4E3E" w:rsidRPr="003C6641" w:rsidRDefault="00AD4E3E" w:rsidP="00AF23D6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3C6641">
        <w:rPr>
          <w:rFonts w:eastAsia="Calibri" w:cstheme="minorHAnsi"/>
          <w:sz w:val="24"/>
          <w:szCs w:val="24"/>
        </w:rPr>
        <w:t>U smislu Ustavnog zakona RH o pravima nacionalnih manjina, nacionalna manjina je skupina hrvatskih državljana čiji su pripadnici tradicionalno nastanjeni na teritoriju Republike Hrvatske, a njeni članovi imaju etnička, jezična i/ili vjerska obilježja različita od drugih građana i vodi ih želja za očuvanjem tih obilježja.</w:t>
      </w:r>
    </w:p>
    <w:p w14:paraId="2013240E" w14:textId="77777777" w:rsidR="00A933EA" w:rsidRPr="003C6641" w:rsidRDefault="00A933EA" w:rsidP="00AF23D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95AEE5A" w14:textId="77777777" w:rsidR="00A37AC2" w:rsidRPr="003C6641" w:rsidRDefault="00A37AC2" w:rsidP="00AF23D6">
      <w:pPr>
        <w:spacing w:after="0" w:line="240" w:lineRule="auto"/>
        <w:ind w:left="3540" w:hanging="3540"/>
        <w:jc w:val="both"/>
        <w:rPr>
          <w:rFonts w:eastAsia="Calibri" w:cstheme="minorHAnsi"/>
          <w:b/>
          <w:i/>
          <w:sz w:val="24"/>
          <w:szCs w:val="24"/>
          <w:u w:val="single"/>
        </w:rPr>
      </w:pPr>
      <w:r w:rsidRPr="003C6641">
        <w:rPr>
          <w:rFonts w:eastAsia="Calibri" w:cstheme="minorHAnsi"/>
          <w:b/>
          <w:i/>
          <w:sz w:val="24"/>
          <w:szCs w:val="24"/>
          <w:u w:val="single"/>
        </w:rPr>
        <w:t>SO203 Stručnjaci koji su sudjelovali u osposobljavanju</w:t>
      </w:r>
    </w:p>
    <w:p w14:paraId="5076AE30" w14:textId="77777777" w:rsidR="00A37AC2" w:rsidRPr="003C6641" w:rsidRDefault="00A37AC2" w:rsidP="00AF23D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>Broj stručnjaka iz različitih sektora koji sudjeluju u programu osposobljavanja i/ili usavršavanja u stručnim znanjima i pedagoškim vještinama u svrhu unaprjeđenja usluga povezanih sa pristupom tržištu rada za  pripadnike ciljnih skupina.</w:t>
      </w:r>
    </w:p>
    <w:p w14:paraId="740549D1" w14:textId="77777777" w:rsidR="00A37AC2" w:rsidRPr="003C6641" w:rsidRDefault="00A37AC2" w:rsidP="00AF23D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9EDC3BA" w14:textId="77777777" w:rsidR="003D7B6B" w:rsidRPr="003C6641" w:rsidRDefault="003D7B6B" w:rsidP="00AF23D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17A6029" w14:textId="77777777" w:rsidR="00641B15" w:rsidRPr="003C6641" w:rsidRDefault="00641B15" w:rsidP="00AF23D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>Projekti</w:t>
      </w:r>
      <w:r w:rsidR="00E8268A" w:rsidRPr="003C6641">
        <w:rPr>
          <w:rFonts w:cstheme="minorHAnsi"/>
          <w:sz w:val="24"/>
          <w:szCs w:val="24"/>
        </w:rPr>
        <w:t xml:space="preserve"> </w:t>
      </w:r>
      <w:r w:rsidR="003A7401" w:rsidRPr="003C6641">
        <w:rPr>
          <w:rFonts w:cstheme="minorHAnsi"/>
          <w:sz w:val="24"/>
          <w:szCs w:val="24"/>
        </w:rPr>
        <w:t>koji doprinose</w:t>
      </w:r>
      <w:r w:rsidR="00E8268A" w:rsidRPr="003C6641">
        <w:rPr>
          <w:rFonts w:cstheme="minorHAnsi"/>
          <w:sz w:val="24"/>
          <w:szCs w:val="24"/>
        </w:rPr>
        <w:t xml:space="preserve"> sp</w:t>
      </w:r>
      <w:r w:rsidR="003A7401" w:rsidRPr="003C6641">
        <w:rPr>
          <w:rFonts w:cstheme="minorHAnsi"/>
          <w:sz w:val="24"/>
          <w:szCs w:val="24"/>
        </w:rPr>
        <w:t>ecifičnim ciljevima</w:t>
      </w:r>
      <w:r w:rsidR="00E8268A" w:rsidRPr="003C6641">
        <w:rPr>
          <w:rFonts w:cstheme="minorHAnsi"/>
          <w:sz w:val="24"/>
          <w:szCs w:val="24"/>
        </w:rPr>
        <w:t xml:space="preserve"> 1.,2., i 3., a</w:t>
      </w:r>
      <w:r w:rsidRPr="003C6641">
        <w:rPr>
          <w:rFonts w:cstheme="minorHAnsi"/>
          <w:sz w:val="24"/>
          <w:szCs w:val="24"/>
        </w:rPr>
        <w:t xml:space="preserve"> koji izravno</w:t>
      </w:r>
      <w:r w:rsidRPr="003C6641">
        <w:rPr>
          <w:rFonts w:cstheme="minorHAnsi"/>
          <w:b/>
          <w:sz w:val="24"/>
          <w:szCs w:val="24"/>
        </w:rPr>
        <w:t xml:space="preserve"> </w:t>
      </w:r>
      <w:r w:rsidRPr="003C6641">
        <w:rPr>
          <w:rFonts w:cstheme="minorHAnsi"/>
          <w:sz w:val="24"/>
          <w:szCs w:val="24"/>
        </w:rPr>
        <w:t xml:space="preserve">ne doprinose pokazatelju </w:t>
      </w:r>
      <w:r w:rsidRPr="003C6641">
        <w:rPr>
          <w:rFonts w:cstheme="minorHAnsi"/>
          <w:b/>
          <w:sz w:val="24"/>
          <w:szCs w:val="24"/>
        </w:rPr>
        <w:t xml:space="preserve">CO01 Nezaposleni, </w:t>
      </w:r>
      <w:r w:rsidRPr="003C6641">
        <w:rPr>
          <w:rFonts w:eastAsia="Calibri" w:cstheme="minorHAnsi"/>
          <w:b/>
          <w:sz w:val="24"/>
          <w:szCs w:val="24"/>
        </w:rPr>
        <w:t xml:space="preserve">uključujući dugotrajno nezaposlene </w:t>
      </w:r>
      <w:r w:rsidRPr="003C6641">
        <w:rPr>
          <w:rFonts w:cstheme="minorHAnsi"/>
          <w:bCs/>
          <w:sz w:val="24"/>
          <w:szCs w:val="24"/>
        </w:rPr>
        <w:t>neće se smatrati prihvatljivima za financiranje</w:t>
      </w:r>
      <w:r w:rsidRPr="003C6641">
        <w:rPr>
          <w:rFonts w:cstheme="minorHAnsi"/>
          <w:sz w:val="24"/>
          <w:szCs w:val="24"/>
        </w:rPr>
        <w:t>.</w:t>
      </w:r>
    </w:p>
    <w:p w14:paraId="4EC7B11A" w14:textId="77777777" w:rsidR="00E8268A" w:rsidRPr="003C6641" w:rsidRDefault="00E8268A" w:rsidP="00AF23D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 xml:space="preserve">Projekti </w:t>
      </w:r>
      <w:r w:rsidR="003A7401" w:rsidRPr="003C6641">
        <w:rPr>
          <w:rFonts w:cstheme="minorHAnsi"/>
          <w:sz w:val="24"/>
          <w:szCs w:val="24"/>
        </w:rPr>
        <w:t>koji doprinose specifičnom cilju</w:t>
      </w:r>
      <w:r w:rsidRPr="003C6641">
        <w:rPr>
          <w:rFonts w:cstheme="minorHAnsi"/>
          <w:sz w:val="24"/>
          <w:szCs w:val="24"/>
        </w:rPr>
        <w:t xml:space="preserve"> 4., a koji izravno ne doprinosi pokazatelju </w:t>
      </w:r>
      <w:r w:rsidRPr="003C6641">
        <w:rPr>
          <w:rFonts w:cstheme="minorHAnsi"/>
          <w:b/>
          <w:sz w:val="24"/>
          <w:szCs w:val="24"/>
        </w:rPr>
        <w:t xml:space="preserve">SO203 Stručnjaci koji su sudjelovali u osposobljavanju </w:t>
      </w:r>
      <w:r w:rsidRPr="003C6641">
        <w:rPr>
          <w:rFonts w:cstheme="minorHAnsi"/>
          <w:sz w:val="24"/>
          <w:szCs w:val="24"/>
        </w:rPr>
        <w:t>neće se smatrati prihvatljivima za financiranje.</w:t>
      </w:r>
    </w:p>
    <w:p w14:paraId="5DE212BA" w14:textId="77777777" w:rsidR="00641B15" w:rsidRPr="003C6641" w:rsidRDefault="00641B15" w:rsidP="00AF23D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4F55E89" w14:textId="77777777" w:rsidR="00661843" w:rsidRDefault="007A7B99" w:rsidP="00143293">
      <w:pPr>
        <w:pStyle w:val="Heading1"/>
        <w:numPr>
          <w:ilvl w:val="0"/>
          <w:numId w:val="40"/>
        </w:numPr>
        <w:rPr>
          <w:b w:val="0"/>
          <w:sz w:val="32"/>
        </w:rPr>
      </w:pPr>
      <w:r w:rsidRPr="004E6D4B">
        <w:rPr>
          <w:b w:val="0"/>
          <w:sz w:val="32"/>
        </w:rPr>
        <w:t>FINANCIRANJE</w:t>
      </w:r>
    </w:p>
    <w:p w14:paraId="058BEE52" w14:textId="77777777" w:rsidR="004E6D4B" w:rsidRPr="004E6D4B" w:rsidRDefault="004E6D4B" w:rsidP="004E6D4B"/>
    <w:p w14:paraId="14387601" w14:textId="77777777" w:rsidR="00661843" w:rsidRPr="003C6641" w:rsidRDefault="003149C4" w:rsidP="00AF23D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>Ukupna financijska alokacija  u okviru ovog Poziva na dostavu projektnih prijedloga iznosi  99.918.750,00 kn. Maksimalna stopa sufinanciranja iznosi 85 % ukupnih prihvatljivih troškova i osigurana je temeljem OP ULJP iz sredstava Europskog socijalnog fonda (ESF) dok će se obavezni  udio nacionalnog sufinanciranja od 15 % osigurati iz  Državnog proračuna Republike Hrvatske.</w:t>
      </w:r>
    </w:p>
    <w:p w14:paraId="5513BBBC" w14:textId="77777777" w:rsidR="003149C4" w:rsidRPr="003C6641" w:rsidRDefault="003149C4" w:rsidP="00AF23D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115FE0D" w14:textId="77777777" w:rsidR="00B460E2" w:rsidRPr="003C6641" w:rsidRDefault="00EE7E0E" w:rsidP="00AF23D6">
      <w:pPr>
        <w:jc w:val="both"/>
        <w:rPr>
          <w:rFonts w:cstheme="minorHAnsi"/>
          <w:b/>
          <w:bCs/>
          <w:sz w:val="24"/>
          <w:szCs w:val="24"/>
        </w:rPr>
      </w:pPr>
      <w:r w:rsidRPr="003C6641">
        <w:rPr>
          <w:rFonts w:cstheme="minorHAnsi"/>
          <w:b/>
          <w:bCs/>
          <w:sz w:val="24"/>
          <w:szCs w:val="24"/>
        </w:rPr>
        <w:t xml:space="preserve">(Ukupna) Bespovratna sredstva 100 %: </w:t>
      </w:r>
      <w:r w:rsidR="00FB144D" w:rsidRPr="003C6641">
        <w:rPr>
          <w:rFonts w:cstheme="minorHAnsi"/>
          <w:b/>
          <w:bCs/>
          <w:sz w:val="24"/>
          <w:szCs w:val="24"/>
        </w:rPr>
        <w:t>99.918.750,00 kn</w:t>
      </w:r>
    </w:p>
    <w:p w14:paraId="73C021FE" w14:textId="77777777" w:rsidR="00FB144D" w:rsidRPr="003C6641" w:rsidRDefault="00BE4617" w:rsidP="00AF23D6">
      <w:pPr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 xml:space="preserve">Sredstva Europske unije (85%): </w:t>
      </w:r>
      <w:r w:rsidR="00FB144D" w:rsidRPr="003C6641">
        <w:rPr>
          <w:rFonts w:cstheme="minorHAnsi"/>
          <w:sz w:val="24"/>
          <w:szCs w:val="24"/>
        </w:rPr>
        <w:t xml:space="preserve">84.930.937,50 kn </w:t>
      </w:r>
    </w:p>
    <w:p w14:paraId="2CE5156B" w14:textId="77777777" w:rsidR="00BE4617" w:rsidRPr="003C6641" w:rsidRDefault="00BE4617" w:rsidP="00AF23D6">
      <w:pPr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 xml:space="preserve">Sredstva Državnog proračuna (15%): </w:t>
      </w:r>
      <w:r w:rsidR="00FB144D" w:rsidRPr="003C6641">
        <w:rPr>
          <w:rFonts w:cstheme="minorHAnsi"/>
          <w:sz w:val="24"/>
          <w:szCs w:val="24"/>
        </w:rPr>
        <w:t>14.987.812,50 kn</w:t>
      </w:r>
    </w:p>
    <w:p w14:paraId="6B73855B" w14:textId="77777777" w:rsidR="00B727C5" w:rsidRPr="003C6641" w:rsidRDefault="00B25F4B" w:rsidP="00AF23D6">
      <w:pPr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b/>
          <w:sz w:val="24"/>
          <w:szCs w:val="24"/>
        </w:rPr>
        <w:t>Najniži iznos bespovratnih sredstava</w:t>
      </w:r>
      <w:r w:rsidR="00C500FB" w:rsidRPr="003C6641">
        <w:rPr>
          <w:rFonts w:cstheme="minorHAnsi"/>
          <w:sz w:val="24"/>
          <w:szCs w:val="24"/>
        </w:rPr>
        <w:t xml:space="preserve">: </w:t>
      </w:r>
      <w:r w:rsidR="00FB144D" w:rsidRPr="003C6641">
        <w:rPr>
          <w:rFonts w:cstheme="minorHAnsi"/>
          <w:sz w:val="24"/>
          <w:szCs w:val="24"/>
        </w:rPr>
        <w:t>350</w:t>
      </w:r>
      <w:r w:rsidR="00B727C5" w:rsidRPr="003C6641">
        <w:rPr>
          <w:rFonts w:cstheme="minorHAnsi"/>
          <w:sz w:val="24"/>
          <w:szCs w:val="24"/>
        </w:rPr>
        <w:t>.000,00 kn</w:t>
      </w:r>
    </w:p>
    <w:p w14:paraId="49CFEBF2" w14:textId="77777777" w:rsidR="00B727C5" w:rsidRPr="003C6641" w:rsidRDefault="00B25F4B" w:rsidP="00AF23D6">
      <w:pPr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b/>
          <w:sz w:val="24"/>
          <w:szCs w:val="24"/>
        </w:rPr>
        <w:t>Najviši iznos bespovratnih sredstava</w:t>
      </w:r>
      <w:r w:rsidR="00C500FB" w:rsidRPr="003C6641">
        <w:rPr>
          <w:rFonts w:cstheme="minorHAnsi"/>
          <w:sz w:val="24"/>
          <w:szCs w:val="24"/>
        </w:rPr>
        <w:t>: 1</w:t>
      </w:r>
      <w:r w:rsidR="00B727C5" w:rsidRPr="003C6641">
        <w:rPr>
          <w:rFonts w:cstheme="minorHAnsi"/>
          <w:sz w:val="24"/>
          <w:szCs w:val="24"/>
        </w:rPr>
        <w:t>.500.000,00 kn</w:t>
      </w:r>
    </w:p>
    <w:p w14:paraId="489B6E5E" w14:textId="77777777" w:rsidR="00FB144D" w:rsidRPr="003C6641" w:rsidRDefault="00FB144D" w:rsidP="00AF23D6">
      <w:pPr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b/>
          <w:sz w:val="24"/>
          <w:szCs w:val="24"/>
        </w:rPr>
        <w:t>Intenzitet potpore</w:t>
      </w:r>
      <w:r w:rsidRPr="003C6641">
        <w:rPr>
          <w:rFonts w:cstheme="minorHAnsi"/>
          <w:sz w:val="24"/>
          <w:szCs w:val="24"/>
        </w:rPr>
        <w:t>: 100%</w:t>
      </w:r>
    </w:p>
    <w:p w14:paraId="0DE5E29E" w14:textId="77777777" w:rsidR="00661843" w:rsidRPr="003C6641" w:rsidRDefault="00661843" w:rsidP="00AF23D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>Ministarstvo za demografiju, mlade, obitelj i socijalnu politiku može osigurati dodatna sredstva za ovaj Poziv. Također, Ministarstvo za demografiju, mlade, obitelj i socijalnu politiku zadržava pravo ne dodijeliti sva raspoloživa sredstva</w:t>
      </w:r>
      <w:r w:rsidR="000A4BC1" w:rsidRPr="003C6641">
        <w:rPr>
          <w:rFonts w:cstheme="minorHAnsi"/>
          <w:sz w:val="24"/>
          <w:szCs w:val="24"/>
        </w:rPr>
        <w:t>.</w:t>
      </w:r>
    </w:p>
    <w:p w14:paraId="47339267" w14:textId="77777777" w:rsidR="00661843" w:rsidRPr="003C6641" w:rsidRDefault="00661843" w:rsidP="00AF23D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0844C71" w14:textId="77777777" w:rsidR="00661843" w:rsidRPr="003C6641" w:rsidRDefault="00661843" w:rsidP="00AF23D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 xml:space="preserve">Intenzitet potpore po pojedinom Projektu može iznositi do 100% prihvatljivih  troškova, odnosno prijavitelji nisu dužni osigurati sufinanciranje </w:t>
      </w:r>
      <w:r w:rsidR="00886B2D" w:rsidRPr="003C6641">
        <w:rPr>
          <w:rFonts w:cstheme="minorHAnsi"/>
          <w:sz w:val="24"/>
          <w:szCs w:val="24"/>
        </w:rPr>
        <w:t>projekta iz vlastitih sredstava</w:t>
      </w:r>
      <w:r w:rsidRPr="003C6641">
        <w:rPr>
          <w:rFonts w:cstheme="minorHAnsi"/>
          <w:sz w:val="24"/>
          <w:szCs w:val="24"/>
        </w:rPr>
        <w:t>.</w:t>
      </w:r>
    </w:p>
    <w:p w14:paraId="0E75486C" w14:textId="77777777" w:rsidR="00661843" w:rsidRPr="003C6641" w:rsidRDefault="00661843" w:rsidP="00AF23D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46801A5" w14:textId="77777777" w:rsidR="00661843" w:rsidRPr="003C6641" w:rsidRDefault="00661843" w:rsidP="00AF23D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 xml:space="preserve">U ovom pozivu na dostavu projektnih prijedloga PT osigurava Korisnicima isplatu predujma u najvišem iznosu od 40% bespovratnih sredstava. </w:t>
      </w:r>
    </w:p>
    <w:p w14:paraId="6513E96F" w14:textId="77777777" w:rsidR="00661843" w:rsidRPr="003C6641" w:rsidRDefault="00661843" w:rsidP="00AF23D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7EF4700" w14:textId="77777777" w:rsidR="00661843" w:rsidRPr="003C6641" w:rsidRDefault="00F65430" w:rsidP="00AF23D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>Proračunski i izvan</w:t>
      </w:r>
      <w:r w:rsidR="00661843" w:rsidRPr="003C6641">
        <w:rPr>
          <w:rFonts w:cstheme="minorHAnsi"/>
          <w:sz w:val="24"/>
          <w:szCs w:val="24"/>
        </w:rPr>
        <w:t>proračunski korisnici državnog proračuna kao i proračunski korisnici treće razine sukladno Podacima iz registra proračunskih i izv</w:t>
      </w:r>
      <w:r w:rsidR="004B6551" w:rsidRPr="003C6641">
        <w:rPr>
          <w:rFonts w:cstheme="minorHAnsi"/>
          <w:sz w:val="24"/>
          <w:szCs w:val="24"/>
        </w:rPr>
        <w:t>anproračunskih korisnika za 2017</w:t>
      </w:r>
      <w:r w:rsidR="00E7062B" w:rsidRPr="003C6641">
        <w:rPr>
          <w:rFonts w:cstheme="minorHAnsi"/>
          <w:sz w:val="24"/>
          <w:szCs w:val="24"/>
        </w:rPr>
        <w:t>. </w:t>
      </w:r>
      <w:r w:rsidR="00661843" w:rsidRPr="003C6641">
        <w:rPr>
          <w:rFonts w:cstheme="minorHAnsi"/>
          <w:sz w:val="24"/>
          <w:szCs w:val="24"/>
        </w:rPr>
        <w:t>godinu (Narodne novine br. 50/16) potrebna sredstva za provedbu projekta osiguravaju u sklopu državnog proračuna slijedeći odredbe Zakona o proračunu, Zakona o izvršenju proračuna i Upute za izradu prijedloga državnog proračuna Republike Hrvatske Ministarstva financija za razdoblje planiranja od tri godine. Takvim korisnicima ne isplaćuje se predujam.</w:t>
      </w:r>
    </w:p>
    <w:p w14:paraId="4183B89F" w14:textId="77777777" w:rsidR="00661843" w:rsidRPr="003C6641" w:rsidRDefault="00661843" w:rsidP="00AF23D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54E7BA2" w14:textId="77777777" w:rsidR="00661843" w:rsidRPr="003C6641" w:rsidRDefault="00661843" w:rsidP="00AF23D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 xml:space="preserve">Prijavitelji na Poziv na dostavu projektnih prijedloga ne smiju prijaviti aktivnosti projekta za čiju su provedbu već dobili sredstva iz drugih </w:t>
      </w:r>
      <w:r w:rsidR="00913185" w:rsidRPr="003C6641">
        <w:rPr>
          <w:rFonts w:cstheme="minorHAnsi"/>
          <w:sz w:val="24"/>
          <w:szCs w:val="24"/>
        </w:rPr>
        <w:t xml:space="preserve">javnih </w:t>
      </w:r>
      <w:r w:rsidRPr="003C6641">
        <w:rPr>
          <w:rFonts w:cstheme="minorHAnsi"/>
          <w:sz w:val="24"/>
          <w:szCs w:val="24"/>
        </w:rPr>
        <w:t>izvora.</w:t>
      </w:r>
    </w:p>
    <w:p w14:paraId="5EE9E7D1" w14:textId="77777777" w:rsidR="00661843" w:rsidRPr="003C6641" w:rsidRDefault="00661843" w:rsidP="00AF23D6">
      <w:pPr>
        <w:tabs>
          <w:tab w:val="left" w:pos="6735"/>
        </w:tabs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ab/>
      </w:r>
    </w:p>
    <w:p w14:paraId="4E6F2167" w14:textId="77777777" w:rsidR="00661843" w:rsidRPr="003C6641" w:rsidRDefault="00661843" w:rsidP="00AF23D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 xml:space="preserve">Aktivnosti projekta prijavljene za ovaj Poziv na dostavu projektnih prijedloga ne smiju biti dvostruko financirane. </w:t>
      </w:r>
    </w:p>
    <w:p w14:paraId="18615C83" w14:textId="77777777" w:rsidR="00661843" w:rsidRPr="003C6641" w:rsidRDefault="00661843" w:rsidP="00AF23D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A26DD3D" w14:textId="77777777" w:rsidR="00886B2D" w:rsidRPr="004E6D4B" w:rsidRDefault="007A7B99" w:rsidP="00143293">
      <w:pPr>
        <w:pStyle w:val="Heading1"/>
        <w:numPr>
          <w:ilvl w:val="0"/>
          <w:numId w:val="40"/>
        </w:numPr>
        <w:rPr>
          <w:b w:val="0"/>
          <w:sz w:val="32"/>
        </w:rPr>
      </w:pPr>
      <w:r w:rsidRPr="004E6D4B">
        <w:rPr>
          <w:b w:val="0"/>
          <w:sz w:val="32"/>
        </w:rPr>
        <w:lastRenderedPageBreak/>
        <w:t>KRITERIJI PRIHVATLJIVOSTI</w:t>
      </w:r>
    </w:p>
    <w:p w14:paraId="70024A38" w14:textId="77777777" w:rsidR="009C2A69" w:rsidRPr="003C6641" w:rsidRDefault="009C2A69" w:rsidP="00AF23D6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>Prijavitelj ne može dostaviti više od jedne prijave na ovaj Poziv na dostavu projektnih prijedloga.</w:t>
      </w:r>
    </w:p>
    <w:p w14:paraId="22E6371D" w14:textId="77777777" w:rsidR="009C2A69" w:rsidRPr="003C6641" w:rsidRDefault="009C2A69" w:rsidP="00AF23D6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4DD153F" w14:textId="77777777" w:rsidR="009C2A69" w:rsidRPr="003C6641" w:rsidRDefault="009C2A69" w:rsidP="00AF23D6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 xml:space="preserve">Prijavitelj može istovremeno biti partner u drugoj prijavi. Partneri mogu sudjelovati u više od jedne prijave. </w:t>
      </w:r>
    </w:p>
    <w:p w14:paraId="6084F730" w14:textId="77777777" w:rsidR="009C2A69" w:rsidRPr="005A52C0" w:rsidRDefault="009C2A69" w:rsidP="00AF23D6">
      <w:pPr>
        <w:jc w:val="both"/>
        <w:rPr>
          <w:sz w:val="24"/>
        </w:rPr>
      </w:pPr>
    </w:p>
    <w:p w14:paraId="680BDC74" w14:textId="77777777" w:rsidR="00886B2D" w:rsidRPr="004E6D4B" w:rsidRDefault="00056BE2" w:rsidP="004E6D4B">
      <w:pPr>
        <w:pStyle w:val="Heading2"/>
        <w:ind w:left="360"/>
      </w:pPr>
      <w:r w:rsidRPr="004E6D4B">
        <w:t xml:space="preserve">8.1 </w:t>
      </w:r>
      <w:r w:rsidR="00886B2D" w:rsidRPr="004E6D4B">
        <w:t xml:space="preserve">Kriteriji prihvatljivosti prijavitelja </w:t>
      </w:r>
    </w:p>
    <w:p w14:paraId="2A153D30" w14:textId="77777777" w:rsidR="006174E1" w:rsidRPr="003C6641" w:rsidRDefault="006174E1" w:rsidP="00AF23D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 xml:space="preserve">Prijavitelj mora ispunjavati sljedeće uvjete:  </w:t>
      </w:r>
    </w:p>
    <w:p w14:paraId="0BD91542" w14:textId="77777777" w:rsidR="006174E1" w:rsidRPr="003C6641" w:rsidRDefault="006174E1" w:rsidP="00AF23D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2114F02" w14:textId="77777777" w:rsidR="003C405A" w:rsidRPr="005A52C0" w:rsidRDefault="003C405A" w:rsidP="00AF23D6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/>
          <w:color w:val="auto"/>
          <w:sz w:val="24"/>
        </w:rPr>
      </w:pPr>
      <w:r w:rsidRPr="005A52C0">
        <w:rPr>
          <w:rFonts w:asciiTheme="minorHAnsi" w:hAnsiTheme="minorHAnsi"/>
          <w:color w:val="auto"/>
          <w:sz w:val="24"/>
        </w:rPr>
        <w:t>biti pravna osoba sa sljedećim pravnim statusom:</w:t>
      </w:r>
    </w:p>
    <w:p w14:paraId="0D10C4E4" w14:textId="77777777" w:rsidR="003C405A" w:rsidRPr="005A52C0" w:rsidRDefault="003C405A" w:rsidP="00287349">
      <w:pPr>
        <w:pStyle w:val="ListParagraph"/>
        <w:numPr>
          <w:ilvl w:val="0"/>
          <w:numId w:val="37"/>
        </w:numPr>
        <w:spacing w:after="0"/>
        <w:jc w:val="both"/>
        <w:rPr>
          <w:rFonts w:asciiTheme="minorHAnsi" w:hAnsiTheme="minorHAnsi"/>
          <w:color w:val="auto"/>
          <w:sz w:val="24"/>
        </w:rPr>
      </w:pPr>
      <w:r w:rsidRPr="005A52C0">
        <w:rPr>
          <w:rFonts w:asciiTheme="minorHAnsi" w:hAnsiTheme="minorHAnsi"/>
          <w:color w:val="auto"/>
          <w:sz w:val="24"/>
        </w:rPr>
        <w:t>udruga;</w:t>
      </w:r>
    </w:p>
    <w:p w14:paraId="575E050A" w14:textId="77777777" w:rsidR="003C405A" w:rsidRPr="005A52C0" w:rsidRDefault="000F02F0" w:rsidP="00287349">
      <w:pPr>
        <w:pStyle w:val="ListParagraph"/>
        <w:numPr>
          <w:ilvl w:val="0"/>
          <w:numId w:val="37"/>
        </w:numPr>
        <w:spacing w:after="0"/>
        <w:jc w:val="both"/>
        <w:rPr>
          <w:rFonts w:asciiTheme="minorHAnsi" w:hAnsiTheme="minorHAnsi"/>
          <w:color w:val="auto"/>
          <w:sz w:val="24"/>
        </w:rPr>
      </w:pPr>
      <w:r w:rsidRPr="005A52C0">
        <w:rPr>
          <w:rFonts w:asciiTheme="minorHAnsi" w:hAnsiTheme="minorHAnsi"/>
          <w:color w:val="auto"/>
          <w:sz w:val="24"/>
        </w:rPr>
        <w:t xml:space="preserve">javna </w:t>
      </w:r>
      <w:r w:rsidR="003C405A" w:rsidRPr="005A52C0">
        <w:rPr>
          <w:rFonts w:asciiTheme="minorHAnsi" w:hAnsiTheme="minorHAnsi"/>
          <w:color w:val="auto"/>
          <w:sz w:val="24"/>
        </w:rPr>
        <w:t>ustanova;</w:t>
      </w:r>
    </w:p>
    <w:p w14:paraId="4CF442E6" w14:textId="77777777" w:rsidR="000F02F0" w:rsidRPr="005A52C0" w:rsidRDefault="003C405A" w:rsidP="00287349">
      <w:pPr>
        <w:pStyle w:val="ListParagraph"/>
        <w:numPr>
          <w:ilvl w:val="0"/>
          <w:numId w:val="37"/>
        </w:numPr>
        <w:spacing w:after="0"/>
        <w:jc w:val="both"/>
        <w:rPr>
          <w:rFonts w:asciiTheme="minorHAnsi" w:hAnsiTheme="minorHAnsi"/>
          <w:color w:val="auto"/>
          <w:sz w:val="24"/>
        </w:rPr>
      </w:pPr>
      <w:r w:rsidRPr="005A52C0">
        <w:rPr>
          <w:rFonts w:asciiTheme="minorHAnsi" w:hAnsiTheme="minorHAnsi"/>
          <w:color w:val="auto"/>
          <w:sz w:val="24"/>
        </w:rPr>
        <w:t>zaklada ili fundacija;</w:t>
      </w:r>
    </w:p>
    <w:p w14:paraId="51B74B78" w14:textId="77777777" w:rsidR="003C405A" w:rsidRPr="005A52C0" w:rsidRDefault="003C405A" w:rsidP="00287349">
      <w:pPr>
        <w:pStyle w:val="ListParagraph"/>
        <w:numPr>
          <w:ilvl w:val="0"/>
          <w:numId w:val="37"/>
        </w:numPr>
        <w:spacing w:after="0"/>
        <w:jc w:val="both"/>
        <w:rPr>
          <w:rFonts w:asciiTheme="minorHAnsi" w:hAnsiTheme="minorHAnsi"/>
          <w:color w:val="auto"/>
          <w:sz w:val="24"/>
        </w:rPr>
      </w:pPr>
      <w:r w:rsidRPr="005A52C0">
        <w:rPr>
          <w:rFonts w:asciiTheme="minorHAnsi" w:hAnsiTheme="minorHAnsi"/>
          <w:color w:val="auto"/>
          <w:sz w:val="24"/>
        </w:rPr>
        <w:t xml:space="preserve">lokalna </w:t>
      </w:r>
      <w:r w:rsidRPr="003C6641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8F0892" w:rsidRPr="003C6641">
        <w:rPr>
          <w:rFonts w:asciiTheme="minorHAnsi" w:hAnsiTheme="minorHAnsi" w:cstheme="minorHAnsi"/>
          <w:color w:val="auto"/>
          <w:sz w:val="24"/>
          <w:szCs w:val="24"/>
        </w:rPr>
        <w:t>li</w:t>
      </w:r>
      <w:r w:rsidRPr="005A52C0">
        <w:rPr>
          <w:rFonts w:asciiTheme="minorHAnsi" w:hAnsiTheme="minorHAnsi"/>
          <w:color w:val="auto"/>
          <w:sz w:val="24"/>
        </w:rPr>
        <w:t xml:space="preserve"> regionalna razvojna agencija;</w:t>
      </w:r>
    </w:p>
    <w:p w14:paraId="7FD7133B" w14:textId="77777777" w:rsidR="00A32807" w:rsidRPr="005A52C0" w:rsidRDefault="003C405A" w:rsidP="00287349">
      <w:pPr>
        <w:pStyle w:val="ListParagraph"/>
        <w:numPr>
          <w:ilvl w:val="0"/>
          <w:numId w:val="37"/>
        </w:numPr>
        <w:spacing w:after="0"/>
        <w:jc w:val="both"/>
        <w:rPr>
          <w:rFonts w:asciiTheme="minorHAnsi" w:hAnsiTheme="minorHAnsi"/>
          <w:color w:val="auto"/>
          <w:sz w:val="24"/>
        </w:rPr>
      </w:pPr>
      <w:r w:rsidRPr="005A52C0">
        <w:rPr>
          <w:rFonts w:asciiTheme="minorHAnsi" w:hAnsiTheme="minorHAnsi"/>
          <w:color w:val="auto"/>
          <w:sz w:val="24"/>
        </w:rPr>
        <w:t>međunarodna (međuvladina) organizacija (kako je definirano člankom 43. Pravila provedbe Financijske uredbe EZ-a)</w:t>
      </w:r>
      <w:r w:rsidR="00A32807" w:rsidRPr="005A52C0">
        <w:rPr>
          <w:rFonts w:asciiTheme="minorHAnsi" w:hAnsiTheme="minorHAnsi"/>
          <w:color w:val="auto"/>
          <w:sz w:val="24"/>
        </w:rPr>
        <w:t xml:space="preserve">; </w:t>
      </w:r>
    </w:p>
    <w:p w14:paraId="7909BA10" w14:textId="77777777" w:rsidR="00A32807" w:rsidRPr="005A52C0" w:rsidRDefault="00A32807" w:rsidP="00287349">
      <w:pPr>
        <w:pStyle w:val="ListParagraph"/>
        <w:numPr>
          <w:ilvl w:val="0"/>
          <w:numId w:val="37"/>
        </w:numPr>
        <w:spacing w:after="0"/>
        <w:jc w:val="both"/>
        <w:rPr>
          <w:rFonts w:asciiTheme="minorHAnsi" w:hAnsiTheme="minorHAnsi"/>
          <w:color w:val="auto"/>
          <w:sz w:val="24"/>
        </w:rPr>
      </w:pPr>
      <w:r w:rsidRPr="003C6641">
        <w:rPr>
          <w:rFonts w:asciiTheme="minorHAnsi" w:hAnsiTheme="minorHAnsi" w:cstheme="minorHAnsi"/>
          <w:color w:val="auto"/>
          <w:sz w:val="24"/>
          <w:szCs w:val="24"/>
        </w:rPr>
        <w:t>jedinic</w:t>
      </w:r>
      <w:r w:rsidR="008F0892" w:rsidRPr="003C6641">
        <w:rPr>
          <w:rFonts w:asciiTheme="minorHAnsi" w:hAnsiTheme="minorHAnsi" w:cstheme="minorHAnsi"/>
          <w:color w:val="auto"/>
          <w:sz w:val="24"/>
          <w:szCs w:val="24"/>
        </w:rPr>
        <w:t>a</w:t>
      </w:r>
      <w:r w:rsidRPr="005A52C0">
        <w:rPr>
          <w:rFonts w:asciiTheme="minorHAnsi" w:hAnsiTheme="minorHAnsi"/>
          <w:color w:val="auto"/>
          <w:sz w:val="24"/>
        </w:rPr>
        <w:t xml:space="preserve"> lokalne </w:t>
      </w:r>
      <w:r w:rsidRPr="003C6641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8F0892" w:rsidRPr="003C6641">
        <w:rPr>
          <w:rFonts w:asciiTheme="minorHAnsi" w:hAnsiTheme="minorHAnsi" w:cstheme="minorHAnsi"/>
          <w:color w:val="auto"/>
          <w:sz w:val="24"/>
          <w:szCs w:val="24"/>
        </w:rPr>
        <w:t>li</w:t>
      </w:r>
      <w:r w:rsidRPr="005A52C0">
        <w:rPr>
          <w:rFonts w:asciiTheme="minorHAnsi" w:hAnsiTheme="minorHAnsi"/>
          <w:color w:val="auto"/>
          <w:sz w:val="24"/>
        </w:rPr>
        <w:t xml:space="preserve"> regionalne samouprave.</w:t>
      </w:r>
    </w:p>
    <w:p w14:paraId="0533ECEE" w14:textId="77777777" w:rsidR="000477D4" w:rsidRPr="003C6641" w:rsidRDefault="000477D4" w:rsidP="0062248E">
      <w:pPr>
        <w:spacing w:after="0"/>
        <w:jc w:val="both"/>
        <w:rPr>
          <w:rFonts w:cstheme="minorHAnsi"/>
          <w:sz w:val="24"/>
          <w:szCs w:val="24"/>
        </w:rPr>
      </w:pPr>
    </w:p>
    <w:p w14:paraId="34151657" w14:textId="77777777" w:rsidR="003C405A" w:rsidRPr="003C6641" w:rsidRDefault="00A32807" w:rsidP="0062248E">
      <w:pPr>
        <w:suppressAutoHyphens/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>Prijavitelji s</w:t>
      </w:r>
      <w:r w:rsidR="00216228" w:rsidRPr="003C6641">
        <w:rPr>
          <w:rFonts w:cstheme="minorHAnsi"/>
          <w:sz w:val="24"/>
          <w:szCs w:val="24"/>
        </w:rPr>
        <w:t>a pravnim statusom a., b., c.,</w:t>
      </w:r>
      <w:r w:rsidR="000477D4" w:rsidRPr="003C6641">
        <w:rPr>
          <w:rFonts w:cstheme="minorHAnsi"/>
          <w:sz w:val="24"/>
          <w:szCs w:val="24"/>
        </w:rPr>
        <w:t xml:space="preserve"> d.</w:t>
      </w:r>
      <w:r w:rsidRPr="003C6641">
        <w:rPr>
          <w:rFonts w:cstheme="minorHAnsi"/>
          <w:sz w:val="24"/>
          <w:szCs w:val="24"/>
        </w:rPr>
        <w:t xml:space="preserve">, ili </w:t>
      </w:r>
      <w:r w:rsidR="000477D4" w:rsidRPr="003C6641">
        <w:rPr>
          <w:rFonts w:cstheme="minorHAnsi"/>
          <w:sz w:val="24"/>
          <w:szCs w:val="24"/>
        </w:rPr>
        <w:t>e</w:t>
      </w:r>
      <w:r w:rsidRPr="003C6641">
        <w:rPr>
          <w:rFonts w:cstheme="minorHAnsi"/>
          <w:sz w:val="24"/>
          <w:szCs w:val="24"/>
        </w:rPr>
        <w:t xml:space="preserve">., mora </w:t>
      </w:r>
      <w:r w:rsidR="003C405A" w:rsidRPr="003C6641">
        <w:rPr>
          <w:rFonts w:cstheme="minorHAnsi"/>
          <w:sz w:val="24"/>
          <w:szCs w:val="24"/>
        </w:rPr>
        <w:t xml:space="preserve">biti upisan u odgovarajući registar najmanje godinu dana prije roka za podnošenje prijave te u Republici Hrvatskoj obavljati registriranu djelatnost odnosno imati sjedište u Republici Hrvatskoj. </w:t>
      </w:r>
    </w:p>
    <w:p w14:paraId="2806E412" w14:textId="77777777" w:rsidR="003C405A" w:rsidRPr="003C6641" w:rsidRDefault="003C405A" w:rsidP="00AF23D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683F90" w14:textId="77777777" w:rsidR="00287349" w:rsidRPr="003C6641" w:rsidRDefault="00287349" w:rsidP="0028734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 xml:space="preserve">Prijavitelji moraju također ispunjavati sljedeće uvjete : </w:t>
      </w:r>
    </w:p>
    <w:p w14:paraId="595B338E" w14:textId="77777777" w:rsidR="003C405A" w:rsidRPr="005A52C0" w:rsidRDefault="003C405A" w:rsidP="00AF23D6">
      <w:pPr>
        <w:pStyle w:val="ListParagraph"/>
        <w:spacing w:after="0" w:line="240" w:lineRule="auto"/>
        <w:jc w:val="both"/>
        <w:rPr>
          <w:rFonts w:asciiTheme="minorHAnsi" w:hAnsiTheme="minorHAnsi"/>
          <w:color w:val="auto"/>
          <w:sz w:val="24"/>
        </w:rPr>
      </w:pPr>
    </w:p>
    <w:p w14:paraId="1AD5A9ED" w14:textId="77777777" w:rsidR="003C405A" w:rsidRPr="005A52C0" w:rsidRDefault="003C405A" w:rsidP="00AF23D6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/>
          <w:color w:val="auto"/>
          <w:sz w:val="24"/>
        </w:rPr>
      </w:pPr>
      <w:r w:rsidRPr="005A52C0">
        <w:rPr>
          <w:rFonts w:asciiTheme="minorHAnsi" w:hAnsiTheme="minorHAnsi"/>
          <w:color w:val="auto"/>
          <w:sz w:val="24"/>
        </w:rPr>
        <w:t>posjed</w:t>
      </w:r>
      <w:r w:rsidR="00287349" w:rsidRPr="005A52C0">
        <w:rPr>
          <w:rFonts w:asciiTheme="minorHAnsi" w:hAnsiTheme="minorHAnsi"/>
          <w:color w:val="auto"/>
          <w:sz w:val="24"/>
        </w:rPr>
        <w:t>ovati</w:t>
      </w:r>
      <w:r w:rsidRPr="005A52C0">
        <w:rPr>
          <w:rFonts w:asciiTheme="minorHAnsi" w:hAnsiTheme="minorHAnsi"/>
          <w:color w:val="auto"/>
          <w:sz w:val="24"/>
        </w:rPr>
        <w:t xml:space="preserve">  dostatne financijske</w:t>
      </w:r>
      <w:r w:rsidR="008E01AF">
        <w:rPr>
          <w:rFonts w:asciiTheme="minorHAnsi" w:hAnsiTheme="minorHAnsi"/>
          <w:color w:val="auto"/>
          <w:sz w:val="24"/>
        </w:rPr>
        <w:t>, pravne</w:t>
      </w:r>
      <w:r w:rsidRPr="005A52C0">
        <w:rPr>
          <w:rFonts w:asciiTheme="minorHAnsi" w:hAnsiTheme="minorHAnsi"/>
          <w:color w:val="auto"/>
          <w:sz w:val="24"/>
        </w:rPr>
        <w:t xml:space="preserve"> </w:t>
      </w:r>
      <w:r w:rsidR="005661A9">
        <w:rPr>
          <w:rFonts w:asciiTheme="minorHAnsi" w:hAnsiTheme="minorHAnsi"/>
          <w:color w:val="auto"/>
          <w:sz w:val="24"/>
        </w:rPr>
        <w:t xml:space="preserve">i </w:t>
      </w:r>
      <w:r w:rsidRPr="005A52C0">
        <w:rPr>
          <w:rFonts w:asciiTheme="minorHAnsi" w:hAnsiTheme="minorHAnsi"/>
          <w:color w:val="auto"/>
          <w:sz w:val="24"/>
        </w:rPr>
        <w:t xml:space="preserve">operativne kapacitete  za provedbu </w:t>
      </w:r>
    </w:p>
    <w:p w14:paraId="11E4ACB0" w14:textId="77777777" w:rsidR="003C405A" w:rsidRPr="005A52C0" w:rsidRDefault="003C405A" w:rsidP="00AF23D6">
      <w:pPr>
        <w:pStyle w:val="ListParagraph"/>
        <w:spacing w:after="0" w:line="240" w:lineRule="auto"/>
        <w:ind w:left="709" w:firstLine="11"/>
        <w:jc w:val="both"/>
        <w:rPr>
          <w:rFonts w:asciiTheme="minorHAnsi" w:hAnsiTheme="minorHAnsi"/>
          <w:color w:val="auto"/>
          <w:sz w:val="24"/>
        </w:rPr>
      </w:pPr>
      <w:r w:rsidRPr="005A52C0">
        <w:rPr>
          <w:rFonts w:asciiTheme="minorHAnsi" w:hAnsiTheme="minorHAnsi"/>
          <w:color w:val="auto"/>
          <w:sz w:val="24"/>
        </w:rPr>
        <w:t xml:space="preserve">projekta samostalno ili u suradnji s </w:t>
      </w:r>
      <w:r w:rsidR="008E01AF">
        <w:rPr>
          <w:rFonts w:asciiTheme="minorHAnsi" w:hAnsiTheme="minorHAnsi"/>
          <w:color w:val="auto"/>
          <w:sz w:val="24"/>
        </w:rPr>
        <w:t>P</w:t>
      </w:r>
      <w:r w:rsidRPr="005A52C0">
        <w:rPr>
          <w:rFonts w:asciiTheme="minorHAnsi" w:hAnsiTheme="minorHAnsi"/>
          <w:color w:val="auto"/>
          <w:sz w:val="24"/>
        </w:rPr>
        <w:t>artnerima;</w:t>
      </w:r>
    </w:p>
    <w:p w14:paraId="0CC18946" w14:textId="77777777" w:rsidR="003C405A" w:rsidRPr="005A52C0" w:rsidRDefault="003C405A" w:rsidP="00AF23D6">
      <w:pPr>
        <w:pStyle w:val="ListParagraph"/>
        <w:spacing w:after="0" w:line="240" w:lineRule="auto"/>
        <w:ind w:left="785"/>
        <w:jc w:val="both"/>
        <w:rPr>
          <w:rFonts w:asciiTheme="minorHAnsi" w:hAnsiTheme="minorHAnsi"/>
          <w:color w:val="auto"/>
          <w:sz w:val="24"/>
        </w:rPr>
      </w:pPr>
    </w:p>
    <w:p w14:paraId="77BBF1C8" w14:textId="77777777" w:rsidR="003C405A" w:rsidRPr="005A52C0" w:rsidRDefault="003C405A" w:rsidP="00AF23D6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/>
          <w:color w:val="auto"/>
          <w:sz w:val="24"/>
        </w:rPr>
      </w:pPr>
      <w:r w:rsidRPr="005A52C0">
        <w:rPr>
          <w:rFonts w:asciiTheme="minorHAnsi" w:hAnsiTheme="minorHAnsi"/>
          <w:color w:val="auto"/>
          <w:sz w:val="24"/>
        </w:rPr>
        <w:t>nije u postupku predstečajne nagodbe, stečajnom postupku, postupku gašenja, postupku prisilne naplate ili u postupku likvidacije;</w:t>
      </w:r>
    </w:p>
    <w:p w14:paraId="00377E12" w14:textId="77777777" w:rsidR="003C405A" w:rsidRPr="005A52C0" w:rsidRDefault="003C405A" w:rsidP="00AF23D6">
      <w:pPr>
        <w:pStyle w:val="ListParagraph"/>
        <w:spacing w:after="0" w:line="240" w:lineRule="auto"/>
        <w:ind w:left="785"/>
        <w:jc w:val="both"/>
        <w:rPr>
          <w:rFonts w:asciiTheme="minorHAnsi" w:hAnsiTheme="minorHAnsi"/>
          <w:color w:val="auto"/>
          <w:sz w:val="24"/>
        </w:rPr>
      </w:pPr>
    </w:p>
    <w:p w14:paraId="6BEC281E" w14:textId="77777777" w:rsidR="003C405A" w:rsidRPr="005A52C0" w:rsidRDefault="003C405A" w:rsidP="00AF23D6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/>
          <w:color w:val="auto"/>
          <w:sz w:val="24"/>
        </w:rPr>
      </w:pPr>
      <w:r w:rsidRPr="005A52C0">
        <w:rPr>
          <w:rFonts w:asciiTheme="minorHAnsi" w:hAnsiTheme="minorHAnsi"/>
          <w:color w:val="auto"/>
          <w:sz w:val="24"/>
        </w:rPr>
        <w:lastRenderedPageBreak/>
        <w:t>nije prekršio odredbe o namjenskom korištenju sredstava iz Europskog socijalnog fonda i drugih javnih izvora</w:t>
      </w:r>
      <w:r w:rsidR="00544D75" w:rsidRPr="005A52C0">
        <w:rPr>
          <w:rFonts w:asciiTheme="minorHAnsi" w:hAnsiTheme="minorHAnsi"/>
          <w:color w:val="auto"/>
          <w:sz w:val="24"/>
        </w:rPr>
        <w:t>;</w:t>
      </w:r>
    </w:p>
    <w:p w14:paraId="5DCBEDDA" w14:textId="77777777" w:rsidR="003C405A" w:rsidRPr="005A52C0" w:rsidRDefault="003C405A" w:rsidP="00AF23D6">
      <w:pPr>
        <w:pStyle w:val="ListParagraph"/>
        <w:spacing w:after="0" w:line="240" w:lineRule="auto"/>
        <w:ind w:left="785"/>
        <w:jc w:val="both"/>
        <w:rPr>
          <w:rFonts w:asciiTheme="minorHAnsi" w:hAnsiTheme="minorHAnsi"/>
          <w:color w:val="auto"/>
          <w:sz w:val="24"/>
        </w:rPr>
      </w:pPr>
    </w:p>
    <w:p w14:paraId="73709C15" w14:textId="77777777" w:rsidR="003C405A" w:rsidRPr="005A52C0" w:rsidRDefault="003C405A" w:rsidP="00AF23D6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/>
          <w:color w:val="auto"/>
          <w:sz w:val="24"/>
        </w:rPr>
      </w:pPr>
      <w:r w:rsidRPr="005A52C0">
        <w:rPr>
          <w:rFonts w:asciiTheme="minorHAnsi" w:hAnsiTheme="minorHAnsi"/>
          <w:color w:val="auto"/>
          <w:sz w:val="24"/>
        </w:rPr>
        <w:t>nema duga po osnovi javnih davanja koji prelazi iznos od 10 kuna (neznat</w:t>
      </w:r>
      <w:r w:rsidR="008E01AF">
        <w:rPr>
          <w:rFonts w:asciiTheme="minorHAnsi" w:hAnsiTheme="minorHAnsi"/>
          <w:color w:val="auto"/>
          <w:sz w:val="24"/>
        </w:rPr>
        <w:t>ni</w:t>
      </w:r>
      <w:r w:rsidRPr="005A52C0">
        <w:rPr>
          <w:rFonts w:asciiTheme="minorHAnsi" w:hAnsiTheme="minorHAnsi"/>
          <w:color w:val="auto"/>
          <w:sz w:val="24"/>
        </w:rPr>
        <w:t xml:space="preserve"> porezni dug sukladno članku 150 </w:t>
      </w:r>
      <w:r w:rsidR="008E01AF">
        <w:rPr>
          <w:rFonts w:asciiTheme="minorHAnsi" w:hAnsiTheme="minorHAnsi"/>
          <w:color w:val="auto"/>
          <w:sz w:val="24"/>
        </w:rPr>
        <w:t>O</w:t>
      </w:r>
      <w:r w:rsidRPr="005A52C0">
        <w:rPr>
          <w:rFonts w:asciiTheme="minorHAnsi" w:hAnsiTheme="minorHAnsi"/>
          <w:color w:val="auto"/>
          <w:sz w:val="24"/>
        </w:rPr>
        <w:t>pćeg poreznog zakona) o kojima Porezna uprava vodi službenu evidenciju</w:t>
      </w:r>
      <w:r w:rsidR="00544D75" w:rsidRPr="005A52C0">
        <w:rPr>
          <w:rFonts w:asciiTheme="minorHAnsi" w:hAnsiTheme="minorHAnsi"/>
          <w:color w:val="auto"/>
          <w:sz w:val="24"/>
        </w:rPr>
        <w:t>.</w:t>
      </w:r>
      <w:r w:rsidRPr="005A52C0">
        <w:rPr>
          <w:rFonts w:asciiTheme="minorHAnsi" w:hAnsiTheme="minorHAnsi"/>
          <w:color w:val="auto"/>
          <w:sz w:val="24"/>
        </w:rPr>
        <w:t xml:space="preserve"> </w:t>
      </w:r>
    </w:p>
    <w:p w14:paraId="4220D44E" w14:textId="77777777" w:rsidR="006174E1" w:rsidRPr="003C6641" w:rsidRDefault="006174E1" w:rsidP="00AF23D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07D85CA" w14:textId="77777777" w:rsidR="006174E1" w:rsidRPr="003C6641" w:rsidRDefault="00287349" w:rsidP="00AF23D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C6641">
        <w:rPr>
          <w:rFonts w:cstheme="minorHAnsi"/>
          <w:b/>
          <w:sz w:val="24"/>
          <w:szCs w:val="24"/>
        </w:rPr>
        <w:t>Napomena:</w:t>
      </w:r>
    </w:p>
    <w:p w14:paraId="6A823480" w14:textId="77777777" w:rsidR="00287349" w:rsidRPr="003C6641" w:rsidRDefault="00287349" w:rsidP="00AF23D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>Regionalni i područni uredi Hrvatskog zavoda za zapošljavanje nisu prihvatljivi prijavitelji/partneri u okviru ovog Poziva.</w:t>
      </w:r>
    </w:p>
    <w:p w14:paraId="20251374" w14:textId="77777777" w:rsidR="00287349" w:rsidRPr="003C6641" w:rsidRDefault="00287349" w:rsidP="00AF23D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9681F3C" w14:textId="77777777" w:rsidR="006174E1" w:rsidRPr="009E7C54" w:rsidRDefault="00056BE2" w:rsidP="009E7C54">
      <w:pPr>
        <w:pStyle w:val="Heading2"/>
      </w:pPr>
      <w:r w:rsidRPr="009E7C54">
        <w:t>8</w:t>
      </w:r>
      <w:r w:rsidR="00016CD8" w:rsidRPr="009E7C54">
        <w:t>.2</w:t>
      </w:r>
      <w:r w:rsidR="006174E1" w:rsidRPr="009E7C54">
        <w:t xml:space="preserve"> Kriteriji prihvatljivosti </w:t>
      </w:r>
      <w:r w:rsidR="00374319" w:rsidRPr="009E7C54">
        <w:t xml:space="preserve">partnera </w:t>
      </w:r>
    </w:p>
    <w:p w14:paraId="3A830F53" w14:textId="77777777" w:rsidR="00544D75" w:rsidRPr="003C6641" w:rsidRDefault="00544D75" w:rsidP="00AF23D6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 xml:space="preserve">Partner(i) mora(ju) ispunjavati sve uvjete prihvatljivosti kao i prijavitelj iz točke </w:t>
      </w:r>
      <w:r w:rsidR="00481238" w:rsidRPr="003C6641">
        <w:rPr>
          <w:rFonts w:cstheme="minorHAnsi"/>
          <w:sz w:val="24"/>
          <w:szCs w:val="24"/>
        </w:rPr>
        <w:t>8.1</w:t>
      </w:r>
      <w:r w:rsidR="00B61CA9" w:rsidRPr="003C6641">
        <w:rPr>
          <w:rFonts w:cstheme="minorHAnsi"/>
          <w:sz w:val="24"/>
          <w:szCs w:val="24"/>
        </w:rPr>
        <w:t>.</w:t>
      </w:r>
    </w:p>
    <w:p w14:paraId="50EFA46A" w14:textId="77777777" w:rsidR="007F2887" w:rsidRPr="003C6641" w:rsidRDefault="007F2887" w:rsidP="00AF23D6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483585E" w14:textId="77777777" w:rsidR="00B87415" w:rsidRPr="009E7C54" w:rsidRDefault="00D00C29" w:rsidP="009E7C54">
      <w:pPr>
        <w:pStyle w:val="Heading2"/>
      </w:pPr>
      <w:r w:rsidRPr="009E7C54">
        <w:t>8</w:t>
      </w:r>
      <w:r w:rsidR="00360326" w:rsidRPr="009E7C54">
        <w:t>.3</w:t>
      </w:r>
      <w:r w:rsidR="00B87415" w:rsidRPr="009E7C54">
        <w:t xml:space="preserve"> Kriteriji prihvatljivosti projekta</w:t>
      </w:r>
      <w:bookmarkStart w:id="1" w:name="_GoBack"/>
      <w:bookmarkEnd w:id="1"/>
    </w:p>
    <w:p w14:paraId="0DE1CA2B" w14:textId="77777777" w:rsidR="00394814" w:rsidRPr="005A52C0" w:rsidRDefault="00394814" w:rsidP="00CF0C7D">
      <w:pPr>
        <w:pStyle w:val="Heading3"/>
        <w:rPr>
          <w:b w:val="0"/>
        </w:rPr>
      </w:pPr>
      <w:r w:rsidRPr="005A52C0">
        <w:rPr>
          <w:b w:val="0"/>
        </w:rPr>
        <w:t>Lokacija</w:t>
      </w:r>
    </w:p>
    <w:p w14:paraId="2A159A0E" w14:textId="77777777" w:rsidR="00394814" w:rsidRPr="005A52C0" w:rsidRDefault="00BE2085" w:rsidP="00AF23D6">
      <w:pPr>
        <w:jc w:val="both"/>
        <w:rPr>
          <w:sz w:val="24"/>
        </w:rPr>
      </w:pPr>
      <w:r w:rsidRPr="003C6641">
        <w:rPr>
          <w:rFonts w:cstheme="minorHAnsi"/>
          <w:sz w:val="24"/>
          <w:szCs w:val="24"/>
        </w:rPr>
        <w:t>Projektne aktivnosti se moraju provoditi u Republici Hrvatskoj. Ukoliko je to opravdano i nužno za postizanje ciljeva projekta, pojedine aktivnosti (npr. studijska putovanja) moguće je organizirati izvan teritorija Republike Hrvatske.</w:t>
      </w:r>
    </w:p>
    <w:p w14:paraId="19C3DB09" w14:textId="77777777" w:rsidR="00394814" w:rsidRPr="005A52C0" w:rsidRDefault="00394814" w:rsidP="00CF0C7D">
      <w:pPr>
        <w:pStyle w:val="Heading3"/>
        <w:rPr>
          <w:b w:val="0"/>
        </w:rPr>
      </w:pPr>
      <w:r w:rsidRPr="005A52C0">
        <w:rPr>
          <w:b w:val="0"/>
        </w:rPr>
        <w:t>Trajanje</w:t>
      </w:r>
    </w:p>
    <w:p w14:paraId="09B6BAD8" w14:textId="77777777" w:rsidR="00F018F6" w:rsidRPr="005A52C0" w:rsidRDefault="00F018F6" w:rsidP="00AF23D6">
      <w:pPr>
        <w:spacing w:after="0" w:line="240" w:lineRule="auto"/>
        <w:jc w:val="both"/>
        <w:rPr>
          <w:sz w:val="24"/>
        </w:rPr>
      </w:pPr>
      <w:r w:rsidRPr="003C6641">
        <w:rPr>
          <w:rFonts w:cstheme="minorHAnsi"/>
          <w:sz w:val="24"/>
          <w:szCs w:val="24"/>
        </w:rPr>
        <w:t>Planirano trajanje provedbe projekata je od 1</w:t>
      </w:r>
      <w:r w:rsidR="000477D4" w:rsidRPr="003C6641">
        <w:rPr>
          <w:rFonts w:cstheme="minorHAnsi"/>
          <w:sz w:val="24"/>
          <w:szCs w:val="24"/>
        </w:rPr>
        <w:t>8</w:t>
      </w:r>
      <w:r w:rsidRPr="003C6641">
        <w:rPr>
          <w:rFonts w:cstheme="minorHAnsi"/>
          <w:sz w:val="24"/>
          <w:szCs w:val="24"/>
        </w:rPr>
        <w:t xml:space="preserve"> do 24 mjeseca od dana sklapanja Ugovora o dodjeli bespovratnih sredstava. </w:t>
      </w:r>
    </w:p>
    <w:p w14:paraId="422AAA63" w14:textId="77777777" w:rsidR="00394814" w:rsidRPr="005A52C0" w:rsidRDefault="00394814" w:rsidP="00AF23D6">
      <w:pPr>
        <w:jc w:val="both"/>
        <w:rPr>
          <w:sz w:val="24"/>
        </w:rPr>
      </w:pPr>
    </w:p>
    <w:p w14:paraId="79D78176" w14:textId="77777777" w:rsidR="00394814" w:rsidRPr="005A52C0" w:rsidRDefault="00394814" w:rsidP="00CF0C7D">
      <w:pPr>
        <w:pStyle w:val="Heading3"/>
        <w:rPr>
          <w:b w:val="0"/>
        </w:rPr>
      </w:pPr>
      <w:r w:rsidRPr="005A52C0">
        <w:rPr>
          <w:b w:val="0"/>
        </w:rPr>
        <w:t xml:space="preserve">Prihvatljive aktivnosti </w:t>
      </w:r>
    </w:p>
    <w:p w14:paraId="5B8E827A" w14:textId="77777777" w:rsidR="00F018F6" w:rsidRPr="003C6641" w:rsidRDefault="00F018F6" w:rsidP="00AF23D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53070D8" w14:textId="77777777" w:rsidR="00330809" w:rsidRPr="003C6641" w:rsidRDefault="00330809" w:rsidP="00AF23D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>Prihvatljive projektne aktivnosti su grupirane po elementima projekta</w:t>
      </w:r>
    </w:p>
    <w:p w14:paraId="2E65BEE0" w14:textId="77777777" w:rsidR="00330809" w:rsidRPr="003C6641" w:rsidRDefault="00330809" w:rsidP="00AF23D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05857E4" w14:textId="77777777" w:rsidR="00330809" w:rsidRPr="005A52C0" w:rsidRDefault="00330809" w:rsidP="00AF23D6">
      <w:pPr>
        <w:pStyle w:val="FootnoteText"/>
        <w:jc w:val="both"/>
        <w:rPr>
          <w:b/>
          <w:sz w:val="24"/>
        </w:rPr>
      </w:pPr>
      <w:r w:rsidRPr="003C6641">
        <w:rPr>
          <w:rFonts w:cstheme="minorHAnsi"/>
          <w:b/>
          <w:sz w:val="24"/>
          <w:szCs w:val="24"/>
        </w:rPr>
        <w:t>Element: Razvoj</w:t>
      </w:r>
      <w:r w:rsidR="008E01AF">
        <w:rPr>
          <w:rFonts w:cstheme="minorHAnsi"/>
          <w:b/>
          <w:sz w:val="24"/>
          <w:szCs w:val="24"/>
        </w:rPr>
        <w:t xml:space="preserve"> i/ili</w:t>
      </w:r>
      <w:r w:rsidRPr="003C6641">
        <w:rPr>
          <w:rFonts w:cstheme="minorHAnsi"/>
          <w:b/>
          <w:sz w:val="24"/>
          <w:szCs w:val="24"/>
        </w:rPr>
        <w:t xml:space="preserve"> o</w:t>
      </w:r>
      <w:r w:rsidRPr="005A52C0">
        <w:rPr>
          <w:b/>
          <w:sz w:val="24"/>
        </w:rPr>
        <w:t>dabir i provedba programa obrazovanja odraslih</w:t>
      </w:r>
    </w:p>
    <w:p w14:paraId="2830885E" w14:textId="77777777" w:rsidR="00330809" w:rsidRPr="005A52C0" w:rsidRDefault="00330809" w:rsidP="00AF23D6">
      <w:pPr>
        <w:pStyle w:val="FootnoteText"/>
        <w:numPr>
          <w:ilvl w:val="0"/>
          <w:numId w:val="10"/>
        </w:numPr>
        <w:jc w:val="both"/>
        <w:rPr>
          <w:sz w:val="24"/>
        </w:rPr>
      </w:pPr>
      <w:r w:rsidRPr="005A52C0">
        <w:rPr>
          <w:sz w:val="24"/>
        </w:rPr>
        <w:t>odabir pripadnika/ca ciljnih skupina koji će biti uključeni u programe obrazovanja odraslih;</w:t>
      </w:r>
    </w:p>
    <w:p w14:paraId="68EC3D03" w14:textId="77777777" w:rsidR="00330809" w:rsidRPr="005A52C0" w:rsidRDefault="00330809" w:rsidP="00AF23D6">
      <w:pPr>
        <w:pStyle w:val="FootnoteText"/>
        <w:numPr>
          <w:ilvl w:val="0"/>
          <w:numId w:val="10"/>
        </w:numPr>
        <w:jc w:val="both"/>
        <w:rPr>
          <w:sz w:val="24"/>
        </w:rPr>
      </w:pPr>
      <w:r w:rsidRPr="005A52C0">
        <w:rPr>
          <w:sz w:val="24"/>
        </w:rPr>
        <w:t>odabir programa obrazovanja odraslih;</w:t>
      </w:r>
    </w:p>
    <w:p w14:paraId="49ED8524" w14:textId="77777777" w:rsidR="00330809" w:rsidRPr="005A52C0" w:rsidRDefault="00330809" w:rsidP="00AF23D6">
      <w:pPr>
        <w:pStyle w:val="FootnoteText"/>
        <w:numPr>
          <w:ilvl w:val="0"/>
          <w:numId w:val="10"/>
        </w:numPr>
        <w:jc w:val="both"/>
        <w:rPr>
          <w:sz w:val="24"/>
        </w:rPr>
      </w:pPr>
      <w:r w:rsidRPr="005A52C0">
        <w:rPr>
          <w:sz w:val="24"/>
        </w:rPr>
        <w:lastRenderedPageBreak/>
        <w:t>provedba programa obrazovanja odraslih</w:t>
      </w:r>
      <w:r w:rsidR="003058DA" w:rsidRPr="005A52C0">
        <w:rPr>
          <w:sz w:val="24"/>
        </w:rPr>
        <w:t>;</w:t>
      </w:r>
    </w:p>
    <w:p w14:paraId="381982E1" w14:textId="77777777" w:rsidR="00330809" w:rsidRPr="005A52C0" w:rsidRDefault="00330809" w:rsidP="00AF23D6">
      <w:pPr>
        <w:pStyle w:val="FootnoteText"/>
        <w:numPr>
          <w:ilvl w:val="0"/>
          <w:numId w:val="10"/>
        </w:numPr>
        <w:jc w:val="both"/>
        <w:rPr>
          <w:sz w:val="24"/>
        </w:rPr>
      </w:pPr>
      <w:r w:rsidRPr="005A52C0">
        <w:rPr>
          <w:sz w:val="24"/>
        </w:rPr>
        <w:t>razvoj posebno osmišljenih programa osposobljavanja i usavršavanja  za ciljne skupine;</w:t>
      </w:r>
    </w:p>
    <w:p w14:paraId="45BED28C" w14:textId="77777777" w:rsidR="00330809" w:rsidRPr="005A52C0" w:rsidRDefault="00330809" w:rsidP="00AF23D6">
      <w:pPr>
        <w:pStyle w:val="FootnoteText"/>
        <w:numPr>
          <w:ilvl w:val="0"/>
          <w:numId w:val="10"/>
        </w:numPr>
        <w:jc w:val="both"/>
        <w:rPr>
          <w:sz w:val="24"/>
        </w:rPr>
      </w:pPr>
      <w:r w:rsidRPr="005A52C0">
        <w:rPr>
          <w:sz w:val="24"/>
        </w:rPr>
        <w:t>provedba posebno osmišljenih programa osposobljavanja i usavršavanja za ciljne skupine;</w:t>
      </w:r>
    </w:p>
    <w:p w14:paraId="44A01269" w14:textId="77777777" w:rsidR="00330809" w:rsidRPr="005A52C0" w:rsidRDefault="00330809" w:rsidP="00AF23D6">
      <w:pPr>
        <w:pStyle w:val="FootnoteText"/>
        <w:numPr>
          <w:ilvl w:val="0"/>
          <w:numId w:val="10"/>
        </w:numPr>
        <w:jc w:val="both"/>
        <w:rPr>
          <w:sz w:val="24"/>
        </w:rPr>
      </w:pPr>
      <w:r w:rsidRPr="005A52C0">
        <w:rPr>
          <w:sz w:val="24"/>
        </w:rPr>
        <w:t>osiguravanje odgovarajuće informacijske pristupačnosti osobama s različitom vrstom invaliditeta putem prilagođenih pisanih i on-line materijala (uključujući nabavu opreme);</w:t>
      </w:r>
    </w:p>
    <w:p w14:paraId="4BEF1FE9" w14:textId="77777777" w:rsidR="00330809" w:rsidRPr="005A52C0" w:rsidRDefault="00330809" w:rsidP="00AF23D6">
      <w:pPr>
        <w:pStyle w:val="FootnoteText"/>
        <w:numPr>
          <w:ilvl w:val="0"/>
          <w:numId w:val="10"/>
        </w:numPr>
        <w:jc w:val="both"/>
        <w:rPr>
          <w:sz w:val="24"/>
        </w:rPr>
      </w:pPr>
      <w:r w:rsidRPr="005A52C0">
        <w:rPr>
          <w:sz w:val="24"/>
        </w:rPr>
        <w:t>osiguravanje odgovarajućih kanala komunikacije uz korištenje tumača znakovnog jezika, Brailleova pisma, zvučnog softwarea, optičkog povećala ili drugih pomagala i tehnika kako bi se prijenos informacija i znanja učinio dostupnim svim osobama s invaliditetom uključenim u projekt (uključujući nabavu opreme).</w:t>
      </w:r>
    </w:p>
    <w:p w14:paraId="2FA7F859" w14:textId="77777777" w:rsidR="00330809" w:rsidRPr="005A52C0" w:rsidRDefault="00330809" w:rsidP="00AF23D6">
      <w:pPr>
        <w:pStyle w:val="FootnoteText"/>
        <w:ind w:left="720"/>
        <w:jc w:val="both"/>
        <w:rPr>
          <w:sz w:val="24"/>
        </w:rPr>
      </w:pPr>
    </w:p>
    <w:p w14:paraId="59EF4BD7" w14:textId="77777777" w:rsidR="00330809" w:rsidRPr="005A52C0" w:rsidRDefault="00330809" w:rsidP="00AF23D6">
      <w:pPr>
        <w:pStyle w:val="FootnoteText"/>
        <w:jc w:val="both"/>
        <w:rPr>
          <w:b/>
          <w:sz w:val="24"/>
        </w:rPr>
      </w:pPr>
      <w:r w:rsidRPr="005A52C0">
        <w:rPr>
          <w:b/>
          <w:sz w:val="24"/>
          <w:u w:val="single"/>
        </w:rPr>
        <w:t>Napomene</w:t>
      </w:r>
      <w:r w:rsidRPr="005A52C0">
        <w:rPr>
          <w:b/>
          <w:sz w:val="24"/>
        </w:rPr>
        <w:t xml:space="preserve">: </w:t>
      </w:r>
      <w:r w:rsidRPr="005A52C0">
        <w:rPr>
          <w:b/>
          <w:sz w:val="24"/>
        </w:rPr>
        <w:tab/>
      </w:r>
    </w:p>
    <w:p w14:paraId="4C3D6B52" w14:textId="77777777" w:rsidR="00330809" w:rsidRPr="005A52C0" w:rsidRDefault="00330809" w:rsidP="00AF23D6">
      <w:pPr>
        <w:pStyle w:val="FootnoteText"/>
        <w:numPr>
          <w:ilvl w:val="0"/>
          <w:numId w:val="36"/>
        </w:numPr>
        <w:jc w:val="both"/>
        <w:rPr>
          <w:sz w:val="24"/>
        </w:rPr>
      </w:pPr>
      <w:r w:rsidRPr="005A52C0">
        <w:rPr>
          <w:sz w:val="24"/>
        </w:rPr>
        <w:t xml:space="preserve">Projektni prijedlozi koji su usmjereni  ispunjenju specifičnog cilja 1 obavezno moraju provoditi ili aktivnost „provedba programa obrazovanja odraslih“ ili aktivnost „provedba posebno osmišljenih programa osposobljavanja i </w:t>
      </w:r>
      <w:r w:rsidR="00026B67" w:rsidRPr="005A52C0">
        <w:rPr>
          <w:sz w:val="24"/>
        </w:rPr>
        <w:t>usavršavanja za ciljne skupine“;</w:t>
      </w:r>
      <w:r w:rsidRPr="005A52C0">
        <w:rPr>
          <w:sz w:val="24"/>
        </w:rPr>
        <w:t xml:space="preserve"> </w:t>
      </w:r>
    </w:p>
    <w:p w14:paraId="6B4AF810" w14:textId="77777777" w:rsidR="00330809" w:rsidRPr="005A52C0" w:rsidRDefault="00330809" w:rsidP="00AF23D6">
      <w:pPr>
        <w:pStyle w:val="FootnoteText"/>
        <w:numPr>
          <w:ilvl w:val="0"/>
          <w:numId w:val="36"/>
        </w:numPr>
        <w:jc w:val="both"/>
        <w:rPr>
          <w:sz w:val="24"/>
        </w:rPr>
      </w:pPr>
      <w:r w:rsidRPr="005A52C0">
        <w:rPr>
          <w:sz w:val="24"/>
        </w:rPr>
        <w:t>Sukladno radnoj sposobnosti ciljnih skupina, programi obrazovanja odraslih u okviru ove grupe aktivnosti  moraju sadržavati teorijski i praktični dio</w:t>
      </w:r>
      <w:r w:rsidR="00026B67" w:rsidRPr="005A52C0">
        <w:rPr>
          <w:sz w:val="24"/>
        </w:rPr>
        <w:t>;</w:t>
      </w:r>
      <w:r w:rsidRPr="005A52C0">
        <w:rPr>
          <w:sz w:val="24"/>
        </w:rPr>
        <w:t xml:space="preserve"> </w:t>
      </w:r>
    </w:p>
    <w:p w14:paraId="361B5E65" w14:textId="77777777" w:rsidR="00340715" w:rsidRPr="005A52C0" w:rsidRDefault="00340715" w:rsidP="00340715">
      <w:pPr>
        <w:pStyle w:val="FootnoteText"/>
        <w:numPr>
          <w:ilvl w:val="0"/>
          <w:numId w:val="36"/>
        </w:numPr>
        <w:jc w:val="both"/>
        <w:rPr>
          <w:sz w:val="24"/>
        </w:rPr>
      </w:pPr>
      <w:r w:rsidRPr="005A52C0">
        <w:rPr>
          <w:sz w:val="24"/>
        </w:rPr>
        <w:t>U slučajevima u kojima su prikladni programi za pojedine korisnike već razvijeni, ti će se korisnici pripadnici ciljnih skupina uputiti u već postojeće programe</w:t>
      </w:r>
      <w:r w:rsidR="00026B67" w:rsidRPr="005A52C0">
        <w:rPr>
          <w:sz w:val="24"/>
        </w:rPr>
        <w:t>;</w:t>
      </w:r>
    </w:p>
    <w:p w14:paraId="530127C6" w14:textId="77777777" w:rsidR="00F70364" w:rsidRPr="005A52C0" w:rsidRDefault="00F70364" w:rsidP="00F70364">
      <w:pPr>
        <w:pStyle w:val="FootnoteText"/>
        <w:numPr>
          <w:ilvl w:val="0"/>
          <w:numId w:val="36"/>
        </w:numPr>
        <w:jc w:val="both"/>
        <w:rPr>
          <w:sz w:val="24"/>
        </w:rPr>
      </w:pPr>
      <w:r w:rsidRPr="005A52C0">
        <w:rPr>
          <w:sz w:val="24"/>
        </w:rPr>
        <w:t>Ukoliko se kroz projekt provodi program formalnog obrazovanja odraslih, isti mora biti proveden u skladu sa Zakonom o obrazovanju odraslih (Narodne novine br. 17/07, 107/07, 24/10), Pravilnikom o standardima i normativima te načinu i postupku utvrđivanja ispunjenosti uvjeta u ustanovama za obrazovanje odraslih (Narodne novine br. 129/2008) te ostalim zakonskim propisima za područje obrazovanja odraslih</w:t>
      </w:r>
      <w:r w:rsidR="00026B67" w:rsidRPr="005A52C0">
        <w:rPr>
          <w:sz w:val="24"/>
        </w:rPr>
        <w:t>;</w:t>
      </w:r>
    </w:p>
    <w:p w14:paraId="6E5FC406" w14:textId="77777777" w:rsidR="00330809" w:rsidRPr="005A52C0" w:rsidRDefault="00330809" w:rsidP="00AF23D6">
      <w:pPr>
        <w:pStyle w:val="FootnoteText"/>
        <w:numPr>
          <w:ilvl w:val="0"/>
          <w:numId w:val="36"/>
        </w:numPr>
        <w:jc w:val="both"/>
        <w:rPr>
          <w:sz w:val="24"/>
        </w:rPr>
      </w:pPr>
      <w:r w:rsidRPr="005A52C0">
        <w:rPr>
          <w:sz w:val="24"/>
        </w:rPr>
        <w:t>Prijavitelj koji provodi aktivnosti razvoja programa obrazovanja, u okviru projekta također mora provesti i aktivnos</w:t>
      </w:r>
      <w:r w:rsidR="00026B67" w:rsidRPr="005A52C0">
        <w:rPr>
          <w:sz w:val="24"/>
        </w:rPr>
        <w:t>ti provedbe razvijenih programa;</w:t>
      </w:r>
      <w:r w:rsidRPr="005A52C0">
        <w:rPr>
          <w:sz w:val="24"/>
        </w:rPr>
        <w:t xml:space="preserve">  </w:t>
      </w:r>
    </w:p>
    <w:p w14:paraId="6AF00600" w14:textId="77777777" w:rsidR="00F70364" w:rsidRPr="005A52C0" w:rsidRDefault="00F70364" w:rsidP="00F70364">
      <w:pPr>
        <w:pStyle w:val="FootnoteText"/>
        <w:numPr>
          <w:ilvl w:val="0"/>
          <w:numId w:val="36"/>
        </w:numPr>
        <w:jc w:val="both"/>
        <w:rPr>
          <w:sz w:val="24"/>
        </w:rPr>
      </w:pPr>
      <w:r w:rsidRPr="005A52C0">
        <w:rPr>
          <w:sz w:val="24"/>
        </w:rPr>
        <w:t>Ukoliko postojeći programi ne zadovoljavaju sve potrebe svih korisnika, za one korisnike za koje se pokaže da ne postoje u potpunosti prikladni programi, kroz ovaj će se postupak dodjele bespovratnih sredstava ujedno poduprijeti razvoj i provedba posebno osmišljenih programa osposobljavanja i usavršavanja za ciljne skupine</w:t>
      </w:r>
      <w:r w:rsidR="00026B67" w:rsidRPr="005A52C0">
        <w:rPr>
          <w:sz w:val="24"/>
        </w:rPr>
        <w:t>;</w:t>
      </w:r>
    </w:p>
    <w:p w14:paraId="15231687" w14:textId="77777777" w:rsidR="00330809" w:rsidRPr="005A52C0" w:rsidRDefault="00330809" w:rsidP="00B93B4D">
      <w:pPr>
        <w:pStyle w:val="FootnoteText"/>
        <w:numPr>
          <w:ilvl w:val="0"/>
          <w:numId w:val="36"/>
        </w:numPr>
        <w:tabs>
          <w:tab w:val="left" w:pos="5805"/>
        </w:tabs>
        <w:jc w:val="both"/>
        <w:rPr>
          <w:sz w:val="24"/>
          <w:shd w:val="clear" w:color="auto" w:fill="FFFFFF"/>
        </w:rPr>
      </w:pPr>
      <w:r w:rsidRPr="005A52C0">
        <w:rPr>
          <w:sz w:val="24"/>
          <w:shd w:val="clear" w:color="auto" w:fill="FFFFFF"/>
        </w:rPr>
        <w:t>Ukoliko će se u projektne aktivnosti uključivati osobe s invaliditetom, tijekom  provođenja aktivnosti obveza je korisnika osigurati informacijsku i komunikacijsku  pristupačnost prema specifičnostima ciljne s</w:t>
      </w:r>
      <w:r w:rsidR="006F35D8" w:rsidRPr="005A52C0">
        <w:rPr>
          <w:sz w:val="24"/>
          <w:shd w:val="clear" w:color="auto" w:fill="FFFFFF"/>
        </w:rPr>
        <w:t xml:space="preserve">kupine, ukoliko je to potrebno. </w:t>
      </w:r>
      <w:r w:rsidRPr="005A52C0">
        <w:rPr>
          <w:sz w:val="24"/>
          <w:shd w:val="clear" w:color="auto" w:fill="FFFFFF"/>
        </w:rPr>
        <w:t xml:space="preserve">Ako su  u grupi korisnika </w:t>
      </w:r>
      <w:r w:rsidRPr="005A52C0">
        <w:rPr>
          <w:sz w:val="24"/>
          <w:shd w:val="clear" w:color="auto" w:fill="FFFFFF"/>
        </w:rPr>
        <w:lastRenderedPageBreak/>
        <w:t xml:space="preserve">osobe s invaliditetom potrebno je prilagoditi prijenos informacija i kanale komunikacije vrsti invaliditeta.  Primjerice, ako se u obrazovnoj grupi polaznika nalazi jedna gluha osoba potrebno je osigurati  tumača znakovnog jezika za tu osobu ili ispisati tekst </w:t>
      </w:r>
      <w:r w:rsidR="00026B67" w:rsidRPr="005A52C0">
        <w:rPr>
          <w:sz w:val="24"/>
          <w:shd w:val="clear" w:color="auto" w:fill="FFFFFF"/>
        </w:rPr>
        <w:t xml:space="preserve"> u vizualnom on-line materijalu;</w:t>
      </w:r>
    </w:p>
    <w:p w14:paraId="7E23FB80" w14:textId="77777777" w:rsidR="00340715" w:rsidRPr="005A52C0" w:rsidRDefault="00340715" w:rsidP="00340715">
      <w:pPr>
        <w:pStyle w:val="FootnoteText"/>
        <w:numPr>
          <w:ilvl w:val="0"/>
          <w:numId w:val="36"/>
        </w:numPr>
        <w:tabs>
          <w:tab w:val="left" w:pos="5805"/>
        </w:tabs>
        <w:jc w:val="both"/>
        <w:rPr>
          <w:sz w:val="24"/>
          <w:shd w:val="clear" w:color="auto" w:fill="FFFFFF"/>
        </w:rPr>
      </w:pPr>
      <w:r w:rsidRPr="005A52C0">
        <w:rPr>
          <w:sz w:val="24"/>
          <w:shd w:val="clear" w:color="auto" w:fill="FFFFFF"/>
        </w:rPr>
        <w:t>Aktivnosti osiguravanja informacijske pristupačnosti osobama s različitim vrstama invaliditeta putem prilagođenih pisanih i on-line materijala te osiguravanje odgovarajućih kanala komunikacije uz korištenje tumača znakovnog jezika, Brailleova pisma, zvučnog softwarea, optičkog čitača ili drugih pomagala i tehnika se mogu financirati isključivo kod projekata u kojima će se provoditi aktivnosti odabira i provedbe programa obrazovanja odraslih ili razvoja i/ili provedbe posebno osmišljenih programa osposobljavanja i usavršavanja</w:t>
      </w:r>
      <w:r w:rsidR="00026B67" w:rsidRPr="005A52C0">
        <w:rPr>
          <w:sz w:val="24"/>
          <w:shd w:val="clear" w:color="auto" w:fill="FFFFFF"/>
        </w:rPr>
        <w:t>.</w:t>
      </w:r>
    </w:p>
    <w:p w14:paraId="45746220" w14:textId="77777777" w:rsidR="00330809" w:rsidRPr="003C6641" w:rsidRDefault="00330809" w:rsidP="00AF23D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CE52C96" w14:textId="77777777" w:rsidR="00330809" w:rsidRPr="003C6641" w:rsidRDefault="00330809" w:rsidP="004B7D04">
      <w:pPr>
        <w:spacing w:after="0" w:line="240" w:lineRule="auto"/>
        <w:ind w:left="993" w:hanging="993"/>
        <w:jc w:val="both"/>
        <w:rPr>
          <w:rFonts w:cstheme="minorHAnsi"/>
          <w:b/>
          <w:sz w:val="24"/>
          <w:szCs w:val="24"/>
        </w:rPr>
      </w:pPr>
      <w:r w:rsidRPr="003C6641">
        <w:rPr>
          <w:rFonts w:cstheme="minorHAnsi"/>
          <w:b/>
          <w:sz w:val="24"/>
          <w:szCs w:val="24"/>
        </w:rPr>
        <w:t>Element:</w:t>
      </w:r>
      <w:r w:rsidR="004B7D04" w:rsidRPr="003C6641">
        <w:rPr>
          <w:rFonts w:cstheme="minorHAnsi"/>
          <w:b/>
          <w:sz w:val="24"/>
          <w:szCs w:val="24"/>
        </w:rPr>
        <w:t xml:space="preserve"> </w:t>
      </w:r>
      <w:r w:rsidRPr="003C6641">
        <w:rPr>
          <w:rFonts w:cstheme="minorHAnsi"/>
          <w:b/>
          <w:sz w:val="24"/>
          <w:szCs w:val="24"/>
        </w:rPr>
        <w:t>Razvoj i provedba ciljanih programa za osnaživanje marginaliziranih skupina,</w:t>
      </w:r>
      <w:r w:rsidR="004B7D04" w:rsidRPr="003C6641">
        <w:rPr>
          <w:rFonts w:cstheme="minorHAnsi"/>
          <w:b/>
          <w:sz w:val="24"/>
          <w:szCs w:val="24"/>
        </w:rPr>
        <w:t xml:space="preserve"> </w:t>
      </w:r>
      <w:r w:rsidRPr="003C6641">
        <w:rPr>
          <w:rFonts w:cstheme="minorHAnsi"/>
          <w:b/>
          <w:sz w:val="24"/>
          <w:szCs w:val="24"/>
        </w:rPr>
        <w:t>poboljšanje socijalnih vještina i unapređenje zapošljivosti</w:t>
      </w:r>
      <w:r w:rsidR="001A105F" w:rsidRPr="003C6641">
        <w:rPr>
          <w:rFonts w:cstheme="minorHAnsi"/>
          <w:b/>
          <w:sz w:val="24"/>
          <w:szCs w:val="24"/>
        </w:rPr>
        <w:t xml:space="preserve"> </w:t>
      </w:r>
    </w:p>
    <w:p w14:paraId="1EEC2A7F" w14:textId="77777777" w:rsidR="00330809" w:rsidRPr="003C6641" w:rsidRDefault="00330809" w:rsidP="00AF23D6">
      <w:pPr>
        <w:spacing w:after="0" w:line="240" w:lineRule="auto"/>
        <w:ind w:left="1416" w:hanging="1416"/>
        <w:jc w:val="both"/>
        <w:rPr>
          <w:rFonts w:cstheme="minorHAnsi"/>
          <w:b/>
          <w:sz w:val="24"/>
          <w:szCs w:val="24"/>
        </w:rPr>
      </w:pPr>
    </w:p>
    <w:p w14:paraId="6526FFDC" w14:textId="77777777" w:rsidR="00330809" w:rsidRPr="005A52C0" w:rsidRDefault="00330809" w:rsidP="00AF23D6">
      <w:pPr>
        <w:pStyle w:val="FootnoteText"/>
        <w:numPr>
          <w:ilvl w:val="0"/>
          <w:numId w:val="10"/>
        </w:numPr>
        <w:jc w:val="both"/>
        <w:rPr>
          <w:sz w:val="24"/>
        </w:rPr>
      </w:pPr>
      <w:r w:rsidRPr="005A52C0">
        <w:rPr>
          <w:sz w:val="24"/>
        </w:rPr>
        <w:t>razvoj po mjeri rađenih programa za unaprjeđenje zapošljivosti i poboljšanje socijalnih vještina pripadnika/ca ciljnih skupina;</w:t>
      </w:r>
    </w:p>
    <w:p w14:paraId="24327DD4" w14:textId="77777777" w:rsidR="00330809" w:rsidRPr="005A52C0" w:rsidRDefault="00330809" w:rsidP="00AF23D6">
      <w:pPr>
        <w:pStyle w:val="FootnoteText"/>
        <w:numPr>
          <w:ilvl w:val="0"/>
          <w:numId w:val="10"/>
        </w:numPr>
        <w:jc w:val="both"/>
        <w:rPr>
          <w:sz w:val="24"/>
        </w:rPr>
      </w:pPr>
      <w:r w:rsidRPr="005A52C0">
        <w:rPr>
          <w:sz w:val="24"/>
        </w:rPr>
        <w:t>provedba po mjeri rađenih programa za unaprjeđenje zapošljivosti i poboljšanje socijalnih vještina  (obvezna aktivnost);</w:t>
      </w:r>
    </w:p>
    <w:p w14:paraId="4011FEDD" w14:textId="77777777" w:rsidR="00330809" w:rsidRPr="005A52C0" w:rsidRDefault="00330809" w:rsidP="00AF23D6">
      <w:pPr>
        <w:pStyle w:val="FootnoteText"/>
        <w:numPr>
          <w:ilvl w:val="0"/>
          <w:numId w:val="10"/>
        </w:numPr>
        <w:jc w:val="both"/>
        <w:rPr>
          <w:sz w:val="24"/>
        </w:rPr>
      </w:pPr>
      <w:r w:rsidRPr="005A52C0">
        <w:rPr>
          <w:sz w:val="24"/>
        </w:rPr>
        <w:t>osiguravanje odgovarajuće informacijske pristupačnosti osobama s različitom vrstom invaliditeta putem prilagođenih pisanih i on-line materijala (uključujući nabavu opreme);</w:t>
      </w:r>
    </w:p>
    <w:p w14:paraId="0D6B3DC1" w14:textId="77777777" w:rsidR="00330809" w:rsidRPr="005A52C0" w:rsidRDefault="00330809" w:rsidP="00AF23D6">
      <w:pPr>
        <w:pStyle w:val="FootnoteText"/>
        <w:numPr>
          <w:ilvl w:val="0"/>
          <w:numId w:val="10"/>
        </w:numPr>
        <w:jc w:val="both"/>
        <w:rPr>
          <w:sz w:val="24"/>
        </w:rPr>
      </w:pPr>
      <w:r w:rsidRPr="005A52C0">
        <w:rPr>
          <w:sz w:val="24"/>
        </w:rPr>
        <w:t>osiguravanje odgovarajućih kanala komunikacije uz korištenje tumača znakovnog jezika, Brailleova pisma, zvučnog softwarea, optičkog čitača ili drugih pomagala i tehnika kako bi se prijenos informacija i znanja učinio dostupnim svim osobama s invaliditetom uključenim u projekt (uključujući nabavu opreme).</w:t>
      </w:r>
    </w:p>
    <w:p w14:paraId="662CC3F1" w14:textId="77777777" w:rsidR="00330809" w:rsidRPr="005A52C0" w:rsidRDefault="00330809" w:rsidP="00AF23D6">
      <w:pPr>
        <w:pStyle w:val="FootnoteText"/>
        <w:ind w:left="360"/>
        <w:jc w:val="both"/>
        <w:rPr>
          <w:sz w:val="24"/>
        </w:rPr>
      </w:pPr>
    </w:p>
    <w:p w14:paraId="5E65E28B" w14:textId="77777777" w:rsidR="00330809" w:rsidRPr="005A52C0" w:rsidRDefault="00330809" w:rsidP="00026B67">
      <w:pPr>
        <w:pStyle w:val="FootnoteText"/>
        <w:jc w:val="both"/>
        <w:rPr>
          <w:b/>
          <w:sz w:val="24"/>
          <w:u w:val="single"/>
        </w:rPr>
      </w:pPr>
      <w:r w:rsidRPr="005A52C0">
        <w:rPr>
          <w:b/>
          <w:sz w:val="24"/>
          <w:u w:val="single"/>
        </w:rPr>
        <w:t xml:space="preserve">Napomene: </w:t>
      </w:r>
    </w:p>
    <w:p w14:paraId="05B0E137" w14:textId="77777777" w:rsidR="00330809" w:rsidRPr="005A52C0" w:rsidRDefault="00330809" w:rsidP="00AF23D6">
      <w:pPr>
        <w:pStyle w:val="FootnoteText"/>
        <w:ind w:left="360"/>
        <w:jc w:val="both"/>
        <w:rPr>
          <w:sz w:val="24"/>
        </w:rPr>
      </w:pPr>
    </w:p>
    <w:p w14:paraId="6DBCB1FA" w14:textId="77777777" w:rsidR="001B13B9" w:rsidRPr="005A52C0" w:rsidRDefault="001B13B9" w:rsidP="00026B67">
      <w:pPr>
        <w:pStyle w:val="FootnoteText"/>
        <w:numPr>
          <w:ilvl w:val="0"/>
          <w:numId w:val="36"/>
        </w:numPr>
        <w:jc w:val="both"/>
        <w:rPr>
          <w:sz w:val="24"/>
        </w:rPr>
      </w:pPr>
      <w:r w:rsidRPr="005A52C0">
        <w:rPr>
          <w:sz w:val="24"/>
        </w:rPr>
        <w:t>Ciljani programi za unaprjeđenje zapošljivosti i poboljšanje socijalnih vještina poduprijet će stjecanje vještina koje doprinose konkurentnosti na tržištu rada, odnosno razvoj tzv. transverzalnih (prenosivih) kompetencija. Transverzalne ili prenosive kompetencije u određenoj su mjeri potrebne za obavljanje svih poslova neov</w:t>
      </w:r>
      <w:r w:rsidR="00BD2AC3" w:rsidRPr="005A52C0">
        <w:rPr>
          <w:sz w:val="24"/>
        </w:rPr>
        <w:t>isno o prethodnoj kvalifikaciji;</w:t>
      </w:r>
    </w:p>
    <w:p w14:paraId="7B04AA18" w14:textId="77777777" w:rsidR="00330809" w:rsidRPr="005A52C0" w:rsidRDefault="00330809" w:rsidP="001B13B9">
      <w:pPr>
        <w:pStyle w:val="FootnoteText"/>
        <w:numPr>
          <w:ilvl w:val="0"/>
          <w:numId w:val="36"/>
        </w:numPr>
        <w:jc w:val="both"/>
        <w:rPr>
          <w:sz w:val="24"/>
        </w:rPr>
      </w:pPr>
      <w:r w:rsidRPr="005A52C0">
        <w:rPr>
          <w:sz w:val="24"/>
        </w:rPr>
        <w:lastRenderedPageBreak/>
        <w:t>Programi neformalnog obrazovanja koji će se razvijati u okviru projekta za stjecanje i unapređenje socijalnih (ili tzv. „mekih“ ili „prenosivih“) vještina ne moraju uključivati praktični dio</w:t>
      </w:r>
      <w:r w:rsidR="00BD2AC3" w:rsidRPr="005A52C0">
        <w:rPr>
          <w:sz w:val="24"/>
        </w:rPr>
        <w:t>;</w:t>
      </w:r>
    </w:p>
    <w:p w14:paraId="7CFE58AB" w14:textId="77777777" w:rsidR="00330809" w:rsidRPr="005A52C0" w:rsidRDefault="00330809" w:rsidP="00AF23D6">
      <w:pPr>
        <w:pStyle w:val="FootnoteText"/>
        <w:numPr>
          <w:ilvl w:val="0"/>
          <w:numId w:val="36"/>
        </w:numPr>
        <w:jc w:val="both"/>
        <w:rPr>
          <w:sz w:val="24"/>
        </w:rPr>
      </w:pPr>
      <w:r w:rsidRPr="005A52C0">
        <w:rPr>
          <w:sz w:val="24"/>
        </w:rPr>
        <w:t>Prijavitelj koji provodi aktivnosti razvoja po mjeri rađenih programa za unaprjeđenje zapošljivosti i poboljšanje socijalnih</w:t>
      </w:r>
      <w:r w:rsidR="00BD2AC3" w:rsidRPr="005A52C0">
        <w:rPr>
          <w:sz w:val="24"/>
        </w:rPr>
        <w:t xml:space="preserve"> vještina</w:t>
      </w:r>
      <w:r w:rsidRPr="005A52C0">
        <w:rPr>
          <w:sz w:val="24"/>
        </w:rPr>
        <w:t xml:space="preserve"> u okviru projekta također mora provesti i aktivnosti provedbe predmetnih programa</w:t>
      </w:r>
      <w:r w:rsidR="00BD2AC3" w:rsidRPr="005A52C0">
        <w:rPr>
          <w:sz w:val="24"/>
        </w:rPr>
        <w:t>;</w:t>
      </w:r>
      <w:r w:rsidRPr="005A52C0">
        <w:rPr>
          <w:sz w:val="24"/>
        </w:rPr>
        <w:t xml:space="preserve">  </w:t>
      </w:r>
    </w:p>
    <w:p w14:paraId="449CA55C" w14:textId="77777777" w:rsidR="00330809" w:rsidRPr="005A52C0" w:rsidRDefault="00330809" w:rsidP="00AF23D6">
      <w:pPr>
        <w:pStyle w:val="FootnoteText"/>
        <w:numPr>
          <w:ilvl w:val="0"/>
          <w:numId w:val="36"/>
        </w:numPr>
        <w:jc w:val="both"/>
        <w:rPr>
          <w:sz w:val="24"/>
        </w:rPr>
      </w:pPr>
      <w:r w:rsidRPr="005A52C0">
        <w:rPr>
          <w:sz w:val="24"/>
        </w:rPr>
        <w:t>Ukoliko će se u projektne aktivnosti uključivati osobe s invaliditetom, tijekom  provođenja aktivnosti obveza je  korisnika osigurati informacijsku i komunikacijsku  pristupačnost prema specifičnostima ciljne skupine, ukoliko je to potrebno. Ako su u grupi korisnika osobe s invaliditetom potrebno je prilagoditi prijenos informacija i kanale komunikacije vrsti invaliditeta.  Primjerice, ako se u obrazovnoj grupi polaznika nalazi jedna gluha osoba potrebno je osigurati tumača znakovnog jezika za tu osobu ili ispisati tekst  u vizualnom on-line materijalu</w:t>
      </w:r>
      <w:r w:rsidR="00BD2AC3" w:rsidRPr="005A52C0">
        <w:rPr>
          <w:sz w:val="24"/>
        </w:rPr>
        <w:t>;</w:t>
      </w:r>
      <w:r w:rsidR="002921D9" w:rsidRPr="005A52C0">
        <w:rPr>
          <w:sz w:val="24"/>
        </w:rPr>
        <w:t xml:space="preserve"> </w:t>
      </w:r>
    </w:p>
    <w:p w14:paraId="4880A365" w14:textId="77777777" w:rsidR="002921D9" w:rsidRPr="005661A9" w:rsidRDefault="002921D9" w:rsidP="005661A9">
      <w:pPr>
        <w:pStyle w:val="FootnoteText"/>
        <w:numPr>
          <w:ilvl w:val="0"/>
          <w:numId w:val="36"/>
        </w:numPr>
        <w:jc w:val="both"/>
        <w:rPr>
          <w:sz w:val="24"/>
        </w:rPr>
      </w:pPr>
      <w:r w:rsidRPr="005661A9">
        <w:rPr>
          <w:sz w:val="24"/>
        </w:rPr>
        <w:t>Aktivnosti osiguravanja informacijske pristupačnosti osobama s različitim vrstama invaliditeta putem prilagođenih pisanih i on-line materijala te osiguravanje odgovarajućih kanala komunikacije uz korištenje tumača znakovnog jezika, Brailleova pisma, zvučnog softwarea, optičkog čitača ili drugih pomagala i tehnika se mogu financirati isključivo kod projekata u kojima će se provoditi aktivnosti razvoja po mjeri rađenih programa za unaprjeđenje zapošljivosti i poboljšanje socijalnih vještina pripadnika/ca ciljnih skupina te aktivnosti provedbe po mjeri rađenih programa za unaprjeđenje zapošljivosti i poboljšanje socijalnih vještina.</w:t>
      </w:r>
    </w:p>
    <w:p w14:paraId="0A0945E4" w14:textId="77777777" w:rsidR="002921D9" w:rsidRPr="005661A9" w:rsidRDefault="002921D9" w:rsidP="006E47E6">
      <w:pPr>
        <w:pStyle w:val="FootnoteText"/>
        <w:ind w:left="720"/>
        <w:jc w:val="both"/>
        <w:rPr>
          <w:sz w:val="24"/>
        </w:rPr>
      </w:pPr>
    </w:p>
    <w:p w14:paraId="20CAFA65" w14:textId="77777777" w:rsidR="008610C8" w:rsidRDefault="008610C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25F4C1DF" w14:textId="77777777" w:rsidR="00330809" w:rsidRPr="003C6641" w:rsidRDefault="00330809" w:rsidP="00AF23D6">
      <w:pPr>
        <w:spacing w:after="0" w:line="240" w:lineRule="auto"/>
        <w:ind w:left="1416" w:hanging="1416"/>
        <w:jc w:val="both"/>
        <w:rPr>
          <w:rFonts w:cstheme="minorHAnsi"/>
          <w:b/>
          <w:sz w:val="24"/>
          <w:szCs w:val="24"/>
        </w:rPr>
      </w:pPr>
      <w:r w:rsidRPr="003C6641">
        <w:rPr>
          <w:rFonts w:cstheme="minorHAnsi"/>
          <w:b/>
          <w:sz w:val="24"/>
          <w:szCs w:val="24"/>
        </w:rPr>
        <w:lastRenderedPageBreak/>
        <w:t>Element    Razvoj i širenje individualiziranog pristupa kroz pružanje usluga mentorstva nezaposlenim korisnicima  prava na zajamčenu minimalnu naknadu s ciljem radne aktivacije i socijalnog uključivanja</w:t>
      </w:r>
    </w:p>
    <w:p w14:paraId="39BE3EEF" w14:textId="77777777" w:rsidR="00330809" w:rsidRPr="003C6641" w:rsidRDefault="00330809" w:rsidP="00AF23D6">
      <w:pPr>
        <w:spacing w:after="0" w:line="240" w:lineRule="auto"/>
        <w:ind w:left="1416" w:hanging="1416"/>
        <w:jc w:val="both"/>
        <w:rPr>
          <w:rFonts w:cstheme="minorHAnsi"/>
          <w:b/>
          <w:sz w:val="24"/>
          <w:szCs w:val="24"/>
        </w:rPr>
      </w:pPr>
    </w:p>
    <w:p w14:paraId="52813622" w14:textId="77777777" w:rsidR="00330809" w:rsidRPr="005A52C0" w:rsidRDefault="00330809" w:rsidP="005A52C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Theme="minorHAnsi" w:hAnsiTheme="minorHAnsi"/>
          <w:color w:val="auto"/>
          <w:sz w:val="24"/>
        </w:rPr>
      </w:pPr>
      <w:r w:rsidRPr="005A52C0">
        <w:rPr>
          <w:rFonts w:asciiTheme="minorHAnsi" w:hAnsiTheme="minorHAnsi"/>
          <w:color w:val="auto"/>
          <w:sz w:val="24"/>
        </w:rPr>
        <w:t>pružanje  usluga mentorstva korisnicima prava na zajamčenu minimalnu naknadu (obvezna aktivnost)</w:t>
      </w:r>
      <w:r w:rsidR="00BD2AC3" w:rsidRPr="005A52C0">
        <w:rPr>
          <w:rFonts w:asciiTheme="minorHAnsi" w:hAnsiTheme="minorHAnsi"/>
          <w:color w:val="auto"/>
          <w:sz w:val="24"/>
        </w:rPr>
        <w:t>;</w:t>
      </w:r>
      <w:r w:rsidRPr="005A52C0">
        <w:rPr>
          <w:rFonts w:asciiTheme="minorHAnsi" w:hAnsiTheme="minorHAnsi"/>
          <w:color w:val="auto"/>
          <w:sz w:val="24"/>
        </w:rPr>
        <w:t xml:space="preserve"> </w:t>
      </w:r>
    </w:p>
    <w:p w14:paraId="420691FD" w14:textId="77777777" w:rsidR="00330809" w:rsidRPr="005A52C0" w:rsidRDefault="00330809" w:rsidP="005A52C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Theme="minorHAnsi" w:hAnsiTheme="minorHAnsi"/>
          <w:color w:val="auto"/>
          <w:sz w:val="24"/>
        </w:rPr>
      </w:pPr>
      <w:r w:rsidRPr="005A52C0">
        <w:rPr>
          <w:rFonts w:asciiTheme="minorHAnsi" w:hAnsiTheme="minorHAnsi"/>
          <w:color w:val="auto"/>
          <w:sz w:val="24"/>
        </w:rPr>
        <w:t xml:space="preserve">razvoj i provedba individualnih planova korisnika koji mogu sadržavati aktivnosti povećanja samopouzdanja, osposobljavanja, pomoći u traženju posla, povećanja snage i </w:t>
      </w:r>
      <w:r w:rsidRPr="003C6641">
        <w:rPr>
          <w:rFonts w:asciiTheme="minorHAnsi" w:hAnsiTheme="minorHAnsi" w:cstheme="minorHAnsi"/>
          <w:color w:val="auto"/>
          <w:sz w:val="24"/>
          <w:szCs w:val="24"/>
        </w:rPr>
        <w:t>spremnost</w:t>
      </w:r>
      <w:r w:rsidR="001876D4" w:rsidRPr="003C6641">
        <w:rPr>
          <w:rFonts w:asciiTheme="minorHAnsi" w:hAnsiTheme="minorHAnsi" w:cstheme="minorHAnsi"/>
          <w:color w:val="auto"/>
          <w:sz w:val="24"/>
          <w:szCs w:val="24"/>
        </w:rPr>
        <w:t>i</w:t>
      </w:r>
      <w:r w:rsidRPr="005A52C0">
        <w:rPr>
          <w:rFonts w:asciiTheme="minorHAnsi" w:hAnsiTheme="minorHAnsi"/>
          <w:color w:val="auto"/>
          <w:sz w:val="24"/>
        </w:rPr>
        <w:t xml:space="preserve"> za sudjelovanjem u </w:t>
      </w:r>
      <w:r w:rsidR="001876D4" w:rsidRPr="003C6641">
        <w:rPr>
          <w:rFonts w:asciiTheme="minorHAnsi" w:hAnsiTheme="minorHAnsi" w:cstheme="minorHAnsi"/>
          <w:color w:val="auto"/>
          <w:sz w:val="24"/>
          <w:szCs w:val="24"/>
        </w:rPr>
        <w:t>aktivnostima usmjerenim na</w:t>
      </w:r>
      <w:r w:rsidR="001876D4" w:rsidRPr="005A52C0">
        <w:rPr>
          <w:rFonts w:asciiTheme="minorHAnsi" w:hAnsiTheme="minorHAnsi"/>
          <w:color w:val="auto"/>
          <w:sz w:val="24"/>
        </w:rPr>
        <w:t xml:space="preserve"> </w:t>
      </w:r>
      <w:r w:rsidRPr="005A52C0">
        <w:rPr>
          <w:rFonts w:asciiTheme="minorHAnsi" w:hAnsiTheme="minorHAnsi"/>
          <w:color w:val="auto"/>
          <w:sz w:val="24"/>
        </w:rPr>
        <w:t>samorazvoj, te će motivirati korisnike s naglaskom na njihove prednosti i mogućnosti</w:t>
      </w:r>
      <w:r w:rsidR="00BD2AC3" w:rsidRPr="005A52C0">
        <w:rPr>
          <w:rFonts w:asciiTheme="minorHAnsi" w:hAnsiTheme="minorHAnsi"/>
          <w:color w:val="auto"/>
          <w:sz w:val="24"/>
        </w:rPr>
        <w:t>.</w:t>
      </w:r>
    </w:p>
    <w:p w14:paraId="111B765F" w14:textId="77777777" w:rsidR="00330809" w:rsidRPr="005A52C0" w:rsidRDefault="00330809" w:rsidP="00AF23D6">
      <w:pPr>
        <w:pStyle w:val="FootnoteText"/>
        <w:jc w:val="both"/>
        <w:rPr>
          <w:b/>
          <w:sz w:val="24"/>
          <w:u w:val="single"/>
        </w:rPr>
      </w:pPr>
      <w:r w:rsidRPr="005A52C0">
        <w:rPr>
          <w:b/>
          <w:sz w:val="24"/>
          <w:u w:val="single"/>
        </w:rPr>
        <w:t xml:space="preserve">Napomene: </w:t>
      </w:r>
    </w:p>
    <w:p w14:paraId="6598DDB8" w14:textId="77777777" w:rsidR="00330809" w:rsidRPr="005A52C0" w:rsidRDefault="00330809" w:rsidP="00670DA9">
      <w:pPr>
        <w:pStyle w:val="FootnoteText"/>
        <w:jc w:val="both"/>
        <w:rPr>
          <w:sz w:val="24"/>
        </w:rPr>
      </w:pPr>
      <w:r w:rsidRPr="005A52C0">
        <w:rPr>
          <w:sz w:val="24"/>
        </w:rPr>
        <w:t>Projektni prijedlozi mogu uključivati aktivnosti unutar elementa 3 samo ukoliko su ciljna skupina projekta evidentirane nezaposlene osobe korisnici prava na zajamčenu minimalnu naknadu, navedene pod točkom 2 odlomka Ciljne skupine Poziva</w:t>
      </w:r>
      <w:r w:rsidR="006E47E6" w:rsidRPr="005A52C0">
        <w:rPr>
          <w:sz w:val="24"/>
        </w:rPr>
        <w:t>.</w:t>
      </w:r>
      <w:r w:rsidRPr="005A52C0">
        <w:rPr>
          <w:sz w:val="24"/>
        </w:rPr>
        <w:t xml:space="preserve"> </w:t>
      </w:r>
    </w:p>
    <w:p w14:paraId="347ED96D" w14:textId="77777777" w:rsidR="006E47E6" w:rsidRPr="005A52C0" w:rsidRDefault="006E47E6" w:rsidP="00670DA9">
      <w:pPr>
        <w:pStyle w:val="FootnoteText"/>
        <w:jc w:val="both"/>
        <w:rPr>
          <w:sz w:val="24"/>
        </w:rPr>
      </w:pPr>
    </w:p>
    <w:p w14:paraId="0167EE90" w14:textId="77777777" w:rsidR="00330809" w:rsidRPr="003C6641" w:rsidRDefault="00330809" w:rsidP="00AF23D6">
      <w:pPr>
        <w:spacing w:after="0" w:line="240" w:lineRule="auto"/>
        <w:ind w:left="1418" w:hanging="1416"/>
        <w:jc w:val="both"/>
        <w:rPr>
          <w:rFonts w:cstheme="minorHAnsi"/>
          <w:b/>
          <w:sz w:val="24"/>
          <w:szCs w:val="24"/>
        </w:rPr>
      </w:pPr>
      <w:r w:rsidRPr="003C6641">
        <w:rPr>
          <w:rFonts w:cstheme="minorHAnsi"/>
          <w:b/>
          <w:sz w:val="24"/>
          <w:szCs w:val="24"/>
        </w:rPr>
        <w:t>Element: Jačanje kapaciteta stručnjaka iz različitih sektora u svrhu unaprijeđenja usluga povezanih sa  pristupom tržištu rada  pripadnika ciljnih skupina</w:t>
      </w:r>
    </w:p>
    <w:p w14:paraId="0B37B420" w14:textId="77777777" w:rsidR="00330809" w:rsidRPr="003C6641" w:rsidRDefault="00330809" w:rsidP="00AF23D6">
      <w:pPr>
        <w:spacing w:after="0" w:line="240" w:lineRule="auto"/>
        <w:ind w:left="1418" w:hanging="1416"/>
        <w:jc w:val="both"/>
        <w:rPr>
          <w:rFonts w:cstheme="minorHAnsi"/>
          <w:b/>
          <w:sz w:val="24"/>
          <w:szCs w:val="24"/>
        </w:rPr>
      </w:pPr>
    </w:p>
    <w:p w14:paraId="7305F0BC" w14:textId="77777777" w:rsidR="00330809" w:rsidRPr="005A52C0" w:rsidRDefault="00330809" w:rsidP="00AF23D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sz w:val="24"/>
        </w:rPr>
      </w:pPr>
      <w:r w:rsidRPr="005A52C0">
        <w:rPr>
          <w:rFonts w:asciiTheme="minorHAnsi" w:hAnsiTheme="minorHAnsi"/>
          <w:color w:val="auto"/>
          <w:sz w:val="24"/>
        </w:rPr>
        <w:t>Razvoj programa edukacija za pružanje usluga mentorstva korisnicima prava na zajamčenu minimalnu naknadu s ciljem radne aktivacije i socijalnog uključivanja</w:t>
      </w:r>
      <w:r w:rsidR="00BD2AC3" w:rsidRPr="005A52C0">
        <w:rPr>
          <w:rFonts w:asciiTheme="minorHAnsi" w:hAnsiTheme="minorHAnsi"/>
          <w:color w:val="auto"/>
          <w:sz w:val="24"/>
        </w:rPr>
        <w:t>;</w:t>
      </w:r>
    </w:p>
    <w:p w14:paraId="45F16215" w14:textId="77777777" w:rsidR="00330809" w:rsidRPr="005A52C0" w:rsidRDefault="00330809" w:rsidP="00AF23D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sz w:val="24"/>
        </w:rPr>
      </w:pPr>
      <w:r w:rsidRPr="005A52C0">
        <w:rPr>
          <w:rFonts w:asciiTheme="minorHAnsi" w:hAnsiTheme="minorHAnsi"/>
          <w:color w:val="auto"/>
          <w:sz w:val="24"/>
        </w:rPr>
        <w:t>Provedba programa edukacija za pružanje usluga mentorstva korisnicima prava na zajamčenu minimalnu naknadu s ciljem radne aktivacije i socijalnog uključivanja</w:t>
      </w:r>
      <w:r w:rsidR="00BD2AC3" w:rsidRPr="005A52C0">
        <w:rPr>
          <w:rFonts w:asciiTheme="minorHAnsi" w:hAnsiTheme="minorHAnsi"/>
          <w:color w:val="auto"/>
          <w:sz w:val="24"/>
        </w:rPr>
        <w:t>;</w:t>
      </w:r>
    </w:p>
    <w:p w14:paraId="584C9293" w14:textId="77777777" w:rsidR="00330809" w:rsidRPr="005A52C0" w:rsidRDefault="00330809" w:rsidP="00AF23D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color w:val="auto"/>
          <w:sz w:val="24"/>
        </w:rPr>
      </w:pPr>
      <w:r w:rsidRPr="005A52C0">
        <w:rPr>
          <w:rFonts w:asciiTheme="minorHAnsi" w:hAnsiTheme="minorHAnsi"/>
          <w:color w:val="auto"/>
          <w:sz w:val="24"/>
        </w:rPr>
        <w:t>aktivnosti unaprjeđenja znanja i vještina stručnjaka iz područja socijalne skrbi, zapošljavanja te ostalih relevantnih područja u svrhu unaprijeđena usluga povezanih sa pristupom tržištu rada pripadnika ciljnih skupina</w:t>
      </w:r>
      <w:r w:rsidR="00BD2AC3" w:rsidRPr="005A52C0">
        <w:rPr>
          <w:rFonts w:asciiTheme="minorHAnsi" w:hAnsiTheme="minorHAnsi"/>
          <w:color w:val="auto"/>
          <w:sz w:val="24"/>
        </w:rPr>
        <w:t>.</w:t>
      </w:r>
    </w:p>
    <w:p w14:paraId="0C9FEE2B" w14:textId="77777777" w:rsidR="00330809" w:rsidRPr="003C6641" w:rsidRDefault="00330809" w:rsidP="00AF23D6">
      <w:pPr>
        <w:pStyle w:val="ListParagraph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E809626" w14:textId="77777777" w:rsidR="00330809" w:rsidRPr="005A52C0" w:rsidRDefault="00330809" w:rsidP="00AF23D6">
      <w:pPr>
        <w:pStyle w:val="FootnoteText"/>
        <w:jc w:val="both"/>
        <w:rPr>
          <w:b/>
          <w:sz w:val="24"/>
          <w:u w:val="single"/>
        </w:rPr>
      </w:pPr>
      <w:r w:rsidRPr="005A52C0">
        <w:rPr>
          <w:b/>
          <w:sz w:val="24"/>
          <w:u w:val="single"/>
        </w:rPr>
        <w:t xml:space="preserve">Napomene: </w:t>
      </w:r>
    </w:p>
    <w:p w14:paraId="560D284A" w14:textId="77777777" w:rsidR="00330809" w:rsidRPr="005A52C0" w:rsidRDefault="00330809" w:rsidP="00AF23D6">
      <w:pPr>
        <w:pStyle w:val="FootnoteText"/>
        <w:numPr>
          <w:ilvl w:val="0"/>
          <w:numId w:val="36"/>
        </w:numPr>
        <w:jc w:val="both"/>
        <w:rPr>
          <w:sz w:val="24"/>
        </w:rPr>
      </w:pPr>
      <w:r w:rsidRPr="005A52C0">
        <w:rPr>
          <w:sz w:val="24"/>
        </w:rPr>
        <w:t>aktivnosti unutar ovog elementa ne mogu se provoditi kao samostalni projekti već su prihvatljive samo ukoliko projekt uključuje aktivnosti koje su usmjerene na ispunjavanje specifičnog cilja 1, 2 ili 3</w:t>
      </w:r>
      <w:r w:rsidR="00BD2AC3" w:rsidRPr="005A52C0">
        <w:rPr>
          <w:sz w:val="24"/>
        </w:rPr>
        <w:t>.</w:t>
      </w:r>
      <w:r w:rsidRPr="005A52C0">
        <w:rPr>
          <w:sz w:val="24"/>
        </w:rPr>
        <w:t xml:space="preserve"> </w:t>
      </w:r>
    </w:p>
    <w:p w14:paraId="51CF7BB8" w14:textId="77777777" w:rsidR="00330809" w:rsidRPr="003C6641" w:rsidRDefault="00330809" w:rsidP="00AF23D6">
      <w:pPr>
        <w:pStyle w:val="FootnoteText"/>
        <w:ind w:left="720"/>
        <w:jc w:val="both"/>
        <w:rPr>
          <w:rFonts w:cstheme="minorHAnsi"/>
          <w:sz w:val="24"/>
          <w:szCs w:val="24"/>
        </w:rPr>
      </w:pPr>
    </w:p>
    <w:p w14:paraId="1FCA1DB5" w14:textId="77777777" w:rsidR="005C7FEF" w:rsidRPr="005A52C0" w:rsidRDefault="005C7FEF" w:rsidP="00CF0C7D">
      <w:pPr>
        <w:pStyle w:val="Heading3"/>
        <w:rPr>
          <w:b w:val="0"/>
        </w:rPr>
      </w:pPr>
      <w:r w:rsidRPr="005A52C0">
        <w:rPr>
          <w:b w:val="0"/>
        </w:rPr>
        <w:lastRenderedPageBreak/>
        <w:t>Neprihvatljive aktivnosti</w:t>
      </w:r>
    </w:p>
    <w:p w14:paraId="27E276C2" w14:textId="77777777" w:rsidR="003F7232" w:rsidRPr="003C6641" w:rsidRDefault="003F7232" w:rsidP="005A52C0">
      <w:pPr>
        <w:spacing w:after="0"/>
        <w:jc w:val="both"/>
        <w:rPr>
          <w:rFonts w:cstheme="minorHAnsi"/>
          <w:sz w:val="24"/>
          <w:szCs w:val="24"/>
        </w:rPr>
      </w:pPr>
      <w:r w:rsidRPr="003C6641">
        <w:rPr>
          <w:rFonts w:cstheme="minorHAnsi"/>
          <w:sz w:val="24"/>
          <w:szCs w:val="24"/>
        </w:rPr>
        <w:t>Sljedeće vrste aktivnosti nisu prihvatljive:</w:t>
      </w:r>
    </w:p>
    <w:p w14:paraId="35F2A753" w14:textId="77777777" w:rsidR="003F7232" w:rsidRPr="005A52C0" w:rsidRDefault="003F7232" w:rsidP="00BD2AC3">
      <w:pPr>
        <w:pStyle w:val="ListParagraph"/>
        <w:numPr>
          <w:ilvl w:val="0"/>
          <w:numId w:val="10"/>
        </w:numPr>
        <w:spacing w:after="0"/>
        <w:jc w:val="both"/>
        <w:rPr>
          <w:rFonts w:asciiTheme="minorHAnsi" w:hAnsiTheme="minorHAnsi"/>
          <w:color w:val="auto"/>
          <w:sz w:val="24"/>
        </w:rPr>
      </w:pPr>
      <w:r w:rsidRPr="005A52C0">
        <w:rPr>
          <w:rFonts w:asciiTheme="minorHAnsi" w:hAnsiTheme="minorHAnsi"/>
          <w:color w:val="auto"/>
          <w:sz w:val="24"/>
        </w:rPr>
        <w:t>aktivnosti koje se odnose isključivo ili većinski na pojedinačno financiranje sudjelovanja na radionicama, seminarima, konferencijama i kongresima</w:t>
      </w:r>
      <w:r w:rsidR="00BD2AC3" w:rsidRPr="005A52C0">
        <w:rPr>
          <w:rFonts w:asciiTheme="minorHAnsi" w:hAnsiTheme="minorHAnsi"/>
          <w:color w:val="auto"/>
          <w:sz w:val="24"/>
        </w:rPr>
        <w:t>:</w:t>
      </w:r>
    </w:p>
    <w:p w14:paraId="3909F37E" w14:textId="57F7A654" w:rsidR="003F7232" w:rsidRPr="005A52C0" w:rsidRDefault="003F7232" w:rsidP="00E90301">
      <w:pPr>
        <w:pStyle w:val="FootnoteText"/>
        <w:numPr>
          <w:ilvl w:val="0"/>
          <w:numId w:val="10"/>
        </w:numPr>
        <w:jc w:val="both"/>
        <w:rPr>
          <w:sz w:val="24"/>
        </w:rPr>
      </w:pPr>
      <w:r w:rsidRPr="005A52C0">
        <w:rPr>
          <w:sz w:val="24"/>
        </w:rPr>
        <w:t xml:space="preserve">projekti čije su jedine aktivnosti u okviru Elementa </w:t>
      </w:r>
      <w:r w:rsidR="00E90301" w:rsidRPr="00E90301">
        <w:rPr>
          <w:i/>
          <w:sz w:val="24"/>
        </w:rPr>
        <w:t>Razvoj i/ili odabir i provedba programa obrazovanja odraslih</w:t>
      </w:r>
      <w:r w:rsidR="00E90301">
        <w:rPr>
          <w:sz w:val="24"/>
        </w:rPr>
        <w:t xml:space="preserve"> i </w:t>
      </w:r>
      <w:r w:rsidRPr="005A52C0">
        <w:rPr>
          <w:sz w:val="24"/>
        </w:rPr>
        <w:t xml:space="preserve">Elementa </w:t>
      </w:r>
      <w:r w:rsidR="00E90301" w:rsidRPr="00E90301">
        <w:rPr>
          <w:i/>
          <w:sz w:val="24"/>
        </w:rPr>
        <w:t>Razvoj i provedba ciljanih programa za osnaživanje marginaliziranih skupina, poboljšanje socijalnih vještina i unapređenje zapošljivosti</w:t>
      </w:r>
      <w:r w:rsidRPr="005A52C0">
        <w:rPr>
          <w:sz w:val="24"/>
        </w:rPr>
        <w:t xml:space="preserve"> usmjerene na osiguravanje odgovarajuće informacijske pristupačnosti osobama s invaliditetom ili osiguravanje odgovarajućih kanala komunikacije uz korištenje tumača znakovnog jezika, Brailleova pisma, zvučnog softwarea ili drugih pomagala i tehnika;</w:t>
      </w:r>
    </w:p>
    <w:p w14:paraId="4DCF0888" w14:textId="77777777" w:rsidR="003F7232" w:rsidRPr="005A52C0" w:rsidRDefault="003F7232" w:rsidP="00AF23D6">
      <w:pPr>
        <w:pStyle w:val="FootnoteText"/>
        <w:numPr>
          <w:ilvl w:val="0"/>
          <w:numId w:val="10"/>
        </w:numPr>
        <w:jc w:val="both"/>
        <w:rPr>
          <w:sz w:val="24"/>
        </w:rPr>
      </w:pPr>
      <w:r w:rsidRPr="005A52C0">
        <w:rPr>
          <w:sz w:val="24"/>
        </w:rPr>
        <w:t>aktivnosti koje se odnose u potpunosti na individualne školarine za studij ili tečajeve ili radionice;</w:t>
      </w:r>
    </w:p>
    <w:p w14:paraId="1A87287E" w14:textId="77777777" w:rsidR="003F7232" w:rsidRPr="005A52C0" w:rsidRDefault="003F7232" w:rsidP="0076362D">
      <w:pPr>
        <w:pStyle w:val="FootnoteText"/>
        <w:numPr>
          <w:ilvl w:val="0"/>
          <w:numId w:val="10"/>
        </w:numPr>
        <w:jc w:val="both"/>
        <w:rPr>
          <w:sz w:val="24"/>
        </w:rPr>
      </w:pPr>
      <w:r w:rsidRPr="005A52C0">
        <w:rPr>
          <w:sz w:val="24"/>
        </w:rPr>
        <w:t>jednokratni projekti poput konferencija, okruglih stolova,</w:t>
      </w:r>
      <w:r w:rsidR="00EA2613" w:rsidRPr="005A52C0">
        <w:rPr>
          <w:sz w:val="24"/>
        </w:rPr>
        <w:t xml:space="preserve"> seminara ili sličnih </w:t>
      </w:r>
      <w:r w:rsidR="00EA2613" w:rsidRPr="003C6641">
        <w:rPr>
          <w:rFonts w:cstheme="minorHAnsi"/>
          <w:sz w:val="24"/>
          <w:szCs w:val="24"/>
        </w:rPr>
        <w:t>događan</w:t>
      </w:r>
      <w:r w:rsidR="00311D92" w:rsidRPr="003C6641">
        <w:rPr>
          <w:rFonts w:cstheme="minorHAnsi"/>
          <w:sz w:val="24"/>
          <w:szCs w:val="24"/>
        </w:rPr>
        <w:t>ja</w:t>
      </w:r>
      <w:r w:rsidR="00311D92" w:rsidRPr="005A52C0">
        <w:rPr>
          <w:sz w:val="24"/>
        </w:rPr>
        <w:t xml:space="preserve">. </w:t>
      </w:r>
      <w:r w:rsidRPr="005A52C0">
        <w:rPr>
          <w:sz w:val="24"/>
        </w:rPr>
        <w:t>Takve aktivnosti se mogu financirati samo ako su dijelom šireg projekta. U tu svrhu, same pripremne aktivnosti za konferenciju i slična događanja ne predstavljaju takav širi projekt;</w:t>
      </w:r>
    </w:p>
    <w:p w14:paraId="4E293081" w14:textId="77777777" w:rsidR="003F7232" w:rsidRPr="005A52C0" w:rsidRDefault="003F7232" w:rsidP="00AF23D6">
      <w:pPr>
        <w:pStyle w:val="FootnoteText"/>
        <w:numPr>
          <w:ilvl w:val="0"/>
          <w:numId w:val="10"/>
        </w:numPr>
        <w:jc w:val="both"/>
        <w:rPr>
          <w:sz w:val="24"/>
        </w:rPr>
      </w:pPr>
      <w:r w:rsidRPr="005A52C0">
        <w:rPr>
          <w:sz w:val="24"/>
        </w:rPr>
        <w:t>projekti koji se sastoje isključivo od aktivnosti kao što su razvoj strategija, planova ili drugih sličnih dokumenata;</w:t>
      </w:r>
    </w:p>
    <w:p w14:paraId="1D36B0B0" w14:textId="77777777" w:rsidR="003F7232" w:rsidRPr="005A52C0" w:rsidRDefault="003F7232" w:rsidP="00AF23D6">
      <w:pPr>
        <w:pStyle w:val="FootnoteText"/>
        <w:numPr>
          <w:ilvl w:val="0"/>
          <w:numId w:val="10"/>
        </w:numPr>
        <w:jc w:val="both"/>
        <w:rPr>
          <w:sz w:val="24"/>
        </w:rPr>
      </w:pPr>
      <w:r w:rsidRPr="005A52C0">
        <w:rPr>
          <w:sz w:val="24"/>
        </w:rPr>
        <w:t>aktivnosti koje se odnose isključivo ili prvenstveno na kapitalna ulaganja u zemljišta, zgrade, vozila;</w:t>
      </w:r>
    </w:p>
    <w:p w14:paraId="56251206" w14:textId="77777777" w:rsidR="003F7232" w:rsidRPr="005A52C0" w:rsidRDefault="003F7232" w:rsidP="00AF23D6">
      <w:pPr>
        <w:pStyle w:val="FootnoteText"/>
        <w:numPr>
          <w:ilvl w:val="0"/>
          <w:numId w:val="10"/>
        </w:numPr>
        <w:jc w:val="both"/>
        <w:rPr>
          <w:sz w:val="24"/>
        </w:rPr>
      </w:pPr>
      <w:r w:rsidRPr="005A52C0">
        <w:rPr>
          <w:sz w:val="24"/>
        </w:rPr>
        <w:t>aktivnosti koje se odnose isključivo na istraživanje;</w:t>
      </w:r>
    </w:p>
    <w:p w14:paraId="673151F6" w14:textId="77777777" w:rsidR="003F7232" w:rsidRPr="005A52C0" w:rsidRDefault="003F7232" w:rsidP="00AF23D6">
      <w:pPr>
        <w:pStyle w:val="FootnoteText"/>
        <w:numPr>
          <w:ilvl w:val="0"/>
          <w:numId w:val="10"/>
        </w:numPr>
        <w:jc w:val="both"/>
        <w:rPr>
          <w:sz w:val="24"/>
        </w:rPr>
      </w:pPr>
      <w:r w:rsidRPr="005A52C0">
        <w:rPr>
          <w:sz w:val="24"/>
        </w:rPr>
        <w:t>projekti  koji su povezani s političkim ili vjerskim aktivnostima;</w:t>
      </w:r>
    </w:p>
    <w:p w14:paraId="6A2225C7" w14:textId="77777777" w:rsidR="003F7232" w:rsidRPr="005A52C0" w:rsidRDefault="003F7232" w:rsidP="00AF23D6">
      <w:pPr>
        <w:pStyle w:val="FootnoteText"/>
        <w:numPr>
          <w:ilvl w:val="0"/>
          <w:numId w:val="10"/>
        </w:numPr>
        <w:jc w:val="both"/>
        <w:rPr>
          <w:sz w:val="24"/>
        </w:rPr>
      </w:pPr>
      <w:r w:rsidRPr="005A52C0">
        <w:rPr>
          <w:sz w:val="24"/>
        </w:rPr>
        <w:t>donacije u dobrotvorne svrhe;</w:t>
      </w:r>
    </w:p>
    <w:p w14:paraId="3B103436" w14:textId="77777777" w:rsidR="003F7232" w:rsidRPr="005A52C0" w:rsidRDefault="003F7232" w:rsidP="00AF23D6">
      <w:pPr>
        <w:pStyle w:val="FootnoteText"/>
        <w:numPr>
          <w:ilvl w:val="0"/>
          <w:numId w:val="10"/>
        </w:numPr>
        <w:jc w:val="both"/>
        <w:rPr>
          <w:sz w:val="24"/>
        </w:rPr>
      </w:pPr>
      <w:r w:rsidRPr="005A52C0">
        <w:rPr>
          <w:sz w:val="24"/>
        </w:rPr>
        <w:t>zajmovi drugim organizacijama ili pojedincima;</w:t>
      </w:r>
    </w:p>
    <w:p w14:paraId="77AFCB30" w14:textId="77777777" w:rsidR="003F7232" w:rsidRPr="005A52C0" w:rsidRDefault="003F7232" w:rsidP="00AF23D6">
      <w:pPr>
        <w:pStyle w:val="FootnoteText"/>
        <w:numPr>
          <w:ilvl w:val="0"/>
          <w:numId w:val="10"/>
        </w:numPr>
        <w:jc w:val="both"/>
        <w:rPr>
          <w:sz w:val="24"/>
        </w:rPr>
      </w:pPr>
      <w:r w:rsidRPr="005A52C0">
        <w:rPr>
          <w:sz w:val="24"/>
        </w:rPr>
        <w:t>profitne aktivnosti;</w:t>
      </w:r>
    </w:p>
    <w:p w14:paraId="2E12ECE5" w14:textId="77777777" w:rsidR="003F7232" w:rsidRPr="005A52C0" w:rsidRDefault="003F7232" w:rsidP="00AF23D6">
      <w:pPr>
        <w:pStyle w:val="FootnoteText"/>
        <w:numPr>
          <w:ilvl w:val="0"/>
          <w:numId w:val="10"/>
        </w:numPr>
        <w:jc w:val="both"/>
        <w:rPr>
          <w:sz w:val="24"/>
        </w:rPr>
      </w:pPr>
      <w:r w:rsidRPr="005A52C0">
        <w:rPr>
          <w:sz w:val="24"/>
        </w:rPr>
        <w:t>projekti čije aktivnosti su isključivo odnosi s javnošću;</w:t>
      </w:r>
    </w:p>
    <w:p w14:paraId="2716DBCB" w14:textId="77777777" w:rsidR="003F7232" w:rsidRPr="005A52C0" w:rsidRDefault="003F7232" w:rsidP="00AF23D6">
      <w:pPr>
        <w:pStyle w:val="FootnoteText"/>
        <w:numPr>
          <w:ilvl w:val="0"/>
          <w:numId w:val="10"/>
        </w:numPr>
        <w:jc w:val="both"/>
        <w:rPr>
          <w:sz w:val="24"/>
        </w:rPr>
      </w:pPr>
      <w:r w:rsidRPr="005A52C0">
        <w:rPr>
          <w:sz w:val="24"/>
        </w:rPr>
        <w:t>ostale aktivnosti koje nisu usmjerene na ostvarivanje općeg i/ili specifičnih ciljeva operacije</w:t>
      </w:r>
      <w:r w:rsidR="00BD2AC3" w:rsidRPr="005A52C0">
        <w:rPr>
          <w:sz w:val="24"/>
        </w:rPr>
        <w:t>.</w:t>
      </w:r>
    </w:p>
    <w:p w14:paraId="32FAC2FA" w14:textId="77777777" w:rsidR="00617E18" w:rsidRPr="005A52C0" w:rsidRDefault="00617E18" w:rsidP="00AF23D6">
      <w:pPr>
        <w:pStyle w:val="Heading2"/>
        <w:jc w:val="both"/>
        <w:rPr>
          <w:rFonts w:asciiTheme="minorHAnsi" w:hAnsiTheme="minorHAnsi"/>
          <w:b/>
          <w:sz w:val="24"/>
        </w:rPr>
      </w:pPr>
    </w:p>
    <w:sectPr w:rsidR="00617E18" w:rsidRPr="005A52C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A80E6E" w14:textId="77777777" w:rsidR="00847869" w:rsidRDefault="00847869" w:rsidP="0094717F">
      <w:pPr>
        <w:spacing w:after="0" w:line="240" w:lineRule="auto"/>
      </w:pPr>
      <w:r>
        <w:separator/>
      </w:r>
    </w:p>
  </w:endnote>
  <w:endnote w:type="continuationSeparator" w:id="0">
    <w:p w14:paraId="378908E4" w14:textId="77777777" w:rsidR="00847869" w:rsidRDefault="00847869" w:rsidP="0094717F">
      <w:pPr>
        <w:spacing w:after="0" w:line="240" w:lineRule="auto"/>
      </w:pPr>
      <w:r>
        <w:continuationSeparator/>
      </w:r>
    </w:p>
  </w:endnote>
  <w:endnote w:type="continuationNotice" w:id="1">
    <w:p w14:paraId="2F613B30" w14:textId="77777777" w:rsidR="00847869" w:rsidRDefault="008478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3254385"/>
      <w:docPartObj>
        <w:docPartGallery w:val="Page Numbers (Bottom of Page)"/>
        <w:docPartUnique/>
      </w:docPartObj>
    </w:sdtPr>
    <w:sdtEndPr/>
    <w:sdtContent>
      <w:p w14:paraId="36B6E7B0" w14:textId="77777777" w:rsidR="0094717F" w:rsidRDefault="0094717F" w:rsidP="0094717F">
        <w:pPr>
          <w:pStyle w:val="Footer"/>
          <w:jc w:val="center"/>
        </w:pPr>
        <w:r>
          <w:rPr>
            <w:noProof/>
            <w:lang w:eastAsia="hr-HR"/>
          </w:rPr>
          <w:drawing>
            <wp:inline distT="0" distB="0" distL="0" distR="0" wp14:anchorId="432EE809" wp14:editId="79886E11">
              <wp:extent cx="3517900" cy="1152525"/>
              <wp:effectExtent l="0" t="0" r="6350" b="9525"/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517900" cy="11525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F641B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6A3B67" w14:textId="77777777" w:rsidR="00847869" w:rsidRDefault="00847869" w:rsidP="0094717F">
      <w:pPr>
        <w:spacing w:after="0" w:line="240" w:lineRule="auto"/>
      </w:pPr>
      <w:r>
        <w:separator/>
      </w:r>
    </w:p>
  </w:footnote>
  <w:footnote w:type="continuationSeparator" w:id="0">
    <w:p w14:paraId="2D3F2F46" w14:textId="77777777" w:rsidR="00847869" w:rsidRDefault="00847869" w:rsidP="0094717F">
      <w:pPr>
        <w:spacing w:after="0" w:line="240" w:lineRule="auto"/>
      </w:pPr>
      <w:r>
        <w:continuationSeparator/>
      </w:r>
    </w:p>
  </w:footnote>
  <w:footnote w:type="continuationNotice" w:id="1">
    <w:p w14:paraId="2651F02C" w14:textId="77777777" w:rsidR="00847869" w:rsidRDefault="008478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A599FD" w14:textId="77777777" w:rsidR="0094717F" w:rsidRDefault="0094717F" w:rsidP="0094717F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9"/>
    </w:tblGrid>
    <w:tr w:rsidR="0094717F" w14:paraId="2DEB7950" w14:textId="77777777" w:rsidTr="00C77135">
      <w:tc>
        <w:tcPr>
          <w:tcW w:w="3539" w:type="dxa"/>
        </w:tcPr>
        <w:p w14:paraId="131154DB" w14:textId="77777777" w:rsidR="0094717F" w:rsidRDefault="0094717F" w:rsidP="0094717F">
          <w:pPr>
            <w:pStyle w:val="Header"/>
            <w:jc w:val="center"/>
          </w:pPr>
          <w:r w:rsidRPr="008B65AD">
            <w:rPr>
              <w:b/>
              <w:bCs/>
              <w:noProof/>
              <w:lang w:eastAsia="hr-HR"/>
            </w:rPr>
            <w:drawing>
              <wp:inline distT="0" distB="0" distL="0" distR="0" wp14:anchorId="4D85629A" wp14:editId="1124932D">
                <wp:extent cx="400050" cy="497840"/>
                <wp:effectExtent l="0" t="0" r="0" b="0"/>
                <wp:docPr id="9" name="Slika 9" descr="grb-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grb-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AF11626" w14:textId="77777777" w:rsidR="0094717F" w:rsidRDefault="0094717F" w:rsidP="0094717F">
          <w:pPr>
            <w:pStyle w:val="Header"/>
            <w:jc w:val="center"/>
          </w:pPr>
        </w:p>
      </w:tc>
    </w:tr>
    <w:tr w:rsidR="0094717F" w14:paraId="1F52879F" w14:textId="77777777" w:rsidTr="00C77135">
      <w:tc>
        <w:tcPr>
          <w:tcW w:w="3539" w:type="dxa"/>
        </w:tcPr>
        <w:p w14:paraId="3D99ACCF" w14:textId="77777777" w:rsidR="0094717F" w:rsidRPr="00FA35FE" w:rsidRDefault="0094717F" w:rsidP="0094717F">
          <w:pPr>
            <w:tabs>
              <w:tab w:val="left" w:pos="3045"/>
            </w:tabs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16"/>
              <w:szCs w:val="16"/>
            </w:rPr>
            <w:t>MINISTARSTVO ZA DEMOGRAFIJU,</w:t>
          </w:r>
        </w:p>
        <w:p w14:paraId="4B874442" w14:textId="77777777" w:rsidR="0094717F" w:rsidRPr="008B65AD" w:rsidRDefault="0094717F" w:rsidP="0094717F">
          <w:pPr>
            <w:pStyle w:val="Header"/>
            <w:jc w:val="center"/>
            <w:rPr>
              <w:b/>
              <w:bCs/>
              <w:noProof/>
              <w:lang w:eastAsia="hr-HR"/>
            </w:rPr>
          </w:pPr>
          <w:r>
            <w:rPr>
              <w:rFonts w:ascii="Times New Roman" w:hAnsi="Times New Roman"/>
              <w:sz w:val="16"/>
              <w:szCs w:val="16"/>
            </w:rPr>
            <w:t>OBITELJ, MLADE I SOCIJALNU POLITIKU</w:t>
          </w:r>
        </w:p>
      </w:tc>
    </w:tr>
  </w:tbl>
  <w:p w14:paraId="3C29AAF7" w14:textId="77777777" w:rsidR="0094717F" w:rsidRDefault="0094717F" w:rsidP="009471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076AE"/>
    <w:multiLevelType w:val="hybridMultilevel"/>
    <w:tmpl w:val="2D72D0BC"/>
    <w:lvl w:ilvl="0" w:tplc="644ACA9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5216D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FD191E"/>
    <w:multiLevelType w:val="multilevel"/>
    <w:tmpl w:val="43265C00"/>
    <w:lvl w:ilvl="0">
      <w:start w:val="1"/>
      <w:numFmt w:val="decimal"/>
      <w:lvlText w:val="%1."/>
      <w:lvlJc w:val="left"/>
      <w:pPr>
        <w:ind w:left="420" w:hanging="360"/>
      </w:pPr>
      <w:rPr>
        <w:b/>
      </w:rPr>
    </w:lvl>
    <w:lvl w:ilvl="1">
      <w:start w:val="1"/>
      <w:numFmt w:val="decimal"/>
      <w:lvlText w:val="%1.%2."/>
      <w:lvlJc w:val="left"/>
      <w:pPr>
        <w:ind w:left="420" w:hanging="360"/>
      </w:pPr>
    </w:lvl>
    <w:lvl w:ilvl="2">
      <w:start w:val="1"/>
      <w:numFmt w:val="decimal"/>
      <w:lvlText w:val="%1.%2.%3."/>
      <w:lvlJc w:val="left"/>
      <w:pPr>
        <w:ind w:left="780" w:hanging="720"/>
      </w:pPr>
    </w:lvl>
    <w:lvl w:ilvl="3">
      <w:start w:val="1"/>
      <w:numFmt w:val="decimal"/>
      <w:lvlText w:val="%1.%2.%3.%4."/>
      <w:lvlJc w:val="left"/>
      <w:pPr>
        <w:ind w:left="780" w:hanging="720"/>
      </w:pPr>
    </w:lvl>
    <w:lvl w:ilvl="4">
      <w:start w:val="1"/>
      <w:numFmt w:val="decimal"/>
      <w:lvlText w:val="%1.%2.%3.%4.%5."/>
      <w:lvlJc w:val="left"/>
      <w:pPr>
        <w:ind w:left="1140" w:hanging="1080"/>
      </w:pPr>
    </w:lvl>
    <w:lvl w:ilvl="5">
      <w:start w:val="1"/>
      <w:numFmt w:val="decimal"/>
      <w:lvlText w:val="%1.%2.%3.%4.%5.%6."/>
      <w:lvlJc w:val="left"/>
      <w:pPr>
        <w:ind w:left="1140" w:hanging="1080"/>
      </w:pPr>
    </w:lvl>
    <w:lvl w:ilvl="6">
      <w:start w:val="1"/>
      <w:numFmt w:val="decimal"/>
      <w:lvlText w:val="%1.%2.%3.%4.%5.%6.%7."/>
      <w:lvlJc w:val="left"/>
      <w:pPr>
        <w:ind w:left="1500" w:hanging="1440"/>
      </w:pPr>
    </w:lvl>
    <w:lvl w:ilvl="7">
      <w:start w:val="1"/>
      <w:numFmt w:val="decimal"/>
      <w:lvlText w:val="%1.%2.%3.%4.%5.%6.%7.%8."/>
      <w:lvlJc w:val="left"/>
      <w:pPr>
        <w:ind w:left="1500" w:hanging="1440"/>
      </w:pPr>
    </w:lvl>
    <w:lvl w:ilvl="8">
      <w:start w:val="1"/>
      <w:numFmt w:val="decimal"/>
      <w:lvlText w:val="%1.%2.%3.%4.%5.%6.%7.%8.%9."/>
      <w:lvlJc w:val="left"/>
      <w:pPr>
        <w:ind w:left="1860" w:hanging="1800"/>
      </w:pPr>
    </w:lvl>
  </w:abstractNum>
  <w:abstractNum w:abstractNumId="3">
    <w:nsid w:val="08281E47"/>
    <w:multiLevelType w:val="hybridMultilevel"/>
    <w:tmpl w:val="9C0ABF9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2721B4"/>
    <w:multiLevelType w:val="hybridMultilevel"/>
    <w:tmpl w:val="806E7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31020E"/>
    <w:multiLevelType w:val="hybridMultilevel"/>
    <w:tmpl w:val="1BAE5400"/>
    <w:lvl w:ilvl="0" w:tplc="0000000C"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D2CB0"/>
    <w:multiLevelType w:val="hybridMultilevel"/>
    <w:tmpl w:val="0B38BA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3A20C4"/>
    <w:multiLevelType w:val="hybridMultilevel"/>
    <w:tmpl w:val="5B6225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DA1C77"/>
    <w:multiLevelType w:val="hybridMultilevel"/>
    <w:tmpl w:val="6FF8D51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643DF8"/>
    <w:multiLevelType w:val="hybridMultilevel"/>
    <w:tmpl w:val="874CD2D0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3A043F"/>
    <w:multiLevelType w:val="hybridMultilevel"/>
    <w:tmpl w:val="2E2E0708"/>
    <w:lvl w:ilvl="0" w:tplc="149C0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7D79A8"/>
    <w:multiLevelType w:val="hybridMultilevel"/>
    <w:tmpl w:val="EE90BA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C217E9"/>
    <w:multiLevelType w:val="hybridMultilevel"/>
    <w:tmpl w:val="15A01E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A40BCE"/>
    <w:multiLevelType w:val="hybridMultilevel"/>
    <w:tmpl w:val="0CD83D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C44D40"/>
    <w:multiLevelType w:val="hybridMultilevel"/>
    <w:tmpl w:val="B36A72FA"/>
    <w:lvl w:ilvl="0" w:tplc="149C0F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0056734"/>
    <w:multiLevelType w:val="hybridMultilevel"/>
    <w:tmpl w:val="6B12F3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3C130B"/>
    <w:multiLevelType w:val="hybridMultilevel"/>
    <w:tmpl w:val="A18272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AA721E"/>
    <w:multiLevelType w:val="hybridMultilevel"/>
    <w:tmpl w:val="4CC47E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020FAA"/>
    <w:multiLevelType w:val="hybridMultilevel"/>
    <w:tmpl w:val="501232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09400D"/>
    <w:multiLevelType w:val="multilevel"/>
    <w:tmpl w:val="E17E59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0">
    <w:nsid w:val="3C4C7BA2"/>
    <w:multiLevelType w:val="hybridMultilevel"/>
    <w:tmpl w:val="897CD1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6F4104"/>
    <w:multiLevelType w:val="hybridMultilevel"/>
    <w:tmpl w:val="E9F86A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DA22D8"/>
    <w:multiLevelType w:val="hybridMultilevel"/>
    <w:tmpl w:val="E9F84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E65986"/>
    <w:multiLevelType w:val="multilevel"/>
    <w:tmpl w:val="42D8DF06"/>
    <w:lvl w:ilvl="0">
      <w:start w:val="1"/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>
    <w:nsid w:val="3F0B5B77"/>
    <w:multiLevelType w:val="hybridMultilevel"/>
    <w:tmpl w:val="63DAFFB4"/>
    <w:lvl w:ilvl="0" w:tplc="041A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F3D492B"/>
    <w:multiLevelType w:val="hybridMultilevel"/>
    <w:tmpl w:val="8536F9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3B5DA1"/>
    <w:multiLevelType w:val="multilevel"/>
    <w:tmpl w:val="B4E43962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27">
    <w:nsid w:val="4AFE3EA4"/>
    <w:multiLevelType w:val="hybridMultilevel"/>
    <w:tmpl w:val="3F1C6E0A"/>
    <w:lvl w:ilvl="0" w:tplc="D8DE42CA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966BBD"/>
    <w:multiLevelType w:val="multilevel"/>
    <w:tmpl w:val="E9609C72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5F8077F2"/>
    <w:multiLevelType w:val="hybridMultilevel"/>
    <w:tmpl w:val="B5B67F4C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F54F6E"/>
    <w:multiLevelType w:val="hybridMultilevel"/>
    <w:tmpl w:val="D35C2F7A"/>
    <w:lvl w:ilvl="0" w:tplc="041A000F">
      <w:start w:val="1"/>
      <w:numFmt w:val="decimal"/>
      <w:lvlText w:val="%1."/>
      <w:lvlJc w:val="left"/>
      <w:pPr>
        <w:ind w:left="785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7F00E7"/>
    <w:multiLevelType w:val="hybridMultilevel"/>
    <w:tmpl w:val="7958CC08"/>
    <w:lvl w:ilvl="0" w:tplc="CAC2EDE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847A91"/>
    <w:multiLevelType w:val="hybridMultilevel"/>
    <w:tmpl w:val="C9125BE0"/>
    <w:lvl w:ilvl="0" w:tplc="9154D2E8">
      <w:start w:val="1"/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FC7CD5"/>
    <w:multiLevelType w:val="hybridMultilevel"/>
    <w:tmpl w:val="95FAFB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2208E3"/>
    <w:multiLevelType w:val="multilevel"/>
    <w:tmpl w:val="43265C00"/>
    <w:lvl w:ilvl="0">
      <w:start w:val="1"/>
      <w:numFmt w:val="decimal"/>
      <w:lvlText w:val="%1."/>
      <w:lvlJc w:val="left"/>
      <w:pPr>
        <w:ind w:left="420" w:hanging="360"/>
      </w:pPr>
      <w:rPr>
        <w:b/>
      </w:rPr>
    </w:lvl>
    <w:lvl w:ilvl="1">
      <w:start w:val="1"/>
      <w:numFmt w:val="decimal"/>
      <w:lvlText w:val="%1.%2."/>
      <w:lvlJc w:val="left"/>
      <w:pPr>
        <w:ind w:left="420" w:hanging="360"/>
      </w:pPr>
    </w:lvl>
    <w:lvl w:ilvl="2">
      <w:start w:val="1"/>
      <w:numFmt w:val="decimal"/>
      <w:lvlText w:val="%1.%2.%3."/>
      <w:lvlJc w:val="left"/>
      <w:pPr>
        <w:ind w:left="780" w:hanging="720"/>
      </w:pPr>
    </w:lvl>
    <w:lvl w:ilvl="3">
      <w:start w:val="1"/>
      <w:numFmt w:val="decimal"/>
      <w:lvlText w:val="%1.%2.%3.%4."/>
      <w:lvlJc w:val="left"/>
      <w:pPr>
        <w:ind w:left="780" w:hanging="720"/>
      </w:pPr>
    </w:lvl>
    <w:lvl w:ilvl="4">
      <w:start w:val="1"/>
      <w:numFmt w:val="decimal"/>
      <w:lvlText w:val="%1.%2.%3.%4.%5."/>
      <w:lvlJc w:val="left"/>
      <w:pPr>
        <w:ind w:left="1140" w:hanging="1080"/>
      </w:pPr>
    </w:lvl>
    <w:lvl w:ilvl="5">
      <w:start w:val="1"/>
      <w:numFmt w:val="decimal"/>
      <w:lvlText w:val="%1.%2.%3.%4.%5.%6."/>
      <w:lvlJc w:val="left"/>
      <w:pPr>
        <w:ind w:left="1140" w:hanging="1080"/>
      </w:pPr>
    </w:lvl>
    <w:lvl w:ilvl="6">
      <w:start w:val="1"/>
      <w:numFmt w:val="decimal"/>
      <w:lvlText w:val="%1.%2.%3.%4.%5.%6.%7."/>
      <w:lvlJc w:val="left"/>
      <w:pPr>
        <w:ind w:left="1500" w:hanging="1440"/>
      </w:pPr>
    </w:lvl>
    <w:lvl w:ilvl="7">
      <w:start w:val="1"/>
      <w:numFmt w:val="decimal"/>
      <w:lvlText w:val="%1.%2.%3.%4.%5.%6.%7.%8."/>
      <w:lvlJc w:val="left"/>
      <w:pPr>
        <w:ind w:left="1500" w:hanging="1440"/>
      </w:pPr>
    </w:lvl>
    <w:lvl w:ilvl="8">
      <w:start w:val="1"/>
      <w:numFmt w:val="decimal"/>
      <w:lvlText w:val="%1.%2.%3.%4.%5.%6.%7.%8.%9."/>
      <w:lvlJc w:val="left"/>
      <w:pPr>
        <w:ind w:left="1860" w:hanging="1800"/>
      </w:pPr>
    </w:lvl>
  </w:abstractNum>
  <w:abstractNum w:abstractNumId="35">
    <w:nsid w:val="6DD147CC"/>
    <w:multiLevelType w:val="multilevel"/>
    <w:tmpl w:val="B4E43962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36">
    <w:nsid w:val="6EC7215C"/>
    <w:multiLevelType w:val="hybridMultilevel"/>
    <w:tmpl w:val="10341210"/>
    <w:lvl w:ilvl="0" w:tplc="149C0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B85804"/>
    <w:multiLevelType w:val="hybridMultilevel"/>
    <w:tmpl w:val="BBF2AF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397685"/>
    <w:multiLevelType w:val="multilevel"/>
    <w:tmpl w:val="16727B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>
    <w:nsid w:val="76EB68B4"/>
    <w:multiLevelType w:val="multilevel"/>
    <w:tmpl w:val="1AA8E07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799B78B4"/>
    <w:multiLevelType w:val="hybridMultilevel"/>
    <w:tmpl w:val="DCCAC292"/>
    <w:lvl w:ilvl="0" w:tplc="9154D2E8">
      <w:start w:val="1"/>
      <w:numFmt w:val="bullet"/>
      <w:lvlText w:val="-"/>
      <w:lvlJc w:val="left"/>
      <w:pPr>
        <w:ind w:left="1440" w:hanging="360"/>
      </w:pPr>
      <w:rPr>
        <w:rFonts w:ascii="Lucida Sans Unicode" w:eastAsiaTheme="minorHAnsi" w:hAnsi="Lucida Sans Unicode" w:cs="Lucida Sans Unicode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D976ECF"/>
    <w:multiLevelType w:val="multilevel"/>
    <w:tmpl w:val="7DFC96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6"/>
  </w:num>
  <w:num w:numId="3">
    <w:abstractNumId w:val="36"/>
  </w:num>
  <w:num w:numId="4">
    <w:abstractNumId w:val="34"/>
  </w:num>
  <w:num w:numId="5">
    <w:abstractNumId w:val="15"/>
  </w:num>
  <w:num w:numId="6">
    <w:abstractNumId w:val="38"/>
  </w:num>
  <w:num w:numId="7">
    <w:abstractNumId w:val="3"/>
  </w:num>
  <w:num w:numId="8">
    <w:abstractNumId w:val="0"/>
  </w:num>
  <w:num w:numId="9">
    <w:abstractNumId w:val="8"/>
  </w:num>
  <w:num w:numId="10">
    <w:abstractNumId w:val="5"/>
  </w:num>
  <w:num w:numId="11">
    <w:abstractNumId w:val="12"/>
  </w:num>
  <w:num w:numId="12">
    <w:abstractNumId w:val="37"/>
  </w:num>
  <w:num w:numId="13">
    <w:abstractNumId w:val="7"/>
  </w:num>
  <w:num w:numId="14">
    <w:abstractNumId w:val="18"/>
  </w:num>
  <w:num w:numId="15">
    <w:abstractNumId w:val="16"/>
  </w:num>
  <w:num w:numId="16">
    <w:abstractNumId w:val="20"/>
  </w:num>
  <w:num w:numId="17">
    <w:abstractNumId w:val="9"/>
  </w:num>
  <w:num w:numId="18">
    <w:abstractNumId w:val="29"/>
  </w:num>
  <w:num w:numId="19">
    <w:abstractNumId w:val="31"/>
  </w:num>
  <w:num w:numId="20">
    <w:abstractNumId w:val="4"/>
  </w:num>
  <w:num w:numId="21">
    <w:abstractNumId w:val="22"/>
  </w:num>
  <w:num w:numId="22">
    <w:abstractNumId w:val="27"/>
  </w:num>
  <w:num w:numId="23">
    <w:abstractNumId w:val="17"/>
  </w:num>
  <w:num w:numId="24">
    <w:abstractNumId w:val="32"/>
  </w:num>
  <w:num w:numId="25">
    <w:abstractNumId w:val="1"/>
  </w:num>
  <w:num w:numId="26">
    <w:abstractNumId w:val="2"/>
  </w:num>
  <w:num w:numId="27">
    <w:abstractNumId w:val="35"/>
  </w:num>
  <w:num w:numId="28">
    <w:abstractNumId w:val="26"/>
  </w:num>
  <w:num w:numId="29">
    <w:abstractNumId w:val="10"/>
  </w:num>
  <w:num w:numId="30">
    <w:abstractNumId w:val="33"/>
  </w:num>
  <w:num w:numId="31">
    <w:abstractNumId w:val="13"/>
  </w:num>
  <w:num w:numId="32">
    <w:abstractNumId w:val="30"/>
  </w:num>
  <w:num w:numId="33">
    <w:abstractNumId w:val="23"/>
  </w:num>
  <w:num w:numId="34">
    <w:abstractNumId w:val="40"/>
  </w:num>
  <w:num w:numId="35">
    <w:abstractNumId w:val="41"/>
  </w:num>
  <w:num w:numId="36">
    <w:abstractNumId w:val="11"/>
  </w:num>
  <w:num w:numId="37">
    <w:abstractNumId w:val="24"/>
  </w:num>
  <w:num w:numId="38">
    <w:abstractNumId w:val="21"/>
  </w:num>
  <w:num w:numId="39">
    <w:abstractNumId w:val="14"/>
  </w:num>
  <w:num w:numId="40">
    <w:abstractNumId w:val="28"/>
  </w:num>
  <w:num w:numId="41">
    <w:abstractNumId w:val="19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4AA"/>
    <w:rsid w:val="00000E51"/>
    <w:rsid w:val="000026ED"/>
    <w:rsid w:val="000072E5"/>
    <w:rsid w:val="00016CD8"/>
    <w:rsid w:val="00026B67"/>
    <w:rsid w:val="000477D4"/>
    <w:rsid w:val="000501E4"/>
    <w:rsid w:val="00056BE2"/>
    <w:rsid w:val="00057A4E"/>
    <w:rsid w:val="00061306"/>
    <w:rsid w:val="000674E5"/>
    <w:rsid w:val="000817DE"/>
    <w:rsid w:val="00095B56"/>
    <w:rsid w:val="000A4BC1"/>
    <w:rsid w:val="000B26F5"/>
    <w:rsid w:val="000C1E72"/>
    <w:rsid w:val="000C7C62"/>
    <w:rsid w:val="000E35B1"/>
    <w:rsid w:val="000E490B"/>
    <w:rsid w:val="000F02F0"/>
    <w:rsid w:val="001041A7"/>
    <w:rsid w:val="00104C8A"/>
    <w:rsid w:val="00106D96"/>
    <w:rsid w:val="00130396"/>
    <w:rsid w:val="001411E8"/>
    <w:rsid w:val="00143293"/>
    <w:rsid w:val="00146F9E"/>
    <w:rsid w:val="00153A45"/>
    <w:rsid w:val="00156B2B"/>
    <w:rsid w:val="00165A41"/>
    <w:rsid w:val="0017564B"/>
    <w:rsid w:val="001823B0"/>
    <w:rsid w:val="00183F3C"/>
    <w:rsid w:val="001876D4"/>
    <w:rsid w:val="001A0000"/>
    <w:rsid w:val="001A105F"/>
    <w:rsid w:val="001A548C"/>
    <w:rsid w:val="001B13B9"/>
    <w:rsid w:val="001D3769"/>
    <w:rsid w:val="001E7358"/>
    <w:rsid w:val="001F473A"/>
    <w:rsid w:val="002127E9"/>
    <w:rsid w:val="00216228"/>
    <w:rsid w:val="002235D1"/>
    <w:rsid w:val="00232AC0"/>
    <w:rsid w:val="002330B6"/>
    <w:rsid w:val="0023678F"/>
    <w:rsid w:val="0026748D"/>
    <w:rsid w:val="0028399A"/>
    <w:rsid w:val="00287349"/>
    <w:rsid w:val="002905C6"/>
    <w:rsid w:val="002921D9"/>
    <w:rsid w:val="002A07EE"/>
    <w:rsid w:val="002B73F1"/>
    <w:rsid w:val="002C244B"/>
    <w:rsid w:val="002D20CD"/>
    <w:rsid w:val="002D4941"/>
    <w:rsid w:val="003058DA"/>
    <w:rsid w:val="00307D84"/>
    <w:rsid w:val="00311D92"/>
    <w:rsid w:val="003149C4"/>
    <w:rsid w:val="00323638"/>
    <w:rsid w:val="00330809"/>
    <w:rsid w:val="0033174B"/>
    <w:rsid w:val="00340715"/>
    <w:rsid w:val="00360326"/>
    <w:rsid w:val="00371741"/>
    <w:rsid w:val="00374319"/>
    <w:rsid w:val="00381813"/>
    <w:rsid w:val="00383DE6"/>
    <w:rsid w:val="00394814"/>
    <w:rsid w:val="00397758"/>
    <w:rsid w:val="003A18A3"/>
    <w:rsid w:val="003A7401"/>
    <w:rsid w:val="003C405A"/>
    <w:rsid w:val="003C6641"/>
    <w:rsid w:val="003D7B6B"/>
    <w:rsid w:val="003E7172"/>
    <w:rsid w:val="003F3712"/>
    <w:rsid w:val="003F5D14"/>
    <w:rsid w:val="003F641B"/>
    <w:rsid w:val="003F7232"/>
    <w:rsid w:val="004061A8"/>
    <w:rsid w:val="004075E7"/>
    <w:rsid w:val="004217A1"/>
    <w:rsid w:val="004277D5"/>
    <w:rsid w:val="00450375"/>
    <w:rsid w:val="004721B0"/>
    <w:rsid w:val="00481238"/>
    <w:rsid w:val="004822D8"/>
    <w:rsid w:val="004873A1"/>
    <w:rsid w:val="0049306C"/>
    <w:rsid w:val="004B0EE7"/>
    <w:rsid w:val="004B6551"/>
    <w:rsid w:val="004B7D04"/>
    <w:rsid w:val="004D392D"/>
    <w:rsid w:val="004E6D4B"/>
    <w:rsid w:val="004F4117"/>
    <w:rsid w:val="004F496B"/>
    <w:rsid w:val="00516434"/>
    <w:rsid w:val="0052614C"/>
    <w:rsid w:val="00544D75"/>
    <w:rsid w:val="00552681"/>
    <w:rsid w:val="005661A9"/>
    <w:rsid w:val="005719BF"/>
    <w:rsid w:val="0059245B"/>
    <w:rsid w:val="005A0CDC"/>
    <w:rsid w:val="005A196D"/>
    <w:rsid w:val="005A52C0"/>
    <w:rsid w:val="005B28EE"/>
    <w:rsid w:val="005B5FBA"/>
    <w:rsid w:val="005C7FEF"/>
    <w:rsid w:val="005E0E4A"/>
    <w:rsid w:val="005E10E1"/>
    <w:rsid w:val="005F0889"/>
    <w:rsid w:val="005F4149"/>
    <w:rsid w:val="00602758"/>
    <w:rsid w:val="0060334A"/>
    <w:rsid w:val="00606074"/>
    <w:rsid w:val="006174E1"/>
    <w:rsid w:val="00617E18"/>
    <w:rsid w:val="0062248E"/>
    <w:rsid w:val="006414F8"/>
    <w:rsid w:val="00641B15"/>
    <w:rsid w:val="00652DCD"/>
    <w:rsid w:val="006548A0"/>
    <w:rsid w:val="00656576"/>
    <w:rsid w:val="00660ADD"/>
    <w:rsid w:val="00661843"/>
    <w:rsid w:val="00670DA9"/>
    <w:rsid w:val="00677B45"/>
    <w:rsid w:val="00684A0B"/>
    <w:rsid w:val="00691447"/>
    <w:rsid w:val="006A0756"/>
    <w:rsid w:val="006C6C9F"/>
    <w:rsid w:val="006D3DB9"/>
    <w:rsid w:val="006E47E6"/>
    <w:rsid w:val="006F35D8"/>
    <w:rsid w:val="007133FE"/>
    <w:rsid w:val="007160F1"/>
    <w:rsid w:val="00721ABD"/>
    <w:rsid w:val="00747609"/>
    <w:rsid w:val="007507A8"/>
    <w:rsid w:val="00764A31"/>
    <w:rsid w:val="00773D01"/>
    <w:rsid w:val="00786EF3"/>
    <w:rsid w:val="00795245"/>
    <w:rsid w:val="00797FC8"/>
    <w:rsid w:val="007A6F4D"/>
    <w:rsid w:val="007A7B99"/>
    <w:rsid w:val="007C03A8"/>
    <w:rsid w:val="007C2E76"/>
    <w:rsid w:val="007C3833"/>
    <w:rsid w:val="007C4CAE"/>
    <w:rsid w:val="007F2887"/>
    <w:rsid w:val="00811626"/>
    <w:rsid w:val="0081448E"/>
    <w:rsid w:val="0081601D"/>
    <w:rsid w:val="00816B71"/>
    <w:rsid w:val="00816BBA"/>
    <w:rsid w:val="00820DC9"/>
    <w:rsid w:val="00842829"/>
    <w:rsid w:val="00847869"/>
    <w:rsid w:val="00851A45"/>
    <w:rsid w:val="008540AF"/>
    <w:rsid w:val="008610C8"/>
    <w:rsid w:val="00871198"/>
    <w:rsid w:val="00882493"/>
    <w:rsid w:val="00886B2D"/>
    <w:rsid w:val="00892D04"/>
    <w:rsid w:val="00896BD8"/>
    <w:rsid w:val="008C32FA"/>
    <w:rsid w:val="008D2022"/>
    <w:rsid w:val="008E01AF"/>
    <w:rsid w:val="008F0892"/>
    <w:rsid w:val="00907523"/>
    <w:rsid w:val="0091020F"/>
    <w:rsid w:val="00913185"/>
    <w:rsid w:val="009261DE"/>
    <w:rsid w:val="009415CA"/>
    <w:rsid w:val="0094717F"/>
    <w:rsid w:val="0098749D"/>
    <w:rsid w:val="0098794C"/>
    <w:rsid w:val="009C2A69"/>
    <w:rsid w:val="009D20CF"/>
    <w:rsid w:val="009E51C0"/>
    <w:rsid w:val="009E7C54"/>
    <w:rsid w:val="009F5F43"/>
    <w:rsid w:val="00A00178"/>
    <w:rsid w:val="00A258A6"/>
    <w:rsid w:val="00A32807"/>
    <w:rsid w:val="00A37AC2"/>
    <w:rsid w:val="00A410F0"/>
    <w:rsid w:val="00A44291"/>
    <w:rsid w:val="00A65C88"/>
    <w:rsid w:val="00A701C6"/>
    <w:rsid w:val="00A7149D"/>
    <w:rsid w:val="00A775E1"/>
    <w:rsid w:val="00A818A3"/>
    <w:rsid w:val="00A84815"/>
    <w:rsid w:val="00A86974"/>
    <w:rsid w:val="00A933EA"/>
    <w:rsid w:val="00AB56A4"/>
    <w:rsid w:val="00AB57BD"/>
    <w:rsid w:val="00AB5862"/>
    <w:rsid w:val="00AB77C9"/>
    <w:rsid w:val="00AD274E"/>
    <w:rsid w:val="00AD4E3E"/>
    <w:rsid w:val="00AE26FA"/>
    <w:rsid w:val="00AE5CCA"/>
    <w:rsid w:val="00AE7D38"/>
    <w:rsid w:val="00AF23D6"/>
    <w:rsid w:val="00B22B47"/>
    <w:rsid w:val="00B25F4B"/>
    <w:rsid w:val="00B42A77"/>
    <w:rsid w:val="00B460E2"/>
    <w:rsid w:val="00B61CA9"/>
    <w:rsid w:val="00B712EE"/>
    <w:rsid w:val="00B727C5"/>
    <w:rsid w:val="00B80527"/>
    <w:rsid w:val="00B861C1"/>
    <w:rsid w:val="00B87415"/>
    <w:rsid w:val="00B924AA"/>
    <w:rsid w:val="00BB08AD"/>
    <w:rsid w:val="00BC0839"/>
    <w:rsid w:val="00BD2AC3"/>
    <w:rsid w:val="00BD48FF"/>
    <w:rsid w:val="00BE2085"/>
    <w:rsid w:val="00BE4617"/>
    <w:rsid w:val="00C138AF"/>
    <w:rsid w:val="00C22CB9"/>
    <w:rsid w:val="00C500FB"/>
    <w:rsid w:val="00C512E7"/>
    <w:rsid w:val="00C71270"/>
    <w:rsid w:val="00C919AB"/>
    <w:rsid w:val="00C92FAD"/>
    <w:rsid w:val="00C93F59"/>
    <w:rsid w:val="00C97DCE"/>
    <w:rsid w:val="00CC7AC0"/>
    <w:rsid w:val="00CD756F"/>
    <w:rsid w:val="00CE7B6A"/>
    <w:rsid w:val="00CF0C7D"/>
    <w:rsid w:val="00D00C29"/>
    <w:rsid w:val="00D0487D"/>
    <w:rsid w:val="00D12AB2"/>
    <w:rsid w:val="00D40942"/>
    <w:rsid w:val="00D46773"/>
    <w:rsid w:val="00D47913"/>
    <w:rsid w:val="00D5056F"/>
    <w:rsid w:val="00D52B1A"/>
    <w:rsid w:val="00D71E18"/>
    <w:rsid w:val="00D775CA"/>
    <w:rsid w:val="00D93072"/>
    <w:rsid w:val="00D95C13"/>
    <w:rsid w:val="00DB1B47"/>
    <w:rsid w:val="00DC3C01"/>
    <w:rsid w:val="00DC46B0"/>
    <w:rsid w:val="00DD13EA"/>
    <w:rsid w:val="00DE382C"/>
    <w:rsid w:val="00DE5337"/>
    <w:rsid w:val="00DF2CAB"/>
    <w:rsid w:val="00DF3734"/>
    <w:rsid w:val="00E016ED"/>
    <w:rsid w:val="00E01FA8"/>
    <w:rsid w:val="00E10DD2"/>
    <w:rsid w:val="00E278C0"/>
    <w:rsid w:val="00E31DC7"/>
    <w:rsid w:val="00E4104E"/>
    <w:rsid w:val="00E64544"/>
    <w:rsid w:val="00E6703E"/>
    <w:rsid w:val="00E7062B"/>
    <w:rsid w:val="00E73D30"/>
    <w:rsid w:val="00E8268A"/>
    <w:rsid w:val="00E879B2"/>
    <w:rsid w:val="00E90301"/>
    <w:rsid w:val="00EA2613"/>
    <w:rsid w:val="00ED0844"/>
    <w:rsid w:val="00ED3466"/>
    <w:rsid w:val="00EE51F0"/>
    <w:rsid w:val="00EE7E0E"/>
    <w:rsid w:val="00EF0D03"/>
    <w:rsid w:val="00F018F6"/>
    <w:rsid w:val="00F0438E"/>
    <w:rsid w:val="00F12DF4"/>
    <w:rsid w:val="00F136EA"/>
    <w:rsid w:val="00F26156"/>
    <w:rsid w:val="00F51451"/>
    <w:rsid w:val="00F65430"/>
    <w:rsid w:val="00F70364"/>
    <w:rsid w:val="00FB023D"/>
    <w:rsid w:val="00FB144D"/>
    <w:rsid w:val="00FB5CB8"/>
    <w:rsid w:val="00FD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E8E8E1"/>
  <w15:chartTrackingRefBased/>
  <w15:docId w15:val="{DA85E4FD-FF86-44C4-A27B-4172D872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3293"/>
    <w:pPr>
      <w:keepNext/>
      <w:keepLines/>
      <w:suppressAutoHyphens/>
      <w:spacing w:before="240" w:after="0" w:line="276" w:lineRule="auto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717F"/>
    <w:pPr>
      <w:keepNext/>
      <w:keepLines/>
      <w:suppressAutoHyphen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0C7D"/>
    <w:pPr>
      <w:keepNext/>
      <w:keepLines/>
      <w:suppressAutoHyphens/>
      <w:spacing w:before="40" w:after="0" w:line="276" w:lineRule="auto"/>
      <w:outlineLvl w:val="2"/>
    </w:pPr>
    <w:rPr>
      <w:rFonts w:eastAsiaTheme="majorEastAsia" w:cstheme="majorBidi"/>
      <w:b/>
      <w:i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4814"/>
    <w:pPr>
      <w:keepNext/>
      <w:keepLines/>
      <w:suppressAutoHyphen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17F"/>
  </w:style>
  <w:style w:type="paragraph" w:styleId="Footer">
    <w:name w:val="footer"/>
    <w:basedOn w:val="Normal"/>
    <w:link w:val="FooterChar"/>
    <w:uiPriority w:val="99"/>
    <w:unhideWhenUsed/>
    <w:rsid w:val="00947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17F"/>
  </w:style>
  <w:style w:type="table" w:styleId="TableGrid">
    <w:name w:val="Table Grid"/>
    <w:basedOn w:val="TableNormal"/>
    <w:uiPriority w:val="59"/>
    <w:rsid w:val="0094717F"/>
    <w:pPr>
      <w:spacing w:after="0" w:line="240" w:lineRule="auto"/>
    </w:pPr>
    <w:rPr>
      <w:rFonts w:ascii="Calibri" w:eastAsia="Droid Sans Fallback" w:hAnsi="Calibri"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2Char">
    <w:name w:val="Naslov 2 Char"/>
    <w:basedOn w:val="DefaultParagraphFont"/>
    <w:uiPriority w:val="9"/>
    <w:semiHidden/>
    <w:rsid w:val="0094717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94717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1Char">
    <w:name w:val="Naslov 1 Char"/>
    <w:basedOn w:val="DefaultParagraphFont"/>
    <w:uiPriority w:val="9"/>
    <w:rsid w:val="00AE7D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43293"/>
    <w:rPr>
      <w:rFonts w:asciiTheme="majorHAnsi" w:eastAsiaTheme="majorEastAsia" w:hAnsiTheme="majorHAnsi" w:cstheme="majorBidi"/>
      <w:b/>
      <w:color w:val="2E74B5" w:themeColor="accent1" w:themeShade="BF"/>
      <w:sz w:val="24"/>
      <w:szCs w:val="32"/>
    </w:rPr>
  </w:style>
  <w:style w:type="character" w:customStyle="1" w:styleId="ESFBodysivoChar">
    <w:name w:val="ESF Body_sivo Char"/>
    <w:basedOn w:val="DefaultParagraphFont"/>
    <w:link w:val="ESFBodysivo"/>
    <w:rsid w:val="00AE7D38"/>
    <w:rPr>
      <w:sz w:val="24"/>
    </w:rPr>
  </w:style>
  <w:style w:type="paragraph" w:customStyle="1" w:styleId="ESFBodysivo">
    <w:name w:val="ESF Body_sivo"/>
    <w:basedOn w:val="Normal"/>
    <w:link w:val="ESFBodysivoChar"/>
    <w:qFormat/>
    <w:rsid w:val="00AE7D38"/>
    <w:pPr>
      <w:suppressAutoHyphens/>
      <w:spacing w:after="200" w:line="276" w:lineRule="auto"/>
      <w:jc w:val="both"/>
    </w:pPr>
    <w:rPr>
      <w:sz w:val="24"/>
    </w:rPr>
  </w:style>
  <w:style w:type="character" w:customStyle="1" w:styleId="FootnoteTextChar">
    <w:name w:val="Footnote Text Char"/>
    <w:aliases w:val="single space Char,footnote text Char,fn Char,FOOTNOTES Char,Fußnotentext Char Char,ADB Char,Footnote text Char,ft Char,Footnote Text Char2 Char Char,Footnote Text Char1 Char Char Char,Footnote Text Char2 Char Char Char Char,AD Char"/>
    <w:basedOn w:val="DefaultParagraphFont"/>
    <w:link w:val="FootnoteText"/>
    <w:uiPriority w:val="99"/>
    <w:rsid w:val="00165A41"/>
    <w:rPr>
      <w:sz w:val="20"/>
      <w:szCs w:val="20"/>
    </w:rPr>
  </w:style>
  <w:style w:type="paragraph" w:styleId="FootnoteText">
    <w:name w:val="footnote text"/>
    <w:aliases w:val="single space,footnote text,fn,FOOTNOTES,Fußnotentext Char,ADB,Footnote text,ft,Footnote Text Char2 Char,Footnote Text Char1 Char Char,Footnote Text Char2 Char Char Char,Footnote Text Char1 Char,Footno,Testo_note,AD,- OP,Fußnote,Podrozdział"/>
    <w:basedOn w:val="Normal"/>
    <w:link w:val="FootnoteTextChar"/>
    <w:uiPriority w:val="99"/>
    <w:unhideWhenUsed/>
    <w:rsid w:val="00165A41"/>
    <w:pPr>
      <w:suppressAutoHyphens/>
      <w:spacing w:after="0" w:line="240" w:lineRule="auto"/>
    </w:pPr>
    <w:rPr>
      <w:sz w:val="20"/>
      <w:szCs w:val="20"/>
    </w:rPr>
  </w:style>
  <w:style w:type="character" w:customStyle="1" w:styleId="TekstfusnoteChar1">
    <w:name w:val="Tekst fusnote Char1"/>
    <w:basedOn w:val="DefaultParagraphFont"/>
    <w:uiPriority w:val="99"/>
    <w:semiHidden/>
    <w:rsid w:val="00165A41"/>
    <w:rPr>
      <w:sz w:val="20"/>
      <w:szCs w:val="20"/>
    </w:rPr>
  </w:style>
  <w:style w:type="character" w:styleId="FootnoteReference">
    <w:name w:val="footnote reference"/>
    <w:aliases w:val="BVI fnr,ftref,BVI fnr Car Car,BVI fnr Car,BVI fnr Car Car Car Car,BVI fnr Car Car Car Car Char"/>
    <w:basedOn w:val="DefaultParagraphFont"/>
    <w:link w:val="Char2"/>
    <w:uiPriority w:val="99"/>
    <w:unhideWhenUsed/>
    <w:rsid w:val="00165A41"/>
    <w:rPr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165A41"/>
    <w:pPr>
      <w:suppressAutoHyphens/>
      <w:spacing w:line="240" w:lineRule="exact"/>
    </w:pPr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65A41"/>
    <w:rPr>
      <w:color w:val="0563C1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7A4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057A4E"/>
    <w:pPr>
      <w:suppressAutoHyphens/>
      <w:spacing w:after="200" w:line="240" w:lineRule="auto"/>
    </w:pPr>
    <w:rPr>
      <w:sz w:val="20"/>
      <w:szCs w:val="20"/>
    </w:rPr>
  </w:style>
  <w:style w:type="character" w:customStyle="1" w:styleId="TekstkomentaraChar1">
    <w:name w:val="Tekst komentara Char1"/>
    <w:basedOn w:val="DefaultParagraphFont"/>
    <w:uiPriority w:val="99"/>
    <w:semiHidden/>
    <w:rsid w:val="00057A4E"/>
    <w:rPr>
      <w:sz w:val="20"/>
      <w:szCs w:val="20"/>
    </w:rPr>
  </w:style>
  <w:style w:type="paragraph" w:styleId="ListParagraph">
    <w:name w:val="List Paragraph"/>
    <w:basedOn w:val="Normal"/>
    <w:link w:val="ListParagraphChar"/>
    <w:uiPriority w:val="99"/>
    <w:qFormat/>
    <w:rsid w:val="00057A4E"/>
    <w:pPr>
      <w:suppressAutoHyphens/>
      <w:spacing w:after="200" w:line="276" w:lineRule="auto"/>
      <w:ind w:left="720"/>
      <w:contextualSpacing/>
    </w:pPr>
    <w:rPr>
      <w:rFonts w:ascii="Calibri" w:eastAsia="Droid Sans Fallback" w:hAnsi="Calibri" w:cs="Times New Roman"/>
      <w:color w:val="00000A"/>
    </w:rPr>
  </w:style>
  <w:style w:type="character" w:customStyle="1" w:styleId="ListParagraphChar">
    <w:name w:val="List Paragraph Char"/>
    <w:link w:val="ListParagraph"/>
    <w:uiPriority w:val="34"/>
    <w:locked/>
    <w:rsid w:val="00057A4E"/>
    <w:rPr>
      <w:rFonts w:ascii="Calibri" w:eastAsia="Droid Sans Fallback" w:hAnsi="Calibri" w:cs="Times New Roman"/>
      <w:color w:val="00000A"/>
    </w:rPr>
  </w:style>
  <w:style w:type="character" w:styleId="CommentReference">
    <w:name w:val="annotation reference"/>
    <w:basedOn w:val="DefaultParagraphFont"/>
    <w:uiPriority w:val="99"/>
    <w:semiHidden/>
    <w:unhideWhenUsed/>
    <w:rsid w:val="00057A4E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057A4E"/>
    <w:pPr>
      <w:spacing w:after="0" w:line="240" w:lineRule="auto"/>
    </w:pPr>
    <w:rPr>
      <w:rFonts w:ascii="Calibri" w:eastAsia="Droid Sans Fallback" w:hAnsi="Calibri"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7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A4E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DefaultParagraphFont"/>
    <w:uiPriority w:val="9"/>
    <w:semiHidden/>
    <w:rsid w:val="00886B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F0C7D"/>
    <w:rPr>
      <w:rFonts w:eastAsiaTheme="majorEastAsia" w:cstheme="majorBidi"/>
      <w:b/>
      <w:i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DefaultParagraphFont"/>
    <w:uiPriority w:val="9"/>
    <w:semiHidden/>
    <w:rsid w:val="0039481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39481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Sidrofusnote">
    <w:name w:val="Sidro fusnote"/>
    <w:rsid w:val="00F018F6"/>
    <w:rPr>
      <w:vertAlign w:val="superscript"/>
    </w:rPr>
  </w:style>
  <w:style w:type="paragraph" w:customStyle="1" w:styleId="Fusnota">
    <w:name w:val="Fusnota"/>
    <w:basedOn w:val="Normal"/>
    <w:rsid w:val="00F018F6"/>
    <w:pPr>
      <w:suppressAutoHyphens/>
      <w:spacing w:after="200" w:line="276" w:lineRule="auto"/>
    </w:pPr>
    <w:rPr>
      <w:rFonts w:ascii="Calibri" w:eastAsia="Droid Sans Fallback" w:hAnsi="Calibri" w:cs="Times New Roman"/>
      <w:color w:val="00000A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7C5"/>
    <w:pPr>
      <w:suppressAutoHyphens w:val="0"/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7C5"/>
    <w:rPr>
      <w:b/>
      <w:bCs/>
      <w:sz w:val="20"/>
      <w:szCs w:val="20"/>
    </w:rPr>
  </w:style>
  <w:style w:type="character" w:customStyle="1" w:styleId="ESFUputepodnaslovChar">
    <w:name w:val="ESF Upute podnaslov Char"/>
    <w:basedOn w:val="DefaultParagraphFont"/>
    <w:link w:val="ESFUputepodnaslov"/>
    <w:rsid w:val="00330809"/>
    <w:rPr>
      <w:sz w:val="24"/>
    </w:rPr>
  </w:style>
  <w:style w:type="paragraph" w:customStyle="1" w:styleId="ESFUputepodnaslov">
    <w:name w:val="ESF Upute podnaslov"/>
    <w:basedOn w:val="Normal"/>
    <w:link w:val="ESFUputepodnaslovChar"/>
    <w:qFormat/>
    <w:rsid w:val="00330809"/>
    <w:pPr>
      <w:pBdr>
        <w:top w:val="nil"/>
        <w:left w:val="nil"/>
        <w:bottom w:val="single" w:sz="4" w:space="1" w:color="00000A"/>
        <w:right w:val="nil"/>
      </w:pBdr>
      <w:suppressAutoHyphens/>
      <w:spacing w:before="480" w:after="200" w:line="276" w:lineRule="auto"/>
    </w:pPr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43293"/>
    <w:pPr>
      <w:spacing w:after="0" w:line="360" w:lineRule="auto"/>
      <w:contextualSpacing/>
      <w:jc w:val="center"/>
    </w:pPr>
    <w:rPr>
      <w:rFonts w:ascii="Calibri" w:eastAsiaTheme="majorEastAsia" w:hAnsi="Calibri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293"/>
    <w:rPr>
      <w:rFonts w:ascii="Calibri" w:eastAsiaTheme="majorEastAsia" w:hAnsi="Calibri" w:cstheme="majorBidi"/>
      <w:b/>
      <w:spacing w:val="-10"/>
      <w:kern w:val="28"/>
      <w:sz w:val="24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5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B243B-1036-440C-BE22-EAFAE930D8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4DD7EC-5AB0-4BB5-9480-384DC3670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5769</Words>
  <Characters>32887</Characters>
  <Application>Microsoft Office Word</Application>
  <DocSecurity>0</DocSecurity>
  <Lines>274</Lines>
  <Paragraphs>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Hermeščec</dc:creator>
  <cp:keywords/>
  <dc:description/>
  <cp:lastModifiedBy>Ivana Brkić1</cp:lastModifiedBy>
  <cp:revision>2</cp:revision>
  <cp:lastPrinted>2017-04-12T12:49:00Z</cp:lastPrinted>
  <dcterms:created xsi:type="dcterms:W3CDTF">2017-06-06T11:04:00Z</dcterms:created>
  <dcterms:modified xsi:type="dcterms:W3CDTF">2017-06-06T11:04:00Z</dcterms:modified>
</cp:coreProperties>
</file>