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5B1" w:rsidRPr="0057142E" w:rsidRDefault="00C415B1" w:rsidP="00C415B1">
      <w:pPr>
        <w:jc w:val="center"/>
        <w:rPr>
          <w:b/>
        </w:rPr>
      </w:pPr>
      <w:bookmarkStart w:id="0" w:name="_GoBack"/>
      <w:bookmarkEnd w:id="0"/>
      <w:r w:rsidRPr="0057142E">
        <w:rPr>
          <w:b/>
        </w:rPr>
        <w:t>OBRAZAC ISKAZA O PROCJENI UČINAKA PROPISA</w:t>
      </w:r>
    </w:p>
    <w:p w:rsidR="00C415B1" w:rsidRPr="0057142E" w:rsidRDefault="00C415B1" w:rsidP="00C415B1">
      <w:pPr>
        <w:rPr>
          <w:b/>
        </w:rPr>
      </w:pPr>
      <w:r w:rsidRPr="0057142E">
        <w:rPr>
          <w:b/>
        </w:rPr>
        <w:tab/>
      </w:r>
      <w:r w:rsidRPr="0057142E">
        <w:rPr>
          <w:b/>
        </w:rPr>
        <w:tab/>
      </w:r>
      <w:r w:rsidRPr="0057142E">
        <w:rPr>
          <w:b/>
        </w:rPr>
        <w:tab/>
      </w:r>
    </w:p>
    <w:p w:rsidR="00C415B1" w:rsidRPr="0057142E" w:rsidRDefault="001B0BBB" w:rsidP="002B0E9F">
      <w:pPr>
        <w:jc w:val="center"/>
      </w:pPr>
      <w:r w:rsidRPr="0057142E">
        <w:t>MINISTARSTVO VANJSKIH I EUROPSKIH POSLOVA</w:t>
      </w:r>
    </w:p>
    <w:p w:rsidR="00D32D1B" w:rsidRPr="0057142E" w:rsidRDefault="00D32D1B" w:rsidP="002B0E9F">
      <w:pPr>
        <w:jc w:val="center"/>
      </w:pPr>
    </w:p>
    <w:p w:rsidR="00C415B1" w:rsidRPr="00C47155" w:rsidRDefault="00C415B1" w:rsidP="00C47155">
      <w:pPr>
        <w:pStyle w:val="Title"/>
      </w:pPr>
      <w:r w:rsidRPr="0057142E">
        <w:t>I</w:t>
      </w:r>
      <w:r w:rsidR="00C47155">
        <w:t xml:space="preserve">SKAZ O PROCJENI UČINAKA PROPISA ZA </w:t>
      </w:r>
      <w:r w:rsidRPr="0057142E">
        <w:t xml:space="preserve">PRIJEDLOG ZAKONA </w:t>
      </w:r>
      <w:r w:rsidR="001B0BBB" w:rsidRPr="0057142E">
        <w:t>O IZMJENAMA I DOPUNAMA ZAKONA O VANJSKIM POSLOVIMA</w:t>
      </w:r>
    </w:p>
    <w:p w:rsidR="00C415B1" w:rsidRPr="0057142E" w:rsidRDefault="00C415B1" w:rsidP="002B0E9F">
      <w:pPr>
        <w:jc w:val="center"/>
        <w:rPr>
          <w:b/>
        </w:rPr>
      </w:pPr>
    </w:p>
    <w:p w:rsidR="00C415B1" w:rsidRPr="0057142E" w:rsidRDefault="00D32D1B" w:rsidP="00D32D1B">
      <w:pPr>
        <w:jc w:val="center"/>
      </w:pPr>
      <w:r w:rsidRPr="0057142E">
        <w:t xml:space="preserve">Zagreb, </w:t>
      </w:r>
      <w:r w:rsidR="00416A7A">
        <w:t xml:space="preserve">13. </w:t>
      </w:r>
      <w:r w:rsidRPr="0057142E">
        <w:t xml:space="preserve">ožujak 2017. </w:t>
      </w:r>
    </w:p>
    <w:p w:rsidR="00C415B1" w:rsidRPr="0057142E" w:rsidRDefault="00C415B1" w:rsidP="00C415B1"/>
    <w:p w:rsidR="00B1742B" w:rsidRPr="002B0E9F" w:rsidRDefault="00B1742B" w:rsidP="00C415B1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9A18AD" w:rsidRDefault="00C415B1" w:rsidP="00177C73">
            <w:pPr>
              <w:rPr>
                <w:b/>
              </w:rPr>
            </w:pPr>
            <w:r w:rsidRPr="009A18AD">
              <w:rPr>
                <w:b/>
              </w:rPr>
              <w:t>1. P</w:t>
            </w:r>
            <w:r>
              <w:rPr>
                <w:b/>
              </w:rPr>
              <w:t>ROBLEM</w:t>
            </w:r>
          </w:p>
        </w:tc>
      </w:tr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Default="00C415B1" w:rsidP="002B0E9F">
            <w:pPr>
              <w:jc w:val="both"/>
            </w:pPr>
          </w:p>
          <w:p w:rsidR="00715E34" w:rsidRDefault="009036F4" w:rsidP="002B0E9F">
            <w:pPr>
              <w:jc w:val="both"/>
            </w:pPr>
            <w:r>
              <w:t>Dana 14. svibnja 2015. na snagu je stupila Direktiva Vijeća (EU) 2015/637 od 20. travnja 2015. o mjerama koordinacije i suradnje za olakšavanje pružanja konzularne zaštite građanima Unije bez predstavništava u trećim zemljama te o stavljanju izvan snage Odluke 95/553/EZ.</w:t>
            </w:r>
            <w:r w:rsidR="004A5D33">
              <w:t xml:space="preserve"> </w:t>
            </w:r>
          </w:p>
          <w:p w:rsidR="00715E34" w:rsidRDefault="00715E34" w:rsidP="002B0E9F">
            <w:pPr>
              <w:jc w:val="both"/>
            </w:pPr>
          </w:p>
          <w:p w:rsidR="00056368" w:rsidRDefault="00715E34" w:rsidP="002B0E9F">
            <w:pPr>
              <w:jc w:val="both"/>
            </w:pPr>
            <w:r>
              <w:t xml:space="preserve">Rok, utvrđen Direktivom, za njezino prenošenje u nacionalna zakonodavstva država članica je </w:t>
            </w:r>
            <w:r w:rsidR="00D57831">
              <w:t xml:space="preserve"> </w:t>
            </w:r>
            <w:r w:rsidR="00416A7A">
              <w:t xml:space="preserve">do </w:t>
            </w:r>
            <w:r>
              <w:t>1. svibnja 2018.</w:t>
            </w:r>
          </w:p>
          <w:p w:rsidR="00715E34" w:rsidRDefault="00715E34" w:rsidP="002B0E9F">
            <w:pPr>
              <w:jc w:val="both"/>
            </w:pPr>
          </w:p>
          <w:p w:rsidR="00715E34" w:rsidRDefault="00715E34" w:rsidP="002B0E9F">
            <w:pPr>
              <w:jc w:val="both"/>
            </w:pPr>
            <w:r>
              <w:t xml:space="preserve">Ovom Direktivom se stavlja izvan snage Odluka </w:t>
            </w:r>
            <w:r w:rsidR="00712EE0">
              <w:t>95/553/EZ predstavnika vlada država članica na sastanku Vijeća 19. prosinca 1995. u vezi zaštite građana Europske unije u diplomatskim i konzularnim predstavništvima</w:t>
            </w:r>
            <w:r w:rsidR="004A5D33">
              <w:t xml:space="preserve"> </w:t>
            </w:r>
            <w:r>
              <w:t xml:space="preserve">koja je </w:t>
            </w:r>
            <w:r w:rsidR="004A5D33">
              <w:t xml:space="preserve">prenesena u Zakon o vanjskim poslovima 2013. </w:t>
            </w:r>
            <w:r w:rsidR="008C3B00">
              <w:t>g</w:t>
            </w:r>
            <w:r w:rsidR="004A5D33">
              <w:t>odine</w:t>
            </w:r>
            <w:r w:rsidR="008C3B00">
              <w:t>, a koja nije u skladu s odredbama Ugovora o funkcioniranju EU</w:t>
            </w:r>
            <w:r w:rsidR="004A5D33">
              <w:t>.</w:t>
            </w:r>
          </w:p>
          <w:p w:rsidR="00D57831" w:rsidRDefault="00D57831" w:rsidP="002B0E9F">
            <w:pPr>
              <w:jc w:val="both"/>
            </w:pPr>
          </w:p>
          <w:p w:rsidR="009036F4" w:rsidRDefault="008C3B00" w:rsidP="002B0E9F">
            <w:pPr>
              <w:jc w:val="both"/>
            </w:pPr>
            <w:r>
              <w:t>Slijedom navedenog</w:t>
            </w:r>
            <w:r w:rsidR="00585A28">
              <w:t>,</w:t>
            </w:r>
            <w:r w:rsidR="004A5D33">
              <w:t xml:space="preserve"> u tom</w:t>
            </w:r>
            <w:r>
              <w:t xml:space="preserve"> je</w:t>
            </w:r>
            <w:r w:rsidR="004A5D33">
              <w:t xml:space="preserve"> dijelu Zakon o vanjskim poslovima</w:t>
            </w:r>
            <w:r w:rsidR="00585A28">
              <w:t>,</w:t>
            </w:r>
            <w:r w:rsidR="004A5D33">
              <w:t xml:space="preserve"> </w:t>
            </w:r>
            <w:r w:rsidR="00D57831">
              <w:t>potrebno uskladiti s odredbama Direktive.</w:t>
            </w:r>
            <w:r w:rsidR="00F62659">
              <w:t xml:space="preserve"> </w:t>
            </w:r>
            <w:r w:rsidR="00A84237">
              <w:t>Glavna područja u kojima je potrebno provesti usklađenje su:</w:t>
            </w:r>
          </w:p>
          <w:p w:rsidR="00A84237" w:rsidRDefault="00A84237" w:rsidP="002B0E9F">
            <w:pPr>
              <w:jc w:val="both"/>
            </w:pPr>
          </w:p>
          <w:p w:rsidR="00A84237" w:rsidRDefault="00A84237" w:rsidP="00A84237">
            <w:pPr>
              <w:numPr>
                <w:ilvl w:val="0"/>
                <w:numId w:val="2"/>
              </w:numPr>
              <w:jc w:val="both"/>
            </w:pPr>
            <w:r>
              <w:t>Uvjeti i način na koji diplomatske misije/konzularni uredi RH mogu pružiti konzularnu pomoć i zaštitu državljanima drugih država članica EU (građanima bez predstavništava u trećim zemljama)</w:t>
            </w:r>
            <w:r w:rsidR="00BB16E0">
              <w:t xml:space="preserve"> te u kojoj mjeri i pod kojim uvjetima se konzularna pomoć može pružiti članovima njihovih obitelji</w:t>
            </w:r>
            <w:r w:rsidR="00656B93">
              <w:t xml:space="preserve"> koji su državljani trećih zemalja</w:t>
            </w:r>
            <w:r w:rsidR="00BB16E0">
              <w:t>;</w:t>
            </w:r>
          </w:p>
          <w:p w:rsidR="00A84237" w:rsidRDefault="00A84237" w:rsidP="00A84237">
            <w:pPr>
              <w:numPr>
                <w:ilvl w:val="0"/>
                <w:numId w:val="2"/>
              </w:numPr>
              <w:jc w:val="both"/>
            </w:pPr>
            <w:r>
              <w:t xml:space="preserve">Utvrđivanje mjera koordinacije i suradnje s drugim državama članicama EU u obavljanju </w:t>
            </w:r>
            <w:r w:rsidR="00682650">
              <w:t xml:space="preserve">pojedinih </w:t>
            </w:r>
            <w:r>
              <w:t xml:space="preserve">redovnih konzularnih funkcija </w:t>
            </w:r>
            <w:r w:rsidR="00A4057D">
              <w:t xml:space="preserve">za građane bez predstavništava u trećim zemljama </w:t>
            </w:r>
            <w:r>
              <w:t xml:space="preserve">kao i u području konzularnog </w:t>
            </w:r>
            <w:r w:rsidR="00A4057D">
              <w:t>kriznog upravljanja;</w:t>
            </w:r>
          </w:p>
          <w:p w:rsidR="00757E45" w:rsidRDefault="00A4057D" w:rsidP="002B0E9F">
            <w:pPr>
              <w:numPr>
                <w:ilvl w:val="0"/>
                <w:numId w:val="2"/>
              </w:numPr>
              <w:jc w:val="both"/>
            </w:pPr>
            <w:r>
              <w:t xml:space="preserve">Financijski postupci </w:t>
            </w:r>
            <w:r w:rsidR="00CC6D68">
              <w:t>u slučajevima kada diplomatska misija/konzularni ured RH pruži konzularnu pomoć i zaštitu državljaninu druge države članice EU odnosno kada je tražitelj takve pomoći i zaštite državljanin Republike Hrvatske kojemu pomoć i zaštitu pruža diplomatska misija/konzularni ured druge države članice EU.</w:t>
            </w:r>
          </w:p>
          <w:p w:rsidR="00C14733" w:rsidRDefault="00C14733" w:rsidP="00C14733">
            <w:pPr>
              <w:jc w:val="both"/>
            </w:pPr>
          </w:p>
          <w:p w:rsidR="00757E45" w:rsidRPr="006E2112" w:rsidRDefault="00757E45" w:rsidP="002B0E9F">
            <w:pPr>
              <w:jc w:val="both"/>
            </w:pPr>
          </w:p>
        </w:tc>
      </w:tr>
    </w:tbl>
    <w:p w:rsidR="00C415B1" w:rsidRPr="006E2112" w:rsidRDefault="00C415B1" w:rsidP="00C415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9A18AD" w:rsidRDefault="00C415B1" w:rsidP="00177C73">
            <w:pPr>
              <w:rPr>
                <w:b/>
              </w:rPr>
            </w:pPr>
            <w:r w:rsidRPr="009A18AD">
              <w:rPr>
                <w:b/>
              </w:rPr>
              <w:t>2. CILJEVI</w:t>
            </w:r>
          </w:p>
        </w:tc>
      </w:tr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Default="00C415B1" w:rsidP="002B0E9F">
            <w:pPr>
              <w:jc w:val="both"/>
            </w:pPr>
          </w:p>
          <w:p w:rsidR="00656B93" w:rsidRDefault="005C4EDB" w:rsidP="002B0E9F">
            <w:pPr>
              <w:jc w:val="both"/>
            </w:pPr>
            <w:r>
              <w:t>Normativni</w:t>
            </w:r>
            <w:r w:rsidR="009C1DF1">
              <w:t>m rješenjem omogućuje se usklađenje</w:t>
            </w:r>
            <w:r>
              <w:t xml:space="preserve"> odredaba Zakona o vanjskim poslovima s Direktivom Vijeća (EU) 2015/637 od 20. travnja 2015.</w:t>
            </w:r>
            <w:r w:rsidR="009C1DF1">
              <w:t xml:space="preserve"> godine. </w:t>
            </w:r>
          </w:p>
          <w:p w:rsidR="009759C5" w:rsidRDefault="009759C5" w:rsidP="002B0E9F">
            <w:pPr>
              <w:jc w:val="both"/>
            </w:pPr>
          </w:p>
          <w:p w:rsidR="009C1DF1" w:rsidRDefault="004118AF" w:rsidP="002B0E9F">
            <w:pPr>
              <w:jc w:val="both"/>
            </w:pPr>
            <w:r>
              <w:t xml:space="preserve">Navedeno će omogućiti sustavno praćenje rada diplomatskih misija/konzularnih ureda </w:t>
            </w:r>
            <w:r>
              <w:lastRenderedPageBreak/>
              <w:t xml:space="preserve">Republike Hrvatske pri obavljanju </w:t>
            </w:r>
            <w:r w:rsidR="00C34E28">
              <w:t xml:space="preserve">određenih </w:t>
            </w:r>
            <w:r>
              <w:t>konzularnih funkcija u korist državljana drugih država članica EU, ali i razmjen</w:t>
            </w:r>
            <w:r w:rsidR="00A7773C">
              <w:t>u</w:t>
            </w:r>
            <w:r>
              <w:t xml:space="preserve"> relevantnih podataka s konzularnim tijelima drugih država članica EU koje će pružati konzularnu pomoć i zaštitu državljanima Republike Hrvatske.</w:t>
            </w:r>
          </w:p>
          <w:p w:rsidR="00656B93" w:rsidRDefault="00656B93" w:rsidP="002B0E9F">
            <w:pPr>
              <w:jc w:val="both"/>
            </w:pPr>
          </w:p>
          <w:p w:rsidR="00656B93" w:rsidRPr="006E2112" w:rsidRDefault="00656B93" w:rsidP="002B0E9F">
            <w:pPr>
              <w:jc w:val="both"/>
            </w:pPr>
          </w:p>
        </w:tc>
      </w:tr>
    </w:tbl>
    <w:p w:rsidR="00C415B1" w:rsidRPr="006E2112" w:rsidRDefault="00C415B1" w:rsidP="00C415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9A18AD" w:rsidRDefault="00C415B1" w:rsidP="00177C73">
            <w:pPr>
              <w:rPr>
                <w:b/>
              </w:rPr>
            </w:pPr>
            <w:r w:rsidRPr="009A18AD">
              <w:rPr>
                <w:b/>
              </w:rPr>
              <w:t xml:space="preserve">3. MOGUĆE OPCIJE </w:t>
            </w:r>
          </w:p>
        </w:tc>
      </w:tr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5C" w:rsidRDefault="000E525C" w:rsidP="00A73A1E"/>
          <w:p w:rsidR="00C415B1" w:rsidRDefault="000E525C" w:rsidP="00ED48B6">
            <w:pPr>
              <w:jc w:val="both"/>
            </w:pPr>
            <w:r w:rsidRPr="00AC381E">
              <w:rPr>
                <w:b/>
              </w:rPr>
              <w:t>Opcije 1 i 2 koje se odnose na nenormativno rješenje</w:t>
            </w:r>
            <w:r>
              <w:t xml:space="preserve"> nisu moguće s obzirom da se radi o postupku usklađivanja hrvatskog zakonodavstva s novim pravnim instrumentom EU.</w:t>
            </w:r>
          </w:p>
          <w:p w:rsidR="000E525C" w:rsidRDefault="000E525C" w:rsidP="00A73A1E"/>
          <w:p w:rsidR="000E525C" w:rsidRPr="00AC381E" w:rsidRDefault="000E525C" w:rsidP="00A73A1E">
            <w:pPr>
              <w:rPr>
                <w:b/>
              </w:rPr>
            </w:pPr>
            <w:r w:rsidRPr="00AC381E">
              <w:rPr>
                <w:b/>
              </w:rPr>
              <w:t xml:space="preserve">Opcija </w:t>
            </w:r>
            <w:r w:rsidR="000C6B37" w:rsidRPr="00AC381E">
              <w:rPr>
                <w:b/>
              </w:rPr>
              <w:t xml:space="preserve">3 </w:t>
            </w:r>
            <w:r w:rsidR="00AC381E">
              <w:rPr>
                <w:b/>
              </w:rPr>
              <w:t>(normativno rješenje)</w:t>
            </w:r>
          </w:p>
          <w:p w:rsidR="00A73A1E" w:rsidRDefault="001D6320" w:rsidP="00ED48B6">
            <w:pPr>
              <w:jc w:val="both"/>
            </w:pPr>
            <w:r>
              <w:t xml:space="preserve">Donošenje novog zakonskog propisa </w:t>
            </w:r>
            <w:r w:rsidR="00566494">
              <w:t xml:space="preserve">nije potrebno. Naime, područje </w:t>
            </w:r>
            <w:r w:rsidR="00ED48B6">
              <w:t xml:space="preserve">koje se uređuje Direktivom Vijeća (EU) 2015/637  </w:t>
            </w:r>
            <w:r w:rsidR="008447BE">
              <w:t xml:space="preserve">djelomično </w:t>
            </w:r>
            <w:r w:rsidR="00C0390E">
              <w:t xml:space="preserve">je </w:t>
            </w:r>
            <w:r w:rsidR="00ED48B6">
              <w:t xml:space="preserve">uređeno odredbama </w:t>
            </w:r>
            <w:r w:rsidR="00566494">
              <w:t>vrijede</w:t>
            </w:r>
            <w:r w:rsidR="00AF21B2">
              <w:t xml:space="preserve">ćeg Zakona o vanjskim poslovima čije je odredbe potrebno djelomično izmijeniti odnosno na odgovarajući način </w:t>
            </w:r>
            <w:r w:rsidR="006B2943">
              <w:t>nadopuniti</w:t>
            </w:r>
            <w:r w:rsidR="00AF21B2">
              <w:t xml:space="preserve">. </w:t>
            </w:r>
          </w:p>
          <w:p w:rsidR="001D6320" w:rsidRPr="001D6320" w:rsidRDefault="001D6320" w:rsidP="00A73A1E">
            <w:pPr>
              <w:rPr>
                <w:b/>
              </w:rPr>
            </w:pPr>
          </w:p>
          <w:p w:rsidR="001D6320" w:rsidRDefault="001D6320" w:rsidP="00A73A1E">
            <w:pPr>
              <w:rPr>
                <w:b/>
              </w:rPr>
            </w:pPr>
            <w:r w:rsidRPr="001D6320">
              <w:rPr>
                <w:b/>
              </w:rPr>
              <w:t>Opcija 4 (normativno rješenje): izrađene teze propisa</w:t>
            </w:r>
          </w:p>
          <w:p w:rsidR="00566494" w:rsidRPr="009251A0" w:rsidRDefault="009251A0" w:rsidP="00DB62CE">
            <w:pPr>
              <w:jc w:val="both"/>
            </w:pPr>
            <w:r w:rsidRPr="009251A0">
              <w:t xml:space="preserve">Ova se opcija odnosi na donošenje </w:t>
            </w:r>
            <w:r w:rsidR="00DB62CE">
              <w:t xml:space="preserve">Zakona o izmjenama i dopunama Zakona o vanjskim poslovima </w:t>
            </w:r>
            <w:r w:rsidR="00910067">
              <w:t>kako bi se odredbe vrijedećeg Zakona uskladile s odredbama Direktive odnosno kako bi se pravne praznine popunile na način propisan Direktivom.</w:t>
            </w:r>
          </w:p>
          <w:p w:rsidR="00A73A1E" w:rsidRDefault="00A73A1E" w:rsidP="00A73A1E">
            <w:pPr>
              <w:rPr>
                <w:i/>
              </w:rPr>
            </w:pPr>
          </w:p>
          <w:p w:rsidR="00C415B1" w:rsidRPr="006E2112" w:rsidRDefault="00C415B1" w:rsidP="00177C73">
            <w:pPr>
              <w:jc w:val="both"/>
            </w:pPr>
          </w:p>
        </w:tc>
      </w:tr>
    </w:tbl>
    <w:p w:rsidR="00C415B1" w:rsidRPr="006E2112" w:rsidRDefault="00C415B1" w:rsidP="00C415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9A18AD" w:rsidRDefault="00C415B1" w:rsidP="00177C73">
            <w:pPr>
              <w:rPr>
                <w:b/>
              </w:rPr>
            </w:pPr>
            <w:r w:rsidRPr="009A18AD">
              <w:rPr>
                <w:b/>
              </w:rPr>
              <w:t>4. USPOREDBA OPCIJA</w:t>
            </w:r>
          </w:p>
        </w:tc>
      </w:tr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9A18AD" w:rsidRDefault="00C415B1" w:rsidP="00234E9E">
            <w:pPr>
              <w:jc w:val="both"/>
              <w:rPr>
                <w:i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5"/>
              <w:gridCol w:w="3123"/>
              <w:gridCol w:w="3957"/>
            </w:tblGrid>
            <w:tr w:rsidR="00C415B1" w:rsidRPr="006E2112" w:rsidTr="00177C73"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9A18AD" w:rsidRDefault="00C415B1" w:rsidP="00177C73">
                  <w:pPr>
                    <w:jc w:val="center"/>
                    <w:rPr>
                      <w:b/>
                    </w:rPr>
                  </w:pPr>
                  <w:r w:rsidRPr="009A18AD">
                    <w:rPr>
                      <w:b/>
                    </w:rPr>
                    <w:t>Opcije</w:t>
                  </w: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9A18AD" w:rsidRDefault="00C415B1" w:rsidP="00177C73">
                  <w:pPr>
                    <w:jc w:val="center"/>
                    <w:rPr>
                      <w:b/>
                    </w:rPr>
                  </w:pPr>
                  <w:r w:rsidRPr="009A18AD">
                    <w:rPr>
                      <w:b/>
                    </w:rPr>
                    <w:t>Koristi</w:t>
                  </w:r>
                </w:p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9A18AD" w:rsidRDefault="00C415B1" w:rsidP="00177C73">
                  <w:pPr>
                    <w:jc w:val="center"/>
                    <w:rPr>
                      <w:b/>
                    </w:rPr>
                  </w:pPr>
                  <w:r w:rsidRPr="009A18AD">
                    <w:rPr>
                      <w:b/>
                    </w:rPr>
                    <w:t>Troškovi</w:t>
                  </w:r>
                </w:p>
              </w:tc>
            </w:tr>
            <w:tr w:rsidR="00C415B1" w:rsidRPr="006E2112" w:rsidTr="00177C73"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CD5AF9" w:rsidRDefault="00C415B1" w:rsidP="00177C73">
                  <w:pPr>
                    <w:rPr>
                      <w:b/>
                    </w:rPr>
                  </w:pPr>
                  <w:r w:rsidRPr="00CD5AF9">
                    <w:rPr>
                      <w:b/>
                    </w:rPr>
                    <w:t>Opcija 1:</w:t>
                  </w:r>
                </w:p>
                <w:p w:rsidR="00C415B1" w:rsidRPr="006E2112" w:rsidRDefault="00C415B1" w:rsidP="00177C73">
                  <w:r w:rsidRPr="006E2112">
                    <w:t>ne poduzimati ništa</w:t>
                  </w: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6E2112" w:rsidRDefault="00910067" w:rsidP="00177C73">
                  <w:r>
                    <w:t>Ne razmatra se.</w:t>
                  </w:r>
                </w:p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6E2112" w:rsidRDefault="00910067" w:rsidP="00177C73">
                  <w:r>
                    <w:t>Ne razmatra se.</w:t>
                  </w:r>
                </w:p>
              </w:tc>
            </w:tr>
            <w:tr w:rsidR="00C415B1" w:rsidRPr="006E2112" w:rsidTr="00177C73"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CD5AF9" w:rsidRDefault="00C415B1" w:rsidP="00177C73">
                  <w:pPr>
                    <w:rPr>
                      <w:b/>
                    </w:rPr>
                  </w:pPr>
                  <w:r w:rsidRPr="00CD5AF9">
                    <w:rPr>
                      <w:b/>
                    </w:rPr>
                    <w:t>Opcija 2:</w:t>
                  </w:r>
                </w:p>
                <w:p w:rsidR="00C415B1" w:rsidRPr="006E2112" w:rsidRDefault="00C415B1" w:rsidP="00177C73">
                  <w:r w:rsidRPr="006E2112">
                    <w:t>(nenormativno rješenje)</w:t>
                  </w: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6E2112" w:rsidRDefault="00910067" w:rsidP="00177C73">
                  <w:r>
                    <w:t>Ne razmatra se.</w:t>
                  </w:r>
                </w:p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6E2112" w:rsidRDefault="00910067" w:rsidP="00177C73">
                  <w:r>
                    <w:t>Ne razmatra se.</w:t>
                  </w:r>
                </w:p>
              </w:tc>
            </w:tr>
            <w:tr w:rsidR="00C415B1" w:rsidRPr="006E2112" w:rsidTr="00177C73"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CD5AF9" w:rsidRDefault="00C415B1" w:rsidP="00177C73">
                  <w:pPr>
                    <w:rPr>
                      <w:b/>
                    </w:rPr>
                  </w:pPr>
                  <w:r w:rsidRPr="00CD5AF9">
                    <w:rPr>
                      <w:b/>
                    </w:rPr>
                    <w:t>Opcija 3:</w:t>
                  </w:r>
                </w:p>
                <w:p w:rsidR="00C415B1" w:rsidRPr="006E2112" w:rsidRDefault="00C415B1" w:rsidP="00177C73">
                  <w:r w:rsidRPr="006E2112">
                    <w:t>(normativno rješenje)</w:t>
                  </w: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Default="000F373C" w:rsidP="00177C73">
                  <w:r>
                    <w:t xml:space="preserve">Donošenje novog zakonskog propisa </w:t>
                  </w:r>
                  <w:r w:rsidR="0024693A">
                    <w:t>ne bi bilo korisno</w:t>
                  </w:r>
                  <w:r>
                    <w:t xml:space="preserve"> s obzirom da se radi o usklađenju jednog određenog područja (konzularnog) uređenog odredbama Zakona o vanjskim poslovima s novim pravnim instrumentom EU</w:t>
                  </w:r>
                  <w:r w:rsidR="0024693A">
                    <w:t xml:space="preserve">. </w:t>
                  </w:r>
                </w:p>
                <w:p w:rsidR="00756360" w:rsidRPr="006E2112" w:rsidRDefault="00756360" w:rsidP="00177C73"/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6E2112" w:rsidRDefault="00CC59C4" w:rsidP="00CC59C4">
                  <w:r>
                    <w:t>Troškovi primjene ove opcije ne bi bili razmjerni koristi.</w:t>
                  </w:r>
                </w:p>
              </w:tc>
            </w:tr>
            <w:tr w:rsidR="00C415B1" w:rsidRPr="006E2112" w:rsidTr="00177C73"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Pr="00CD5AF9" w:rsidRDefault="00C415B1" w:rsidP="00177C73">
                  <w:pPr>
                    <w:rPr>
                      <w:b/>
                    </w:rPr>
                  </w:pPr>
                  <w:r w:rsidRPr="00CD5AF9">
                    <w:rPr>
                      <w:b/>
                    </w:rPr>
                    <w:t>Opcija 4:</w:t>
                  </w:r>
                </w:p>
                <w:p w:rsidR="00C415B1" w:rsidRPr="006E2112" w:rsidRDefault="00C415B1" w:rsidP="00177C73">
                  <w:r w:rsidRPr="006E2112">
                    <w:t>(normativno rješenje)</w:t>
                  </w:r>
                </w:p>
              </w:tc>
              <w:tc>
                <w:tcPr>
                  <w:tcW w:w="3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45061" w:rsidRDefault="00845061" w:rsidP="00845061">
                  <w:pPr>
                    <w:jc w:val="both"/>
                  </w:pPr>
                  <w:r>
                    <w:t xml:space="preserve">Donošenjem Zakona o izmjenama i dopunama Zakona o vanjskim poslovima konzularno područje koje je već uređeno odredbama Zakona o vanjskim poslovima u potpunosti će se uskladiti s </w:t>
                  </w:r>
                  <w:r>
                    <w:lastRenderedPageBreak/>
                    <w:t xml:space="preserve">Direktivom Vijeća (EU) 2015/637 od 20. travnja 2015. o mjerama koordinacije i suradnje za olakšavanje pružanja konzularne zaštite građanima Unije bez predstavništava u trećim zemljama te o stavljanju izvan snage Odluke 95/553/EZ. </w:t>
                  </w:r>
                </w:p>
                <w:p w:rsidR="00845061" w:rsidRPr="006E2112" w:rsidRDefault="00845061" w:rsidP="00177C73"/>
              </w:tc>
              <w:tc>
                <w:tcPr>
                  <w:tcW w:w="3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15B1" w:rsidRDefault="0033560E" w:rsidP="005F7CA3">
                  <w:pPr>
                    <w:jc w:val="both"/>
                  </w:pPr>
                  <w:r>
                    <w:lastRenderedPageBreak/>
                    <w:t>Ova opcija nema gospodarski učinak, niti učinak na okoliš.</w:t>
                  </w:r>
                </w:p>
                <w:p w:rsidR="0033560E" w:rsidRDefault="0033560E" w:rsidP="005F7CA3">
                  <w:pPr>
                    <w:jc w:val="both"/>
                  </w:pPr>
                </w:p>
                <w:p w:rsidR="0033560E" w:rsidRDefault="0033560E" w:rsidP="005F7CA3">
                  <w:pPr>
                    <w:jc w:val="both"/>
                  </w:pPr>
                  <w:r>
                    <w:t xml:space="preserve">Zakonodavna izmjena utjecati će na </w:t>
                  </w:r>
                  <w:r w:rsidR="005221A9">
                    <w:t xml:space="preserve">one skupine </w:t>
                  </w:r>
                  <w:r>
                    <w:t>hrvatsk</w:t>
                  </w:r>
                  <w:r w:rsidR="005221A9">
                    <w:t>ih</w:t>
                  </w:r>
                  <w:r>
                    <w:t xml:space="preserve"> </w:t>
                  </w:r>
                  <w:r w:rsidR="005221A9">
                    <w:t>državljana</w:t>
                  </w:r>
                  <w:r>
                    <w:t xml:space="preserve"> koji se zateknu </w:t>
                  </w:r>
                  <w:r w:rsidR="005221A9">
                    <w:t xml:space="preserve">ili žive </w:t>
                  </w:r>
                  <w:r>
                    <w:t xml:space="preserve">na području treće zemlje u kojoj Hrvatska nema </w:t>
                  </w:r>
                  <w:r>
                    <w:lastRenderedPageBreak/>
                    <w:t xml:space="preserve">DM/KU. Iako </w:t>
                  </w:r>
                  <w:r w:rsidR="005221A9">
                    <w:t xml:space="preserve">je </w:t>
                  </w:r>
                  <w:r>
                    <w:t xml:space="preserve">ovakvo normativno rješenje obuhvaćeno odredbama vrijedećeg Zakona, prenošenjem nove Direktive </w:t>
                  </w:r>
                  <w:r w:rsidR="000128C7">
                    <w:t xml:space="preserve">detaljno će se </w:t>
                  </w:r>
                  <w:r>
                    <w:t xml:space="preserve">propisati </w:t>
                  </w:r>
                  <w:r w:rsidR="004823CD">
                    <w:t xml:space="preserve"> </w:t>
                  </w:r>
                  <w:r>
                    <w:t>financijske procedure</w:t>
                  </w:r>
                  <w:r w:rsidR="001052EC">
                    <w:t xml:space="preserve"> (obveze državljanina kome je pružena konzularna pomoć i zaštita, kao i države članice čiji je državljanin)</w:t>
                  </w:r>
                  <w:r>
                    <w:t xml:space="preserve"> i to </w:t>
                  </w:r>
                  <w:r w:rsidR="005221A9">
                    <w:t>vezano uz slučajeve kada DM/KU druge države članice EU pruži konzularnu pomoć i zaštitu hrvatskom državljaninu u obavljanju redovitih konzularnih funkcija</w:t>
                  </w:r>
                  <w:r w:rsidR="004823CD">
                    <w:t xml:space="preserve"> (npr. gubitak putne isprave, repatrijacija i drugo)</w:t>
                  </w:r>
                  <w:r w:rsidR="005221A9">
                    <w:t xml:space="preserve">, ali isto tako i u slučajevima </w:t>
                  </w:r>
                  <w:r>
                    <w:t>krizni</w:t>
                  </w:r>
                  <w:r w:rsidR="005221A9">
                    <w:t>h</w:t>
                  </w:r>
                  <w:r>
                    <w:t xml:space="preserve"> situacija (evakuacije s područja kriznih žarišta).</w:t>
                  </w:r>
                </w:p>
                <w:p w:rsidR="0033560E" w:rsidRDefault="0033560E" w:rsidP="005F7CA3">
                  <w:pPr>
                    <w:jc w:val="both"/>
                  </w:pPr>
                </w:p>
                <w:p w:rsidR="00EA01DE" w:rsidRDefault="0033560E" w:rsidP="005F7CA3">
                  <w:pPr>
                    <w:jc w:val="both"/>
                  </w:pPr>
                  <w:r>
                    <w:t xml:space="preserve">Dakle, osim navedenog socijalnog učinka, ova opcija ima i financijski učinak. </w:t>
                  </w:r>
                </w:p>
                <w:p w:rsidR="00EA01DE" w:rsidRDefault="00EA01DE" w:rsidP="005F7CA3">
                  <w:pPr>
                    <w:jc w:val="both"/>
                  </w:pPr>
                </w:p>
                <w:p w:rsidR="00E01907" w:rsidRDefault="00E01907" w:rsidP="005F7CA3">
                  <w:pPr>
                    <w:jc w:val="both"/>
                  </w:pPr>
                  <w:r>
                    <w:t xml:space="preserve">Naime, </w:t>
                  </w:r>
                  <w:r w:rsidR="00811496">
                    <w:t xml:space="preserve">realno je za pretpostaviti da u određenom, manjem, broju slučajeva hrvatski državljani neće biti u mogućnosti odmah podmiriti troškove za konzularnu pomoć i zaštitu koju im pruži DM/KU druge države članice. </w:t>
                  </w:r>
                  <w:r w:rsidR="00EA01DE">
                    <w:t xml:space="preserve">U tim će slučajevima navedena DM/KU </w:t>
                  </w:r>
                  <w:r w:rsidR="00D1076D">
                    <w:t xml:space="preserve">Direktivom </w:t>
                  </w:r>
                  <w:r w:rsidR="009D033B">
                    <w:t>propisani</w:t>
                  </w:r>
                  <w:r w:rsidR="00EA01DE">
                    <w:t xml:space="preserve"> obrazac za isplatu</w:t>
                  </w:r>
                  <w:r w:rsidR="00D1076D">
                    <w:t>/naknadu troškova</w:t>
                  </w:r>
                  <w:r w:rsidR="00EA01DE">
                    <w:t xml:space="preserve"> dostaviti MVEP</w:t>
                  </w:r>
                  <w:r w:rsidR="00D1076D">
                    <w:t xml:space="preserve">. Ministarstvo je </w:t>
                  </w:r>
                  <w:r w:rsidR="00E66364">
                    <w:t>o</w:t>
                  </w:r>
                  <w:r w:rsidR="00EA01DE">
                    <w:t>bvez</w:t>
                  </w:r>
                  <w:r w:rsidR="00E66364">
                    <w:t>no u propisanom roku</w:t>
                  </w:r>
                  <w:r w:rsidR="00EA01DE">
                    <w:t xml:space="preserve"> refundirati novčana sre</w:t>
                  </w:r>
                  <w:r w:rsidR="00E66364">
                    <w:t>dstva navedenoj državi članici.</w:t>
                  </w:r>
                  <w:r w:rsidR="00D1076D">
                    <w:t xml:space="preserve"> Napominje se kako MVEP ima pravnu mogućnost pokretanja </w:t>
                  </w:r>
                  <w:r w:rsidR="008320FA">
                    <w:t>sudskog postupka</w:t>
                  </w:r>
                  <w:r w:rsidR="00D1076D">
                    <w:t xml:space="preserve"> u koj</w:t>
                  </w:r>
                  <w:r w:rsidR="008320FA">
                    <w:t xml:space="preserve">em </w:t>
                  </w:r>
                  <w:r w:rsidR="00D1076D">
                    <w:t>će tražiti povrat novčanih sredstava od</w:t>
                  </w:r>
                  <w:r w:rsidR="008320FA">
                    <w:t xml:space="preserve"> </w:t>
                  </w:r>
                  <w:r w:rsidR="00E05037">
                    <w:t xml:space="preserve">onih </w:t>
                  </w:r>
                  <w:r w:rsidR="008320FA">
                    <w:t xml:space="preserve">hrvatskih državljana koji ovu obvezu nisu izvršili prema onoj državi članici koja im je pružila konzularnu pomoć i zaštitu. </w:t>
                  </w:r>
                </w:p>
                <w:p w:rsidR="009F3587" w:rsidRDefault="009F3587" w:rsidP="005F7CA3">
                  <w:pPr>
                    <w:jc w:val="both"/>
                  </w:pPr>
                </w:p>
                <w:p w:rsidR="009F3587" w:rsidRDefault="009F3587" w:rsidP="005F7CA3">
                  <w:pPr>
                    <w:jc w:val="both"/>
                  </w:pPr>
                  <w:r>
                    <w:t xml:space="preserve">Isto tako, </w:t>
                  </w:r>
                  <w:r w:rsidR="005947E0">
                    <w:t xml:space="preserve">može se pretpostaviti kako će i </w:t>
                  </w:r>
                  <w:r>
                    <w:t xml:space="preserve">DM/KU Republike Hrvatske </w:t>
                  </w:r>
                  <w:r w:rsidR="005947E0">
                    <w:t xml:space="preserve">biti u situaciji da će </w:t>
                  </w:r>
                  <w:r>
                    <w:t xml:space="preserve">pružiti konzularnu pomoć i zaštitu državljaninu druge države članice EU koji neće biti u mogućnosti podmiriti financijske troškove nastale pružanjem pomoći i zaštite. </w:t>
                  </w:r>
                  <w:r w:rsidR="007A35CE">
                    <w:t xml:space="preserve">U ovim slučajevima ti će </w:t>
                  </w:r>
                  <w:r w:rsidR="007A35CE">
                    <w:lastRenderedPageBreak/>
                    <w:t xml:space="preserve">troškovi teretiti sredstva Državnog proračuna uz naknadno refundiranje od strane države članice EU čiji je državljanin osoba kojoj je hrvatski DM/KU pružio konzularnu pomoć i zaštitu. </w:t>
                  </w:r>
                </w:p>
                <w:p w:rsidR="00811496" w:rsidRPr="006E2112" w:rsidRDefault="00811496" w:rsidP="005F7CA3">
                  <w:pPr>
                    <w:jc w:val="both"/>
                  </w:pPr>
                </w:p>
              </w:tc>
            </w:tr>
          </w:tbl>
          <w:p w:rsidR="00C415B1" w:rsidRPr="006E2112" w:rsidRDefault="00C415B1" w:rsidP="00177C73"/>
        </w:tc>
      </w:tr>
    </w:tbl>
    <w:p w:rsidR="00234E9E" w:rsidRDefault="00234E9E" w:rsidP="00C415B1"/>
    <w:p w:rsidR="00234E9E" w:rsidRPr="006E2112" w:rsidRDefault="00234E9E" w:rsidP="00C415B1"/>
    <w:p w:rsidR="00C415B1" w:rsidRDefault="00C415B1" w:rsidP="00C415B1">
      <w:pPr>
        <w:jc w:val="both"/>
        <w:rPr>
          <w:b/>
          <w:sz w:val="22"/>
          <w:szCs w:val="22"/>
        </w:rPr>
      </w:pPr>
      <w:r w:rsidRPr="009228E1">
        <w:rPr>
          <w:b/>
          <w:sz w:val="22"/>
          <w:szCs w:val="22"/>
        </w:rPr>
        <w:t>UPUTA: Ovaj dio Iskaza popunjava se pri ažuriranju Nacrta prijedloga Iskaza, a nakon provedenog savjetovanja i ponovno se ažurira nakon javne rasprave kod izrade Prijedloga Iskaza</w:t>
      </w:r>
    </w:p>
    <w:p w:rsidR="00E32302" w:rsidRPr="009228E1" w:rsidRDefault="00E32302" w:rsidP="00C415B1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9A18AD" w:rsidRDefault="00C415B1" w:rsidP="00177C73">
            <w:pPr>
              <w:rPr>
                <w:b/>
              </w:rPr>
            </w:pPr>
            <w:r w:rsidRPr="009A18AD">
              <w:rPr>
                <w:b/>
              </w:rPr>
              <w:t>5. S</w:t>
            </w:r>
            <w:r>
              <w:rPr>
                <w:b/>
              </w:rPr>
              <w:t>AVJETOVANJE</w:t>
            </w:r>
          </w:p>
        </w:tc>
      </w:tr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9A18AD" w:rsidRDefault="00C415B1" w:rsidP="00177C73">
            <w:pPr>
              <w:jc w:val="both"/>
              <w:rPr>
                <w:i/>
              </w:rPr>
            </w:pPr>
            <w:r w:rsidRPr="009A18AD">
              <w:rPr>
                <w:i/>
              </w:rPr>
              <w:t>[Savjetovanje se provodi u trajanju od 30 dana, a po potrebi i ovisno o složenosti materije, i duže objavom na internetskoj stranici. Tijekom savjetovanja potrebno je provesti jedno ili više javnih izlaganja materije koja je predmet savjetovanja neposrednim kontaktom s dionicima putem okruglog stola i sl.</w:t>
            </w:r>
          </w:p>
          <w:p w:rsidR="00C415B1" w:rsidRPr="006E2112" w:rsidRDefault="00C415B1" w:rsidP="00177C73">
            <w:pPr>
              <w:jc w:val="both"/>
            </w:pPr>
            <w:r w:rsidRPr="009A18AD">
              <w:rPr>
                <w:i/>
              </w:rPr>
              <w:t>Sažetak postupka savjetovanja s javnošću potrebno je iznijeti na jasan način i s točnim datumima početka i završetka savjetovanja, kao i datume provedenog okruglog stola i sl.. Potrebno je navesti broj ukupno zaprimljenih mišljenja, primjedbi i prijedloga koji su pristigli pisanim putem u vrijeme savjetovanja te broj prihvaćenih komentara na Prijedlog Iskaza odnosno na prijedlog propisa. Potrebno je navesti</w:t>
            </w:r>
            <w:r>
              <w:rPr>
                <w:i/>
              </w:rPr>
              <w:t xml:space="preserve"> sve</w:t>
            </w:r>
            <w:r w:rsidRPr="009A18AD">
              <w:rPr>
                <w:i/>
              </w:rPr>
              <w:t>ukupni broj zaprimljenih miš</w:t>
            </w:r>
            <w:r w:rsidR="009228E1">
              <w:rPr>
                <w:i/>
              </w:rPr>
              <w:t>ljenja, primjedbi i prijedloga.</w:t>
            </w:r>
            <w:r w:rsidRPr="009A18AD">
              <w:rPr>
                <w:i/>
              </w:rPr>
              <w:t xml:space="preserve"> Sve se odgovarajuće primjenjuje i na javnu raspravu</w:t>
            </w:r>
            <w:r w:rsidRPr="009228E1">
              <w:rPr>
                <w:i/>
              </w:rPr>
              <w:t>.</w:t>
            </w:r>
            <w:r w:rsidR="009228E1" w:rsidRPr="009228E1">
              <w:rPr>
                <w:i/>
              </w:rPr>
              <w:t>]</w:t>
            </w:r>
          </w:p>
        </w:tc>
      </w:tr>
    </w:tbl>
    <w:p w:rsidR="00C415B1" w:rsidRPr="006E2112" w:rsidRDefault="00C415B1" w:rsidP="00C415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400AEA" w:rsidRDefault="00CD5AF9" w:rsidP="00177C73">
            <w:pPr>
              <w:rPr>
                <w:b/>
              </w:rPr>
            </w:pPr>
            <w:r>
              <w:rPr>
                <w:b/>
              </w:rPr>
              <w:t>6</w:t>
            </w:r>
            <w:r w:rsidR="00C415B1" w:rsidRPr="00400AEA">
              <w:rPr>
                <w:b/>
              </w:rPr>
              <w:t>. P</w:t>
            </w:r>
            <w:r>
              <w:rPr>
                <w:b/>
              </w:rPr>
              <w:t>REPORUČENA OPCIJA</w:t>
            </w:r>
          </w:p>
        </w:tc>
      </w:tr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400AEA" w:rsidRDefault="00C415B1" w:rsidP="00177C73">
            <w:pPr>
              <w:jc w:val="both"/>
              <w:rPr>
                <w:i/>
              </w:rPr>
            </w:pPr>
            <w:r w:rsidRPr="00400AEA">
              <w:rPr>
                <w:i/>
              </w:rPr>
              <w:t>[Kratko i sažeto prezentirajte</w:t>
            </w:r>
            <w:r w:rsidR="009228E1">
              <w:rPr>
                <w:i/>
              </w:rPr>
              <w:t xml:space="preserve"> ukupne</w:t>
            </w:r>
            <w:r w:rsidRPr="00400AEA">
              <w:rPr>
                <w:i/>
              </w:rPr>
              <w:t xml:space="preserve"> rezultate provedenog postupka procjene učinaka propisa. Ukratko zaokružite analizu koristi i troškova za sve opcije</w:t>
            </w:r>
            <w:r w:rsidR="009228E1">
              <w:rPr>
                <w:i/>
              </w:rPr>
              <w:t>, imajući u vidu</w:t>
            </w:r>
            <w:r w:rsidRPr="00400AEA">
              <w:rPr>
                <w:i/>
              </w:rPr>
              <w:t xml:space="preserve"> </w:t>
            </w:r>
            <w:r w:rsidR="009228E1">
              <w:rPr>
                <w:i/>
              </w:rPr>
              <w:t>rezultate analize i provedeno</w:t>
            </w:r>
            <w:r w:rsidRPr="00400AEA">
              <w:rPr>
                <w:i/>
              </w:rPr>
              <w:t xml:space="preserve"> savjetovanja</w:t>
            </w:r>
            <w:r w:rsidR="009228E1">
              <w:rPr>
                <w:i/>
              </w:rPr>
              <w:t>. Na temelju svega izloženog u postupku procjene učinaka propisa</w:t>
            </w:r>
            <w:r w:rsidRPr="00400AEA">
              <w:rPr>
                <w:i/>
              </w:rPr>
              <w:t xml:space="preserve"> sažeto prep</w:t>
            </w:r>
            <w:r w:rsidR="009228E1">
              <w:rPr>
                <w:i/>
              </w:rPr>
              <w:t>oručite opciju koja dovodi do rješenja za utvrđeni problem tako što donosi najviše ukupnih koristi u odnosu na ukupne troškove opcija.</w:t>
            </w:r>
          </w:p>
          <w:p w:rsidR="00C415B1" w:rsidRPr="00400AEA" w:rsidRDefault="00C415B1" w:rsidP="00177C73">
            <w:pPr>
              <w:jc w:val="both"/>
              <w:rPr>
                <w:i/>
              </w:rPr>
            </w:pPr>
            <w:r w:rsidRPr="00400AEA">
              <w:rPr>
                <w:i/>
              </w:rPr>
              <w:t>PREPORUČENA OPCIJA:</w:t>
            </w:r>
          </w:p>
          <w:p w:rsidR="00C415B1" w:rsidRPr="00234E9E" w:rsidRDefault="00C415B1" w:rsidP="009228E1">
            <w:pPr>
              <w:jc w:val="both"/>
              <w:rPr>
                <w:i/>
              </w:rPr>
            </w:pPr>
            <w:r w:rsidRPr="00400AEA">
              <w:rPr>
                <w:i/>
              </w:rPr>
              <w:t xml:space="preserve">Temeljni kriterij za odabir </w:t>
            </w:r>
            <w:r w:rsidR="009228E1">
              <w:rPr>
                <w:i/>
              </w:rPr>
              <w:t>opcije je</w:t>
            </w:r>
            <w:r w:rsidRPr="00400AEA">
              <w:rPr>
                <w:i/>
              </w:rPr>
              <w:t xml:space="preserve"> da ukupne neto koristi premašuju ukupne neto troškove. Preporučena opcija mora se objektivno temeljiti na prethodnoj izvršenoj analizi i prikupljenim podacima.]</w:t>
            </w:r>
          </w:p>
        </w:tc>
      </w:tr>
    </w:tbl>
    <w:p w:rsidR="00C415B1" w:rsidRDefault="00C415B1" w:rsidP="00C415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D5AF9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F9" w:rsidRPr="00400AEA" w:rsidRDefault="00CD5AF9" w:rsidP="00177C73">
            <w:pPr>
              <w:rPr>
                <w:b/>
              </w:rPr>
            </w:pPr>
            <w:r>
              <w:rPr>
                <w:b/>
              </w:rPr>
              <w:t>7</w:t>
            </w:r>
            <w:r w:rsidRPr="00400AEA">
              <w:rPr>
                <w:b/>
              </w:rPr>
              <w:t>. PRAĆENJE PROVEDBE I EVALUACIJA</w:t>
            </w:r>
          </w:p>
        </w:tc>
      </w:tr>
      <w:tr w:rsidR="00CD5AF9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AF9" w:rsidRPr="00CD5AF9" w:rsidRDefault="00CD5AF9" w:rsidP="00177C73">
            <w:pPr>
              <w:jc w:val="both"/>
              <w:rPr>
                <w:i/>
              </w:rPr>
            </w:pPr>
            <w:r>
              <w:rPr>
                <w:i/>
              </w:rPr>
              <w:t>[Za preporučenu</w:t>
            </w:r>
            <w:r w:rsidRPr="00400AEA">
              <w:rPr>
                <w:i/>
              </w:rPr>
              <w:t xml:space="preserve"> opciju potrebno </w:t>
            </w:r>
            <w:r>
              <w:rPr>
                <w:i/>
              </w:rPr>
              <w:t xml:space="preserve">je sažeto </w:t>
            </w:r>
            <w:r w:rsidRPr="00400AEA">
              <w:rPr>
                <w:i/>
              </w:rPr>
              <w:t>navesti kr</w:t>
            </w:r>
            <w:r>
              <w:rPr>
                <w:i/>
              </w:rPr>
              <w:t xml:space="preserve">atki pregled postupka provedbe, </w:t>
            </w:r>
            <w:r w:rsidRPr="00400AEA">
              <w:rPr>
                <w:i/>
              </w:rPr>
              <w:t>utvrditi osnovne in</w:t>
            </w:r>
            <w:r>
              <w:rPr>
                <w:i/>
              </w:rPr>
              <w:t xml:space="preserve">dikatore za praćenje provedbe (osnovne pokazatelje uspješnosti),  </w:t>
            </w:r>
            <w:r w:rsidRPr="00400AEA">
              <w:rPr>
                <w:i/>
              </w:rPr>
              <w:t>utvrditi osnovne indikatore za evaluaciju provedbe.</w:t>
            </w:r>
            <w:r w:rsidR="009228E1">
              <w:rPr>
                <w:i/>
              </w:rPr>
              <w:t xml:space="preserve"> Ukoliko do sada nije bilo dostupnih podataka,</w:t>
            </w:r>
            <w:r w:rsidR="00C65E84">
              <w:rPr>
                <w:i/>
              </w:rPr>
              <w:t xml:space="preserve"> odnosno podaci nisu bili cjeloviti ili se nisu prikupljali na dobar način,</w:t>
            </w:r>
            <w:r w:rsidR="009228E1">
              <w:rPr>
                <w:i/>
              </w:rPr>
              <w:t xml:space="preserve"> kroz praćenje provedbe</w:t>
            </w:r>
            <w:r w:rsidR="00C65E84">
              <w:rPr>
                <w:i/>
              </w:rPr>
              <w:t xml:space="preserve"> preporučene opcije moguće je utvrditi osnovne indikatore na temelju kojih će se podaci početi prikupljati. </w:t>
            </w:r>
            <w:r>
              <w:rPr>
                <w:i/>
              </w:rPr>
              <w:t>Za preporučenu opciju</w:t>
            </w:r>
            <w:r w:rsidRPr="00400AEA">
              <w:rPr>
                <w:i/>
              </w:rPr>
              <w:t xml:space="preserve"> potrebno je sažeto opisati način provedbe opcije, navesti tijela odnosno institucije koje bi provodile opciju. Ključno je predvidjeti tko, na koji način i u koj</w:t>
            </w:r>
            <w:r>
              <w:rPr>
                <w:i/>
              </w:rPr>
              <w:t>em vremenskom okviru provodi</w:t>
            </w:r>
            <w:r w:rsidRPr="00400AEA">
              <w:rPr>
                <w:i/>
              </w:rPr>
              <w:t xml:space="preserve"> </w:t>
            </w:r>
            <w:r>
              <w:rPr>
                <w:i/>
              </w:rPr>
              <w:t xml:space="preserve">preporučenu </w:t>
            </w:r>
            <w:r w:rsidRPr="00400AEA">
              <w:rPr>
                <w:i/>
              </w:rPr>
              <w:t>opcij</w:t>
            </w:r>
            <w:r>
              <w:rPr>
                <w:i/>
              </w:rPr>
              <w:t>u</w:t>
            </w:r>
            <w:r w:rsidR="00C65E84">
              <w:rPr>
                <w:i/>
              </w:rPr>
              <w:t xml:space="preserve">. </w:t>
            </w:r>
            <w:r w:rsidRPr="00400AEA">
              <w:rPr>
                <w:i/>
              </w:rPr>
              <w:t>Sažeto i jasno navedite vremenske rokove provedbe i glavne rezultate provedbe kako bi se omogućilo kontinuirano praćenje provedbe, kao i naknadna evaluacija provedbe opcija.]</w:t>
            </w:r>
          </w:p>
        </w:tc>
      </w:tr>
    </w:tbl>
    <w:p w:rsidR="00CD5AF9" w:rsidRPr="006E2112" w:rsidRDefault="00CD5AF9" w:rsidP="00C415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400AEA" w:rsidRDefault="00C415B1" w:rsidP="00C65E84">
            <w:pPr>
              <w:rPr>
                <w:b/>
              </w:rPr>
            </w:pPr>
            <w:r w:rsidRPr="00400AEA">
              <w:rPr>
                <w:b/>
              </w:rPr>
              <w:t xml:space="preserve">8. PRILOZI </w:t>
            </w:r>
          </w:p>
        </w:tc>
      </w:tr>
      <w:tr w:rsidR="00C415B1" w:rsidRPr="006E2112" w:rsidTr="00177C73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B1" w:rsidRPr="00234E9E" w:rsidRDefault="00C415B1" w:rsidP="00C65E84">
            <w:pPr>
              <w:rPr>
                <w:i/>
              </w:rPr>
            </w:pPr>
            <w:r w:rsidRPr="00400AEA">
              <w:rPr>
                <w:i/>
              </w:rPr>
              <w:t xml:space="preserve">[U prilogu se prilažu </w:t>
            </w:r>
            <w:r w:rsidR="00C65E84">
              <w:rPr>
                <w:i/>
              </w:rPr>
              <w:t>važniji</w:t>
            </w:r>
            <w:r w:rsidRPr="00400AEA">
              <w:rPr>
                <w:i/>
              </w:rPr>
              <w:t xml:space="preserve"> dokumenti, analize i rezultati</w:t>
            </w:r>
            <w:r w:rsidR="00234E9E">
              <w:rPr>
                <w:i/>
              </w:rPr>
              <w:t xml:space="preserve"> korisni za donositelje odluka</w:t>
            </w:r>
            <w:r w:rsidR="00C65E84">
              <w:rPr>
                <w:i/>
              </w:rPr>
              <w:t xml:space="preserve">. Ako je riječ o opširnijim dokumentima, prilažu se sažeci dokumenta uz navođenje izvora. U </w:t>
            </w:r>
            <w:r w:rsidR="00C65E84">
              <w:rPr>
                <w:i/>
              </w:rPr>
              <w:lastRenderedPageBreak/>
              <w:t>priloge se također mogu staviti dokumenti nastali u postupku procjene učinaka propisa. Priloge je potrebno numerirati i ovdje navesti nazive priloga.</w:t>
            </w:r>
            <w:r w:rsidR="00234E9E">
              <w:rPr>
                <w:i/>
              </w:rPr>
              <w:t>]</w:t>
            </w:r>
          </w:p>
        </w:tc>
      </w:tr>
    </w:tbl>
    <w:p w:rsidR="00C415B1" w:rsidRPr="006E2112" w:rsidRDefault="00C415B1" w:rsidP="00C415B1"/>
    <w:p w:rsidR="006D4B1D" w:rsidRDefault="006D4B1D"/>
    <w:sectPr w:rsidR="006D4B1D" w:rsidSect="00CD5AF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FB" w:rsidRDefault="006059FB" w:rsidP="00CD5AF9">
      <w:r>
        <w:separator/>
      </w:r>
    </w:p>
  </w:endnote>
  <w:endnote w:type="continuationSeparator" w:id="0">
    <w:p w:rsidR="006059FB" w:rsidRDefault="006059FB" w:rsidP="00CD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AF9" w:rsidRPr="00CD5AF9" w:rsidRDefault="00CD5AF9">
    <w:pPr>
      <w:pStyle w:val="Footer"/>
      <w:jc w:val="center"/>
      <w:rPr>
        <w:sz w:val="20"/>
        <w:szCs w:val="20"/>
      </w:rPr>
    </w:pPr>
    <w:r w:rsidRPr="00CD5AF9">
      <w:rPr>
        <w:sz w:val="20"/>
        <w:szCs w:val="20"/>
      </w:rPr>
      <w:fldChar w:fldCharType="begin"/>
    </w:r>
    <w:r w:rsidRPr="00CD5AF9">
      <w:rPr>
        <w:sz w:val="20"/>
        <w:szCs w:val="20"/>
      </w:rPr>
      <w:instrText>PAGE   \* MERGEFORMAT</w:instrText>
    </w:r>
    <w:r w:rsidRPr="00CD5AF9">
      <w:rPr>
        <w:sz w:val="20"/>
        <w:szCs w:val="20"/>
      </w:rPr>
      <w:fldChar w:fldCharType="separate"/>
    </w:r>
    <w:r w:rsidR="006F0277">
      <w:rPr>
        <w:noProof/>
        <w:sz w:val="20"/>
        <w:szCs w:val="20"/>
      </w:rPr>
      <w:t>1</w:t>
    </w:r>
    <w:r w:rsidRPr="00CD5AF9">
      <w:rPr>
        <w:sz w:val="20"/>
        <w:szCs w:val="20"/>
      </w:rPr>
      <w:fldChar w:fldCharType="end"/>
    </w:r>
  </w:p>
  <w:p w:rsidR="00CD5AF9" w:rsidRDefault="00CD5A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FB" w:rsidRDefault="006059FB" w:rsidP="00CD5AF9">
      <w:r>
        <w:separator/>
      </w:r>
    </w:p>
  </w:footnote>
  <w:footnote w:type="continuationSeparator" w:id="0">
    <w:p w:rsidR="006059FB" w:rsidRDefault="006059FB" w:rsidP="00CD5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A6026"/>
    <w:multiLevelType w:val="hybridMultilevel"/>
    <w:tmpl w:val="C094A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2F50"/>
    <w:multiLevelType w:val="hybridMultilevel"/>
    <w:tmpl w:val="AC1EA18A"/>
    <w:lvl w:ilvl="0" w:tplc="792C1E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B1"/>
    <w:rsid w:val="000128C7"/>
    <w:rsid w:val="00056368"/>
    <w:rsid w:val="000817E6"/>
    <w:rsid w:val="000A1D4C"/>
    <w:rsid w:val="000B5DA7"/>
    <w:rsid w:val="000C6B37"/>
    <w:rsid w:val="000E525C"/>
    <w:rsid w:val="000F373C"/>
    <w:rsid w:val="001052EC"/>
    <w:rsid w:val="00177C73"/>
    <w:rsid w:val="001A1074"/>
    <w:rsid w:val="001B0BBB"/>
    <w:rsid w:val="001D6320"/>
    <w:rsid w:val="00234E9E"/>
    <w:rsid w:val="0024693A"/>
    <w:rsid w:val="00272628"/>
    <w:rsid w:val="002B0E9F"/>
    <w:rsid w:val="002E4EB0"/>
    <w:rsid w:val="00305E20"/>
    <w:rsid w:val="0033560E"/>
    <w:rsid w:val="003B440E"/>
    <w:rsid w:val="003C57FC"/>
    <w:rsid w:val="003E0797"/>
    <w:rsid w:val="004118AF"/>
    <w:rsid w:val="00416A7A"/>
    <w:rsid w:val="004246C5"/>
    <w:rsid w:val="00434D75"/>
    <w:rsid w:val="0045073F"/>
    <w:rsid w:val="004823CD"/>
    <w:rsid w:val="004A5D33"/>
    <w:rsid w:val="005221A9"/>
    <w:rsid w:val="0052473C"/>
    <w:rsid w:val="00566494"/>
    <w:rsid w:val="0057142E"/>
    <w:rsid w:val="0058526B"/>
    <w:rsid w:val="00585A28"/>
    <w:rsid w:val="005947E0"/>
    <w:rsid w:val="005C4EDB"/>
    <w:rsid w:val="005F7CA3"/>
    <w:rsid w:val="006059FB"/>
    <w:rsid w:val="00605B0A"/>
    <w:rsid w:val="0061289D"/>
    <w:rsid w:val="00621A6C"/>
    <w:rsid w:val="006362D5"/>
    <w:rsid w:val="00650CE0"/>
    <w:rsid w:val="00656B93"/>
    <w:rsid w:val="00682650"/>
    <w:rsid w:val="006B292B"/>
    <w:rsid w:val="006B2943"/>
    <w:rsid w:val="006D4B1D"/>
    <w:rsid w:val="006F0277"/>
    <w:rsid w:val="00705701"/>
    <w:rsid w:val="00712EE0"/>
    <w:rsid w:val="00715E34"/>
    <w:rsid w:val="00756360"/>
    <w:rsid w:val="00757E45"/>
    <w:rsid w:val="00783BF0"/>
    <w:rsid w:val="007932D0"/>
    <w:rsid w:val="0079645F"/>
    <w:rsid w:val="007A35CE"/>
    <w:rsid w:val="007F12C1"/>
    <w:rsid w:val="00811496"/>
    <w:rsid w:val="00830E1A"/>
    <w:rsid w:val="008320FA"/>
    <w:rsid w:val="008447BE"/>
    <w:rsid w:val="00845061"/>
    <w:rsid w:val="00850F1E"/>
    <w:rsid w:val="00891AA5"/>
    <w:rsid w:val="0089477A"/>
    <w:rsid w:val="008C3B00"/>
    <w:rsid w:val="009036F4"/>
    <w:rsid w:val="00910067"/>
    <w:rsid w:val="009228E1"/>
    <w:rsid w:val="009251A0"/>
    <w:rsid w:val="00950D48"/>
    <w:rsid w:val="009759C5"/>
    <w:rsid w:val="009C1DF1"/>
    <w:rsid w:val="009C51E1"/>
    <w:rsid w:val="009D033B"/>
    <w:rsid w:val="009F3587"/>
    <w:rsid w:val="00A4057D"/>
    <w:rsid w:val="00A50072"/>
    <w:rsid w:val="00A73A1E"/>
    <w:rsid w:val="00A7773C"/>
    <w:rsid w:val="00A84237"/>
    <w:rsid w:val="00A86BF3"/>
    <w:rsid w:val="00AA18AF"/>
    <w:rsid w:val="00AC25F5"/>
    <w:rsid w:val="00AC381E"/>
    <w:rsid w:val="00AE3AFB"/>
    <w:rsid w:val="00AF21B2"/>
    <w:rsid w:val="00B068B7"/>
    <w:rsid w:val="00B1742B"/>
    <w:rsid w:val="00B754E5"/>
    <w:rsid w:val="00BB16E0"/>
    <w:rsid w:val="00BF1114"/>
    <w:rsid w:val="00C00244"/>
    <w:rsid w:val="00C0390E"/>
    <w:rsid w:val="00C03A8B"/>
    <w:rsid w:val="00C14733"/>
    <w:rsid w:val="00C25258"/>
    <w:rsid w:val="00C34E28"/>
    <w:rsid w:val="00C415B1"/>
    <w:rsid w:val="00C44149"/>
    <w:rsid w:val="00C47155"/>
    <w:rsid w:val="00C65E84"/>
    <w:rsid w:val="00C80451"/>
    <w:rsid w:val="00C90F3E"/>
    <w:rsid w:val="00CC0E2E"/>
    <w:rsid w:val="00CC3425"/>
    <w:rsid w:val="00CC59C4"/>
    <w:rsid w:val="00CC6D68"/>
    <w:rsid w:val="00CD5AF9"/>
    <w:rsid w:val="00D1076D"/>
    <w:rsid w:val="00D23405"/>
    <w:rsid w:val="00D32D1B"/>
    <w:rsid w:val="00D431F0"/>
    <w:rsid w:val="00D57831"/>
    <w:rsid w:val="00D60AD3"/>
    <w:rsid w:val="00D64FF2"/>
    <w:rsid w:val="00DA7B8B"/>
    <w:rsid w:val="00DB561A"/>
    <w:rsid w:val="00DB62CE"/>
    <w:rsid w:val="00DD4DC2"/>
    <w:rsid w:val="00DF3DD6"/>
    <w:rsid w:val="00E01907"/>
    <w:rsid w:val="00E05037"/>
    <w:rsid w:val="00E32302"/>
    <w:rsid w:val="00E51A16"/>
    <w:rsid w:val="00E66364"/>
    <w:rsid w:val="00E93527"/>
    <w:rsid w:val="00EA01DE"/>
    <w:rsid w:val="00ED48B6"/>
    <w:rsid w:val="00EF7E3E"/>
    <w:rsid w:val="00F62659"/>
    <w:rsid w:val="00FB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44BEA-AF84-477B-AC9B-20440FA3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5B1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AF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D5AF9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AF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D5AF9"/>
    <w:rPr>
      <w:rFonts w:eastAsia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715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4715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cp:lastModifiedBy>Nemanja Relic</cp:lastModifiedBy>
  <cp:revision>2</cp:revision>
  <dcterms:created xsi:type="dcterms:W3CDTF">2017-07-12T08:56:00Z</dcterms:created>
  <dcterms:modified xsi:type="dcterms:W3CDTF">2017-07-12T08:56:00Z</dcterms:modified>
</cp:coreProperties>
</file>