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75" w:rsidRPr="00E34275" w:rsidRDefault="00E34275" w:rsidP="00E34275">
      <w:pPr>
        <w:jc w:val="both"/>
        <w:rPr>
          <w:rFonts w:asciiTheme="majorHAnsi" w:hAnsiTheme="majorHAnsi"/>
          <w:sz w:val="24"/>
        </w:rPr>
      </w:pPr>
      <w:r w:rsidRPr="00E34275">
        <w:rPr>
          <w:rFonts w:asciiTheme="majorHAnsi" w:hAnsiTheme="majorHAnsi"/>
          <w:sz w:val="24"/>
        </w:rPr>
        <w:t>MINISTARSTVO ZNANOSTI I OBRAZOVANJA</w:t>
      </w:r>
    </w:p>
    <w:p w:rsidR="005A1F20" w:rsidRDefault="00E34275" w:rsidP="005A1F20">
      <w:pPr>
        <w:pStyle w:val="Heading1"/>
      </w:pPr>
      <w:r>
        <w:t>Prijedlog Nacionalnog</w:t>
      </w:r>
      <w:r w:rsidR="003925C8" w:rsidRPr="005A1F20">
        <w:t xml:space="preserve"> plan</w:t>
      </w:r>
      <w:r>
        <w:t>a</w:t>
      </w:r>
      <w:r w:rsidR="003925C8" w:rsidRPr="005A1F20">
        <w:t xml:space="preserve"> za unapređ</w:t>
      </w:r>
      <w:r w:rsidR="003B04FD" w:rsidRPr="005A1F20">
        <w:t>iva</w:t>
      </w:r>
      <w:r w:rsidR="003925C8" w:rsidRPr="005A1F20">
        <w:t xml:space="preserve">nje socijalne dimenzije </w:t>
      </w:r>
      <w:r w:rsidR="00423A6E" w:rsidRPr="005A1F20">
        <w:t xml:space="preserve">visokog obrazovanja </w:t>
      </w:r>
      <w:r w:rsidR="007225B2" w:rsidRPr="005A1F20">
        <w:t xml:space="preserve">u Republici Hrvatskoj </w:t>
      </w:r>
      <w:r w:rsidR="003925C8" w:rsidRPr="005A1F20">
        <w:t>201</w:t>
      </w:r>
      <w:r w:rsidR="008D7488" w:rsidRPr="005A1F20">
        <w:t>8</w:t>
      </w:r>
      <w:r w:rsidR="003925C8" w:rsidRPr="005A1F20">
        <w:t>.-202</w:t>
      </w:r>
      <w:r w:rsidR="008D7488" w:rsidRPr="005A1F20">
        <w:t>1</w:t>
      </w:r>
      <w:r w:rsidR="003925C8" w:rsidRPr="005A1F20">
        <w:t xml:space="preserve">. </w:t>
      </w:r>
      <w:bookmarkStart w:id="0" w:name="_Toc461865504"/>
    </w:p>
    <w:p w:rsidR="009E2A77" w:rsidRDefault="009E2A77" w:rsidP="005A1F20">
      <w:pPr>
        <w:pStyle w:val="Heading2"/>
      </w:pPr>
      <w:r w:rsidRPr="005A1F20">
        <w:t>Uvod</w:t>
      </w:r>
      <w:bookmarkStart w:id="1" w:name="_GoBack"/>
      <w:bookmarkEnd w:id="1"/>
    </w:p>
    <w:p w:rsidR="005A1F20" w:rsidRPr="005A1F20" w:rsidRDefault="005A1F20" w:rsidP="005A1F20"/>
    <w:p w:rsidR="00045B4B" w:rsidRPr="00ED3700" w:rsidRDefault="00045B4B" w:rsidP="00045B4B">
      <w:pPr>
        <w:jc w:val="both"/>
        <w:rPr>
          <w:rFonts w:asciiTheme="majorHAnsi" w:hAnsiTheme="majorHAnsi" w:cs="Times New Roman"/>
          <w:sz w:val="24"/>
          <w:szCs w:val="24"/>
        </w:rPr>
      </w:pPr>
      <w:r w:rsidRPr="00ED3700">
        <w:rPr>
          <w:rFonts w:asciiTheme="majorHAnsi" w:hAnsiTheme="majorHAnsi" w:cs="Times New Roman"/>
          <w:sz w:val="24"/>
          <w:szCs w:val="24"/>
        </w:rPr>
        <w:t xml:space="preserve">Od Sorbonske deklaracije (1998.), preko Praškog (2001.), Berlinskog (2003.), </w:t>
      </w:r>
      <w:proofErr w:type="spellStart"/>
      <w:r w:rsidRPr="00ED3700">
        <w:rPr>
          <w:rFonts w:asciiTheme="majorHAnsi" w:hAnsiTheme="majorHAnsi" w:cs="Times New Roman"/>
          <w:sz w:val="24"/>
          <w:szCs w:val="24"/>
        </w:rPr>
        <w:t>Bergenskog</w:t>
      </w:r>
      <w:proofErr w:type="spellEnd"/>
      <w:r w:rsidRPr="00ED3700">
        <w:rPr>
          <w:rFonts w:asciiTheme="majorHAnsi" w:hAnsiTheme="majorHAnsi" w:cs="Times New Roman"/>
          <w:sz w:val="24"/>
          <w:szCs w:val="24"/>
        </w:rPr>
        <w:t xml:space="preserve"> (2005.), Londonskog (2007.), </w:t>
      </w:r>
      <w:proofErr w:type="spellStart"/>
      <w:r w:rsidRPr="00ED3700">
        <w:rPr>
          <w:rFonts w:asciiTheme="majorHAnsi" w:hAnsiTheme="majorHAnsi" w:cs="Times New Roman"/>
          <w:sz w:val="24"/>
          <w:szCs w:val="24"/>
        </w:rPr>
        <w:t>Leuvenskog</w:t>
      </w:r>
      <w:proofErr w:type="spellEnd"/>
      <w:r w:rsidRPr="00ED3700">
        <w:rPr>
          <w:rFonts w:asciiTheme="majorHAnsi" w:hAnsiTheme="majorHAnsi" w:cs="Times New Roman"/>
          <w:sz w:val="24"/>
          <w:szCs w:val="24"/>
        </w:rPr>
        <w:t xml:space="preserve"> (2009.) priopćenja, Budimpeštansko-Bečke deklaracije (2010.), Bukureškog (2012.) priopćenja pa do Erevanskog (2015.) ističe se važnost socijalne dimenzije u visokom obrazovanju što proizlazi iz </w:t>
      </w:r>
      <w:r w:rsidR="004272DD" w:rsidRPr="00ED3700">
        <w:rPr>
          <w:rFonts w:asciiTheme="majorHAnsi" w:hAnsiTheme="majorHAnsi" w:cs="Times New Roman"/>
          <w:sz w:val="24"/>
          <w:szCs w:val="24"/>
        </w:rPr>
        <w:t>shvaćanja</w:t>
      </w:r>
      <w:r w:rsidRPr="00ED3700">
        <w:rPr>
          <w:rFonts w:asciiTheme="majorHAnsi" w:hAnsiTheme="majorHAnsi" w:cs="Times New Roman"/>
          <w:sz w:val="24"/>
          <w:szCs w:val="24"/>
        </w:rPr>
        <w:t xml:space="preserve"> visokog obrazovanja kao javnog dobra koje treba biti </w:t>
      </w:r>
      <w:proofErr w:type="spellStart"/>
      <w:r w:rsidRPr="00ED3700">
        <w:rPr>
          <w:rFonts w:asciiTheme="majorHAnsi" w:hAnsiTheme="majorHAnsi" w:cs="Times New Roman"/>
          <w:sz w:val="24"/>
          <w:szCs w:val="24"/>
        </w:rPr>
        <w:t>priuštivo</w:t>
      </w:r>
      <w:proofErr w:type="spellEnd"/>
      <w:r w:rsidRPr="00ED3700">
        <w:rPr>
          <w:rFonts w:asciiTheme="majorHAnsi" w:hAnsiTheme="majorHAnsi" w:cs="Times New Roman"/>
          <w:sz w:val="24"/>
          <w:szCs w:val="24"/>
        </w:rPr>
        <w:t xml:space="preserve"> svima, neovisno o </w:t>
      </w:r>
      <w:proofErr w:type="spellStart"/>
      <w:r w:rsidRPr="00ED3700">
        <w:rPr>
          <w:rFonts w:asciiTheme="majorHAnsi" w:hAnsiTheme="majorHAnsi" w:cs="Times New Roman"/>
          <w:sz w:val="24"/>
          <w:szCs w:val="24"/>
        </w:rPr>
        <w:t>socio</w:t>
      </w:r>
      <w:proofErr w:type="spellEnd"/>
      <w:r w:rsidRPr="00ED3700">
        <w:rPr>
          <w:rFonts w:asciiTheme="majorHAnsi" w:hAnsiTheme="majorHAnsi" w:cs="Times New Roman"/>
          <w:sz w:val="24"/>
          <w:szCs w:val="24"/>
        </w:rPr>
        <w:t xml:space="preserve">-ekonomskom položaju specifičnih društvenih skupina. U sklopu Erevanskog priopćenja, ministri visokog obrazovanja zemalja koje sudjeluju u </w:t>
      </w:r>
      <w:proofErr w:type="spellStart"/>
      <w:r w:rsidRPr="00ED3700">
        <w:rPr>
          <w:rFonts w:asciiTheme="majorHAnsi" w:hAnsiTheme="majorHAnsi" w:cs="Times New Roman"/>
          <w:sz w:val="24"/>
          <w:szCs w:val="24"/>
        </w:rPr>
        <w:t>Bolonjskom</w:t>
      </w:r>
      <w:proofErr w:type="spellEnd"/>
      <w:r w:rsidRPr="00ED3700">
        <w:rPr>
          <w:rFonts w:asciiTheme="majorHAnsi" w:hAnsiTheme="majorHAnsi" w:cs="Times New Roman"/>
          <w:sz w:val="24"/>
          <w:szCs w:val="24"/>
        </w:rPr>
        <w:t xml:space="preserve"> procesu usvojili su Strategiju za razvoj socijalne dimenzije i cjeloživotno učenje u Europskom prostoru visokog obrazovanja do 2020. godine. U navedenoj Strategiji europski ministri visokog obrazovanja obvezali su se na razvoj učinkovitih javnih politika s ciljem osiguravanja većeg pristupa kvalitetnom visokom obrazovanju, poglavito za studente iz podzastupljenih i socijalno ranjivih skupina. Ujedno su se složili donijeti nacionalne planove ili strategije u kojima bi se prepoznale različite podzastupljene i ranjive skupine studenata te donijele specifične mjere i aktivnosti za poboljšanje pristupa, uspješno studiranje i završavanje studija.</w:t>
      </w:r>
      <w:r w:rsidR="00E53D63">
        <w:rPr>
          <w:rFonts w:asciiTheme="majorHAnsi" w:hAnsiTheme="majorHAnsi" w:cs="Times New Roman"/>
          <w:sz w:val="24"/>
          <w:szCs w:val="24"/>
        </w:rPr>
        <w:t xml:space="preserve"> Ovaj je dokument doprinos tim ciljevima u hrvatskom kontekstu. </w:t>
      </w:r>
    </w:p>
    <w:p w:rsidR="00045B4B" w:rsidRPr="00ED3700" w:rsidRDefault="00045B4B" w:rsidP="00045B4B">
      <w:pPr>
        <w:jc w:val="both"/>
        <w:rPr>
          <w:rFonts w:asciiTheme="majorHAnsi" w:hAnsiTheme="majorHAnsi" w:cs="Times New Roman"/>
          <w:sz w:val="24"/>
          <w:szCs w:val="24"/>
        </w:rPr>
      </w:pPr>
    </w:p>
    <w:p w:rsidR="00897A38" w:rsidRPr="00897A38" w:rsidRDefault="00045B4B" w:rsidP="00897A38">
      <w:pPr>
        <w:pStyle w:val="FootnoteText"/>
        <w:rPr>
          <w:rFonts w:asciiTheme="majorHAnsi" w:hAnsiTheme="majorHAnsi" w:cs="Times New Roman"/>
        </w:rPr>
      </w:pPr>
      <w:r w:rsidRPr="00ED3700">
        <w:rPr>
          <w:rFonts w:asciiTheme="majorHAnsi" w:hAnsiTheme="majorHAnsi" w:cs="Times New Roman"/>
          <w:sz w:val="24"/>
          <w:szCs w:val="24"/>
        </w:rPr>
        <w:t xml:space="preserve">Iako je socijalna dimenzija područje javnih politika koje je značajnim dijelom vezano uz </w:t>
      </w:r>
      <w:proofErr w:type="spellStart"/>
      <w:r w:rsidRPr="00ED3700">
        <w:rPr>
          <w:rFonts w:asciiTheme="majorHAnsi" w:hAnsiTheme="majorHAnsi" w:cs="Times New Roman"/>
          <w:sz w:val="24"/>
          <w:szCs w:val="24"/>
        </w:rPr>
        <w:t>Bolonjski</w:t>
      </w:r>
      <w:proofErr w:type="spellEnd"/>
      <w:r w:rsidRPr="00ED3700">
        <w:rPr>
          <w:rFonts w:asciiTheme="majorHAnsi" w:hAnsiTheme="majorHAnsi" w:cs="Times New Roman"/>
          <w:sz w:val="24"/>
          <w:szCs w:val="24"/>
        </w:rPr>
        <w:t xml:space="preserve"> proces, i drugi strateški dokumenti naglašavaju važnost kvalitetnog i relevantnog visokog obrazovanja, </w:t>
      </w:r>
      <w:r w:rsidR="00C1486F" w:rsidRPr="00ED3700">
        <w:rPr>
          <w:rFonts w:asciiTheme="majorHAnsi" w:hAnsiTheme="majorHAnsi" w:cs="Times New Roman"/>
          <w:sz w:val="24"/>
          <w:szCs w:val="24"/>
        </w:rPr>
        <w:t xml:space="preserve">koje je </w:t>
      </w:r>
      <w:r w:rsidRPr="00ED3700">
        <w:rPr>
          <w:rFonts w:asciiTheme="majorHAnsi" w:hAnsiTheme="majorHAnsi" w:cs="Times New Roman"/>
          <w:sz w:val="24"/>
          <w:szCs w:val="24"/>
        </w:rPr>
        <w:t xml:space="preserve">pravedno i </w:t>
      </w:r>
      <w:proofErr w:type="spellStart"/>
      <w:r w:rsidRPr="00ED3700">
        <w:rPr>
          <w:rFonts w:asciiTheme="majorHAnsi" w:hAnsiTheme="majorHAnsi" w:cs="Times New Roman"/>
          <w:sz w:val="24"/>
          <w:szCs w:val="24"/>
        </w:rPr>
        <w:t>priuštivo</w:t>
      </w:r>
      <w:proofErr w:type="spellEnd"/>
      <w:r w:rsidRPr="00ED3700">
        <w:rPr>
          <w:rFonts w:asciiTheme="majorHAnsi" w:hAnsiTheme="majorHAnsi" w:cs="Times New Roman"/>
          <w:sz w:val="24"/>
          <w:szCs w:val="24"/>
        </w:rPr>
        <w:t xml:space="preserve"> sv</w:t>
      </w:r>
      <w:r w:rsidR="00C1486F" w:rsidRPr="00ED3700">
        <w:rPr>
          <w:rFonts w:asciiTheme="majorHAnsi" w:hAnsiTheme="majorHAnsi" w:cs="Times New Roman"/>
          <w:sz w:val="24"/>
          <w:szCs w:val="24"/>
        </w:rPr>
        <w:t>ima uz jednake šanse, kao ključ</w:t>
      </w:r>
      <w:r w:rsidRPr="00ED3700">
        <w:rPr>
          <w:rFonts w:asciiTheme="majorHAnsi" w:hAnsiTheme="majorHAnsi" w:cs="Times New Roman"/>
          <w:sz w:val="24"/>
          <w:szCs w:val="24"/>
        </w:rPr>
        <w:t xml:space="preserve"> za smanjenje socijalnih nejednakosti</w:t>
      </w:r>
      <w:r w:rsidR="00C1486F" w:rsidRPr="00ED3700">
        <w:rPr>
          <w:rFonts w:asciiTheme="majorHAnsi" w:hAnsiTheme="majorHAnsi" w:cs="Times New Roman"/>
          <w:sz w:val="24"/>
          <w:szCs w:val="24"/>
        </w:rPr>
        <w:t>. N</w:t>
      </w:r>
      <w:r w:rsidR="00532322" w:rsidRPr="00ED3700">
        <w:rPr>
          <w:rFonts w:asciiTheme="majorHAnsi" w:hAnsiTheme="majorHAnsi" w:cs="Times New Roman"/>
          <w:sz w:val="24"/>
          <w:szCs w:val="24"/>
        </w:rPr>
        <w:t>astavno na strateške odrednice Europe 2020 i ostvarenje cilja od 40% populacije u dobi 30-34 godina sa završenim tercijarnim obrazovanjem,</w:t>
      </w:r>
      <w:r w:rsidR="00C1486F" w:rsidRPr="00ED3700">
        <w:rPr>
          <w:rFonts w:asciiTheme="majorHAnsi" w:hAnsiTheme="majorHAnsi" w:cs="Times New Roman"/>
          <w:sz w:val="24"/>
          <w:szCs w:val="24"/>
        </w:rPr>
        <w:t xml:space="preserve"> </w:t>
      </w:r>
      <w:r w:rsidR="00532322" w:rsidRPr="00ED3700">
        <w:rPr>
          <w:rFonts w:asciiTheme="majorHAnsi" w:hAnsiTheme="majorHAnsi" w:cs="Times New Roman"/>
          <w:sz w:val="24"/>
          <w:szCs w:val="24"/>
        </w:rPr>
        <w:t>Paket</w:t>
      </w:r>
      <w:r w:rsidR="00C1486F" w:rsidRPr="00ED3700">
        <w:rPr>
          <w:rFonts w:asciiTheme="majorHAnsi" w:hAnsiTheme="majorHAnsi" w:cs="Times New Roman"/>
          <w:sz w:val="24"/>
          <w:szCs w:val="24"/>
        </w:rPr>
        <w:t>om</w:t>
      </w:r>
      <w:r w:rsidR="00532322" w:rsidRPr="00ED3700">
        <w:rPr>
          <w:rFonts w:asciiTheme="majorHAnsi" w:hAnsiTheme="majorHAnsi" w:cs="Times New Roman"/>
          <w:sz w:val="24"/>
          <w:szCs w:val="24"/>
        </w:rPr>
        <w:t xml:space="preserve"> socijalnih ulaganja, </w:t>
      </w:r>
      <w:r w:rsidR="00D45010" w:rsidRPr="00ED3700">
        <w:rPr>
          <w:rFonts w:asciiTheme="majorHAnsi" w:hAnsiTheme="majorHAnsi" w:cs="Times New Roman"/>
          <w:sz w:val="24"/>
          <w:szCs w:val="24"/>
        </w:rPr>
        <w:t xml:space="preserve">koji je </w:t>
      </w:r>
      <w:r w:rsidR="00532322" w:rsidRPr="00ED3700">
        <w:rPr>
          <w:rFonts w:asciiTheme="majorHAnsi" w:hAnsiTheme="majorHAnsi" w:cs="Times New Roman"/>
          <w:sz w:val="24"/>
          <w:szCs w:val="24"/>
        </w:rPr>
        <w:t xml:space="preserve">donesen u ožujku 2013. </w:t>
      </w:r>
      <w:r w:rsidR="00D45010" w:rsidRPr="00ED3700">
        <w:rPr>
          <w:rFonts w:asciiTheme="majorHAnsi" w:hAnsiTheme="majorHAnsi" w:cs="Times New Roman"/>
          <w:sz w:val="24"/>
          <w:szCs w:val="24"/>
        </w:rPr>
        <w:t>g</w:t>
      </w:r>
      <w:r w:rsidR="00532322" w:rsidRPr="00ED3700">
        <w:rPr>
          <w:rFonts w:asciiTheme="majorHAnsi" w:hAnsiTheme="majorHAnsi" w:cs="Times New Roman"/>
          <w:sz w:val="24"/>
          <w:szCs w:val="24"/>
        </w:rPr>
        <w:t>odine</w:t>
      </w:r>
      <w:r w:rsidR="00D45010" w:rsidRPr="00ED3700">
        <w:rPr>
          <w:rFonts w:asciiTheme="majorHAnsi" w:hAnsiTheme="majorHAnsi" w:cs="Times New Roman"/>
          <w:sz w:val="24"/>
          <w:szCs w:val="24"/>
        </w:rPr>
        <w:t>,</w:t>
      </w:r>
      <w:r w:rsidR="00532322" w:rsidRPr="00ED3700">
        <w:rPr>
          <w:rFonts w:asciiTheme="majorHAnsi" w:hAnsiTheme="majorHAnsi" w:cs="Times New Roman"/>
          <w:sz w:val="24"/>
          <w:szCs w:val="24"/>
        </w:rPr>
        <w:t xml:space="preserve"> želi </w:t>
      </w:r>
      <w:r w:rsidR="00C1486F" w:rsidRPr="00ED3700">
        <w:rPr>
          <w:rFonts w:asciiTheme="majorHAnsi" w:hAnsiTheme="majorHAnsi" w:cs="Times New Roman"/>
          <w:sz w:val="24"/>
          <w:szCs w:val="24"/>
        </w:rPr>
        <w:t xml:space="preserve">se </w:t>
      </w:r>
      <w:r w:rsidR="00532322" w:rsidRPr="00ED3700">
        <w:rPr>
          <w:rFonts w:asciiTheme="majorHAnsi" w:hAnsiTheme="majorHAnsi" w:cs="Times New Roman"/>
          <w:sz w:val="24"/>
          <w:szCs w:val="24"/>
        </w:rPr>
        <w:t xml:space="preserve">doprinijeti </w:t>
      </w:r>
      <w:r w:rsidR="00702F8C" w:rsidRPr="00ED3700">
        <w:rPr>
          <w:rFonts w:asciiTheme="majorHAnsi" w:hAnsiTheme="majorHAnsi" w:cs="Times New Roman"/>
          <w:sz w:val="24"/>
          <w:szCs w:val="24"/>
        </w:rPr>
        <w:t>jačanju socijalne kohezije</w:t>
      </w:r>
      <w:r w:rsidR="00532322" w:rsidRPr="00ED3700">
        <w:rPr>
          <w:rFonts w:asciiTheme="majorHAnsi" w:hAnsiTheme="majorHAnsi" w:cs="Times New Roman"/>
          <w:sz w:val="24"/>
          <w:szCs w:val="24"/>
        </w:rPr>
        <w:t xml:space="preserve"> i konkurentnost</w:t>
      </w:r>
      <w:r w:rsidR="00702F8C" w:rsidRPr="00ED3700">
        <w:rPr>
          <w:rFonts w:asciiTheme="majorHAnsi" w:hAnsiTheme="majorHAnsi" w:cs="Times New Roman"/>
          <w:sz w:val="24"/>
          <w:szCs w:val="24"/>
        </w:rPr>
        <w:t>i</w:t>
      </w:r>
      <w:r w:rsidR="00532322" w:rsidRPr="00ED3700">
        <w:rPr>
          <w:rFonts w:asciiTheme="majorHAnsi" w:hAnsiTheme="majorHAnsi" w:cs="Times New Roman"/>
          <w:sz w:val="24"/>
          <w:szCs w:val="24"/>
        </w:rPr>
        <w:t xml:space="preserve">, uz naglasak na strategije obrazovanja, zdravstva i socijalnih usluga s ulaganjem posebno u mlade koji dolaze iz nepovoljnih </w:t>
      </w:r>
      <w:proofErr w:type="spellStart"/>
      <w:r w:rsidR="00532322" w:rsidRPr="00ED3700">
        <w:rPr>
          <w:rFonts w:asciiTheme="majorHAnsi" w:hAnsiTheme="majorHAnsi" w:cs="Times New Roman"/>
          <w:sz w:val="24"/>
          <w:szCs w:val="24"/>
        </w:rPr>
        <w:t>socio</w:t>
      </w:r>
      <w:proofErr w:type="spellEnd"/>
      <w:r w:rsidR="00532322" w:rsidRPr="00ED3700">
        <w:rPr>
          <w:rFonts w:asciiTheme="majorHAnsi" w:hAnsiTheme="majorHAnsi" w:cs="Times New Roman"/>
          <w:sz w:val="24"/>
          <w:szCs w:val="24"/>
        </w:rPr>
        <w:t>-ekonomskih prilika.</w:t>
      </w:r>
      <w:r w:rsidR="00D55B70" w:rsidRPr="00ED3700">
        <w:rPr>
          <w:rFonts w:asciiTheme="majorHAnsi" w:hAnsiTheme="majorHAnsi" w:cs="Times New Roman"/>
          <w:sz w:val="24"/>
          <w:szCs w:val="24"/>
        </w:rPr>
        <w:t xml:space="preserve"> </w:t>
      </w:r>
      <w:r w:rsidR="00897A38" w:rsidRPr="00897A38">
        <w:rPr>
          <w:rFonts w:asciiTheme="majorHAnsi" w:hAnsiTheme="majorHAnsi" w:cs="Times New Roman"/>
        </w:rPr>
        <w:t xml:space="preserve">*Europska komisija (2013). Prema socijalnom ulaganju za rast i koheziju – uključujući i provedbu Europskog socijalnog fonda za razdoblje 2014. – 2020. Prijevod. Revija za socijalnu politiku, 20 (2), 167-190.  </w:t>
      </w:r>
    </w:p>
    <w:p w:rsidR="00677B10" w:rsidRPr="00ED3700" w:rsidRDefault="00677B10" w:rsidP="00631922">
      <w:pPr>
        <w:jc w:val="both"/>
        <w:rPr>
          <w:rFonts w:asciiTheme="majorHAnsi" w:hAnsiTheme="majorHAnsi" w:cs="Times New Roman"/>
          <w:sz w:val="24"/>
          <w:szCs w:val="24"/>
        </w:rPr>
      </w:pPr>
    </w:p>
    <w:p w:rsidR="00677B10" w:rsidRPr="00ED3700" w:rsidRDefault="00677B10" w:rsidP="00631922">
      <w:pPr>
        <w:jc w:val="both"/>
        <w:rPr>
          <w:rFonts w:asciiTheme="majorHAnsi" w:hAnsiTheme="majorHAnsi" w:cs="Times New Roman"/>
          <w:sz w:val="24"/>
          <w:szCs w:val="24"/>
        </w:rPr>
      </w:pPr>
    </w:p>
    <w:p w:rsidR="00631922" w:rsidRPr="00897A38" w:rsidRDefault="00532322" w:rsidP="00631922">
      <w:pPr>
        <w:jc w:val="both"/>
        <w:rPr>
          <w:rFonts w:asciiTheme="majorHAnsi" w:hAnsiTheme="majorHAnsi" w:cs="Times New Roman"/>
          <w:sz w:val="20"/>
          <w:szCs w:val="20"/>
        </w:rPr>
      </w:pPr>
      <w:r w:rsidRPr="00ED3700">
        <w:rPr>
          <w:rFonts w:asciiTheme="majorHAnsi" w:hAnsiTheme="majorHAnsi" w:cs="Times New Roman"/>
          <w:sz w:val="24"/>
          <w:szCs w:val="24"/>
        </w:rPr>
        <w:t xml:space="preserve">Polazeći od europskog strateškog konteksta u kojemu se razvijaju nacionalne politike visokog obrazovanja, dostupnost, pristupačnost i </w:t>
      </w:r>
      <w:proofErr w:type="spellStart"/>
      <w:r w:rsidRPr="00ED3700">
        <w:rPr>
          <w:rFonts w:asciiTheme="majorHAnsi" w:hAnsiTheme="majorHAnsi" w:cs="Times New Roman"/>
          <w:sz w:val="24"/>
          <w:szCs w:val="24"/>
        </w:rPr>
        <w:t>priuštivost</w:t>
      </w:r>
      <w:proofErr w:type="spellEnd"/>
      <w:r w:rsidRPr="00ED3700">
        <w:rPr>
          <w:rFonts w:asciiTheme="majorHAnsi" w:hAnsiTheme="majorHAnsi" w:cs="Times New Roman"/>
          <w:sz w:val="24"/>
          <w:szCs w:val="24"/>
        </w:rPr>
        <w:t xml:space="preserve"> visokog obrazovanja postala su strateška obilježja recentnih hrvatskih strateško-programskih dokumenata koja svoj konačni izričaj dobivaju u prvoj sveobuhvatnoj nacionalnoj strategiji obrazovanja, Strategiji obrazovanja, znanosti i tehnologije Republike Hrvatske (2014).  </w:t>
      </w:r>
      <w:r w:rsidR="00631922" w:rsidRPr="00ED3700">
        <w:rPr>
          <w:rFonts w:asciiTheme="majorHAnsi" w:hAnsiTheme="majorHAnsi" w:cs="Times New Roman"/>
          <w:sz w:val="24"/>
          <w:szCs w:val="24"/>
        </w:rPr>
        <w:t>Među glavnim strateškim ciljevima Strategije u dijelu koji se odnosi na visoko obrazovanje, navodi se „dostupnost visokog obrazovanja svima u skladu s osobnim sposobnostima“, dok je „uključivanje podzastupljenih skupina u sustav visokog obrazovanja jedan od prioriteta razvoja hrvatskog obrazovanja“.</w:t>
      </w:r>
      <w:r w:rsidR="00897A38">
        <w:rPr>
          <w:rFonts w:asciiTheme="majorHAnsi" w:hAnsiTheme="majorHAnsi" w:cs="Times New Roman"/>
          <w:sz w:val="24"/>
          <w:szCs w:val="24"/>
        </w:rPr>
        <w:t xml:space="preserve"> </w:t>
      </w:r>
      <w:r w:rsidR="00897A38" w:rsidRPr="00897A38">
        <w:rPr>
          <w:rFonts w:asciiTheme="majorHAnsi" w:hAnsiTheme="majorHAnsi" w:cs="Times New Roman"/>
          <w:sz w:val="20"/>
          <w:szCs w:val="20"/>
        </w:rPr>
        <w:t xml:space="preserve">*Cilj 6. Unaprijediti studentski standard uz posebnu skrb za socijalnu dimenziju studiranja </w:t>
      </w:r>
      <w:hyperlink r:id="rId8" w:history="1">
        <w:r w:rsidR="00897A38" w:rsidRPr="00897A38">
          <w:rPr>
            <w:rStyle w:val="Hyperlink"/>
            <w:rFonts w:asciiTheme="majorHAnsi" w:hAnsiTheme="majorHAnsi" w:cs="Times New Roman"/>
            <w:sz w:val="20"/>
            <w:szCs w:val="20"/>
          </w:rPr>
          <w:t>http://www.novebojeznanja.hr/strategija/visoko-obrazovanje/12</w:t>
        </w:r>
      </w:hyperlink>
    </w:p>
    <w:p w:rsidR="00532322" w:rsidRPr="00ED3700" w:rsidRDefault="00532322" w:rsidP="00532322">
      <w:pPr>
        <w:jc w:val="both"/>
        <w:rPr>
          <w:rFonts w:asciiTheme="majorHAnsi" w:hAnsiTheme="majorHAnsi" w:cs="Times New Roman"/>
          <w:sz w:val="24"/>
          <w:szCs w:val="24"/>
        </w:rPr>
      </w:pPr>
    </w:p>
    <w:p w:rsidR="00532322" w:rsidRPr="00ED3700" w:rsidRDefault="00315031" w:rsidP="00532322">
      <w:pPr>
        <w:jc w:val="both"/>
        <w:rPr>
          <w:rFonts w:asciiTheme="majorHAnsi" w:hAnsiTheme="majorHAnsi" w:cs="Times New Roman"/>
          <w:sz w:val="24"/>
          <w:szCs w:val="24"/>
        </w:rPr>
      </w:pPr>
      <w:r w:rsidRPr="00ED3700">
        <w:rPr>
          <w:rFonts w:asciiTheme="majorHAnsi" w:hAnsiTheme="majorHAnsi" w:cs="Times New Roman"/>
          <w:sz w:val="24"/>
          <w:szCs w:val="24"/>
        </w:rPr>
        <w:lastRenderedPageBreak/>
        <w:t xml:space="preserve">Socijalna dimenzija </w:t>
      </w:r>
      <w:r w:rsidR="000F3A53" w:rsidRPr="00ED3700">
        <w:rPr>
          <w:rFonts w:asciiTheme="majorHAnsi" w:hAnsiTheme="majorHAnsi" w:cs="Times New Roman"/>
          <w:sz w:val="24"/>
          <w:szCs w:val="24"/>
        </w:rPr>
        <w:t xml:space="preserve">svoj </w:t>
      </w:r>
      <w:r w:rsidRPr="00ED3700">
        <w:rPr>
          <w:rFonts w:asciiTheme="majorHAnsi" w:hAnsiTheme="majorHAnsi" w:cs="Times New Roman"/>
          <w:sz w:val="24"/>
          <w:szCs w:val="24"/>
        </w:rPr>
        <w:t>izričaj u hrvatskom sustavu</w:t>
      </w:r>
      <w:r w:rsidR="00034C55">
        <w:rPr>
          <w:rFonts w:asciiTheme="majorHAnsi" w:hAnsiTheme="majorHAnsi" w:cs="Times New Roman"/>
          <w:sz w:val="24"/>
          <w:szCs w:val="24"/>
        </w:rPr>
        <w:t xml:space="preserve"> visokog obrazovanja</w:t>
      </w:r>
      <w:r w:rsidRPr="00ED3700">
        <w:rPr>
          <w:rFonts w:asciiTheme="majorHAnsi" w:hAnsiTheme="majorHAnsi" w:cs="Times New Roman"/>
          <w:sz w:val="24"/>
          <w:szCs w:val="24"/>
        </w:rPr>
        <w:t xml:space="preserve"> </w:t>
      </w:r>
      <w:r w:rsidR="000F3A53" w:rsidRPr="00ED3700">
        <w:rPr>
          <w:rFonts w:asciiTheme="majorHAnsi" w:hAnsiTheme="majorHAnsi" w:cs="Times New Roman"/>
          <w:sz w:val="24"/>
          <w:szCs w:val="24"/>
        </w:rPr>
        <w:t>dobiv</w:t>
      </w:r>
      <w:r w:rsidR="0032488A" w:rsidRPr="00ED3700">
        <w:rPr>
          <w:rFonts w:asciiTheme="majorHAnsi" w:hAnsiTheme="majorHAnsi" w:cs="Times New Roman"/>
          <w:sz w:val="24"/>
          <w:szCs w:val="24"/>
        </w:rPr>
        <w:t>a putem nekoliko važnih mjera</w:t>
      </w:r>
      <w:r w:rsidR="00C2014F" w:rsidRPr="00ED3700">
        <w:rPr>
          <w:rFonts w:asciiTheme="majorHAnsi" w:hAnsiTheme="majorHAnsi" w:cs="Times New Roman"/>
          <w:sz w:val="24"/>
          <w:szCs w:val="24"/>
        </w:rPr>
        <w:t xml:space="preserve"> primarno vezanih za financiranje visokih učilišta i sustavom stipendiranja</w:t>
      </w:r>
      <w:r w:rsidR="0032488A" w:rsidRPr="00ED3700">
        <w:rPr>
          <w:rFonts w:asciiTheme="majorHAnsi" w:hAnsiTheme="majorHAnsi" w:cs="Times New Roman"/>
          <w:sz w:val="24"/>
          <w:szCs w:val="24"/>
        </w:rPr>
        <w:t xml:space="preserve">. </w:t>
      </w:r>
      <w:r w:rsidR="002443B5" w:rsidRPr="00ED3700">
        <w:rPr>
          <w:rFonts w:asciiTheme="majorHAnsi" w:hAnsiTheme="majorHAnsi" w:cs="Times New Roman"/>
          <w:sz w:val="24"/>
          <w:szCs w:val="24"/>
        </w:rPr>
        <w:t>Što se tiče financiranja, s</w:t>
      </w:r>
      <w:r w:rsidR="00532322" w:rsidRPr="00ED3700">
        <w:rPr>
          <w:rFonts w:asciiTheme="majorHAnsi" w:hAnsiTheme="majorHAnsi" w:cs="Times New Roman"/>
          <w:sz w:val="24"/>
          <w:szCs w:val="24"/>
        </w:rPr>
        <w:t xml:space="preserve"> ciljem obuhvaćanja što većeg broja studenata novim modelom subvencija školarina te usmjeravanja financiranja temeljenog na rezultatima u ostvarenju dogovorenih strateških i programskih ciljeva, 2012. godine je pokrenut novi model trogodišnjeg programskog financiranja u visokom obrazovanju. Među strateškim ciljevima pilot programskih ugovora sklopljenih između javnih sveučilišta, veleučilišta i visokih škola s jedne strane i Ministarstva znanosti, obrazovanja i sporta s druge strane, za trogodišnje razdoblje, od akademske godine 2012./2013. do 2015./2016., tri od </w:t>
      </w:r>
      <w:r w:rsidR="007A6E1D" w:rsidRPr="00ED3700">
        <w:rPr>
          <w:rFonts w:asciiTheme="majorHAnsi" w:hAnsiTheme="majorHAnsi" w:cs="Times New Roman"/>
          <w:sz w:val="24"/>
          <w:szCs w:val="24"/>
        </w:rPr>
        <w:t>pet dogovorena opća cilja sadržavala su</w:t>
      </w:r>
      <w:r w:rsidR="00532322" w:rsidRPr="00ED3700">
        <w:rPr>
          <w:rFonts w:asciiTheme="majorHAnsi" w:hAnsiTheme="majorHAnsi" w:cs="Times New Roman"/>
          <w:sz w:val="24"/>
          <w:szCs w:val="24"/>
        </w:rPr>
        <w:t xml:space="preserve"> socijalnu dimenziju visokog obrazovanja: 1. Stjecanje kvalifikacija u razdoblju predviđenom studijskim programom; 2. Olakšanje pristupa studiju i potpora pri studiju za studente slabijeg socijalno-ekonomskog statusa i studente s invaliditetom; 3. Olakšanje pristupa i osiguravanje kvalitete studija za studente starije od 25 godina. Analiza provedbe pilot programskih ugovora pokazala je da su prvi opći cilj odabrala četiri od sedam javnih sveučilišta te devet od četrnaest javnih veleučilišta, odnosno visokih škola, drugi opći cilj odabrala su četiri od sedam javnih sveučilišta te četiri od četrnaest javnih veleučilišta, odnosno visokih škola i treći od navedenih općih ciljeva odabrala su četiri od sedam javnih sveučilišta i dva od četrnaest javnih veleučilišta, odnosno visokih škola. </w:t>
      </w:r>
    </w:p>
    <w:p w:rsidR="00532322" w:rsidRPr="00ED3700" w:rsidRDefault="00532322" w:rsidP="00532322">
      <w:pPr>
        <w:jc w:val="both"/>
        <w:rPr>
          <w:rFonts w:asciiTheme="majorHAnsi" w:hAnsiTheme="majorHAnsi" w:cs="Times New Roman"/>
          <w:sz w:val="24"/>
          <w:szCs w:val="24"/>
        </w:rPr>
      </w:pPr>
    </w:p>
    <w:p w:rsidR="00897A38" w:rsidRPr="001E4F37" w:rsidRDefault="00532322" w:rsidP="00897A38">
      <w:pPr>
        <w:jc w:val="both"/>
        <w:rPr>
          <w:rFonts w:asciiTheme="majorHAnsi" w:hAnsiTheme="majorHAnsi" w:cs="Times New Roman"/>
          <w:sz w:val="20"/>
          <w:szCs w:val="20"/>
        </w:rPr>
      </w:pPr>
      <w:r w:rsidRPr="00ED3700">
        <w:rPr>
          <w:rFonts w:asciiTheme="majorHAnsi" w:hAnsiTheme="majorHAnsi" w:cs="Times New Roman"/>
          <w:sz w:val="24"/>
          <w:szCs w:val="24"/>
        </w:rPr>
        <w:t>Daljnjim izmjenama politike financiranja subvencija školarina redovitih studenata osigurava se kontinuitet i dodatno potiče osjetljivost prema socijalnoj dimenziji visokog obrazovanja u trogodišnjem razdoblju koje slijedi nakon završetka provedbe pilot programskih ugovora. U ugovorima  o  sufinanciranju troškova studiranja redovitih studenata i materijalnih troškova  u akademskim godinama 2015./2016., 2016./2017. i 2017./2018 koja su sklopila javna sveučilišta, veleučilišta i visoke škole s Ministarstvom znanosti, obrazovanja i sporta, dva od tri strateška cilja sadrže socijalnu dimenziju visokog obrazovanja: 1. Osiguravanje jednakog pristupa visokom obrazovanju svim redovitim studentima u Republici Hrvatskoj; 2. Poticanje završnosti visokog obrazovanja.</w:t>
      </w:r>
      <w:r w:rsidR="00B0243A" w:rsidRPr="00ED3700">
        <w:rPr>
          <w:rFonts w:asciiTheme="majorHAnsi" w:hAnsiTheme="majorHAnsi" w:cs="Times New Roman"/>
          <w:sz w:val="24"/>
          <w:szCs w:val="24"/>
        </w:rPr>
        <w:t xml:space="preserve"> </w:t>
      </w:r>
      <w:r w:rsidR="00897A38" w:rsidRPr="00897A38">
        <w:rPr>
          <w:rFonts w:asciiTheme="majorHAnsi" w:hAnsiTheme="majorHAnsi" w:cs="Times New Roman"/>
          <w:sz w:val="20"/>
          <w:szCs w:val="20"/>
        </w:rPr>
        <w:t>*</w:t>
      </w:r>
      <w:r w:rsidR="00897A38" w:rsidRPr="001E4F37">
        <w:rPr>
          <w:rFonts w:asciiTheme="majorHAnsi" w:hAnsiTheme="majorHAnsi" w:cs="Times New Roman"/>
          <w:sz w:val="20"/>
          <w:szCs w:val="20"/>
        </w:rPr>
        <w:t xml:space="preserve">Sukladno Odluci Vlade Republike Hrvatske o uvjetima, kriterijima i načinu subvencioniranja participacije redovitih studenata u troškovima studija i sufinanciranje materijalnih troškova javnim visokim učilištima u Republici Hrvatskoj u akademskim godinama 2015./2016., 2016./2017. i 2017./2018.  </w:t>
      </w:r>
      <w:hyperlink r:id="rId9" w:history="1">
        <w:r w:rsidR="00897A38" w:rsidRPr="001E4F37">
          <w:rPr>
            <w:rStyle w:val="Hyperlink"/>
            <w:rFonts w:asciiTheme="majorHAnsi" w:hAnsiTheme="majorHAnsi" w:cs="Times New Roman"/>
            <w:sz w:val="20"/>
            <w:szCs w:val="20"/>
          </w:rPr>
          <w:t>https://vlada.gov.hr/UserDocsImages/Sjednice/2015/238%20sjednica%20Vlade/238%20-%204.pdf</w:t>
        </w:r>
      </w:hyperlink>
      <w:r w:rsidR="00897A38" w:rsidRPr="001E4F37">
        <w:rPr>
          <w:rFonts w:asciiTheme="majorHAnsi" w:hAnsiTheme="majorHAnsi" w:cs="Times New Roman"/>
          <w:sz w:val="20"/>
          <w:szCs w:val="20"/>
        </w:rPr>
        <w:t xml:space="preserve"> Indikator je definiran kao Udio doznačenih sredstava utrošenih na aktivnosti za ostvarenje cilja u odnosu na doznačena sredstva prema Ugovoru, te je u ugovorima navedeno da aktivnosti za provedbu mjera moraju biti izravno usmjerene na studente s otežanim pristupom studiju. Ako su aktivnosti neizravne, njihov trošak ne ulazi u izračun ciljane vrijednosti indikatora. Također, Ministarstvo je izdalo preporuku da navedeni indikatori ne budu manji od 1% za studente slabijeg socijalno-ekonomskog statusa, niti manji od 0,5% za studente sa invaliditetom. Sukladno definiranim indikatorima iznos koji visoka učilišta godišnje troše na aktivnosti za studente slabijeg socijalno-ekonomskog statusa je 8,2 </w:t>
      </w:r>
      <w:proofErr w:type="spellStart"/>
      <w:r w:rsidR="00897A38" w:rsidRPr="001E4F37">
        <w:rPr>
          <w:rFonts w:asciiTheme="majorHAnsi" w:hAnsiTheme="majorHAnsi" w:cs="Times New Roman"/>
          <w:sz w:val="20"/>
          <w:szCs w:val="20"/>
        </w:rPr>
        <w:t>mil</w:t>
      </w:r>
      <w:proofErr w:type="spellEnd"/>
      <w:r w:rsidR="00897A38" w:rsidRPr="001E4F37">
        <w:rPr>
          <w:rFonts w:asciiTheme="majorHAnsi" w:hAnsiTheme="majorHAnsi" w:cs="Times New Roman"/>
          <w:sz w:val="20"/>
          <w:szCs w:val="20"/>
        </w:rPr>
        <w:t xml:space="preserve"> kn, a na aktivnosti za studente s invaliditetom 2,8 </w:t>
      </w:r>
      <w:proofErr w:type="spellStart"/>
      <w:r w:rsidR="00897A38" w:rsidRPr="001E4F37">
        <w:rPr>
          <w:rFonts w:asciiTheme="majorHAnsi" w:hAnsiTheme="majorHAnsi" w:cs="Times New Roman"/>
          <w:sz w:val="20"/>
          <w:szCs w:val="20"/>
        </w:rPr>
        <w:t>mil</w:t>
      </w:r>
      <w:proofErr w:type="spellEnd"/>
      <w:r w:rsidR="00897A38" w:rsidRPr="001E4F37">
        <w:rPr>
          <w:rFonts w:asciiTheme="majorHAnsi" w:hAnsiTheme="majorHAnsi" w:cs="Times New Roman"/>
          <w:sz w:val="20"/>
          <w:szCs w:val="20"/>
        </w:rPr>
        <w:t xml:space="preserve"> kn, što ukupno iznosi 11 </w:t>
      </w:r>
      <w:proofErr w:type="spellStart"/>
      <w:r w:rsidR="00897A38" w:rsidRPr="001E4F37">
        <w:rPr>
          <w:rFonts w:asciiTheme="majorHAnsi" w:hAnsiTheme="majorHAnsi" w:cs="Times New Roman"/>
          <w:sz w:val="20"/>
          <w:szCs w:val="20"/>
        </w:rPr>
        <w:t>mil</w:t>
      </w:r>
      <w:proofErr w:type="spellEnd"/>
      <w:r w:rsidR="00897A38" w:rsidRPr="001E4F37">
        <w:rPr>
          <w:rFonts w:asciiTheme="majorHAnsi" w:hAnsiTheme="majorHAnsi" w:cs="Times New Roman"/>
          <w:sz w:val="20"/>
          <w:szCs w:val="20"/>
        </w:rPr>
        <w:t xml:space="preserve"> kn od ukupnih 319 </w:t>
      </w:r>
      <w:proofErr w:type="spellStart"/>
      <w:r w:rsidR="00897A38" w:rsidRPr="001E4F37">
        <w:rPr>
          <w:rFonts w:asciiTheme="majorHAnsi" w:hAnsiTheme="majorHAnsi" w:cs="Times New Roman"/>
          <w:sz w:val="20"/>
          <w:szCs w:val="20"/>
        </w:rPr>
        <w:t>mil</w:t>
      </w:r>
      <w:proofErr w:type="spellEnd"/>
      <w:r w:rsidR="00897A38" w:rsidRPr="001E4F37">
        <w:rPr>
          <w:rFonts w:asciiTheme="majorHAnsi" w:hAnsiTheme="majorHAnsi" w:cs="Times New Roman"/>
          <w:sz w:val="20"/>
          <w:szCs w:val="20"/>
        </w:rPr>
        <w:t xml:space="preserve"> kn godišnje dodijeljenih visokim učilištima, dok je godišnji iznos utrošen za ostvarivanje istog cilja u Pilot programskim ugovorima iznosio 2,5 milijuna kuna u odnosu na ukupni iznos programa od 225 milijuna kuna. </w:t>
      </w:r>
    </w:p>
    <w:p w:rsidR="00532322" w:rsidRPr="00ED3700" w:rsidRDefault="00532322" w:rsidP="00532322">
      <w:pPr>
        <w:jc w:val="both"/>
        <w:rPr>
          <w:rFonts w:asciiTheme="majorHAnsi" w:hAnsiTheme="majorHAnsi" w:cs="Times New Roman"/>
          <w:sz w:val="24"/>
          <w:szCs w:val="24"/>
        </w:rPr>
      </w:pPr>
    </w:p>
    <w:p w:rsidR="00B77DD3" w:rsidRPr="00ED3700" w:rsidRDefault="00B77DD3" w:rsidP="00532322">
      <w:pPr>
        <w:jc w:val="both"/>
        <w:rPr>
          <w:rFonts w:asciiTheme="majorHAnsi" w:hAnsiTheme="majorHAnsi" w:cs="Times New Roman"/>
          <w:sz w:val="24"/>
          <w:szCs w:val="24"/>
        </w:rPr>
      </w:pPr>
    </w:p>
    <w:p w:rsidR="005853A6" w:rsidRDefault="00532322" w:rsidP="00532322">
      <w:pPr>
        <w:jc w:val="both"/>
        <w:rPr>
          <w:rFonts w:asciiTheme="majorHAnsi" w:hAnsiTheme="majorHAnsi" w:cs="Times New Roman"/>
          <w:sz w:val="24"/>
          <w:szCs w:val="24"/>
        </w:rPr>
      </w:pPr>
      <w:r w:rsidRPr="00206388">
        <w:rPr>
          <w:rFonts w:asciiTheme="majorHAnsi" w:hAnsiTheme="majorHAnsi" w:cs="Times New Roman"/>
          <w:sz w:val="24"/>
          <w:szCs w:val="24"/>
        </w:rPr>
        <w:t>Kako bi se povećao pristup visokom obrazovanju i stopa završnosti, komplementarno s financiranjem subvencija školarina redovitim studentima, zadnjih godina se kontinuirano radi na povećanju ulaganja u stipendiranje studenata. U Operativnom programu Učinkoviti ljudski potencijali  2014. - 2020.</w:t>
      </w:r>
      <w:r w:rsidR="00897A38" w:rsidRPr="00897A38">
        <w:rPr>
          <w:rStyle w:val="FootnoteReference"/>
          <w:rFonts w:asciiTheme="majorHAnsi" w:hAnsiTheme="majorHAnsi" w:cs="Times New Roman"/>
        </w:rPr>
        <w:t xml:space="preserve"> </w:t>
      </w:r>
      <w:r w:rsidR="00897A38" w:rsidRPr="00897A38">
        <w:rPr>
          <w:rStyle w:val="FootnoteReference"/>
          <w:rFonts w:asciiTheme="majorHAnsi" w:hAnsiTheme="majorHAnsi" w:cs="Times New Roman"/>
          <w:sz w:val="20"/>
          <w:szCs w:val="20"/>
        </w:rPr>
        <w:t>*</w:t>
      </w:r>
      <w:r w:rsidR="00897A38" w:rsidRPr="00897A38">
        <w:rPr>
          <w:rFonts w:asciiTheme="majorHAnsi" w:hAnsiTheme="majorHAnsi" w:cs="Times New Roman"/>
          <w:sz w:val="20"/>
          <w:szCs w:val="20"/>
        </w:rPr>
        <w:t xml:space="preserve">Operativni program Učinkoviti ljudski potencijali 2014. – 2020. </w:t>
      </w:r>
      <w:hyperlink r:id="rId10" w:history="1">
        <w:r w:rsidR="00897A38" w:rsidRPr="00897A38">
          <w:rPr>
            <w:rStyle w:val="Hyperlink"/>
            <w:rFonts w:asciiTheme="majorHAnsi" w:hAnsiTheme="majorHAnsi" w:cs="Times New Roman"/>
            <w:sz w:val="20"/>
            <w:szCs w:val="20"/>
          </w:rPr>
          <w:t>http://www.strukturnifondovi.hr/op-ucinkoviti-ljudski-potencijali-2014-2020-</w:t>
        </w:r>
        <w:r w:rsidR="00897A38" w:rsidRPr="00897A38">
          <w:rPr>
            <w:rStyle w:val="Hyperlink"/>
            <w:rFonts w:asciiTheme="majorHAnsi" w:hAnsiTheme="majorHAnsi" w:cs="Times New Roman"/>
            <w:sz w:val="20"/>
            <w:szCs w:val="20"/>
          </w:rPr>
          <w:lastRenderedPageBreak/>
          <w:t>780</w:t>
        </w:r>
      </w:hyperlink>
      <w:r w:rsidRPr="00206388">
        <w:rPr>
          <w:rFonts w:asciiTheme="majorHAnsi" w:hAnsiTheme="majorHAnsi" w:cs="Times New Roman"/>
          <w:sz w:val="24"/>
          <w:szCs w:val="24"/>
        </w:rPr>
        <w:t xml:space="preserve"> </w:t>
      </w:r>
      <w:r w:rsidR="006448E1" w:rsidRPr="00206388">
        <w:rPr>
          <w:rFonts w:asciiTheme="majorHAnsi" w:hAnsiTheme="majorHAnsi" w:cs="Times New Roman"/>
          <w:sz w:val="24"/>
          <w:szCs w:val="24"/>
        </w:rPr>
        <w:t>osiguran</w:t>
      </w:r>
      <w:r w:rsidR="006448E1">
        <w:rPr>
          <w:rFonts w:asciiTheme="majorHAnsi" w:hAnsiTheme="majorHAnsi" w:cs="Times New Roman"/>
          <w:sz w:val="24"/>
          <w:szCs w:val="24"/>
        </w:rPr>
        <w:t xml:space="preserve">a su sredstva za najmanje </w:t>
      </w:r>
      <w:r w:rsidRPr="00206388">
        <w:rPr>
          <w:rFonts w:asciiTheme="majorHAnsi" w:hAnsiTheme="majorHAnsi" w:cs="Times New Roman"/>
          <w:sz w:val="24"/>
          <w:szCs w:val="24"/>
        </w:rPr>
        <w:t xml:space="preserve">22.000 stipendija za studente slabijeg </w:t>
      </w:r>
      <w:proofErr w:type="spellStart"/>
      <w:r w:rsidRPr="00206388">
        <w:rPr>
          <w:rFonts w:asciiTheme="majorHAnsi" w:hAnsiTheme="majorHAnsi" w:cs="Times New Roman"/>
          <w:sz w:val="24"/>
          <w:szCs w:val="24"/>
        </w:rPr>
        <w:t>socio</w:t>
      </w:r>
      <w:proofErr w:type="spellEnd"/>
      <w:r w:rsidRPr="00206388">
        <w:rPr>
          <w:rFonts w:asciiTheme="majorHAnsi" w:hAnsiTheme="majorHAnsi" w:cs="Times New Roman"/>
          <w:sz w:val="24"/>
          <w:szCs w:val="24"/>
        </w:rPr>
        <w:t>-ekonomskog statusa i 15.000 stipendija za studente upisane</w:t>
      </w:r>
      <w:r w:rsidR="005853A6">
        <w:rPr>
          <w:rFonts w:asciiTheme="majorHAnsi" w:hAnsiTheme="majorHAnsi" w:cs="Times New Roman"/>
          <w:sz w:val="24"/>
          <w:szCs w:val="24"/>
        </w:rPr>
        <w:t xml:space="preserve"> na studijske programe</w:t>
      </w:r>
      <w:r w:rsidR="005853A6" w:rsidRPr="006448E1">
        <w:rPr>
          <w:rFonts w:asciiTheme="majorHAnsi" w:hAnsiTheme="majorHAnsi" w:cs="Times New Roman"/>
          <w:sz w:val="24"/>
          <w:szCs w:val="24"/>
        </w:rPr>
        <w:t xml:space="preserve"> u biotehničkom, tehničkom, biomedicinskom i prirodno</w:t>
      </w:r>
      <w:r w:rsidR="005853A6">
        <w:rPr>
          <w:rFonts w:asciiTheme="majorHAnsi" w:hAnsiTheme="majorHAnsi" w:cs="Times New Roman"/>
          <w:sz w:val="24"/>
          <w:szCs w:val="24"/>
        </w:rPr>
        <w:t xml:space="preserve">m području znanosti te studijske programe </w:t>
      </w:r>
      <w:r w:rsidR="005853A6" w:rsidRPr="006448E1">
        <w:rPr>
          <w:rFonts w:asciiTheme="majorHAnsi" w:hAnsiTheme="majorHAnsi" w:cs="Times New Roman"/>
          <w:sz w:val="24"/>
          <w:szCs w:val="24"/>
        </w:rPr>
        <w:t xml:space="preserve">kojima se stječe akademski odnosno stručni naziv </w:t>
      </w:r>
      <w:proofErr w:type="spellStart"/>
      <w:r w:rsidR="005853A6" w:rsidRPr="006448E1">
        <w:rPr>
          <w:rFonts w:asciiTheme="majorHAnsi" w:hAnsiTheme="majorHAnsi" w:cs="Times New Roman"/>
          <w:sz w:val="24"/>
          <w:szCs w:val="24"/>
        </w:rPr>
        <w:t>prvostupnik</w:t>
      </w:r>
      <w:proofErr w:type="spellEnd"/>
      <w:r w:rsidR="005853A6" w:rsidRPr="006448E1">
        <w:rPr>
          <w:rFonts w:asciiTheme="majorHAnsi" w:hAnsiTheme="majorHAnsi" w:cs="Times New Roman"/>
          <w:sz w:val="24"/>
          <w:szCs w:val="24"/>
        </w:rPr>
        <w:t xml:space="preserve"> informatike, poslovne informatike, informacij</w:t>
      </w:r>
      <w:r w:rsidR="005853A6">
        <w:rPr>
          <w:rFonts w:asciiTheme="majorHAnsi" w:hAnsiTheme="majorHAnsi" w:cs="Times New Roman"/>
          <w:sz w:val="24"/>
          <w:szCs w:val="24"/>
        </w:rPr>
        <w:t xml:space="preserve">skih znanosti i </w:t>
      </w:r>
      <w:proofErr w:type="spellStart"/>
      <w:r w:rsidR="005853A6">
        <w:rPr>
          <w:rFonts w:asciiTheme="majorHAnsi" w:hAnsiTheme="majorHAnsi" w:cs="Times New Roman"/>
          <w:sz w:val="24"/>
          <w:szCs w:val="24"/>
        </w:rPr>
        <w:t>informatologije</w:t>
      </w:r>
      <w:proofErr w:type="spellEnd"/>
      <w:r w:rsidR="007E6B27">
        <w:rPr>
          <w:rFonts w:asciiTheme="majorHAnsi" w:hAnsiTheme="majorHAnsi" w:cs="Times New Roman"/>
          <w:sz w:val="24"/>
          <w:szCs w:val="24"/>
        </w:rPr>
        <w:t>,</w:t>
      </w:r>
      <w:r w:rsidR="005853A6">
        <w:rPr>
          <w:rFonts w:asciiTheme="majorHAnsi" w:hAnsiTheme="majorHAnsi" w:cs="Times New Roman"/>
          <w:sz w:val="24"/>
          <w:szCs w:val="24"/>
        </w:rPr>
        <w:t xml:space="preserve"> tzv. STEM područja. </w:t>
      </w:r>
    </w:p>
    <w:p w:rsidR="00826D21" w:rsidRDefault="00532322" w:rsidP="00532322">
      <w:pPr>
        <w:jc w:val="both"/>
        <w:rPr>
          <w:rFonts w:asciiTheme="majorHAnsi" w:hAnsiTheme="majorHAnsi" w:cs="Times New Roman"/>
          <w:sz w:val="24"/>
          <w:szCs w:val="24"/>
        </w:rPr>
      </w:pPr>
      <w:r w:rsidRPr="00206388">
        <w:rPr>
          <w:rFonts w:asciiTheme="majorHAnsi" w:hAnsiTheme="majorHAnsi" w:cs="Times New Roman"/>
          <w:sz w:val="24"/>
          <w:szCs w:val="24"/>
        </w:rPr>
        <w:t xml:space="preserve">Navedeno znači da će se </w:t>
      </w:r>
      <w:r w:rsidR="00206388" w:rsidRPr="00206388">
        <w:rPr>
          <w:rFonts w:asciiTheme="majorHAnsi" w:hAnsiTheme="majorHAnsi" w:cs="Times New Roman"/>
          <w:sz w:val="24"/>
          <w:szCs w:val="24"/>
        </w:rPr>
        <w:t xml:space="preserve">na godišnjoj razini, s početkom akademske godine 2017./2018. </w:t>
      </w:r>
      <w:r w:rsidR="00347D4B">
        <w:rPr>
          <w:rFonts w:asciiTheme="majorHAnsi" w:hAnsiTheme="majorHAnsi" w:cs="Times New Roman"/>
          <w:sz w:val="24"/>
          <w:szCs w:val="24"/>
        </w:rPr>
        <w:t>dodjeljivati</w:t>
      </w:r>
      <w:r w:rsidR="00206388" w:rsidRPr="00206388">
        <w:rPr>
          <w:rFonts w:asciiTheme="majorHAnsi" w:hAnsiTheme="majorHAnsi" w:cs="Times New Roman"/>
          <w:sz w:val="24"/>
          <w:szCs w:val="24"/>
        </w:rPr>
        <w:t xml:space="preserve"> </w:t>
      </w:r>
      <w:r w:rsidR="005853A6">
        <w:rPr>
          <w:rFonts w:asciiTheme="majorHAnsi" w:hAnsiTheme="majorHAnsi" w:cs="Times New Roman"/>
          <w:sz w:val="24"/>
          <w:szCs w:val="24"/>
        </w:rPr>
        <w:t xml:space="preserve">najmanje </w:t>
      </w:r>
      <w:r w:rsidR="00206388" w:rsidRPr="00206388">
        <w:rPr>
          <w:rFonts w:asciiTheme="majorHAnsi" w:hAnsiTheme="majorHAnsi" w:cs="Times New Roman"/>
          <w:sz w:val="24"/>
          <w:szCs w:val="24"/>
        </w:rPr>
        <w:t>13.000 stipendija</w:t>
      </w:r>
      <w:r w:rsidR="00347D4B">
        <w:rPr>
          <w:rFonts w:asciiTheme="majorHAnsi" w:hAnsiTheme="majorHAnsi" w:cs="Times New Roman"/>
          <w:sz w:val="24"/>
          <w:szCs w:val="24"/>
        </w:rPr>
        <w:t>,</w:t>
      </w:r>
      <w:r w:rsidR="00206388" w:rsidRPr="00206388">
        <w:rPr>
          <w:rFonts w:asciiTheme="majorHAnsi" w:hAnsiTheme="majorHAnsi" w:cs="Times New Roman"/>
          <w:sz w:val="24"/>
          <w:szCs w:val="24"/>
        </w:rPr>
        <w:t xml:space="preserve"> što uključuje i </w:t>
      </w:r>
      <w:r w:rsidRPr="00206388">
        <w:rPr>
          <w:rFonts w:asciiTheme="majorHAnsi" w:hAnsiTheme="majorHAnsi" w:cs="Times New Roman"/>
          <w:sz w:val="24"/>
          <w:szCs w:val="24"/>
        </w:rPr>
        <w:t>5.000 državnih stipendija koje se godišnje osiguravaju u Državn</w:t>
      </w:r>
      <w:r w:rsidR="00206388" w:rsidRPr="00206388">
        <w:rPr>
          <w:rFonts w:asciiTheme="majorHAnsi" w:hAnsiTheme="majorHAnsi" w:cs="Times New Roman"/>
          <w:sz w:val="24"/>
          <w:szCs w:val="24"/>
        </w:rPr>
        <w:t>om proračunu Republike Hrvatske.</w:t>
      </w:r>
      <w:r w:rsidR="00206388">
        <w:rPr>
          <w:rFonts w:asciiTheme="majorHAnsi" w:hAnsiTheme="majorHAnsi" w:cs="Times New Roman"/>
          <w:sz w:val="24"/>
          <w:szCs w:val="24"/>
        </w:rPr>
        <w:t xml:space="preserve"> </w:t>
      </w:r>
    </w:p>
    <w:p w:rsidR="00206388" w:rsidRDefault="00206388" w:rsidP="00532322">
      <w:pPr>
        <w:jc w:val="both"/>
        <w:rPr>
          <w:rFonts w:asciiTheme="majorHAnsi" w:hAnsiTheme="majorHAnsi" w:cs="Times New Roman"/>
          <w:sz w:val="24"/>
          <w:szCs w:val="24"/>
        </w:rPr>
      </w:pPr>
    </w:p>
    <w:p w:rsidR="00897A38" w:rsidRPr="00930CA8" w:rsidRDefault="000E73E8" w:rsidP="00897A38">
      <w:pPr>
        <w:jc w:val="both"/>
        <w:rPr>
          <w:rFonts w:asciiTheme="majorHAnsi" w:hAnsiTheme="majorHAnsi" w:cs="Times New Roman"/>
          <w:sz w:val="20"/>
          <w:szCs w:val="20"/>
        </w:rPr>
      </w:pPr>
      <w:r w:rsidRPr="008D6B90">
        <w:rPr>
          <w:rFonts w:asciiTheme="majorHAnsi" w:hAnsiTheme="majorHAnsi" w:cs="Times New Roman"/>
          <w:sz w:val="24"/>
          <w:szCs w:val="24"/>
        </w:rPr>
        <w:t xml:space="preserve">Prema podatcima Ministarstva znanosti i obrazovanja državnu stipendiju prima prosječno 5.400 studenata godišnje što čini 4.5% ukupne studentske populacije. Međutim, godišnje se na natječaj za dodjelu državnih stipendija za studente slabijeg </w:t>
      </w:r>
      <w:proofErr w:type="spellStart"/>
      <w:r w:rsidRPr="008D6B90">
        <w:rPr>
          <w:rFonts w:asciiTheme="majorHAnsi" w:hAnsiTheme="majorHAnsi" w:cs="Times New Roman"/>
          <w:sz w:val="24"/>
          <w:szCs w:val="24"/>
        </w:rPr>
        <w:t>socio</w:t>
      </w:r>
      <w:proofErr w:type="spellEnd"/>
      <w:r w:rsidRPr="008D6B90">
        <w:rPr>
          <w:rFonts w:asciiTheme="majorHAnsi" w:hAnsiTheme="majorHAnsi" w:cs="Times New Roman"/>
          <w:sz w:val="24"/>
          <w:szCs w:val="24"/>
        </w:rPr>
        <w:t>-ekonomskog statusa javlja u prosjeku 11.500 studenata, među kojima 10.000 studenata zadovoljava kriterije za dodjelu državne stipendije, a to su prihodi po članu obitelji manji od 65</w:t>
      </w:r>
      <w:r w:rsidR="002D2D5B">
        <w:rPr>
          <w:rFonts w:asciiTheme="majorHAnsi" w:hAnsiTheme="majorHAnsi" w:cs="Times New Roman"/>
          <w:sz w:val="24"/>
          <w:szCs w:val="24"/>
        </w:rPr>
        <w:t>% proračunske osnovice</w:t>
      </w:r>
      <w:r w:rsidRPr="00ED3700">
        <w:rPr>
          <w:rFonts w:asciiTheme="majorHAnsi" w:hAnsiTheme="majorHAnsi" w:cs="Times New Roman"/>
          <w:sz w:val="24"/>
          <w:szCs w:val="24"/>
        </w:rPr>
        <w:t xml:space="preserve">, najmanje 45 ECTS bodova u prethodnoj akademskoj godini i 40 ECTS bodova prosječno u svim godinama. Zbog nedostatka sredstava, ukupno 4.600 studenata koji udovolji propisanim kriterijima, ne ostvari pravo na državnu stipendiju. To su studenti koji su u najvećem potencijalnom riziku od napuštanja studija. </w:t>
      </w:r>
      <w:r w:rsidR="00897A38" w:rsidRPr="00897A38">
        <w:rPr>
          <w:rFonts w:asciiTheme="majorHAnsi" w:hAnsiTheme="majorHAnsi" w:cs="Times New Roman"/>
          <w:sz w:val="20"/>
          <w:szCs w:val="20"/>
        </w:rPr>
        <w:t>*</w:t>
      </w:r>
      <w:r w:rsidR="00897A38" w:rsidRPr="00930CA8">
        <w:rPr>
          <w:rFonts w:asciiTheme="majorHAnsi" w:hAnsiTheme="majorHAnsi" w:cs="Times New Roman"/>
          <w:sz w:val="20"/>
          <w:szCs w:val="20"/>
        </w:rPr>
        <w:t xml:space="preserve">Prema analizi utjecaja kriterija na ostvarivanje prava na državnu stipendiju, koju je izradilo Ministarstvo znanosti i obrazovanja na temelju natječaja provedenog za akademsku godinu 2016./2017., a koja je objavljena na poveznici zajedno sa rezultatima natječaja, samo studenti s prihodom manjim od 850,00 kn </w:t>
      </w:r>
      <w:r w:rsidR="00897A38">
        <w:rPr>
          <w:rFonts w:asciiTheme="majorHAnsi" w:hAnsiTheme="majorHAnsi" w:cs="Times New Roman"/>
          <w:sz w:val="20"/>
          <w:szCs w:val="20"/>
        </w:rPr>
        <w:t xml:space="preserve">mjesečno </w:t>
      </w:r>
      <w:r w:rsidR="00897A38" w:rsidRPr="00930CA8">
        <w:rPr>
          <w:rFonts w:asciiTheme="majorHAnsi" w:hAnsiTheme="majorHAnsi" w:cs="Times New Roman"/>
          <w:sz w:val="20"/>
          <w:szCs w:val="20"/>
        </w:rPr>
        <w:t>po članu obitelji sigurno ostvaruju pravo na državnu stipendiju. Iako je dohodovni cenzus postavljen na 2.162 kn</w:t>
      </w:r>
      <w:r w:rsidR="00897A38">
        <w:rPr>
          <w:rFonts w:asciiTheme="majorHAnsi" w:hAnsiTheme="majorHAnsi" w:cs="Times New Roman"/>
          <w:sz w:val="20"/>
          <w:szCs w:val="20"/>
        </w:rPr>
        <w:t xml:space="preserve"> mjesečno</w:t>
      </w:r>
      <w:r w:rsidR="00897A38" w:rsidRPr="00930CA8">
        <w:rPr>
          <w:rFonts w:asciiTheme="majorHAnsi" w:hAnsiTheme="majorHAnsi" w:cs="Times New Roman"/>
          <w:sz w:val="20"/>
          <w:szCs w:val="20"/>
        </w:rPr>
        <w:t xml:space="preserve">, niti jedan student koji je imao više od 1.800,00 kn </w:t>
      </w:r>
      <w:r w:rsidR="00897A38">
        <w:rPr>
          <w:rFonts w:asciiTheme="majorHAnsi" w:hAnsiTheme="majorHAnsi" w:cs="Times New Roman"/>
          <w:sz w:val="20"/>
          <w:szCs w:val="20"/>
        </w:rPr>
        <w:t xml:space="preserve">mjesečno </w:t>
      </w:r>
      <w:r w:rsidR="00897A38" w:rsidRPr="00930CA8">
        <w:rPr>
          <w:rFonts w:asciiTheme="majorHAnsi" w:hAnsiTheme="majorHAnsi" w:cs="Times New Roman"/>
          <w:sz w:val="20"/>
          <w:szCs w:val="20"/>
        </w:rPr>
        <w:t xml:space="preserve">po članu obitelji nije ostvario pravo na stipendiju, a čak 471 student koji ima manje od 1.100,00 kn </w:t>
      </w:r>
      <w:r w:rsidR="00897A38">
        <w:rPr>
          <w:rFonts w:asciiTheme="majorHAnsi" w:hAnsiTheme="majorHAnsi" w:cs="Times New Roman"/>
          <w:sz w:val="20"/>
          <w:szCs w:val="20"/>
        </w:rPr>
        <w:t xml:space="preserve">mjesečno </w:t>
      </w:r>
      <w:r w:rsidR="00897A38" w:rsidRPr="00930CA8">
        <w:rPr>
          <w:rFonts w:asciiTheme="majorHAnsi" w:hAnsiTheme="majorHAnsi" w:cs="Times New Roman"/>
          <w:sz w:val="20"/>
          <w:szCs w:val="20"/>
        </w:rPr>
        <w:t xml:space="preserve">po članu obitelji nije ostvario pravo na državnu stipendiju. Nadalje, od 82 studenta roditelja, njih 20 nije ostvarilo pravo iako su ispunili uvjete. Zatim, 258 studenata kojima je jedan roditelj umro, a 12 studenata kojima su oba roditelja umrla nisu ostvarila pravo. U akademskoj godini 2013./2014. uvedene su promjene u sustavu državnih potpora pri čemu se u većoj mjeri proračunska sredstva počinju izdvajati za izravne državne potpore (stipendije) u odnosu na neizravne (smještaj, prehrana). Tako su sredstva za stipendije sa  37.762.267,00 kn u 2013. godini povećana na 61.427.594,00 kn u 2014. godini. Time se pojačava socijalna osjetljivost i dostupnost visokog obrazovanja na način da se državne potpore usmjeravaju studentima nižeg </w:t>
      </w:r>
      <w:proofErr w:type="spellStart"/>
      <w:r w:rsidR="00897A38" w:rsidRPr="00930CA8">
        <w:rPr>
          <w:rFonts w:asciiTheme="majorHAnsi" w:hAnsiTheme="majorHAnsi" w:cs="Times New Roman"/>
          <w:sz w:val="20"/>
          <w:szCs w:val="20"/>
        </w:rPr>
        <w:t>socio</w:t>
      </w:r>
      <w:proofErr w:type="spellEnd"/>
      <w:r w:rsidR="00897A38" w:rsidRPr="00930CA8">
        <w:rPr>
          <w:rFonts w:asciiTheme="majorHAnsi" w:hAnsiTheme="majorHAnsi" w:cs="Times New Roman"/>
          <w:sz w:val="20"/>
          <w:szCs w:val="20"/>
        </w:rPr>
        <w:t xml:space="preserve">-ekonomskog statusa. </w:t>
      </w:r>
    </w:p>
    <w:p w:rsidR="000E73E8" w:rsidRDefault="000E73E8" w:rsidP="000E73E8">
      <w:pPr>
        <w:jc w:val="both"/>
        <w:rPr>
          <w:rFonts w:asciiTheme="majorHAnsi" w:hAnsiTheme="majorHAnsi" w:cs="Times New Roman"/>
          <w:sz w:val="24"/>
          <w:szCs w:val="24"/>
        </w:rPr>
      </w:pPr>
    </w:p>
    <w:p w:rsidR="000E73E8" w:rsidRDefault="000E73E8" w:rsidP="00532322">
      <w:pPr>
        <w:jc w:val="both"/>
        <w:rPr>
          <w:rFonts w:asciiTheme="majorHAnsi" w:hAnsiTheme="majorHAnsi" w:cs="Times New Roman"/>
          <w:sz w:val="24"/>
          <w:szCs w:val="24"/>
        </w:rPr>
      </w:pPr>
    </w:p>
    <w:p w:rsidR="00532322" w:rsidRPr="00ED3700" w:rsidRDefault="00532322" w:rsidP="00532322">
      <w:pPr>
        <w:jc w:val="both"/>
        <w:rPr>
          <w:rFonts w:asciiTheme="majorHAnsi" w:hAnsiTheme="majorHAnsi" w:cs="Times New Roman"/>
          <w:sz w:val="24"/>
          <w:szCs w:val="24"/>
        </w:rPr>
      </w:pPr>
      <w:r w:rsidRPr="00ED3700">
        <w:rPr>
          <w:rFonts w:asciiTheme="majorHAnsi" w:hAnsiTheme="majorHAnsi" w:cs="Times New Roman"/>
          <w:sz w:val="24"/>
          <w:szCs w:val="24"/>
        </w:rPr>
        <w:t>Dodatno, Ministarstvo znanosti i obrazovanja povećalo je u 2017. godini iznos novčane potpore za podmirenje dijela troškova prijevoza za redovite studente s invaliditetom za akademsku godinu 2016./2017. sa 1.000,00 kn mjesečno na 1.500,00 kn mjesečno.</w:t>
      </w:r>
    </w:p>
    <w:p w:rsidR="00532322" w:rsidRPr="00ED3700" w:rsidRDefault="00532322" w:rsidP="00532322">
      <w:pPr>
        <w:jc w:val="both"/>
        <w:rPr>
          <w:rFonts w:asciiTheme="majorHAnsi" w:hAnsiTheme="majorHAnsi" w:cs="Times New Roman"/>
          <w:sz w:val="24"/>
          <w:szCs w:val="24"/>
        </w:rPr>
      </w:pPr>
    </w:p>
    <w:p w:rsidR="00532322" w:rsidRPr="00ED3700" w:rsidRDefault="00532322" w:rsidP="00532322">
      <w:pPr>
        <w:jc w:val="both"/>
        <w:rPr>
          <w:rFonts w:asciiTheme="majorHAnsi" w:hAnsiTheme="majorHAnsi" w:cs="Times New Roman"/>
          <w:sz w:val="24"/>
          <w:szCs w:val="24"/>
        </w:rPr>
      </w:pPr>
      <w:r w:rsidRPr="00ED3700">
        <w:rPr>
          <w:rFonts w:asciiTheme="majorHAnsi" w:hAnsiTheme="majorHAnsi" w:cs="Times New Roman"/>
          <w:sz w:val="24"/>
          <w:szCs w:val="24"/>
        </w:rPr>
        <w:t xml:space="preserve">Sukladno </w:t>
      </w:r>
      <w:r w:rsidR="00A55DD2" w:rsidRPr="00ED3700">
        <w:rPr>
          <w:rFonts w:asciiTheme="majorHAnsi" w:hAnsiTheme="majorHAnsi" w:cs="Times New Roman"/>
          <w:sz w:val="24"/>
          <w:szCs w:val="24"/>
        </w:rPr>
        <w:t>Strategiji znanosti, obrazovanja i tehnologije,</w:t>
      </w:r>
      <w:r w:rsidR="003B04FD">
        <w:rPr>
          <w:rFonts w:asciiTheme="majorHAnsi" w:hAnsiTheme="majorHAnsi" w:cs="Times New Roman"/>
          <w:sz w:val="24"/>
          <w:szCs w:val="24"/>
        </w:rPr>
        <w:t xml:space="preserve"> Nacionalna skupina za unapređiva</w:t>
      </w:r>
      <w:r w:rsidRPr="00ED3700">
        <w:rPr>
          <w:rFonts w:asciiTheme="majorHAnsi" w:hAnsiTheme="majorHAnsi" w:cs="Times New Roman"/>
          <w:sz w:val="24"/>
          <w:szCs w:val="24"/>
        </w:rPr>
        <w:t>nje socijalne dimenzije visokog obrazovanja dobila je zaduženje izraditi Nacionalni plan za unapređ</w:t>
      </w:r>
      <w:r w:rsidR="003B04FD">
        <w:rPr>
          <w:rFonts w:asciiTheme="majorHAnsi" w:hAnsiTheme="majorHAnsi" w:cs="Times New Roman"/>
          <w:sz w:val="24"/>
          <w:szCs w:val="24"/>
        </w:rPr>
        <w:t>iva</w:t>
      </w:r>
      <w:r w:rsidRPr="00ED3700">
        <w:rPr>
          <w:rFonts w:asciiTheme="majorHAnsi" w:hAnsiTheme="majorHAnsi" w:cs="Times New Roman"/>
          <w:sz w:val="24"/>
          <w:szCs w:val="24"/>
        </w:rPr>
        <w:t xml:space="preserve">nje socijalne dimenzije visokog obrazovanja u Republici Hrvatskoj </w:t>
      </w:r>
      <w:r w:rsidRPr="00874CF7">
        <w:rPr>
          <w:rFonts w:asciiTheme="majorHAnsi" w:hAnsiTheme="majorHAnsi" w:cs="Times New Roman"/>
          <w:sz w:val="24"/>
          <w:szCs w:val="24"/>
        </w:rPr>
        <w:t>201</w:t>
      </w:r>
      <w:r w:rsidR="00E81641">
        <w:rPr>
          <w:rFonts w:asciiTheme="majorHAnsi" w:hAnsiTheme="majorHAnsi" w:cs="Times New Roman"/>
          <w:sz w:val="24"/>
          <w:szCs w:val="24"/>
        </w:rPr>
        <w:t>8</w:t>
      </w:r>
      <w:r w:rsidRPr="00874CF7">
        <w:rPr>
          <w:rFonts w:asciiTheme="majorHAnsi" w:hAnsiTheme="majorHAnsi" w:cs="Times New Roman"/>
          <w:sz w:val="24"/>
          <w:szCs w:val="24"/>
        </w:rPr>
        <w:t>.-202</w:t>
      </w:r>
      <w:r w:rsidR="00E81641">
        <w:rPr>
          <w:rFonts w:asciiTheme="majorHAnsi" w:hAnsiTheme="majorHAnsi" w:cs="Times New Roman"/>
          <w:sz w:val="24"/>
          <w:szCs w:val="24"/>
        </w:rPr>
        <w:t>1</w:t>
      </w:r>
      <w:r w:rsidRPr="00874CF7">
        <w:rPr>
          <w:rFonts w:asciiTheme="majorHAnsi" w:hAnsiTheme="majorHAnsi" w:cs="Times New Roman"/>
          <w:sz w:val="24"/>
          <w:szCs w:val="24"/>
        </w:rPr>
        <w:t>.</w:t>
      </w:r>
      <w:r w:rsidRPr="00ED3700">
        <w:rPr>
          <w:rFonts w:asciiTheme="majorHAnsi" w:hAnsiTheme="majorHAnsi" w:cs="Times New Roman"/>
          <w:sz w:val="24"/>
          <w:szCs w:val="24"/>
        </w:rPr>
        <w:t xml:space="preserve"> Nacionalni plan predstavlja prijedlog operacionalizacije Strategije obrazovanja, znanosti i tehnologije u dijelu koji se odnosi na socijalnu dimenziju visokog obrazovanja i to  kroz prijedlog konkretnih ciljeva, </w:t>
      </w:r>
      <w:proofErr w:type="spellStart"/>
      <w:r w:rsidRPr="00ED3700">
        <w:rPr>
          <w:rFonts w:asciiTheme="majorHAnsi" w:hAnsiTheme="majorHAnsi" w:cs="Times New Roman"/>
          <w:sz w:val="24"/>
          <w:szCs w:val="24"/>
        </w:rPr>
        <w:t>podciljeva</w:t>
      </w:r>
      <w:proofErr w:type="spellEnd"/>
      <w:r w:rsidRPr="00ED3700">
        <w:rPr>
          <w:rFonts w:asciiTheme="majorHAnsi" w:hAnsiTheme="majorHAnsi" w:cs="Times New Roman"/>
          <w:sz w:val="24"/>
          <w:szCs w:val="24"/>
        </w:rPr>
        <w:t xml:space="preserve"> i aktivnosti koje preuzimaju provesti prvenstveno institucije i tijela u visokom obrazovanju, ali i drugi relevantni dionici u sustavu ob</w:t>
      </w:r>
      <w:r w:rsidR="00E22E38" w:rsidRPr="00ED3700">
        <w:rPr>
          <w:rFonts w:asciiTheme="majorHAnsi" w:hAnsiTheme="majorHAnsi" w:cs="Times New Roman"/>
          <w:sz w:val="24"/>
          <w:szCs w:val="24"/>
        </w:rPr>
        <w:t xml:space="preserve">razovanja. Uz to, u Nacionalnom </w:t>
      </w:r>
      <w:r w:rsidRPr="00ED3700">
        <w:rPr>
          <w:rFonts w:asciiTheme="majorHAnsi" w:hAnsiTheme="majorHAnsi" w:cs="Times New Roman"/>
          <w:sz w:val="24"/>
          <w:szCs w:val="24"/>
        </w:rPr>
        <w:t xml:space="preserve">planu predlažu se mjerljivi pokazatelji praćenja ostvarivanja strateških ciljeva i </w:t>
      </w:r>
      <w:proofErr w:type="spellStart"/>
      <w:r w:rsidRPr="00ED3700">
        <w:rPr>
          <w:rFonts w:asciiTheme="majorHAnsi" w:hAnsiTheme="majorHAnsi" w:cs="Times New Roman"/>
          <w:sz w:val="24"/>
          <w:szCs w:val="24"/>
        </w:rPr>
        <w:t>podciljeva</w:t>
      </w:r>
      <w:proofErr w:type="spellEnd"/>
      <w:r w:rsidRPr="00ED3700">
        <w:rPr>
          <w:rFonts w:asciiTheme="majorHAnsi" w:hAnsiTheme="majorHAnsi" w:cs="Times New Roman"/>
          <w:sz w:val="24"/>
          <w:szCs w:val="24"/>
        </w:rPr>
        <w:t xml:space="preserve">. </w:t>
      </w:r>
    </w:p>
    <w:p w:rsidR="00A65E07" w:rsidRPr="00ED3700" w:rsidRDefault="00A65E07" w:rsidP="00A65E07">
      <w:pPr>
        <w:jc w:val="both"/>
        <w:rPr>
          <w:rFonts w:asciiTheme="majorHAnsi" w:hAnsiTheme="majorHAnsi" w:cs="Times New Roman"/>
          <w:sz w:val="24"/>
          <w:szCs w:val="24"/>
        </w:rPr>
      </w:pPr>
    </w:p>
    <w:p w:rsidR="00E22E38" w:rsidRPr="00ED3700" w:rsidRDefault="00E22E38">
      <w:pPr>
        <w:rPr>
          <w:rFonts w:asciiTheme="majorHAnsi" w:eastAsiaTheme="majorEastAsia" w:hAnsiTheme="majorHAnsi" w:cstheme="majorBidi"/>
          <w:color w:val="17365D" w:themeColor="text2" w:themeShade="BF"/>
          <w:spacing w:val="5"/>
          <w:kern w:val="28"/>
          <w:sz w:val="52"/>
          <w:szCs w:val="52"/>
        </w:rPr>
      </w:pPr>
      <w:r w:rsidRPr="00ED3700">
        <w:rPr>
          <w:rFonts w:asciiTheme="majorHAnsi" w:hAnsiTheme="majorHAnsi"/>
        </w:rPr>
        <w:br w:type="page"/>
      </w:r>
    </w:p>
    <w:p w:rsidR="007E3C5B" w:rsidRPr="00ED3700" w:rsidRDefault="007E3C5B" w:rsidP="00897A38">
      <w:pPr>
        <w:pStyle w:val="Heading2"/>
      </w:pPr>
      <w:r w:rsidRPr="00ED3700">
        <w:lastRenderedPageBreak/>
        <w:t xml:space="preserve">Proces izrade Nacionalnog plana </w:t>
      </w:r>
    </w:p>
    <w:p w:rsidR="007E3C5B" w:rsidRPr="00ED3700" w:rsidRDefault="007E3C5B" w:rsidP="007E3C5B">
      <w:pPr>
        <w:rPr>
          <w:rFonts w:asciiTheme="majorHAnsi" w:hAnsiTheme="majorHAnsi" w:cs="Times New Roman"/>
          <w:sz w:val="28"/>
          <w:szCs w:val="28"/>
        </w:rPr>
      </w:pPr>
    </w:p>
    <w:p w:rsidR="007E3C5B" w:rsidRPr="00ED3700" w:rsidRDefault="007E3C5B" w:rsidP="007E3C5B">
      <w:pPr>
        <w:jc w:val="both"/>
        <w:rPr>
          <w:rFonts w:asciiTheme="majorHAnsi" w:hAnsiTheme="majorHAnsi" w:cs="Times New Roman"/>
          <w:sz w:val="24"/>
          <w:szCs w:val="24"/>
        </w:rPr>
      </w:pPr>
      <w:r w:rsidRPr="00ED3700">
        <w:rPr>
          <w:rFonts w:asciiTheme="majorHAnsi" w:hAnsiTheme="majorHAnsi" w:cs="Times New Roman"/>
          <w:sz w:val="24"/>
          <w:szCs w:val="24"/>
        </w:rPr>
        <w:t>Prijedl</w:t>
      </w:r>
      <w:r w:rsidR="003B04FD">
        <w:rPr>
          <w:rFonts w:asciiTheme="majorHAnsi" w:hAnsiTheme="majorHAnsi" w:cs="Times New Roman"/>
          <w:sz w:val="24"/>
          <w:szCs w:val="24"/>
        </w:rPr>
        <w:t>og Nacionalnog plana za unapređiva</w:t>
      </w:r>
      <w:r w:rsidRPr="00ED3700">
        <w:rPr>
          <w:rFonts w:asciiTheme="majorHAnsi" w:hAnsiTheme="majorHAnsi" w:cs="Times New Roman"/>
          <w:sz w:val="24"/>
          <w:szCs w:val="24"/>
        </w:rPr>
        <w:t xml:space="preserve">nje socijalne dimenzije visokog obrazovanja izrađen je </w:t>
      </w:r>
      <w:r w:rsidR="003B28B3" w:rsidRPr="00ED3700">
        <w:rPr>
          <w:rFonts w:asciiTheme="majorHAnsi" w:hAnsiTheme="majorHAnsi" w:cs="Times New Roman"/>
          <w:sz w:val="24"/>
          <w:szCs w:val="24"/>
        </w:rPr>
        <w:t xml:space="preserve">najvećim dijelom </w:t>
      </w:r>
      <w:r w:rsidRPr="00ED3700">
        <w:rPr>
          <w:rFonts w:asciiTheme="majorHAnsi" w:hAnsiTheme="majorHAnsi" w:cs="Times New Roman"/>
          <w:sz w:val="24"/>
          <w:szCs w:val="24"/>
        </w:rPr>
        <w:t xml:space="preserve">tijekom 2016. godine. Izrada Nacionalnog plana sastojala se od nekoliko faza. </w:t>
      </w:r>
    </w:p>
    <w:p w:rsidR="007E3C5B" w:rsidRPr="00ED3700" w:rsidRDefault="007E3C5B" w:rsidP="007E3C5B">
      <w:pPr>
        <w:jc w:val="both"/>
        <w:rPr>
          <w:rFonts w:asciiTheme="majorHAnsi" w:hAnsiTheme="majorHAnsi" w:cs="Times New Roman"/>
          <w:sz w:val="24"/>
          <w:szCs w:val="24"/>
        </w:rPr>
      </w:pPr>
    </w:p>
    <w:p w:rsidR="007E3C5B" w:rsidRPr="00ED3700" w:rsidRDefault="007E3C5B" w:rsidP="00DB48C8">
      <w:pPr>
        <w:jc w:val="both"/>
        <w:rPr>
          <w:rFonts w:asciiTheme="majorHAnsi" w:hAnsiTheme="majorHAnsi" w:cs="Times New Roman"/>
          <w:sz w:val="24"/>
          <w:szCs w:val="24"/>
        </w:rPr>
      </w:pPr>
      <w:r w:rsidRPr="00ED3700">
        <w:rPr>
          <w:rFonts w:asciiTheme="majorHAnsi" w:hAnsiTheme="majorHAnsi" w:cs="Times New Roman"/>
          <w:sz w:val="24"/>
          <w:szCs w:val="24"/>
        </w:rPr>
        <w:t xml:space="preserve">U prvoj fazi je izrađen pregled empirijskih uvida relevantnih za socijalnu dimenziju visokog obrazovanja u Hrvatskoj. Oni su sažeti u dokumentima </w:t>
      </w:r>
      <w:r w:rsidRPr="00ED3700">
        <w:rPr>
          <w:rFonts w:asciiTheme="majorHAnsi" w:hAnsiTheme="majorHAnsi" w:cs="Times New Roman"/>
          <w:i/>
          <w:sz w:val="24"/>
          <w:szCs w:val="24"/>
        </w:rPr>
        <w:t>Podzastupljene i ranjive skupine u visokom obrazovanju u Hrvatskoj</w:t>
      </w:r>
      <w:r w:rsidRPr="00ED3700">
        <w:rPr>
          <w:rFonts w:asciiTheme="majorHAnsi" w:hAnsiTheme="majorHAnsi" w:cs="Times New Roman"/>
          <w:sz w:val="24"/>
          <w:szCs w:val="24"/>
        </w:rPr>
        <w:t xml:space="preserve"> te </w:t>
      </w:r>
      <w:r w:rsidR="003B04FD">
        <w:rPr>
          <w:rFonts w:asciiTheme="majorHAnsi" w:hAnsiTheme="majorHAnsi" w:cs="Times New Roman"/>
          <w:i/>
          <w:sz w:val="24"/>
          <w:szCs w:val="24"/>
        </w:rPr>
        <w:t>Smjernice za unapređiva</w:t>
      </w:r>
      <w:r w:rsidRPr="00ED3700">
        <w:rPr>
          <w:rFonts w:asciiTheme="majorHAnsi" w:hAnsiTheme="majorHAnsi" w:cs="Times New Roman"/>
          <w:i/>
          <w:sz w:val="24"/>
          <w:szCs w:val="24"/>
        </w:rPr>
        <w:t xml:space="preserve">nje sustava potpore studentima s invaliditetom u Hrvatskoj </w:t>
      </w:r>
      <w:r w:rsidRPr="00ED3700">
        <w:rPr>
          <w:rFonts w:asciiTheme="majorHAnsi" w:hAnsiTheme="majorHAnsi" w:cs="Times New Roman"/>
          <w:sz w:val="24"/>
          <w:szCs w:val="24"/>
        </w:rPr>
        <w:t xml:space="preserve">koji se nalaze u prilogu. Ovi pregledi su </w:t>
      </w:r>
      <w:r w:rsidR="002264C3" w:rsidRPr="00ED3700">
        <w:rPr>
          <w:rFonts w:asciiTheme="majorHAnsi" w:hAnsiTheme="majorHAnsi" w:cs="Times New Roman"/>
          <w:sz w:val="24"/>
          <w:szCs w:val="24"/>
        </w:rPr>
        <w:t xml:space="preserve">izrađeni </w:t>
      </w:r>
      <w:r w:rsidRPr="00ED3700">
        <w:rPr>
          <w:rFonts w:asciiTheme="majorHAnsi" w:hAnsiTheme="majorHAnsi" w:cs="Times New Roman"/>
          <w:sz w:val="24"/>
          <w:szCs w:val="24"/>
        </w:rPr>
        <w:t>kako bi Nacionalni plan bio što je više moguće utemeljen na relevantnim podacima.</w:t>
      </w:r>
    </w:p>
    <w:p w:rsidR="007E3C5B" w:rsidRPr="00ED3700" w:rsidRDefault="007E3C5B" w:rsidP="00DB48C8">
      <w:pPr>
        <w:jc w:val="both"/>
        <w:rPr>
          <w:rFonts w:asciiTheme="majorHAnsi" w:hAnsiTheme="majorHAnsi" w:cs="Times New Roman"/>
          <w:sz w:val="24"/>
          <w:szCs w:val="24"/>
        </w:rPr>
      </w:pPr>
    </w:p>
    <w:p w:rsidR="007E3C5B" w:rsidRPr="00ED3700" w:rsidRDefault="007E3C5B" w:rsidP="00DB48C8">
      <w:pPr>
        <w:jc w:val="both"/>
        <w:rPr>
          <w:rFonts w:asciiTheme="majorHAnsi" w:hAnsiTheme="majorHAnsi" w:cs="Times New Roman"/>
          <w:sz w:val="24"/>
          <w:szCs w:val="24"/>
        </w:rPr>
      </w:pPr>
      <w:r w:rsidRPr="00ED3700">
        <w:rPr>
          <w:rFonts w:asciiTheme="majorHAnsi" w:hAnsiTheme="majorHAnsi" w:cs="Times New Roman"/>
          <w:sz w:val="24"/>
          <w:szCs w:val="24"/>
        </w:rPr>
        <w:t xml:space="preserve">Drugu fazu čine konzultacije o ranijim verzijama spomenutih dokumenata. Povratne informacije na dokument </w:t>
      </w:r>
      <w:r w:rsidRPr="00ED3700">
        <w:rPr>
          <w:rFonts w:asciiTheme="majorHAnsi" w:hAnsiTheme="majorHAnsi" w:cs="Times New Roman"/>
          <w:i/>
          <w:sz w:val="24"/>
          <w:szCs w:val="24"/>
        </w:rPr>
        <w:t>Podzastupljene i ranjive skupine u visokom obrazovanju u Hrvatskoj</w:t>
      </w:r>
      <w:r w:rsidRPr="00ED3700">
        <w:rPr>
          <w:rFonts w:asciiTheme="majorHAnsi" w:hAnsiTheme="majorHAnsi" w:cs="Times New Roman"/>
          <w:sz w:val="24"/>
          <w:szCs w:val="24"/>
        </w:rPr>
        <w:t xml:space="preserve"> dobivene su tijekom javne stručne rasprave, dok su komentari na dokument </w:t>
      </w:r>
      <w:r w:rsidR="003B04FD">
        <w:rPr>
          <w:rFonts w:asciiTheme="majorHAnsi" w:hAnsiTheme="majorHAnsi" w:cs="Times New Roman"/>
          <w:i/>
          <w:sz w:val="24"/>
          <w:szCs w:val="24"/>
        </w:rPr>
        <w:t>Smjernice za unapređiva</w:t>
      </w:r>
      <w:r w:rsidRPr="00ED3700">
        <w:rPr>
          <w:rFonts w:asciiTheme="majorHAnsi" w:hAnsiTheme="majorHAnsi" w:cs="Times New Roman"/>
          <w:i/>
          <w:sz w:val="24"/>
          <w:szCs w:val="24"/>
        </w:rPr>
        <w:t>nje sustava potpore studentima s invaliditetom u Hrvatskoj</w:t>
      </w:r>
      <w:r w:rsidRPr="00ED3700">
        <w:rPr>
          <w:rFonts w:asciiTheme="majorHAnsi" w:hAnsiTheme="majorHAnsi" w:cs="Times New Roman"/>
          <w:sz w:val="24"/>
          <w:szCs w:val="24"/>
        </w:rPr>
        <w:t xml:space="preserve"> prikupljeni od osoblja visokih učilišta koji su zaduženi za studente s invaliditetom. </w:t>
      </w:r>
    </w:p>
    <w:p w:rsidR="007E3C5B" w:rsidRPr="00ED3700" w:rsidRDefault="007E3C5B" w:rsidP="007E3C5B">
      <w:pPr>
        <w:jc w:val="both"/>
        <w:rPr>
          <w:rFonts w:asciiTheme="majorHAnsi" w:hAnsiTheme="majorHAnsi" w:cs="Times New Roman"/>
          <w:sz w:val="24"/>
          <w:szCs w:val="24"/>
        </w:rPr>
      </w:pPr>
    </w:p>
    <w:p w:rsidR="007E3C5B" w:rsidRPr="00ED3700" w:rsidRDefault="007E3C5B" w:rsidP="007E3C5B">
      <w:pPr>
        <w:jc w:val="both"/>
        <w:rPr>
          <w:rFonts w:asciiTheme="majorHAnsi" w:hAnsiTheme="majorHAnsi" w:cs="Times New Roman"/>
          <w:sz w:val="24"/>
          <w:szCs w:val="24"/>
        </w:rPr>
      </w:pPr>
      <w:r w:rsidRPr="00ED3700">
        <w:rPr>
          <w:rFonts w:asciiTheme="majorHAnsi" w:hAnsiTheme="majorHAnsi" w:cs="Times New Roman"/>
          <w:sz w:val="24"/>
          <w:szCs w:val="24"/>
        </w:rPr>
        <w:t>Imajući u vidu i slične</w:t>
      </w:r>
      <w:r w:rsidR="003B04FD">
        <w:rPr>
          <w:rFonts w:asciiTheme="majorHAnsi" w:hAnsiTheme="majorHAnsi" w:cs="Times New Roman"/>
          <w:sz w:val="24"/>
          <w:szCs w:val="24"/>
        </w:rPr>
        <w:t xml:space="preserve"> dokumente usmjerene na unapređiva</w:t>
      </w:r>
      <w:r w:rsidRPr="00ED3700">
        <w:rPr>
          <w:rFonts w:asciiTheme="majorHAnsi" w:hAnsiTheme="majorHAnsi" w:cs="Times New Roman"/>
          <w:sz w:val="24"/>
          <w:szCs w:val="24"/>
        </w:rPr>
        <w:t>nje socijalne dimenzije visokog obrazovanja, kao što je npr. irski Nacionalni plan za jednakost pristupa visokom obrazovanju za period 2015.-2019., u trećoj fazi se pristupilo izradi prijedloga Nacionalnog plana</w:t>
      </w:r>
      <w:r w:rsidR="00BD08C0" w:rsidRPr="00ED3700">
        <w:rPr>
          <w:rFonts w:asciiTheme="majorHAnsi" w:hAnsiTheme="majorHAnsi" w:cs="Times New Roman"/>
          <w:sz w:val="24"/>
          <w:szCs w:val="24"/>
        </w:rPr>
        <w:t xml:space="preserve"> pri čemu su se u obzir uzimali i prijedlozi iz brojnih izvješća relevantnih za socijalnu dimenziju visokog obrazovanja, uključujući </w:t>
      </w:r>
      <w:proofErr w:type="spellStart"/>
      <w:r w:rsidR="00BD08C0" w:rsidRPr="00ED3700">
        <w:rPr>
          <w:rFonts w:asciiTheme="majorHAnsi" w:hAnsiTheme="majorHAnsi" w:cs="Times New Roman"/>
          <w:sz w:val="24"/>
          <w:szCs w:val="24"/>
        </w:rPr>
        <w:t>Eurostudent</w:t>
      </w:r>
      <w:proofErr w:type="spellEnd"/>
      <w:r w:rsidR="00BD08C0" w:rsidRPr="00ED3700">
        <w:rPr>
          <w:rFonts w:asciiTheme="majorHAnsi" w:hAnsiTheme="majorHAnsi" w:cs="Times New Roman"/>
          <w:sz w:val="24"/>
          <w:szCs w:val="24"/>
        </w:rPr>
        <w:t xml:space="preserve"> izvješća za Hrvatsku te Izvješće o socijalnoj dimenziji visokog obrazovanja u Republici Hrvatskoj (izrađeno u sklopu projekta </w:t>
      </w:r>
      <w:proofErr w:type="spellStart"/>
      <w:r w:rsidR="00BD08C0" w:rsidRPr="00ED3700">
        <w:rPr>
          <w:rFonts w:asciiTheme="majorHAnsi" w:hAnsiTheme="majorHAnsi" w:cs="Times New Roman"/>
          <w:i/>
          <w:sz w:val="24"/>
          <w:szCs w:val="24"/>
        </w:rPr>
        <w:t>Peer</w:t>
      </w:r>
      <w:proofErr w:type="spellEnd"/>
      <w:r w:rsidR="00BD08C0" w:rsidRPr="00ED3700">
        <w:rPr>
          <w:rFonts w:asciiTheme="majorHAnsi" w:hAnsiTheme="majorHAnsi" w:cs="Times New Roman"/>
          <w:i/>
          <w:sz w:val="24"/>
          <w:szCs w:val="24"/>
        </w:rPr>
        <w:t xml:space="preserve"> </w:t>
      </w:r>
      <w:proofErr w:type="spellStart"/>
      <w:r w:rsidR="00BD08C0" w:rsidRPr="00ED3700">
        <w:rPr>
          <w:rFonts w:asciiTheme="majorHAnsi" w:hAnsiTheme="majorHAnsi" w:cs="Times New Roman"/>
          <w:i/>
          <w:sz w:val="24"/>
          <w:szCs w:val="24"/>
        </w:rPr>
        <w:t>Learning</w:t>
      </w:r>
      <w:proofErr w:type="spellEnd"/>
      <w:r w:rsidR="00BD08C0" w:rsidRPr="00ED3700">
        <w:rPr>
          <w:rFonts w:asciiTheme="majorHAnsi" w:hAnsiTheme="majorHAnsi" w:cs="Times New Roman"/>
          <w:i/>
          <w:sz w:val="24"/>
          <w:szCs w:val="24"/>
        </w:rPr>
        <w:t xml:space="preserve"> for </w:t>
      </w:r>
      <w:proofErr w:type="spellStart"/>
      <w:r w:rsidR="00BD08C0" w:rsidRPr="00ED3700">
        <w:rPr>
          <w:rFonts w:asciiTheme="majorHAnsi" w:hAnsiTheme="majorHAnsi" w:cs="Times New Roman"/>
          <w:i/>
          <w:sz w:val="24"/>
          <w:szCs w:val="24"/>
        </w:rPr>
        <w:t>the</w:t>
      </w:r>
      <w:proofErr w:type="spellEnd"/>
      <w:r w:rsidR="00BD08C0" w:rsidRPr="00ED3700">
        <w:rPr>
          <w:rFonts w:asciiTheme="majorHAnsi" w:hAnsiTheme="majorHAnsi" w:cs="Times New Roman"/>
          <w:i/>
          <w:sz w:val="24"/>
          <w:szCs w:val="24"/>
        </w:rPr>
        <w:t xml:space="preserve"> </w:t>
      </w:r>
      <w:proofErr w:type="spellStart"/>
      <w:r w:rsidR="00BD08C0" w:rsidRPr="00ED3700">
        <w:rPr>
          <w:rFonts w:asciiTheme="majorHAnsi" w:hAnsiTheme="majorHAnsi" w:cs="Times New Roman"/>
          <w:i/>
          <w:sz w:val="24"/>
          <w:szCs w:val="24"/>
        </w:rPr>
        <w:t>Social</w:t>
      </w:r>
      <w:proofErr w:type="spellEnd"/>
      <w:r w:rsidR="00BD08C0" w:rsidRPr="00ED3700">
        <w:rPr>
          <w:rFonts w:asciiTheme="majorHAnsi" w:hAnsiTheme="majorHAnsi" w:cs="Times New Roman"/>
          <w:i/>
          <w:sz w:val="24"/>
          <w:szCs w:val="24"/>
        </w:rPr>
        <w:t xml:space="preserve"> </w:t>
      </w:r>
      <w:proofErr w:type="spellStart"/>
      <w:r w:rsidR="00BD08C0" w:rsidRPr="00ED3700">
        <w:rPr>
          <w:rFonts w:asciiTheme="majorHAnsi" w:hAnsiTheme="majorHAnsi" w:cs="Times New Roman"/>
          <w:i/>
          <w:sz w:val="24"/>
          <w:szCs w:val="24"/>
        </w:rPr>
        <w:t>Dimension</w:t>
      </w:r>
      <w:proofErr w:type="spellEnd"/>
      <w:r w:rsidR="00BD08C0" w:rsidRPr="00ED3700">
        <w:rPr>
          <w:rFonts w:asciiTheme="majorHAnsi" w:hAnsiTheme="majorHAnsi" w:cs="Times New Roman"/>
          <w:sz w:val="24"/>
          <w:szCs w:val="24"/>
        </w:rPr>
        <w:t>)</w:t>
      </w:r>
      <w:r w:rsidRPr="00ED3700">
        <w:rPr>
          <w:rFonts w:asciiTheme="majorHAnsi" w:hAnsiTheme="majorHAnsi" w:cs="Times New Roman"/>
          <w:sz w:val="24"/>
          <w:szCs w:val="24"/>
        </w:rPr>
        <w:t xml:space="preserve">. Prijedlog formata i sadržaja </w:t>
      </w:r>
      <w:r w:rsidR="00BD08C0" w:rsidRPr="00ED3700">
        <w:rPr>
          <w:rFonts w:asciiTheme="majorHAnsi" w:hAnsiTheme="majorHAnsi" w:cs="Times New Roman"/>
          <w:sz w:val="24"/>
          <w:szCs w:val="24"/>
        </w:rPr>
        <w:t xml:space="preserve">Plana </w:t>
      </w:r>
      <w:r w:rsidRPr="00ED3700">
        <w:rPr>
          <w:rFonts w:asciiTheme="majorHAnsi" w:hAnsiTheme="majorHAnsi" w:cs="Times New Roman"/>
          <w:sz w:val="24"/>
          <w:szCs w:val="24"/>
        </w:rPr>
        <w:t>izradili su članov</w:t>
      </w:r>
      <w:r w:rsidR="003B04FD">
        <w:rPr>
          <w:rFonts w:asciiTheme="majorHAnsi" w:hAnsiTheme="majorHAnsi" w:cs="Times New Roman"/>
          <w:sz w:val="24"/>
          <w:szCs w:val="24"/>
        </w:rPr>
        <w:t>i Nacionalne skupine za unapređiva</w:t>
      </w:r>
      <w:r w:rsidRPr="00ED3700">
        <w:rPr>
          <w:rFonts w:asciiTheme="majorHAnsi" w:hAnsiTheme="majorHAnsi" w:cs="Times New Roman"/>
          <w:sz w:val="24"/>
          <w:szCs w:val="24"/>
        </w:rPr>
        <w:t xml:space="preserve">nje socijalne dimenzije visokog obrazovanja. </w:t>
      </w:r>
    </w:p>
    <w:p w:rsidR="007E3C5B" w:rsidRPr="00ED3700" w:rsidRDefault="007E3C5B" w:rsidP="007E3C5B">
      <w:pPr>
        <w:jc w:val="both"/>
        <w:rPr>
          <w:rFonts w:asciiTheme="majorHAnsi" w:hAnsiTheme="majorHAnsi" w:cs="Times New Roman"/>
          <w:sz w:val="24"/>
          <w:szCs w:val="24"/>
        </w:rPr>
      </w:pPr>
    </w:p>
    <w:p w:rsidR="007E3C5B" w:rsidRPr="00ED3700" w:rsidRDefault="007E3C5B" w:rsidP="007E3C5B">
      <w:pPr>
        <w:jc w:val="both"/>
        <w:rPr>
          <w:rFonts w:asciiTheme="majorHAnsi" w:hAnsiTheme="majorHAnsi" w:cs="Times New Roman"/>
          <w:sz w:val="24"/>
          <w:szCs w:val="24"/>
        </w:rPr>
      </w:pPr>
      <w:r w:rsidRPr="00ED3700">
        <w:rPr>
          <w:rFonts w:asciiTheme="majorHAnsi" w:hAnsiTheme="majorHAnsi" w:cs="Times New Roman"/>
          <w:sz w:val="24"/>
          <w:szCs w:val="24"/>
        </w:rPr>
        <w:t>Četvrtu fazu čine konzultacije o prijedlogu Nacionalnog plana koje su provedene s predstavnicima Ministarstva znanosti</w:t>
      </w:r>
      <w:r w:rsidR="00D73DBD">
        <w:rPr>
          <w:rFonts w:asciiTheme="majorHAnsi" w:hAnsiTheme="majorHAnsi" w:cs="Times New Roman"/>
          <w:sz w:val="24"/>
          <w:szCs w:val="24"/>
        </w:rPr>
        <w:t xml:space="preserve"> i</w:t>
      </w:r>
      <w:r w:rsidRPr="00ED3700">
        <w:rPr>
          <w:rFonts w:asciiTheme="majorHAnsi" w:hAnsiTheme="majorHAnsi" w:cs="Times New Roman"/>
          <w:sz w:val="24"/>
          <w:szCs w:val="24"/>
        </w:rPr>
        <w:t xml:space="preserve"> obrazovanja</w:t>
      </w:r>
      <w:r w:rsidR="00D73DBD">
        <w:rPr>
          <w:rFonts w:asciiTheme="majorHAnsi" w:hAnsiTheme="majorHAnsi" w:cs="Times New Roman"/>
          <w:sz w:val="24"/>
          <w:szCs w:val="24"/>
        </w:rPr>
        <w:t xml:space="preserve">, </w:t>
      </w:r>
      <w:r w:rsidRPr="00ED3700">
        <w:rPr>
          <w:rFonts w:asciiTheme="majorHAnsi" w:hAnsiTheme="majorHAnsi" w:cs="Times New Roman"/>
          <w:sz w:val="24"/>
          <w:szCs w:val="24"/>
        </w:rPr>
        <w:t>Ministarstva</w:t>
      </w:r>
      <w:r w:rsidR="00D73DBD">
        <w:rPr>
          <w:rFonts w:asciiTheme="majorHAnsi" w:hAnsiTheme="majorHAnsi" w:cs="Times New Roman"/>
          <w:sz w:val="24"/>
          <w:szCs w:val="24"/>
        </w:rPr>
        <w:t xml:space="preserve"> za demografiju, obitelj, mlade i socijalnu politiku</w:t>
      </w:r>
      <w:r w:rsidRPr="00ED3700">
        <w:rPr>
          <w:rFonts w:asciiTheme="majorHAnsi" w:hAnsiTheme="majorHAnsi" w:cs="Times New Roman"/>
          <w:sz w:val="24"/>
          <w:szCs w:val="24"/>
        </w:rPr>
        <w:t>,</w:t>
      </w:r>
      <w:r w:rsidR="00822AD4">
        <w:rPr>
          <w:rFonts w:asciiTheme="majorHAnsi" w:hAnsiTheme="majorHAnsi" w:cs="Times New Roman"/>
          <w:sz w:val="24"/>
          <w:szCs w:val="24"/>
        </w:rPr>
        <w:t xml:space="preserve"> Ministarstva rada i mirovinskog sustava,</w:t>
      </w:r>
      <w:r w:rsidRPr="00ED3700">
        <w:rPr>
          <w:rFonts w:asciiTheme="majorHAnsi" w:hAnsiTheme="majorHAnsi" w:cs="Times New Roman"/>
          <w:sz w:val="24"/>
          <w:szCs w:val="24"/>
        </w:rPr>
        <w:t xml:space="preserve"> </w:t>
      </w:r>
      <w:r w:rsidR="005F1461">
        <w:rPr>
          <w:rFonts w:asciiTheme="majorHAnsi" w:hAnsiTheme="majorHAnsi" w:cs="Times New Roman"/>
          <w:sz w:val="24"/>
          <w:szCs w:val="24"/>
        </w:rPr>
        <w:t xml:space="preserve">Hrvatskog zavoda za zapošljavanje, Agencije za odgoj i obrazovanje, Agencije za strukovno obrazovanje i obrazovanje odraslih, </w:t>
      </w:r>
      <w:r w:rsidR="008F468A">
        <w:rPr>
          <w:rFonts w:asciiTheme="majorHAnsi" w:hAnsiTheme="majorHAnsi" w:cs="Times New Roman"/>
          <w:sz w:val="24"/>
          <w:szCs w:val="24"/>
        </w:rPr>
        <w:t xml:space="preserve">Hrvatskom udrugom poslodavaca, Hrvatskom gospodarskom komorom, </w:t>
      </w:r>
      <w:r w:rsidRPr="00ED3700">
        <w:rPr>
          <w:rFonts w:asciiTheme="majorHAnsi" w:hAnsiTheme="majorHAnsi" w:cs="Times New Roman"/>
          <w:sz w:val="24"/>
          <w:szCs w:val="24"/>
        </w:rPr>
        <w:t>prorektorima za nastavu i studente visokih učilišta, predstavnicima studenata</w:t>
      </w:r>
      <w:r w:rsidR="00D57280" w:rsidRPr="00ED3700">
        <w:rPr>
          <w:rFonts w:asciiTheme="majorHAnsi" w:hAnsiTheme="majorHAnsi" w:cs="Times New Roman"/>
          <w:sz w:val="24"/>
          <w:szCs w:val="24"/>
        </w:rPr>
        <w:t>, centrima za podršku studentima na visokim učilištima</w:t>
      </w:r>
      <w:r w:rsidRPr="00ED3700">
        <w:rPr>
          <w:rFonts w:asciiTheme="majorHAnsi" w:hAnsiTheme="majorHAnsi" w:cs="Times New Roman"/>
          <w:sz w:val="24"/>
          <w:szCs w:val="24"/>
        </w:rPr>
        <w:t xml:space="preserve"> te drugim relevantnim akterima u području visokog obrazovanja. </w:t>
      </w:r>
    </w:p>
    <w:p w:rsidR="007E3C5B" w:rsidRPr="00ED3700" w:rsidRDefault="007E3C5B" w:rsidP="007E3C5B">
      <w:pPr>
        <w:jc w:val="both"/>
        <w:rPr>
          <w:rFonts w:asciiTheme="majorHAnsi" w:hAnsiTheme="majorHAnsi" w:cs="Times New Roman"/>
          <w:sz w:val="24"/>
          <w:szCs w:val="24"/>
        </w:rPr>
      </w:pPr>
    </w:p>
    <w:p w:rsidR="007E3C5B" w:rsidRPr="00ED3700" w:rsidRDefault="007E3C5B" w:rsidP="007E3C5B">
      <w:pPr>
        <w:jc w:val="both"/>
        <w:rPr>
          <w:rFonts w:asciiTheme="majorHAnsi" w:hAnsiTheme="majorHAnsi" w:cs="Times New Roman"/>
          <w:sz w:val="24"/>
          <w:szCs w:val="24"/>
        </w:rPr>
      </w:pPr>
    </w:p>
    <w:p w:rsidR="007E3C5B" w:rsidRPr="00ED3700" w:rsidRDefault="007E3C5B">
      <w:pPr>
        <w:rPr>
          <w:rFonts w:asciiTheme="majorHAnsi" w:eastAsiaTheme="majorEastAsia" w:hAnsiTheme="majorHAnsi" w:cs="Times New Roman"/>
          <w:b/>
          <w:bCs/>
          <w:sz w:val="28"/>
          <w:szCs w:val="28"/>
        </w:rPr>
      </w:pPr>
      <w:r w:rsidRPr="00ED3700">
        <w:rPr>
          <w:rFonts w:asciiTheme="majorHAnsi" w:hAnsiTheme="majorHAnsi" w:cs="Times New Roman"/>
        </w:rPr>
        <w:br w:type="page"/>
      </w:r>
    </w:p>
    <w:p w:rsidR="00962DD4" w:rsidRPr="00ED3700" w:rsidRDefault="00962DD4" w:rsidP="00897A38">
      <w:pPr>
        <w:pStyle w:val="Heading2"/>
      </w:pPr>
      <w:r w:rsidRPr="00ED3700">
        <w:lastRenderedPageBreak/>
        <w:t>Ciljevi</w:t>
      </w:r>
    </w:p>
    <w:p w:rsidR="001F1144" w:rsidRPr="00ED3700" w:rsidRDefault="001F1144" w:rsidP="00897A38">
      <w:pPr>
        <w:pStyle w:val="Heading3"/>
        <w:rPr>
          <w:rStyle w:val="BookTitle"/>
          <w:sz w:val="28"/>
          <w:szCs w:val="28"/>
        </w:rPr>
      </w:pPr>
      <w:r w:rsidRPr="00ED3700">
        <w:rPr>
          <w:rStyle w:val="BookTitle"/>
          <w:sz w:val="28"/>
          <w:szCs w:val="28"/>
        </w:rPr>
        <w:t>Cilj 1: Ostvariti sustavno prikupljanje i obradu podatak</w:t>
      </w:r>
      <w:r w:rsidR="003B04FD">
        <w:rPr>
          <w:rStyle w:val="BookTitle"/>
          <w:sz w:val="28"/>
          <w:szCs w:val="28"/>
        </w:rPr>
        <w:t>a koji su relevantni za unapređiva</w:t>
      </w:r>
      <w:r w:rsidRPr="00ED3700">
        <w:rPr>
          <w:rStyle w:val="BookTitle"/>
          <w:sz w:val="28"/>
          <w:szCs w:val="28"/>
        </w:rPr>
        <w:t>nje socijalne dimenzije visokog obrazovanja te ih koristiti u tu svrhu</w:t>
      </w:r>
    </w:p>
    <w:p w:rsidR="001F1144" w:rsidRPr="00ED3700" w:rsidRDefault="001F1144" w:rsidP="001F1144">
      <w:pPr>
        <w:rPr>
          <w:rFonts w:asciiTheme="majorHAnsi" w:hAnsiTheme="majorHAnsi" w:cs="Times New Roman"/>
        </w:rPr>
      </w:pPr>
    </w:p>
    <w:tbl>
      <w:tblPr>
        <w:tblStyle w:val="TableGrid"/>
        <w:tblW w:w="0" w:type="auto"/>
        <w:tblLook w:val="04A0" w:firstRow="1" w:lastRow="0" w:firstColumn="1" w:lastColumn="0" w:noHBand="0" w:noVBand="1"/>
      </w:tblPr>
      <w:tblGrid>
        <w:gridCol w:w="2322"/>
        <w:gridCol w:w="2322"/>
        <w:gridCol w:w="2322"/>
        <w:gridCol w:w="2322"/>
      </w:tblGrid>
      <w:tr w:rsidR="001F1144" w:rsidRPr="00ED3700" w:rsidTr="002753B7">
        <w:tc>
          <w:tcPr>
            <w:tcW w:w="2322" w:type="dxa"/>
          </w:tcPr>
          <w:p w:rsidR="001F1144" w:rsidRPr="00ED3700" w:rsidRDefault="001F1144" w:rsidP="002753B7">
            <w:pPr>
              <w:rPr>
                <w:rFonts w:asciiTheme="majorHAnsi" w:hAnsiTheme="majorHAnsi" w:cs="Times New Roman"/>
                <w:sz w:val="20"/>
                <w:szCs w:val="20"/>
              </w:rPr>
            </w:pPr>
            <w:proofErr w:type="spellStart"/>
            <w:r w:rsidRPr="00ED3700">
              <w:rPr>
                <w:rFonts w:asciiTheme="majorHAnsi" w:hAnsiTheme="majorHAnsi" w:cs="Times New Roman"/>
                <w:sz w:val="20"/>
                <w:szCs w:val="20"/>
              </w:rPr>
              <w:t>Podcilj</w:t>
            </w:r>
            <w:proofErr w:type="spellEnd"/>
          </w:p>
        </w:tc>
        <w:tc>
          <w:tcPr>
            <w:tcW w:w="2322" w:type="dxa"/>
          </w:tcPr>
          <w:p w:rsidR="001F1144" w:rsidRPr="00ED3700" w:rsidRDefault="001F1144" w:rsidP="002753B7">
            <w:pPr>
              <w:rPr>
                <w:rFonts w:asciiTheme="majorHAnsi" w:hAnsiTheme="majorHAnsi" w:cs="Times New Roman"/>
                <w:sz w:val="20"/>
                <w:szCs w:val="20"/>
              </w:rPr>
            </w:pPr>
            <w:r w:rsidRPr="00ED3700">
              <w:rPr>
                <w:rFonts w:asciiTheme="majorHAnsi" w:hAnsiTheme="majorHAnsi" w:cs="Times New Roman"/>
                <w:sz w:val="20"/>
                <w:szCs w:val="20"/>
              </w:rPr>
              <w:t>Aktivnost</w:t>
            </w:r>
          </w:p>
        </w:tc>
        <w:tc>
          <w:tcPr>
            <w:tcW w:w="2322" w:type="dxa"/>
          </w:tcPr>
          <w:p w:rsidR="001F1144" w:rsidRPr="00ED3700" w:rsidRDefault="001F1144" w:rsidP="002753B7">
            <w:pPr>
              <w:rPr>
                <w:rFonts w:asciiTheme="majorHAnsi" w:hAnsiTheme="majorHAnsi" w:cs="Times New Roman"/>
                <w:sz w:val="20"/>
                <w:szCs w:val="20"/>
              </w:rPr>
            </w:pPr>
            <w:r w:rsidRPr="00ED3700">
              <w:rPr>
                <w:rFonts w:asciiTheme="majorHAnsi" w:hAnsiTheme="majorHAnsi" w:cs="Times New Roman"/>
                <w:sz w:val="20"/>
                <w:szCs w:val="20"/>
              </w:rPr>
              <w:t>Odgovornost</w:t>
            </w:r>
          </w:p>
        </w:tc>
        <w:tc>
          <w:tcPr>
            <w:tcW w:w="2322" w:type="dxa"/>
          </w:tcPr>
          <w:p w:rsidR="001F1144" w:rsidRPr="00ED3700" w:rsidRDefault="001F1144" w:rsidP="002753B7">
            <w:pPr>
              <w:rPr>
                <w:rFonts w:asciiTheme="majorHAnsi" w:hAnsiTheme="majorHAnsi" w:cs="Times New Roman"/>
                <w:sz w:val="20"/>
                <w:szCs w:val="20"/>
              </w:rPr>
            </w:pPr>
            <w:r w:rsidRPr="00ED3700">
              <w:rPr>
                <w:rFonts w:asciiTheme="majorHAnsi" w:hAnsiTheme="majorHAnsi" w:cs="Times New Roman"/>
                <w:sz w:val="20"/>
                <w:szCs w:val="20"/>
              </w:rPr>
              <w:t>Indikator</w:t>
            </w:r>
          </w:p>
        </w:tc>
      </w:tr>
      <w:tr w:rsidR="00D72B75" w:rsidRPr="00ED3700" w:rsidTr="002753B7">
        <w:tc>
          <w:tcPr>
            <w:tcW w:w="2322" w:type="dxa"/>
          </w:tcPr>
          <w:p w:rsidR="00D72B75" w:rsidRPr="00ED3700" w:rsidRDefault="00D72B75" w:rsidP="006759C5">
            <w:pPr>
              <w:rPr>
                <w:rFonts w:asciiTheme="majorHAnsi" w:hAnsiTheme="majorHAnsi" w:cs="Times New Roman"/>
                <w:sz w:val="20"/>
                <w:szCs w:val="20"/>
              </w:rPr>
            </w:pPr>
            <w:r w:rsidRPr="00ED3700">
              <w:rPr>
                <w:rFonts w:asciiTheme="majorHAnsi" w:hAnsiTheme="majorHAnsi" w:cs="Times New Roman"/>
                <w:sz w:val="20"/>
                <w:szCs w:val="20"/>
              </w:rPr>
              <w:t xml:space="preserve">1.1. </w:t>
            </w:r>
            <w:r w:rsidR="002031F1" w:rsidRPr="00ED3700">
              <w:rPr>
                <w:rFonts w:asciiTheme="majorHAnsi" w:hAnsiTheme="majorHAnsi" w:cs="Times New Roman"/>
                <w:sz w:val="20"/>
                <w:szCs w:val="20"/>
              </w:rPr>
              <w:t>Om</w:t>
            </w:r>
            <w:r w:rsidR="00F71972" w:rsidRPr="00ED3700">
              <w:rPr>
                <w:rFonts w:asciiTheme="majorHAnsi" w:hAnsiTheme="majorHAnsi" w:cs="Times New Roman"/>
                <w:sz w:val="20"/>
                <w:szCs w:val="20"/>
              </w:rPr>
              <w:t xml:space="preserve">ogućiti da se podaci o studentima </w:t>
            </w:r>
            <w:r w:rsidR="002031F1" w:rsidRPr="00ED3700">
              <w:rPr>
                <w:rFonts w:asciiTheme="majorHAnsi" w:hAnsiTheme="majorHAnsi" w:cs="Times New Roman"/>
                <w:sz w:val="20"/>
                <w:szCs w:val="20"/>
              </w:rPr>
              <w:t>upisuju samo jedanput i to u</w:t>
            </w:r>
            <w:r w:rsidR="00042AB4">
              <w:rPr>
                <w:rFonts w:asciiTheme="majorHAnsi" w:hAnsiTheme="majorHAnsi" w:cs="Times New Roman"/>
                <w:sz w:val="20"/>
                <w:szCs w:val="20"/>
              </w:rPr>
              <w:t xml:space="preserve"> evidenciju o studentima</w:t>
            </w:r>
            <w:r w:rsidR="00D47533">
              <w:rPr>
                <w:rFonts w:asciiTheme="majorHAnsi" w:hAnsiTheme="majorHAnsi" w:cs="Times New Roman"/>
                <w:sz w:val="20"/>
                <w:szCs w:val="20"/>
              </w:rPr>
              <w:t xml:space="preserve"> koju vodi vi</w:t>
            </w:r>
            <w:r w:rsidR="00034C55">
              <w:rPr>
                <w:rFonts w:asciiTheme="majorHAnsi" w:hAnsiTheme="majorHAnsi" w:cs="Times New Roman"/>
                <w:sz w:val="20"/>
                <w:szCs w:val="20"/>
              </w:rPr>
              <w:t>s</w:t>
            </w:r>
            <w:r w:rsidR="00D47533">
              <w:rPr>
                <w:rFonts w:asciiTheme="majorHAnsi" w:hAnsiTheme="majorHAnsi" w:cs="Times New Roman"/>
                <w:sz w:val="20"/>
                <w:szCs w:val="20"/>
              </w:rPr>
              <w:t>oko učilište</w:t>
            </w:r>
            <w:r w:rsidR="002031F1" w:rsidRPr="00ED3700">
              <w:rPr>
                <w:rFonts w:asciiTheme="majorHAnsi" w:hAnsiTheme="majorHAnsi" w:cs="Times New Roman"/>
                <w:sz w:val="20"/>
                <w:szCs w:val="20"/>
              </w:rPr>
              <w:t xml:space="preserve">.  </w:t>
            </w:r>
          </w:p>
        </w:tc>
        <w:tc>
          <w:tcPr>
            <w:tcW w:w="2322" w:type="dxa"/>
          </w:tcPr>
          <w:p w:rsidR="00D72B75" w:rsidRPr="00ED3700" w:rsidRDefault="00AC0B85" w:rsidP="002753B7">
            <w:pPr>
              <w:rPr>
                <w:rFonts w:asciiTheme="majorHAnsi" w:hAnsiTheme="majorHAnsi" w:cs="Times New Roman"/>
                <w:sz w:val="20"/>
                <w:szCs w:val="20"/>
              </w:rPr>
            </w:pPr>
            <w:r w:rsidRPr="00ED3700">
              <w:rPr>
                <w:rFonts w:asciiTheme="majorHAnsi" w:hAnsiTheme="majorHAnsi" w:cs="Times New Roman"/>
                <w:sz w:val="20"/>
                <w:szCs w:val="20"/>
              </w:rPr>
              <w:t xml:space="preserve">Integrirati postojeće baze podataka o studentima. </w:t>
            </w:r>
            <w:r w:rsidR="002031F1" w:rsidRPr="00ED3700">
              <w:rPr>
                <w:rFonts w:asciiTheme="majorHAnsi" w:hAnsiTheme="majorHAnsi" w:cs="Times New Roman"/>
                <w:sz w:val="20"/>
                <w:szCs w:val="20"/>
              </w:rPr>
              <w:t xml:space="preserve"> </w:t>
            </w:r>
          </w:p>
        </w:tc>
        <w:tc>
          <w:tcPr>
            <w:tcW w:w="2322" w:type="dxa"/>
          </w:tcPr>
          <w:p w:rsidR="00D72B75" w:rsidRPr="00ED3700" w:rsidRDefault="004E1F59" w:rsidP="002753B7">
            <w:pPr>
              <w:rPr>
                <w:rFonts w:asciiTheme="majorHAnsi" w:hAnsiTheme="majorHAnsi" w:cs="Times New Roman"/>
                <w:sz w:val="20"/>
                <w:szCs w:val="20"/>
              </w:rPr>
            </w:pPr>
            <w:r w:rsidRPr="00ED3700">
              <w:rPr>
                <w:rFonts w:asciiTheme="majorHAnsi" w:hAnsiTheme="majorHAnsi" w:cs="Times New Roman"/>
                <w:sz w:val="20"/>
                <w:szCs w:val="20"/>
              </w:rPr>
              <w:t>MZO</w:t>
            </w:r>
          </w:p>
        </w:tc>
        <w:tc>
          <w:tcPr>
            <w:tcW w:w="2322" w:type="dxa"/>
          </w:tcPr>
          <w:p w:rsidR="00D72B75" w:rsidRPr="00ED3700" w:rsidRDefault="00D84A4C" w:rsidP="00042AB4">
            <w:pPr>
              <w:rPr>
                <w:rFonts w:asciiTheme="majorHAnsi" w:hAnsiTheme="majorHAnsi" w:cs="Times New Roman"/>
                <w:sz w:val="20"/>
                <w:szCs w:val="20"/>
              </w:rPr>
            </w:pPr>
            <w:r>
              <w:rPr>
                <w:rFonts w:asciiTheme="majorHAnsi" w:hAnsiTheme="majorHAnsi" w:cs="Times New Roman"/>
                <w:sz w:val="20"/>
                <w:szCs w:val="20"/>
              </w:rPr>
              <w:t xml:space="preserve">Podaci </w:t>
            </w:r>
            <w:r w:rsidR="004D51AA">
              <w:rPr>
                <w:rFonts w:asciiTheme="majorHAnsi" w:hAnsiTheme="majorHAnsi" w:cs="Times New Roman"/>
                <w:sz w:val="20"/>
                <w:szCs w:val="20"/>
              </w:rPr>
              <w:t xml:space="preserve"> o studentima </w:t>
            </w:r>
            <w:r>
              <w:rPr>
                <w:rFonts w:asciiTheme="majorHAnsi" w:hAnsiTheme="majorHAnsi" w:cs="Times New Roman"/>
                <w:sz w:val="20"/>
                <w:szCs w:val="20"/>
              </w:rPr>
              <w:t>se upisuju samo jednom</w:t>
            </w:r>
            <w:r w:rsidR="00042AB4">
              <w:rPr>
                <w:rFonts w:asciiTheme="majorHAnsi" w:hAnsiTheme="majorHAnsi" w:cs="Times New Roman"/>
                <w:sz w:val="20"/>
                <w:szCs w:val="20"/>
              </w:rPr>
              <w:t xml:space="preserve"> a koriste se u više evidencija</w:t>
            </w:r>
            <w:r>
              <w:rPr>
                <w:rFonts w:asciiTheme="majorHAnsi" w:hAnsiTheme="majorHAnsi" w:cs="Times New Roman"/>
                <w:sz w:val="20"/>
                <w:szCs w:val="20"/>
              </w:rPr>
              <w:t xml:space="preserve"> . </w:t>
            </w:r>
            <w:r w:rsidR="006F5FFC">
              <w:rPr>
                <w:rFonts w:asciiTheme="majorHAnsi" w:hAnsiTheme="majorHAnsi" w:cs="Times New Roman"/>
                <w:sz w:val="20"/>
                <w:szCs w:val="20"/>
              </w:rPr>
              <w:t xml:space="preserve"> </w:t>
            </w:r>
            <w:r w:rsidR="00F01CCE">
              <w:rPr>
                <w:rFonts w:asciiTheme="majorHAnsi" w:hAnsiTheme="majorHAnsi" w:cs="Times New Roman"/>
                <w:sz w:val="20"/>
                <w:szCs w:val="20"/>
              </w:rPr>
              <w:t xml:space="preserve"> </w:t>
            </w:r>
            <w:r w:rsidR="00AC0B85" w:rsidRPr="00ED3700">
              <w:rPr>
                <w:rFonts w:asciiTheme="majorHAnsi" w:hAnsiTheme="majorHAnsi" w:cs="Times New Roman"/>
                <w:sz w:val="20"/>
                <w:szCs w:val="20"/>
              </w:rPr>
              <w:t xml:space="preserve"> </w:t>
            </w:r>
          </w:p>
        </w:tc>
      </w:tr>
      <w:tr w:rsidR="001F1144" w:rsidRPr="00ED3700" w:rsidTr="002753B7">
        <w:tc>
          <w:tcPr>
            <w:tcW w:w="2322" w:type="dxa"/>
          </w:tcPr>
          <w:p w:rsidR="001F1144" w:rsidRPr="00ED3700" w:rsidRDefault="001F1144" w:rsidP="009B57A1">
            <w:pPr>
              <w:rPr>
                <w:rFonts w:asciiTheme="majorHAnsi" w:hAnsiTheme="majorHAnsi" w:cs="Times New Roman"/>
                <w:sz w:val="20"/>
                <w:szCs w:val="20"/>
              </w:rPr>
            </w:pPr>
            <w:r w:rsidRPr="00ED3700">
              <w:rPr>
                <w:rFonts w:asciiTheme="majorHAnsi" w:hAnsiTheme="majorHAnsi" w:cs="Times New Roman"/>
                <w:sz w:val="20"/>
                <w:szCs w:val="20"/>
              </w:rPr>
              <w:t>1</w:t>
            </w:r>
            <w:r w:rsidR="00952FC2" w:rsidRPr="00ED3700">
              <w:rPr>
                <w:rFonts w:asciiTheme="majorHAnsi" w:hAnsiTheme="majorHAnsi" w:cs="Times New Roman"/>
                <w:sz w:val="20"/>
                <w:szCs w:val="20"/>
              </w:rPr>
              <w:t>.2</w:t>
            </w:r>
            <w:r w:rsidRPr="00ED3700">
              <w:rPr>
                <w:rFonts w:asciiTheme="majorHAnsi" w:hAnsiTheme="majorHAnsi" w:cs="Times New Roman"/>
                <w:sz w:val="20"/>
                <w:szCs w:val="20"/>
              </w:rPr>
              <w:t>. Učiniti</w:t>
            </w:r>
            <w:r w:rsidR="00AB115B" w:rsidRPr="00ED3700">
              <w:rPr>
                <w:rFonts w:asciiTheme="majorHAnsi" w:hAnsiTheme="majorHAnsi" w:cs="Times New Roman"/>
                <w:sz w:val="20"/>
                <w:szCs w:val="20"/>
              </w:rPr>
              <w:t xml:space="preserve"> </w:t>
            </w:r>
            <w:r w:rsidR="002B39F6" w:rsidRPr="00ED3700">
              <w:rPr>
                <w:rFonts w:asciiTheme="majorHAnsi" w:hAnsiTheme="majorHAnsi" w:cs="Times New Roman"/>
                <w:sz w:val="20"/>
                <w:szCs w:val="20"/>
              </w:rPr>
              <w:t xml:space="preserve">postojeće </w:t>
            </w:r>
            <w:r w:rsidRPr="00ED3700">
              <w:rPr>
                <w:rFonts w:asciiTheme="majorHAnsi" w:hAnsiTheme="majorHAnsi" w:cs="Times New Roman"/>
                <w:sz w:val="20"/>
                <w:szCs w:val="20"/>
              </w:rPr>
              <w:t xml:space="preserve">podatke o </w:t>
            </w:r>
            <w:r w:rsidR="009B57A1" w:rsidRPr="00ED3700">
              <w:rPr>
                <w:rFonts w:asciiTheme="majorHAnsi" w:hAnsiTheme="majorHAnsi" w:cs="Times New Roman"/>
                <w:sz w:val="20"/>
                <w:szCs w:val="20"/>
              </w:rPr>
              <w:t>socijalnom i ekonomskom statusu</w:t>
            </w:r>
            <w:r w:rsidRPr="00ED3700">
              <w:rPr>
                <w:rFonts w:asciiTheme="majorHAnsi" w:hAnsiTheme="majorHAnsi" w:cs="Times New Roman"/>
                <w:sz w:val="20"/>
                <w:szCs w:val="20"/>
              </w:rPr>
              <w:t xml:space="preserve"> studentskog tijela na svim razinama visokog obrazovanja u Hrvatskoj javno dostupnim. </w:t>
            </w:r>
          </w:p>
        </w:tc>
        <w:tc>
          <w:tcPr>
            <w:tcW w:w="2322" w:type="dxa"/>
          </w:tcPr>
          <w:p w:rsidR="001F1144" w:rsidRPr="00ED3700" w:rsidRDefault="001F1144" w:rsidP="00393E8E">
            <w:pPr>
              <w:rPr>
                <w:rFonts w:asciiTheme="majorHAnsi" w:hAnsiTheme="majorHAnsi" w:cs="Times New Roman"/>
                <w:sz w:val="20"/>
                <w:szCs w:val="20"/>
              </w:rPr>
            </w:pPr>
            <w:r w:rsidRPr="00ED3700">
              <w:rPr>
                <w:rFonts w:asciiTheme="majorHAnsi" w:hAnsiTheme="majorHAnsi" w:cs="Times New Roman"/>
                <w:sz w:val="20"/>
                <w:szCs w:val="20"/>
              </w:rPr>
              <w:t xml:space="preserve">Sistematizirati postojeće podatke Državnog zavoda za statistiku (ŠV20 formular) o socijalnom </w:t>
            </w:r>
            <w:r w:rsidR="00393E8E">
              <w:rPr>
                <w:rFonts w:asciiTheme="majorHAnsi" w:hAnsiTheme="majorHAnsi" w:cs="Times New Roman"/>
                <w:sz w:val="20"/>
                <w:szCs w:val="20"/>
              </w:rPr>
              <w:t>i ekonomskom statusu</w:t>
            </w:r>
            <w:r w:rsidRPr="00ED3700">
              <w:rPr>
                <w:rFonts w:asciiTheme="majorHAnsi" w:hAnsiTheme="majorHAnsi" w:cs="Times New Roman"/>
                <w:sz w:val="20"/>
                <w:szCs w:val="20"/>
              </w:rPr>
              <w:t xml:space="preserve"> studentskog tijela na svim razinama visokog obrazovanja.</w:t>
            </w:r>
          </w:p>
        </w:tc>
        <w:tc>
          <w:tcPr>
            <w:tcW w:w="2322" w:type="dxa"/>
          </w:tcPr>
          <w:p w:rsidR="009D69F9" w:rsidRPr="00ED3700" w:rsidRDefault="004E1F59" w:rsidP="002753B7">
            <w:pPr>
              <w:rPr>
                <w:rFonts w:asciiTheme="majorHAnsi" w:hAnsiTheme="majorHAnsi" w:cs="Times New Roman"/>
                <w:sz w:val="20"/>
                <w:szCs w:val="20"/>
              </w:rPr>
            </w:pPr>
            <w:r w:rsidRPr="00ED3700">
              <w:rPr>
                <w:rFonts w:asciiTheme="majorHAnsi" w:hAnsiTheme="majorHAnsi" w:cs="Times New Roman"/>
                <w:sz w:val="20"/>
                <w:szCs w:val="20"/>
              </w:rPr>
              <w:t>MZO</w:t>
            </w:r>
            <w:r w:rsidR="0095568E" w:rsidRPr="00ED3700">
              <w:rPr>
                <w:rFonts w:asciiTheme="majorHAnsi" w:hAnsiTheme="majorHAnsi" w:cs="Times New Roman"/>
                <w:sz w:val="20"/>
                <w:szCs w:val="20"/>
              </w:rPr>
              <w:t xml:space="preserve">  </w:t>
            </w:r>
            <w:r w:rsidR="009E1028" w:rsidRPr="00ED3700">
              <w:rPr>
                <w:rFonts w:asciiTheme="majorHAnsi" w:hAnsiTheme="majorHAnsi" w:cs="Times New Roman"/>
                <w:sz w:val="20"/>
                <w:szCs w:val="20"/>
              </w:rPr>
              <w:t>u suradnji sa stručnjacima</w:t>
            </w:r>
          </w:p>
        </w:tc>
        <w:tc>
          <w:tcPr>
            <w:tcW w:w="2322" w:type="dxa"/>
          </w:tcPr>
          <w:p w:rsidR="001F1144" w:rsidRPr="00ED3700" w:rsidRDefault="001F1144" w:rsidP="001679A8">
            <w:pPr>
              <w:rPr>
                <w:rFonts w:asciiTheme="majorHAnsi" w:hAnsiTheme="majorHAnsi" w:cs="Times New Roman"/>
                <w:sz w:val="20"/>
                <w:szCs w:val="20"/>
              </w:rPr>
            </w:pPr>
            <w:r w:rsidRPr="00ED3700">
              <w:rPr>
                <w:rFonts w:asciiTheme="majorHAnsi" w:hAnsiTheme="majorHAnsi" w:cs="Times New Roman"/>
                <w:sz w:val="20"/>
                <w:szCs w:val="20"/>
              </w:rPr>
              <w:t xml:space="preserve">Podaci o socijalnom </w:t>
            </w:r>
            <w:r w:rsidR="00952FC2" w:rsidRPr="00ED3700">
              <w:rPr>
                <w:rFonts w:asciiTheme="majorHAnsi" w:hAnsiTheme="majorHAnsi" w:cs="Times New Roman"/>
                <w:sz w:val="20"/>
                <w:szCs w:val="20"/>
              </w:rPr>
              <w:t>i ekonomskom statusu</w:t>
            </w:r>
            <w:r w:rsidRPr="00ED3700">
              <w:rPr>
                <w:rFonts w:asciiTheme="majorHAnsi" w:hAnsiTheme="majorHAnsi" w:cs="Times New Roman"/>
                <w:sz w:val="20"/>
                <w:szCs w:val="20"/>
              </w:rPr>
              <w:t xml:space="preserve"> studenata objavljeni na mrežnoj stranici </w:t>
            </w:r>
            <w:r w:rsidR="004E1F59" w:rsidRPr="00ED3700">
              <w:rPr>
                <w:rFonts w:asciiTheme="majorHAnsi" w:hAnsiTheme="majorHAnsi" w:cs="Times New Roman"/>
                <w:sz w:val="20"/>
                <w:szCs w:val="20"/>
              </w:rPr>
              <w:t>MZO</w:t>
            </w:r>
            <w:r w:rsidR="00A241D5" w:rsidRPr="00ED3700">
              <w:rPr>
                <w:rFonts w:asciiTheme="majorHAnsi" w:hAnsiTheme="majorHAnsi" w:cs="Times New Roman"/>
                <w:sz w:val="20"/>
                <w:szCs w:val="20"/>
              </w:rPr>
              <w:t>-</w:t>
            </w:r>
            <w:r w:rsidR="001679A8" w:rsidRPr="00ED3700">
              <w:rPr>
                <w:rFonts w:asciiTheme="majorHAnsi" w:hAnsiTheme="majorHAnsi" w:cs="Times New Roman"/>
                <w:sz w:val="20"/>
                <w:szCs w:val="20"/>
              </w:rPr>
              <w:t>a</w:t>
            </w:r>
            <w:r w:rsidRPr="00ED3700">
              <w:rPr>
                <w:rFonts w:asciiTheme="majorHAnsi" w:hAnsiTheme="majorHAnsi" w:cs="Times New Roman"/>
                <w:sz w:val="20"/>
                <w:szCs w:val="20"/>
              </w:rPr>
              <w:t xml:space="preserve">. </w:t>
            </w:r>
          </w:p>
        </w:tc>
      </w:tr>
      <w:tr w:rsidR="001F1144" w:rsidRPr="00ED3700" w:rsidTr="002753B7">
        <w:tc>
          <w:tcPr>
            <w:tcW w:w="2322" w:type="dxa"/>
          </w:tcPr>
          <w:p w:rsidR="001F1144" w:rsidRPr="00ED3700" w:rsidRDefault="00952FC2" w:rsidP="002753B7">
            <w:pPr>
              <w:rPr>
                <w:rFonts w:asciiTheme="majorHAnsi" w:hAnsiTheme="majorHAnsi" w:cs="Times New Roman"/>
                <w:sz w:val="20"/>
                <w:szCs w:val="20"/>
              </w:rPr>
            </w:pPr>
            <w:r w:rsidRPr="00ED3700">
              <w:rPr>
                <w:rFonts w:asciiTheme="majorHAnsi" w:hAnsiTheme="majorHAnsi" w:cs="Times New Roman"/>
                <w:sz w:val="20"/>
                <w:szCs w:val="20"/>
              </w:rPr>
              <w:t>1.3</w:t>
            </w:r>
            <w:r w:rsidR="00A241D5" w:rsidRPr="00ED3700">
              <w:rPr>
                <w:rFonts w:asciiTheme="majorHAnsi" w:hAnsiTheme="majorHAnsi" w:cs="Times New Roman"/>
                <w:sz w:val="20"/>
                <w:szCs w:val="20"/>
              </w:rPr>
              <w:t xml:space="preserve">. Provesti istraživanja </w:t>
            </w:r>
            <w:r w:rsidR="001F1144" w:rsidRPr="00ED3700">
              <w:rPr>
                <w:rFonts w:asciiTheme="majorHAnsi" w:hAnsiTheme="majorHAnsi" w:cs="Times New Roman"/>
                <w:sz w:val="20"/>
                <w:szCs w:val="20"/>
              </w:rPr>
              <w:t xml:space="preserve">o obrazovnim iskustvima studenata i studentica iz ranjivih skupina, a o kojima postoje nedostatni uvidi (vidjeti dokument u prilogu). </w:t>
            </w:r>
          </w:p>
        </w:tc>
        <w:tc>
          <w:tcPr>
            <w:tcW w:w="2322" w:type="dxa"/>
          </w:tcPr>
          <w:p w:rsidR="001F1144" w:rsidRPr="00ED3700" w:rsidRDefault="001F1144" w:rsidP="00952FC2">
            <w:pPr>
              <w:rPr>
                <w:rFonts w:asciiTheme="majorHAnsi" w:hAnsiTheme="majorHAnsi" w:cs="Times New Roman"/>
                <w:sz w:val="20"/>
                <w:szCs w:val="20"/>
              </w:rPr>
            </w:pPr>
            <w:r w:rsidRPr="00ED3700">
              <w:rPr>
                <w:rFonts w:asciiTheme="majorHAnsi" w:hAnsiTheme="majorHAnsi" w:cs="Times New Roman"/>
                <w:sz w:val="20"/>
                <w:szCs w:val="20"/>
              </w:rPr>
              <w:t>Prikupiti i obraditi podatke o ranjivim skupinama, na svim razinama visokog obrazovanja, o kojima postoje nedostatni uvidi (udio tih studenata, teškoće s kojima se susreću za vrijeme studija</w:t>
            </w:r>
            <w:r w:rsidR="003B04FD">
              <w:rPr>
                <w:rFonts w:asciiTheme="majorHAnsi" w:hAnsiTheme="majorHAnsi" w:cs="Times New Roman"/>
                <w:sz w:val="20"/>
                <w:szCs w:val="20"/>
              </w:rPr>
              <w:t>, njihovi prijedlozi za unapređiva</w:t>
            </w:r>
            <w:r w:rsidRPr="00ED3700">
              <w:rPr>
                <w:rFonts w:asciiTheme="majorHAnsi" w:hAnsiTheme="majorHAnsi" w:cs="Times New Roman"/>
                <w:sz w:val="20"/>
                <w:szCs w:val="20"/>
              </w:rPr>
              <w:t xml:space="preserve">nje kvalitete studija). </w:t>
            </w:r>
          </w:p>
        </w:tc>
        <w:tc>
          <w:tcPr>
            <w:tcW w:w="2322" w:type="dxa"/>
          </w:tcPr>
          <w:p w:rsidR="001F1144" w:rsidRPr="00ED3700" w:rsidRDefault="001679A8" w:rsidP="002753B7">
            <w:pPr>
              <w:rPr>
                <w:rFonts w:asciiTheme="majorHAnsi" w:hAnsiTheme="majorHAnsi" w:cs="Times New Roman"/>
                <w:sz w:val="20"/>
                <w:szCs w:val="20"/>
              </w:rPr>
            </w:pPr>
            <w:r w:rsidRPr="00ED3700">
              <w:rPr>
                <w:rFonts w:asciiTheme="majorHAnsi" w:hAnsiTheme="majorHAnsi" w:cs="Times New Roman"/>
                <w:sz w:val="20"/>
                <w:szCs w:val="20"/>
              </w:rPr>
              <w:t>V</w:t>
            </w:r>
            <w:r w:rsidR="001F1144" w:rsidRPr="00ED3700">
              <w:rPr>
                <w:rFonts w:asciiTheme="majorHAnsi" w:hAnsiTheme="majorHAnsi" w:cs="Times New Roman"/>
                <w:sz w:val="20"/>
                <w:szCs w:val="20"/>
              </w:rPr>
              <w:t>isoka učilišta, nezavisni istraživački tim</w:t>
            </w:r>
          </w:p>
        </w:tc>
        <w:tc>
          <w:tcPr>
            <w:tcW w:w="2322" w:type="dxa"/>
          </w:tcPr>
          <w:p w:rsidR="001F1144" w:rsidRPr="00ED3700" w:rsidRDefault="00A241D5" w:rsidP="001679A8">
            <w:pPr>
              <w:rPr>
                <w:rFonts w:asciiTheme="majorHAnsi" w:hAnsiTheme="majorHAnsi" w:cs="Times New Roman"/>
                <w:sz w:val="20"/>
                <w:szCs w:val="20"/>
              </w:rPr>
            </w:pPr>
            <w:r w:rsidRPr="00ED3700">
              <w:rPr>
                <w:rFonts w:asciiTheme="majorHAnsi" w:hAnsiTheme="majorHAnsi" w:cs="Times New Roman"/>
                <w:sz w:val="20"/>
                <w:szCs w:val="20"/>
              </w:rPr>
              <w:t>Izvješća o provedenim istraživanjima objavljena</w:t>
            </w:r>
            <w:r w:rsidR="001F1144" w:rsidRPr="00ED3700">
              <w:rPr>
                <w:rFonts w:asciiTheme="majorHAnsi" w:hAnsiTheme="majorHAnsi" w:cs="Times New Roman"/>
                <w:sz w:val="20"/>
                <w:szCs w:val="20"/>
              </w:rPr>
              <w:t xml:space="preserve"> na mrežnoj stranici </w:t>
            </w:r>
            <w:r w:rsidR="004E1F59" w:rsidRPr="00ED3700">
              <w:rPr>
                <w:rFonts w:asciiTheme="majorHAnsi" w:hAnsiTheme="majorHAnsi" w:cs="Times New Roman"/>
                <w:sz w:val="20"/>
                <w:szCs w:val="20"/>
              </w:rPr>
              <w:t>MZO</w:t>
            </w:r>
            <w:r w:rsidRPr="00ED3700">
              <w:rPr>
                <w:rFonts w:asciiTheme="majorHAnsi" w:hAnsiTheme="majorHAnsi" w:cs="Times New Roman"/>
                <w:sz w:val="20"/>
                <w:szCs w:val="20"/>
              </w:rPr>
              <w:t>-</w:t>
            </w:r>
            <w:r w:rsidR="001679A8" w:rsidRPr="00ED3700">
              <w:rPr>
                <w:rFonts w:asciiTheme="majorHAnsi" w:hAnsiTheme="majorHAnsi" w:cs="Times New Roman"/>
                <w:sz w:val="20"/>
                <w:szCs w:val="20"/>
              </w:rPr>
              <w:t>a</w:t>
            </w:r>
            <w:r w:rsidR="001F1144" w:rsidRPr="00ED3700">
              <w:rPr>
                <w:rFonts w:asciiTheme="majorHAnsi" w:hAnsiTheme="majorHAnsi" w:cs="Times New Roman"/>
                <w:sz w:val="20"/>
                <w:szCs w:val="20"/>
              </w:rPr>
              <w:t xml:space="preserve">. </w:t>
            </w:r>
          </w:p>
        </w:tc>
      </w:tr>
      <w:tr w:rsidR="001F1144" w:rsidRPr="00ED3700" w:rsidTr="002753B7">
        <w:tc>
          <w:tcPr>
            <w:tcW w:w="2322" w:type="dxa"/>
          </w:tcPr>
          <w:p w:rsidR="001F1144" w:rsidRPr="00ED3700" w:rsidRDefault="004E1F59" w:rsidP="002753B7">
            <w:pPr>
              <w:rPr>
                <w:rFonts w:asciiTheme="majorHAnsi" w:hAnsiTheme="majorHAnsi" w:cs="Times New Roman"/>
                <w:sz w:val="20"/>
                <w:szCs w:val="20"/>
              </w:rPr>
            </w:pPr>
            <w:r w:rsidRPr="00ED3700">
              <w:rPr>
                <w:rFonts w:asciiTheme="majorHAnsi" w:hAnsiTheme="majorHAnsi" w:cs="Times New Roman"/>
                <w:sz w:val="20"/>
                <w:szCs w:val="20"/>
              </w:rPr>
              <w:t>1.4</w:t>
            </w:r>
            <w:r w:rsidR="001F1144" w:rsidRPr="00ED3700">
              <w:rPr>
                <w:rFonts w:asciiTheme="majorHAnsi" w:hAnsiTheme="majorHAnsi" w:cs="Times New Roman"/>
                <w:sz w:val="20"/>
                <w:szCs w:val="20"/>
              </w:rPr>
              <w:t xml:space="preserve">. Omogućiti prikupljanje i analizu komparativnih podataka o socijalnoj dimenziji visokog obrazovanja. </w:t>
            </w:r>
          </w:p>
        </w:tc>
        <w:tc>
          <w:tcPr>
            <w:tcW w:w="2322" w:type="dxa"/>
          </w:tcPr>
          <w:p w:rsidR="001F1144" w:rsidRPr="00ED3700" w:rsidRDefault="001F1144" w:rsidP="002753B7">
            <w:pPr>
              <w:rPr>
                <w:rFonts w:asciiTheme="majorHAnsi" w:hAnsiTheme="majorHAnsi" w:cs="Times New Roman"/>
                <w:sz w:val="20"/>
                <w:szCs w:val="20"/>
              </w:rPr>
            </w:pPr>
            <w:r w:rsidRPr="00ED3700">
              <w:rPr>
                <w:rFonts w:asciiTheme="majorHAnsi" w:hAnsiTheme="majorHAnsi" w:cs="Times New Roman"/>
                <w:sz w:val="20"/>
                <w:szCs w:val="20"/>
              </w:rPr>
              <w:t xml:space="preserve">Osigurati sredstva za periodično provođenje </w:t>
            </w:r>
            <w:proofErr w:type="spellStart"/>
            <w:r w:rsidRPr="00ED3700">
              <w:rPr>
                <w:rFonts w:asciiTheme="majorHAnsi" w:hAnsiTheme="majorHAnsi" w:cs="Times New Roman"/>
                <w:sz w:val="20"/>
                <w:szCs w:val="20"/>
              </w:rPr>
              <w:t>Eurostudent</w:t>
            </w:r>
            <w:proofErr w:type="spellEnd"/>
            <w:r w:rsidRPr="00ED3700">
              <w:rPr>
                <w:rFonts w:asciiTheme="majorHAnsi" w:hAnsiTheme="majorHAnsi" w:cs="Times New Roman"/>
                <w:sz w:val="20"/>
                <w:szCs w:val="20"/>
              </w:rPr>
              <w:t xml:space="preserve"> istraživanja u Hrvatskoj.</w:t>
            </w:r>
          </w:p>
        </w:tc>
        <w:tc>
          <w:tcPr>
            <w:tcW w:w="2322" w:type="dxa"/>
          </w:tcPr>
          <w:p w:rsidR="001F1144" w:rsidRPr="00ED3700" w:rsidRDefault="004E1F59" w:rsidP="002753B7">
            <w:pPr>
              <w:rPr>
                <w:rFonts w:asciiTheme="majorHAnsi" w:hAnsiTheme="majorHAnsi" w:cs="Times New Roman"/>
                <w:sz w:val="20"/>
                <w:szCs w:val="20"/>
              </w:rPr>
            </w:pPr>
            <w:r w:rsidRPr="00ED3700">
              <w:rPr>
                <w:rFonts w:asciiTheme="majorHAnsi" w:hAnsiTheme="majorHAnsi" w:cs="Times New Roman"/>
                <w:sz w:val="20"/>
                <w:szCs w:val="20"/>
              </w:rPr>
              <w:t>MZO</w:t>
            </w:r>
          </w:p>
        </w:tc>
        <w:tc>
          <w:tcPr>
            <w:tcW w:w="2322" w:type="dxa"/>
          </w:tcPr>
          <w:p w:rsidR="001F1144" w:rsidRPr="00ED3700" w:rsidRDefault="001F1144" w:rsidP="002753B7">
            <w:pPr>
              <w:rPr>
                <w:rFonts w:asciiTheme="majorHAnsi" w:hAnsiTheme="majorHAnsi" w:cs="Times New Roman"/>
                <w:sz w:val="20"/>
                <w:szCs w:val="20"/>
              </w:rPr>
            </w:pPr>
            <w:r w:rsidRPr="00ED3700">
              <w:rPr>
                <w:rFonts w:asciiTheme="majorHAnsi" w:hAnsiTheme="majorHAnsi" w:cs="Times New Roman"/>
                <w:sz w:val="20"/>
                <w:szCs w:val="20"/>
              </w:rPr>
              <w:t xml:space="preserve">Periodična </w:t>
            </w:r>
            <w:proofErr w:type="spellStart"/>
            <w:r w:rsidRPr="00ED3700">
              <w:rPr>
                <w:rFonts w:asciiTheme="majorHAnsi" w:hAnsiTheme="majorHAnsi" w:cs="Times New Roman"/>
                <w:sz w:val="20"/>
                <w:szCs w:val="20"/>
              </w:rPr>
              <w:t>Eurostudent</w:t>
            </w:r>
            <w:proofErr w:type="spellEnd"/>
            <w:r w:rsidRPr="00ED3700">
              <w:rPr>
                <w:rFonts w:asciiTheme="majorHAnsi" w:hAnsiTheme="majorHAnsi" w:cs="Times New Roman"/>
                <w:sz w:val="20"/>
                <w:szCs w:val="20"/>
              </w:rPr>
              <w:t xml:space="preserve"> izvješća. </w:t>
            </w:r>
          </w:p>
        </w:tc>
      </w:tr>
      <w:tr w:rsidR="001F1144" w:rsidRPr="00ED3700" w:rsidTr="002753B7">
        <w:tc>
          <w:tcPr>
            <w:tcW w:w="2322" w:type="dxa"/>
          </w:tcPr>
          <w:p w:rsidR="001F1144" w:rsidRPr="00ED3700" w:rsidRDefault="00A241D5" w:rsidP="0097302F">
            <w:pPr>
              <w:rPr>
                <w:rFonts w:asciiTheme="majorHAnsi" w:hAnsiTheme="majorHAnsi" w:cs="Times New Roman"/>
                <w:sz w:val="20"/>
                <w:szCs w:val="20"/>
              </w:rPr>
            </w:pPr>
            <w:r w:rsidRPr="00ED3700">
              <w:rPr>
                <w:rFonts w:asciiTheme="majorHAnsi" w:hAnsiTheme="majorHAnsi" w:cs="Times New Roman"/>
                <w:sz w:val="20"/>
                <w:szCs w:val="20"/>
              </w:rPr>
              <w:t>1.5</w:t>
            </w:r>
            <w:r w:rsidR="001F1144" w:rsidRPr="00ED3700">
              <w:rPr>
                <w:rFonts w:asciiTheme="majorHAnsi" w:hAnsiTheme="majorHAnsi" w:cs="Times New Roman"/>
                <w:sz w:val="20"/>
                <w:szCs w:val="20"/>
              </w:rPr>
              <w:t xml:space="preserve">. Razviti standardiziranu metodologiju praćenja obrazovnih i profesionalnih putova studenata </w:t>
            </w:r>
            <w:r w:rsidR="0097302F" w:rsidRPr="00ED3700">
              <w:rPr>
                <w:rFonts w:asciiTheme="majorHAnsi" w:hAnsiTheme="majorHAnsi" w:cs="Times New Roman"/>
                <w:sz w:val="20"/>
                <w:szCs w:val="20"/>
              </w:rPr>
              <w:t>(upisa, tijeka studija, završetka, zapošljavanja)</w:t>
            </w:r>
            <w:r w:rsidR="00553FF4">
              <w:rPr>
                <w:rFonts w:asciiTheme="majorHAnsi" w:hAnsiTheme="majorHAnsi" w:cs="Times New Roman"/>
                <w:sz w:val="20"/>
                <w:szCs w:val="20"/>
              </w:rPr>
              <w:t xml:space="preserve"> </w:t>
            </w:r>
            <w:r w:rsidR="001F1144" w:rsidRPr="00ED3700">
              <w:rPr>
                <w:rFonts w:asciiTheme="majorHAnsi" w:hAnsiTheme="majorHAnsi" w:cs="Times New Roman"/>
                <w:sz w:val="20"/>
                <w:szCs w:val="20"/>
              </w:rPr>
              <w:t xml:space="preserve">prema njihovom socijalnom </w:t>
            </w:r>
            <w:r w:rsidRPr="00ED3700">
              <w:rPr>
                <w:rFonts w:asciiTheme="majorHAnsi" w:hAnsiTheme="majorHAnsi" w:cs="Times New Roman"/>
                <w:sz w:val="20"/>
                <w:szCs w:val="20"/>
              </w:rPr>
              <w:t>i ekonomskom statusu</w:t>
            </w:r>
            <w:r w:rsidR="001F1144" w:rsidRPr="00ED3700">
              <w:rPr>
                <w:rFonts w:asciiTheme="majorHAnsi" w:hAnsiTheme="majorHAnsi" w:cs="Times New Roman"/>
                <w:sz w:val="20"/>
                <w:szCs w:val="20"/>
              </w:rPr>
              <w:t>.</w:t>
            </w:r>
          </w:p>
        </w:tc>
        <w:tc>
          <w:tcPr>
            <w:tcW w:w="2322" w:type="dxa"/>
          </w:tcPr>
          <w:p w:rsidR="004F7D77" w:rsidRPr="00ED3700" w:rsidRDefault="004F7D77" w:rsidP="004F7D77">
            <w:pPr>
              <w:rPr>
                <w:rFonts w:asciiTheme="majorHAnsi" w:hAnsiTheme="majorHAnsi" w:cs="Times New Roman"/>
                <w:sz w:val="20"/>
                <w:szCs w:val="20"/>
              </w:rPr>
            </w:pPr>
            <w:r w:rsidRPr="00ED3700">
              <w:rPr>
                <w:rFonts w:asciiTheme="majorHAnsi" w:hAnsiTheme="majorHAnsi" w:cs="Times New Roman"/>
                <w:sz w:val="20"/>
                <w:szCs w:val="20"/>
              </w:rPr>
              <w:t xml:space="preserve">Usvojiti jedinstvenu i standardiziranu metodologiju provjere </w:t>
            </w:r>
            <w:r w:rsidR="00A241D5" w:rsidRPr="00ED3700">
              <w:rPr>
                <w:rFonts w:asciiTheme="majorHAnsi" w:hAnsiTheme="majorHAnsi" w:cs="Times New Roman"/>
                <w:sz w:val="20"/>
                <w:szCs w:val="20"/>
              </w:rPr>
              <w:t>socijalnog i ekonomskog statusa</w:t>
            </w:r>
            <w:r w:rsidRPr="00ED3700">
              <w:rPr>
                <w:rFonts w:asciiTheme="majorHAnsi" w:hAnsiTheme="majorHAnsi" w:cs="Times New Roman"/>
                <w:sz w:val="20"/>
                <w:szCs w:val="20"/>
              </w:rPr>
              <w:t xml:space="preserve"> studenata, te drugih uvjeta ranjivosti</w:t>
            </w:r>
            <w:r w:rsidR="00FA610C">
              <w:rPr>
                <w:rFonts w:asciiTheme="majorHAnsi" w:hAnsiTheme="majorHAnsi" w:cs="Times New Roman"/>
                <w:sz w:val="20"/>
                <w:szCs w:val="20"/>
              </w:rPr>
              <w:t>.</w:t>
            </w:r>
          </w:p>
          <w:p w:rsidR="004F7D77" w:rsidRPr="00ED3700" w:rsidRDefault="004F7D77" w:rsidP="002753B7">
            <w:pPr>
              <w:rPr>
                <w:rFonts w:asciiTheme="majorHAnsi" w:hAnsiTheme="majorHAnsi" w:cs="Times New Roman"/>
                <w:sz w:val="20"/>
                <w:szCs w:val="20"/>
              </w:rPr>
            </w:pPr>
          </w:p>
          <w:p w:rsidR="004F7D77" w:rsidRDefault="001F1144" w:rsidP="004F7D77">
            <w:pPr>
              <w:rPr>
                <w:rFonts w:asciiTheme="majorHAnsi" w:hAnsiTheme="majorHAnsi" w:cs="Times New Roman"/>
                <w:sz w:val="20"/>
                <w:szCs w:val="20"/>
              </w:rPr>
            </w:pPr>
            <w:r w:rsidRPr="00ED3700">
              <w:rPr>
                <w:rFonts w:asciiTheme="majorHAnsi" w:hAnsiTheme="majorHAnsi" w:cs="Times New Roman"/>
                <w:sz w:val="20"/>
                <w:szCs w:val="20"/>
              </w:rPr>
              <w:t xml:space="preserve">Prikupiti primjere dobrih praksi praćenja obrazovnih i profesionalnih putova studenata te na osnovu njih izraditi mehanizam primjenjiv za sva visoka učilišta u Hrvatskoj. </w:t>
            </w:r>
          </w:p>
          <w:p w:rsidR="00A02A8E" w:rsidRPr="00ED3700" w:rsidRDefault="00A02A8E" w:rsidP="004F7D77">
            <w:pPr>
              <w:rPr>
                <w:rFonts w:asciiTheme="majorHAnsi" w:hAnsiTheme="majorHAnsi" w:cs="Times New Roman"/>
                <w:sz w:val="20"/>
                <w:szCs w:val="20"/>
              </w:rPr>
            </w:pPr>
          </w:p>
        </w:tc>
        <w:tc>
          <w:tcPr>
            <w:tcW w:w="2322" w:type="dxa"/>
          </w:tcPr>
          <w:p w:rsidR="001F1144" w:rsidRPr="00ED3700" w:rsidRDefault="00A241D5" w:rsidP="002753B7">
            <w:pPr>
              <w:rPr>
                <w:rFonts w:asciiTheme="majorHAnsi" w:hAnsiTheme="majorHAnsi" w:cs="Times New Roman"/>
                <w:sz w:val="20"/>
                <w:szCs w:val="20"/>
              </w:rPr>
            </w:pPr>
            <w:r w:rsidRPr="00ED3700">
              <w:rPr>
                <w:rFonts w:asciiTheme="majorHAnsi" w:hAnsiTheme="majorHAnsi" w:cs="Times New Roman"/>
                <w:sz w:val="20"/>
                <w:szCs w:val="20"/>
              </w:rPr>
              <w:t>MZO</w:t>
            </w:r>
            <w:r w:rsidR="001F1144" w:rsidRPr="00ED3700">
              <w:rPr>
                <w:rFonts w:asciiTheme="majorHAnsi" w:hAnsiTheme="majorHAnsi" w:cs="Times New Roman"/>
                <w:sz w:val="20"/>
                <w:szCs w:val="20"/>
              </w:rPr>
              <w:t>, Visoka učilišta, AZVO</w:t>
            </w:r>
            <w:r w:rsidR="00FA0DFC" w:rsidRPr="00ED3700">
              <w:rPr>
                <w:rFonts w:asciiTheme="majorHAnsi" w:hAnsiTheme="majorHAnsi" w:cs="Times New Roman"/>
                <w:sz w:val="20"/>
                <w:szCs w:val="20"/>
              </w:rPr>
              <w:t>, Nacionalna skupina</w:t>
            </w:r>
            <w:r w:rsidR="003B04FD">
              <w:rPr>
                <w:rFonts w:asciiTheme="majorHAnsi" w:hAnsiTheme="majorHAnsi" w:cs="Times New Roman"/>
                <w:sz w:val="20"/>
                <w:szCs w:val="20"/>
              </w:rPr>
              <w:t xml:space="preserve"> za unapređiva</w:t>
            </w:r>
            <w:r w:rsidR="008A686F" w:rsidRPr="00ED3700">
              <w:rPr>
                <w:rFonts w:asciiTheme="majorHAnsi" w:hAnsiTheme="majorHAnsi" w:cs="Times New Roman"/>
                <w:sz w:val="20"/>
                <w:szCs w:val="20"/>
              </w:rPr>
              <w:t>nje socijalne dimenzije visokog obrazovanja</w:t>
            </w:r>
          </w:p>
        </w:tc>
        <w:tc>
          <w:tcPr>
            <w:tcW w:w="2322" w:type="dxa"/>
          </w:tcPr>
          <w:p w:rsidR="001F1144" w:rsidRPr="00ED3700" w:rsidRDefault="001F1144" w:rsidP="00B52F6C">
            <w:pPr>
              <w:rPr>
                <w:rFonts w:asciiTheme="majorHAnsi" w:hAnsiTheme="majorHAnsi" w:cs="Times New Roman"/>
                <w:sz w:val="20"/>
                <w:szCs w:val="20"/>
              </w:rPr>
            </w:pPr>
            <w:r w:rsidRPr="00ED3700">
              <w:rPr>
                <w:rFonts w:asciiTheme="majorHAnsi" w:hAnsiTheme="majorHAnsi" w:cs="Times New Roman"/>
                <w:sz w:val="20"/>
                <w:szCs w:val="20"/>
              </w:rPr>
              <w:t xml:space="preserve">Baze podataka na visokim učilištima te središnja baza pri </w:t>
            </w:r>
            <w:r w:rsidR="00B52F6C" w:rsidRPr="00ED3700">
              <w:rPr>
                <w:rFonts w:asciiTheme="majorHAnsi" w:hAnsiTheme="majorHAnsi" w:cs="Times New Roman"/>
                <w:sz w:val="20"/>
                <w:szCs w:val="20"/>
              </w:rPr>
              <w:t>MZO</w:t>
            </w:r>
            <w:r w:rsidRPr="00ED3700">
              <w:rPr>
                <w:rFonts w:asciiTheme="majorHAnsi" w:hAnsiTheme="majorHAnsi" w:cs="Times New Roman"/>
                <w:sz w:val="20"/>
                <w:szCs w:val="20"/>
              </w:rPr>
              <w:t xml:space="preserve">-u. </w:t>
            </w:r>
          </w:p>
        </w:tc>
      </w:tr>
      <w:tr w:rsidR="001F1144" w:rsidRPr="00ED3700" w:rsidTr="002753B7">
        <w:tc>
          <w:tcPr>
            <w:tcW w:w="2322" w:type="dxa"/>
          </w:tcPr>
          <w:p w:rsidR="001F1144" w:rsidRPr="00ED3700" w:rsidRDefault="008A686F" w:rsidP="002753B7">
            <w:pPr>
              <w:rPr>
                <w:rFonts w:asciiTheme="majorHAnsi" w:hAnsiTheme="majorHAnsi" w:cs="Times New Roman"/>
                <w:sz w:val="20"/>
                <w:szCs w:val="20"/>
              </w:rPr>
            </w:pPr>
            <w:r w:rsidRPr="00ED3700">
              <w:rPr>
                <w:rFonts w:asciiTheme="majorHAnsi" w:hAnsiTheme="majorHAnsi" w:cs="Times New Roman"/>
                <w:sz w:val="20"/>
                <w:szCs w:val="20"/>
              </w:rPr>
              <w:lastRenderedPageBreak/>
              <w:t>1.6</w:t>
            </w:r>
            <w:r w:rsidR="001F1144" w:rsidRPr="00ED3700">
              <w:rPr>
                <w:rFonts w:asciiTheme="majorHAnsi" w:hAnsiTheme="majorHAnsi" w:cs="Times New Roman"/>
                <w:sz w:val="20"/>
                <w:szCs w:val="20"/>
              </w:rPr>
              <w:t xml:space="preserve">. Temeljiti aktivnosti usmjerene na poboljšanje socijalne dimenzije na relevantnim empirijskim podacima.  </w:t>
            </w:r>
          </w:p>
        </w:tc>
        <w:tc>
          <w:tcPr>
            <w:tcW w:w="2322" w:type="dxa"/>
          </w:tcPr>
          <w:p w:rsidR="001F1144" w:rsidRPr="00ED3700" w:rsidRDefault="001F1144" w:rsidP="009F351B">
            <w:pPr>
              <w:rPr>
                <w:rFonts w:asciiTheme="majorHAnsi" w:hAnsiTheme="majorHAnsi" w:cs="Times New Roman"/>
                <w:sz w:val="20"/>
                <w:szCs w:val="20"/>
              </w:rPr>
            </w:pPr>
            <w:r w:rsidRPr="00ED3700">
              <w:rPr>
                <w:rFonts w:asciiTheme="majorHAnsi" w:hAnsiTheme="majorHAnsi" w:cs="Times New Roman"/>
                <w:sz w:val="20"/>
                <w:szCs w:val="20"/>
              </w:rPr>
              <w:t xml:space="preserve">Povezati </w:t>
            </w:r>
            <w:r w:rsidR="009F351B">
              <w:rPr>
                <w:rFonts w:asciiTheme="majorHAnsi" w:hAnsiTheme="majorHAnsi" w:cs="Times New Roman"/>
                <w:sz w:val="20"/>
                <w:szCs w:val="20"/>
              </w:rPr>
              <w:t xml:space="preserve">prikupljanje </w:t>
            </w:r>
            <w:r w:rsidRPr="00ED3700">
              <w:rPr>
                <w:rFonts w:asciiTheme="majorHAnsi" w:hAnsiTheme="majorHAnsi" w:cs="Times New Roman"/>
                <w:sz w:val="20"/>
                <w:szCs w:val="20"/>
              </w:rPr>
              <w:t>podat</w:t>
            </w:r>
            <w:r w:rsidR="00171196">
              <w:rPr>
                <w:rFonts w:asciiTheme="majorHAnsi" w:hAnsiTheme="majorHAnsi" w:cs="Times New Roman"/>
                <w:sz w:val="20"/>
                <w:szCs w:val="20"/>
              </w:rPr>
              <w:t>a</w:t>
            </w:r>
            <w:r w:rsidRPr="00ED3700">
              <w:rPr>
                <w:rFonts w:asciiTheme="majorHAnsi" w:hAnsiTheme="majorHAnsi" w:cs="Times New Roman"/>
                <w:sz w:val="20"/>
                <w:szCs w:val="20"/>
              </w:rPr>
              <w:t>k</w:t>
            </w:r>
            <w:r w:rsidR="00171196">
              <w:rPr>
                <w:rFonts w:asciiTheme="majorHAnsi" w:hAnsiTheme="majorHAnsi" w:cs="Times New Roman"/>
                <w:sz w:val="20"/>
                <w:szCs w:val="20"/>
              </w:rPr>
              <w:t>a</w:t>
            </w:r>
            <w:r w:rsidRPr="00ED3700">
              <w:rPr>
                <w:rFonts w:asciiTheme="majorHAnsi" w:hAnsiTheme="majorHAnsi" w:cs="Times New Roman"/>
                <w:sz w:val="20"/>
                <w:szCs w:val="20"/>
              </w:rPr>
              <w:t xml:space="preserve"> o ranjivim skupinama studenata na visokim učilištima  s postupcima </w:t>
            </w:r>
            <w:proofErr w:type="spellStart"/>
            <w:r w:rsidRPr="00ED3700">
              <w:rPr>
                <w:rFonts w:asciiTheme="majorHAnsi" w:hAnsiTheme="majorHAnsi" w:cs="Times New Roman"/>
                <w:sz w:val="20"/>
                <w:szCs w:val="20"/>
              </w:rPr>
              <w:t>reakreditacije</w:t>
            </w:r>
            <w:proofErr w:type="spellEnd"/>
            <w:r w:rsidRPr="00ED3700">
              <w:rPr>
                <w:rFonts w:asciiTheme="majorHAnsi" w:hAnsiTheme="majorHAnsi" w:cs="Times New Roman"/>
                <w:sz w:val="20"/>
                <w:szCs w:val="20"/>
              </w:rPr>
              <w:t xml:space="preserve">, </w:t>
            </w:r>
            <w:r w:rsidR="001136F3" w:rsidRPr="00ED3700">
              <w:rPr>
                <w:rFonts w:asciiTheme="majorHAnsi" w:hAnsiTheme="majorHAnsi" w:cs="Times New Roman"/>
                <w:sz w:val="20"/>
                <w:szCs w:val="20"/>
              </w:rPr>
              <w:t>financiranjem visokog obrazovanja</w:t>
            </w:r>
            <w:r w:rsidRPr="00ED3700">
              <w:rPr>
                <w:rFonts w:asciiTheme="majorHAnsi" w:hAnsiTheme="majorHAnsi" w:cs="Times New Roman"/>
                <w:sz w:val="20"/>
                <w:szCs w:val="20"/>
              </w:rPr>
              <w:t xml:space="preserve"> te aktivnostima visokih </w:t>
            </w:r>
            <w:r w:rsidR="003B04FD">
              <w:rPr>
                <w:rFonts w:asciiTheme="majorHAnsi" w:hAnsiTheme="majorHAnsi" w:cs="Times New Roman"/>
                <w:sz w:val="20"/>
                <w:szCs w:val="20"/>
              </w:rPr>
              <w:t>učilišta usmjerenima na unapređiva</w:t>
            </w:r>
            <w:r w:rsidRPr="00ED3700">
              <w:rPr>
                <w:rFonts w:asciiTheme="majorHAnsi" w:hAnsiTheme="majorHAnsi" w:cs="Times New Roman"/>
                <w:sz w:val="20"/>
                <w:szCs w:val="20"/>
              </w:rPr>
              <w:t xml:space="preserve">nje socijalne dimenzije. </w:t>
            </w:r>
          </w:p>
        </w:tc>
        <w:tc>
          <w:tcPr>
            <w:tcW w:w="2322" w:type="dxa"/>
          </w:tcPr>
          <w:p w:rsidR="001F1144" w:rsidRPr="00ED3700" w:rsidRDefault="002F11D7" w:rsidP="002753B7">
            <w:pPr>
              <w:rPr>
                <w:rFonts w:asciiTheme="majorHAnsi" w:hAnsiTheme="majorHAnsi" w:cs="Times New Roman"/>
                <w:sz w:val="20"/>
                <w:szCs w:val="20"/>
              </w:rPr>
            </w:pPr>
            <w:r w:rsidRPr="00ED3700">
              <w:rPr>
                <w:rFonts w:asciiTheme="majorHAnsi" w:hAnsiTheme="majorHAnsi" w:cs="Times New Roman"/>
                <w:sz w:val="20"/>
                <w:szCs w:val="20"/>
              </w:rPr>
              <w:t>AZVO, MZO</w:t>
            </w:r>
            <w:r w:rsidR="001F1144" w:rsidRPr="00ED3700">
              <w:rPr>
                <w:rFonts w:asciiTheme="majorHAnsi" w:hAnsiTheme="majorHAnsi" w:cs="Times New Roman"/>
                <w:sz w:val="20"/>
                <w:szCs w:val="20"/>
              </w:rPr>
              <w:t>, Visoka učilišta</w:t>
            </w:r>
          </w:p>
        </w:tc>
        <w:tc>
          <w:tcPr>
            <w:tcW w:w="2322" w:type="dxa"/>
          </w:tcPr>
          <w:p w:rsidR="001F1144" w:rsidRPr="00ED3700" w:rsidRDefault="001F1144" w:rsidP="001136F3">
            <w:pPr>
              <w:rPr>
                <w:rFonts w:asciiTheme="majorHAnsi" w:hAnsiTheme="majorHAnsi" w:cs="Times New Roman"/>
                <w:sz w:val="20"/>
                <w:szCs w:val="20"/>
              </w:rPr>
            </w:pPr>
            <w:r w:rsidRPr="00ED3700">
              <w:rPr>
                <w:rFonts w:asciiTheme="majorHAnsi" w:hAnsiTheme="majorHAnsi" w:cs="Times New Roman"/>
                <w:sz w:val="20"/>
                <w:szCs w:val="20"/>
              </w:rPr>
              <w:t xml:space="preserve">Relevantni podaci </w:t>
            </w:r>
            <w:r w:rsidR="009F351B">
              <w:rPr>
                <w:rFonts w:asciiTheme="majorHAnsi" w:hAnsiTheme="majorHAnsi" w:cs="Times New Roman"/>
                <w:sz w:val="20"/>
                <w:szCs w:val="20"/>
              </w:rPr>
              <w:t xml:space="preserve">prikupljeni i </w:t>
            </w:r>
            <w:r w:rsidRPr="00ED3700">
              <w:rPr>
                <w:rFonts w:asciiTheme="majorHAnsi" w:hAnsiTheme="majorHAnsi" w:cs="Times New Roman"/>
                <w:sz w:val="20"/>
                <w:szCs w:val="20"/>
              </w:rPr>
              <w:t xml:space="preserve">korišteni u procedurama </w:t>
            </w:r>
            <w:proofErr w:type="spellStart"/>
            <w:r w:rsidRPr="00ED3700">
              <w:rPr>
                <w:rFonts w:asciiTheme="majorHAnsi" w:hAnsiTheme="majorHAnsi" w:cs="Times New Roman"/>
                <w:sz w:val="20"/>
                <w:szCs w:val="20"/>
              </w:rPr>
              <w:t>reakreditacije</w:t>
            </w:r>
            <w:proofErr w:type="spellEnd"/>
            <w:r w:rsidRPr="00ED3700">
              <w:rPr>
                <w:rFonts w:asciiTheme="majorHAnsi" w:hAnsiTheme="majorHAnsi" w:cs="Times New Roman"/>
                <w:sz w:val="20"/>
                <w:szCs w:val="20"/>
              </w:rPr>
              <w:t xml:space="preserve"> visokih učilišta, u pregovorima oko </w:t>
            </w:r>
            <w:r w:rsidR="001136F3" w:rsidRPr="00ED3700">
              <w:rPr>
                <w:rFonts w:asciiTheme="majorHAnsi" w:hAnsiTheme="majorHAnsi" w:cs="Times New Roman"/>
                <w:sz w:val="20"/>
                <w:szCs w:val="20"/>
              </w:rPr>
              <w:t>financiranja visokih učilišta</w:t>
            </w:r>
            <w:r w:rsidRPr="00ED3700">
              <w:rPr>
                <w:rFonts w:asciiTheme="majorHAnsi" w:hAnsiTheme="majorHAnsi" w:cs="Times New Roman"/>
                <w:sz w:val="20"/>
                <w:szCs w:val="20"/>
              </w:rPr>
              <w:t xml:space="preserve"> te u aktivnostima visokih</w:t>
            </w:r>
            <w:r w:rsidR="003B04FD">
              <w:rPr>
                <w:rFonts w:asciiTheme="majorHAnsi" w:hAnsiTheme="majorHAnsi" w:cs="Times New Roman"/>
                <w:sz w:val="20"/>
                <w:szCs w:val="20"/>
              </w:rPr>
              <w:t xml:space="preserve"> učilišta usmjerenih na unapređiva</w:t>
            </w:r>
            <w:r w:rsidRPr="00ED3700">
              <w:rPr>
                <w:rFonts w:asciiTheme="majorHAnsi" w:hAnsiTheme="majorHAnsi" w:cs="Times New Roman"/>
                <w:sz w:val="20"/>
                <w:szCs w:val="20"/>
              </w:rPr>
              <w:t>nje socijalne dimenzije.</w:t>
            </w:r>
          </w:p>
        </w:tc>
      </w:tr>
      <w:tr w:rsidR="001F1144" w:rsidRPr="00ED3700" w:rsidTr="002753B7">
        <w:tc>
          <w:tcPr>
            <w:tcW w:w="2322" w:type="dxa"/>
          </w:tcPr>
          <w:p w:rsidR="001F1144" w:rsidRPr="00ED3700" w:rsidRDefault="00C77F93" w:rsidP="002753B7">
            <w:pPr>
              <w:rPr>
                <w:rFonts w:asciiTheme="majorHAnsi" w:hAnsiTheme="majorHAnsi" w:cs="Times New Roman"/>
                <w:sz w:val="20"/>
                <w:szCs w:val="20"/>
              </w:rPr>
            </w:pPr>
            <w:r w:rsidRPr="00ED3700">
              <w:rPr>
                <w:rFonts w:asciiTheme="majorHAnsi" w:hAnsiTheme="majorHAnsi" w:cs="Times New Roman"/>
                <w:sz w:val="20"/>
                <w:szCs w:val="20"/>
              </w:rPr>
              <w:t>1.7</w:t>
            </w:r>
            <w:r w:rsidR="001F1144" w:rsidRPr="00ED3700">
              <w:rPr>
                <w:rFonts w:asciiTheme="majorHAnsi" w:hAnsiTheme="majorHAnsi" w:cs="Times New Roman"/>
                <w:sz w:val="20"/>
                <w:szCs w:val="20"/>
              </w:rPr>
              <w:t>. Evaluirati uspješnost postojećih a</w:t>
            </w:r>
            <w:r w:rsidR="003B04FD">
              <w:rPr>
                <w:rFonts w:asciiTheme="majorHAnsi" w:hAnsiTheme="majorHAnsi" w:cs="Times New Roman"/>
                <w:sz w:val="20"/>
                <w:szCs w:val="20"/>
              </w:rPr>
              <w:t>ktivnosti usmjerenih na unapređiva</w:t>
            </w:r>
            <w:r w:rsidR="001F1144" w:rsidRPr="00ED3700">
              <w:rPr>
                <w:rFonts w:asciiTheme="majorHAnsi" w:hAnsiTheme="majorHAnsi" w:cs="Times New Roman"/>
                <w:sz w:val="20"/>
                <w:szCs w:val="20"/>
              </w:rPr>
              <w:t xml:space="preserve">nje socijalne dimenzije visokog obrazovanja. </w:t>
            </w:r>
          </w:p>
        </w:tc>
        <w:tc>
          <w:tcPr>
            <w:tcW w:w="2322" w:type="dxa"/>
          </w:tcPr>
          <w:p w:rsidR="001F1144" w:rsidRDefault="001F1144" w:rsidP="00C77F93">
            <w:pPr>
              <w:rPr>
                <w:rFonts w:asciiTheme="majorHAnsi" w:hAnsiTheme="majorHAnsi" w:cs="Times New Roman"/>
                <w:sz w:val="20"/>
                <w:szCs w:val="20"/>
              </w:rPr>
            </w:pPr>
            <w:r w:rsidRPr="00ED3700">
              <w:rPr>
                <w:rFonts w:asciiTheme="majorHAnsi" w:hAnsiTheme="majorHAnsi" w:cs="Times New Roman"/>
                <w:sz w:val="20"/>
                <w:szCs w:val="20"/>
              </w:rPr>
              <w:t xml:space="preserve">U suradnji sa studentima i studenticama provesti </w:t>
            </w:r>
            <w:r w:rsidR="00C77F93" w:rsidRPr="00ED3700">
              <w:rPr>
                <w:rFonts w:asciiTheme="majorHAnsi" w:hAnsiTheme="majorHAnsi" w:cs="Times New Roman"/>
                <w:sz w:val="20"/>
                <w:szCs w:val="20"/>
              </w:rPr>
              <w:t>institucijske evaluacije</w:t>
            </w:r>
            <w:r w:rsidRPr="00ED3700">
              <w:rPr>
                <w:rFonts w:asciiTheme="majorHAnsi" w:hAnsiTheme="majorHAnsi" w:cs="Times New Roman"/>
                <w:sz w:val="20"/>
                <w:szCs w:val="20"/>
              </w:rPr>
              <w:t xml:space="preserve"> a</w:t>
            </w:r>
            <w:r w:rsidR="003B04FD">
              <w:rPr>
                <w:rFonts w:asciiTheme="majorHAnsi" w:hAnsiTheme="majorHAnsi" w:cs="Times New Roman"/>
                <w:sz w:val="20"/>
                <w:szCs w:val="20"/>
              </w:rPr>
              <w:t>ktivnosti usmjerenih na unapređiva</w:t>
            </w:r>
            <w:r w:rsidRPr="00ED3700">
              <w:rPr>
                <w:rFonts w:asciiTheme="majorHAnsi" w:hAnsiTheme="majorHAnsi" w:cs="Times New Roman"/>
                <w:sz w:val="20"/>
                <w:szCs w:val="20"/>
              </w:rPr>
              <w:t xml:space="preserve">nje socijalne dimenzije visokog obrazovanja. </w:t>
            </w:r>
          </w:p>
          <w:p w:rsidR="005671F4" w:rsidRDefault="005671F4" w:rsidP="00C77F93">
            <w:pPr>
              <w:rPr>
                <w:rFonts w:asciiTheme="majorHAnsi" w:hAnsiTheme="majorHAnsi" w:cs="Times New Roman"/>
                <w:sz w:val="20"/>
                <w:szCs w:val="20"/>
              </w:rPr>
            </w:pPr>
          </w:p>
          <w:p w:rsidR="005671F4" w:rsidRPr="00ED3700" w:rsidRDefault="005671F4" w:rsidP="00C77F93">
            <w:pPr>
              <w:rPr>
                <w:rFonts w:asciiTheme="majorHAnsi" w:hAnsiTheme="majorHAnsi" w:cs="Times New Roman"/>
                <w:sz w:val="20"/>
                <w:szCs w:val="20"/>
              </w:rPr>
            </w:pPr>
            <w:r>
              <w:rPr>
                <w:rFonts w:asciiTheme="majorHAnsi" w:hAnsiTheme="majorHAnsi" w:cs="Times New Roman"/>
                <w:sz w:val="20"/>
                <w:szCs w:val="20"/>
              </w:rPr>
              <w:t xml:space="preserve">Provesti analizu učinkovitosti sustava studentskog standarda u onom dijelu u kojem njime upravljaju Studentski centri. </w:t>
            </w:r>
          </w:p>
        </w:tc>
        <w:tc>
          <w:tcPr>
            <w:tcW w:w="2322" w:type="dxa"/>
          </w:tcPr>
          <w:p w:rsidR="001F1144" w:rsidRPr="00ED3700" w:rsidRDefault="002F11D7" w:rsidP="002753B7">
            <w:pPr>
              <w:rPr>
                <w:rFonts w:asciiTheme="majorHAnsi" w:hAnsiTheme="majorHAnsi" w:cs="Times New Roman"/>
                <w:sz w:val="20"/>
                <w:szCs w:val="20"/>
              </w:rPr>
            </w:pPr>
            <w:r w:rsidRPr="00ED3700">
              <w:rPr>
                <w:rFonts w:asciiTheme="majorHAnsi" w:hAnsiTheme="majorHAnsi" w:cs="Times New Roman"/>
                <w:sz w:val="20"/>
                <w:szCs w:val="20"/>
              </w:rPr>
              <w:t>MZO</w:t>
            </w:r>
            <w:r w:rsidR="001F1144" w:rsidRPr="00ED3700">
              <w:rPr>
                <w:rFonts w:asciiTheme="majorHAnsi" w:hAnsiTheme="majorHAnsi" w:cs="Times New Roman"/>
                <w:sz w:val="20"/>
                <w:szCs w:val="20"/>
              </w:rPr>
              <w:t xml:space="preserve">, Visoka učilišta </w:t>
            </w:r>
          </w:p>
        </w:tc>
        <w:tc>
          <w:tcPr>
            <w:tcW w:w="2322" w:type="dxa"/>
          </w:tcPr>
          <w:p w:rsidR="001F1144" w:rsidRDefault="001F1144" w:rsidP="002753B7">
            <w:pPr>
              <w:rPr>
                <w:rFonts w:asciiTheme="majorHAnsi" w:hAnsiTheme="majorHAnsi" w:cs="Times New Roman"/>
                <w:sz w:val="20"/>
                <w:szCs w:val="20"/>
              </w:rPr>
            </w:pPr>
            <w:r w:rsidRPr="00ED3700">
              <w:rPr>
                <w:rFonts w:asciiTheme="majorHAnsi" w:hAnsiTheme="majorHAnsi" w:cs="Times New Roman"/>
                <w:sz w:val="20"/>
                <w:szCs w:val="20"/>
              </w:rPr>
              <w:t>Izrađen popis p</w:t>
            </w:r>
            <w:r w:rsidR="003B04FD">
              <w:rPr>
                <w:rFonts w:asciiTheme="majorHAnsi" w:hAnsiTheme="majorHAnsi" w:cs="Times New Roman"/>
                <w:sz w:val="20"/>
                <w:szCs w:val="20"/>
              </w:rPr>
              <w:t>rimjera dobre prakse za unapređiva</w:t>
            </w:r>
            <w:r w:rsidRPr="00ED3700">
              <w:rPr>
                <w:rFonts w:asciiTheme="majorHAnsi" w:hAnsiTheme="majorHAnsi" w:cs="Times New Roman"/>
                <w:sz w:val="20"/>
                <w:szCs w:val="20"/>
              </w:rPr>
              <w:t xml:space="preserve">nje socijalne dimenzije visokog obrazovanja. </w:t>
            </w:r>
          </w:p>
          <w:p w:rsidR="005671F4" w:rsidRDefault="005671F4" w:rsidP="002753B7">
            <w:pPr>
              <w:rPr>
                <w:rFonts w:asciiTheme="majorHAnsi" w:hAnsiTheme="majorHAnsi" w:cs="Times New Roman"/>
                <w:sz w:val="20"/>
                <w:szCs w:val="20"/>
              </w:rPr>
            </w:pPr>
          </w:p>
          <w:p w:rsidR="005671F4" w:rsidRPr="00ED3700" w:rsidRDefault="003B04FD" w:rsidP="002753B7">
            <w:pPr>
              <w:rPr>
                <w:rFonts w:asciiTheme="majorHAnsi" w:hAnsiTheme="majorHAnsi" w:cs="Times New Roman"/>
                <w:sz w:val="20"/>
                <w:szCs w:val="20"/>
              </w:rPr>
            </w:pPr>
            <w:r>
              <w:rPr>
                <w:rFonts w:asciiTheme="majorHAnsi" w:hAnsiTheme="majorHAnsi" w:cs="Times New Roman"/>
                <w:sz w:val="20"/>
                <w:szCs w:val="20"/>
              </w:rPr>
              <w:t>Izrađeni prijedlozi za unapređiva</w:t>
            </w:r>
            <w:r w:rsidR="005671F4">
              <w:rPr>
                <w:rFonts w:asciiTheme="majorHAnsi" w:hAnsiTheme="majorHAnsi" w:cs="Times New Roman"/>
                <w:sz w:val="20"/>
                <w:szCs w:val="20"/>
              </w:rPr>
              <w:t xml:space="preserve">nje sustava studentskog standarda koji je u nadležnosti Studentskih centara. </w:t>
            </w:r>
          </w:p>
        </w:tc>
      </w:tr>
    </w:tbl>
    <w:p w:rsidR="001F1144" w:rsidRPr="00ED3700" w:rsidRDefault="001F1144" w:rsidP="001F1144">
      <w:pPr>
        <w:rPr>
          <w:rFonts w:asciiTheme="majorHAnsi" w:hAnsiTheme="majorHAnsi" w:cs="Times New Roman"/>
        </w:rPr>
      </w:pPr>
    </w:p>
    <w:p w:rsidR="001F1144" w:rsidRPr="00ED3700" w:rsidRDefault="001F1144" w:rsidP="001F1144">
      <w:pPr>
        <w:jc w:val="both"/>
        <w:rPr>
          <w:rFonts w:asciiTheme="majorHAnsi" w:hAnsiTheme="majorHAnsi" w:cs="Times New Roman"/>
        </w:rPr>
      </w:pPr>
    </w:p>
    <w:p w:rsidR="00707148" w:rsidRPr="00ED3700" w:rsidRDefault="00707148" w:rsidP="00897A38">
      <w:pPr>
        <w:pStyle w:val="Heading3"/>
        <w:rPr>
          <w:rStyle w:val="BookTitle"/>
          <w:rFonts w:cs="Times New Roman"/>
          <w:smallCaps w:val="0"/>
          <w:spacing w:val="0"/>
          <w:sz w:val="28"/>
          <w:szCs w:val="28"/>
        </w:rPr>
      </w:pPr>
      <w:bookmarkStart w:id="2" w:name="_Toc461865505"/>
      <w:bookmarkEnd w:id="0"/>
      <w:r w:rsidRPr="00ED3700">
        <w:rPr>
          <w:rStyle w:val="BookTitle"/>
          <w:sz w:val="28"/>
          <w:szCs w:val="28"/>
        </w:rPr>
        <w:t>Cilj 2: Unaprijediti pristup visokom obrazovanju podzastupljenim i ranjivim skupinama i ukloniti prepreke pri ulasku</w:t>
      </w:r>
    </w:p>
    <w:p w:rsidR="00707148" w:rsidRPr="00ED3700" w:rsidRDefault="00707148" w:rsidP="00707148">
      <w:pPr>
        <w:rPr>
          <w:rFonts w:asciiTheme="majorHAnsi" w:hAnsiTheme="majorHAnsi" w:cs="Times New Roman"/>
          <w:sz w:val="24"/>
          <w:szCs w:val="24"/>
        </w:rPr>
      </w:pPr>
    </w:p>
    <w:tbl>
      <w:tblPr>
        <w:tblStyle w:val="TableGrid"/>
        <w:tblW w:w="5000" w:type="pct"/>
        <w:tblLook w:val="04A0" w:firstRow="1" w:lastRow="0" w:firstColumn="1" w:lastColumn="0" w:noHBand="0" w:noVBand="1"/>
      </w:tblPr>
      <w:tblGrid>
        <w:gridCol w:w="2322"/>
        <w:gridCol w:w="2322"/>
        <w:gridCol w:w="2322"/>
        <w:gridCol w:w="2322"/>
      </w:tblGrid>
      <w:tr w:rsidR="00707148" w:rsidRPr="00ED3700" w:rsidTr="0038677D">
        <w:tc>
          <w:tcPr>
            <w:tcW w:w="1250" w:type="pct"/>
          </w:tcPr>
          <w:p w:rsidR="00707148" w:rsidRPr="00ED3700" w:rsidRDefault="00707148" w:rsidP="0038677D">
            <w:pPr>
              <w:rPr>
                <w:rFonts w:asciiTheme="majorHAnsi" w:hAnsiTheme="majorHAnsi" w:cs="Times New Roman"/>
                <w:b/>
                <w:sz w:val="20"/>
                <w:szCs w:val="20"/>
                <w:shd w:val="pct15" w:color="auto" w:fill="FFFFFF"/>
              </w:rPr>
            </w:pPr>
            <w:proofErr w:type="spellStart"/>
            <w:r w:rsidRPr="00ED3700">
              <w:rPr>
                <w:rFonts w:asciiTheme="majorHAnsi" w:hAnsiTheme="majorHAnsi" w:cs="Times New Roman"/>
                <w:b/>
                <w:sz w:val="20"/>
                <w:szCs w:val="20"/>
              </w:rPr>
              <w:t>Podcilj</w:t>
            </w:r>
            <w:proofErr w:type="spellEnd"/>
          </w:p>
        </w:tc>
        <w:tc>
          <w:tcPr>
            <w:tcW w:w="1250" w:type="pct"/>
          </w:tcPr>
          <w:p w:rsidR="00707148" w:rsidRPr="00ED3700" w:rsidRDefault="00707148" w:rsidP="0038677D">
            <w:pPr>
              <w:rPr>
                <w:rFonts w:asciiTheme="majorHAnsi" w:hAnsiTheme="majorHAnsi" w:cs="Times New Roman"/>
                <w:b/>
                <w:sz w:val="20"/>
                <w:szCs w:val="20"/>
                <w:shd w:val="pct15" w:color="auto" w:fill="FFFFFF"/>
              </w:rPr>
            </w:pPr>
            <w:r w:rsidRPr="00ED3700">
              <w:rPr>
                <w:rFonts w:asciiTheme="majorHAnsi" w:hAnsiTheme="majorHAnsi" w:cs="Times New Roman"/>
                <w:b/>
                <w:sz w:val="20"/>
                <w:szCs w:val="20"/>
              </w:rPr>
              <w:t>Aktivnost</w:t>
            </w:r>
          </w:p>
        </w:tc>
        <w:tc>
          <w:tcPr>
            <w:tcW w:w="1250" w:type="pct"/>
          </w:tcPr>
          <w:p w:rsidR="00707148" w:rsidRPr="00ED3700" w:rsidRDefault="00707148" w:rsidP="0038677D">
            <w:pPr>
              <w:rPr>
                <w:rFonts w:asciiTheme="majorHAnsi" w:hAnsiTheme="majorHAnsi" w:cs="Times New Roman"/>
                <w:b/>
                <w:sz w:val="20"/>
                <w:szCs w:val="20"/>
              </w:rPr>
            </w:pPr>
            <w:r w:rsidRPr="00ED3700">
              <w:rPr>
                <w:rFonts w:asciiTheme="majorHAnsi" w:hAnsiTheme="majorHAnsi" w:cs="Times New Roman"/>
                <w:b/>
                <w:sz w:val="20"/>
                <w:szCs w:val="20"/>
              </w:rPr>
              <w:t>Odgovornost</w:t>
            </w:r>
          </w:p>
        </w:tc>
        <w:tc>
          <w:tcPr>
            <w:tcW w:w="1250" w:type="pct"/>
          </w:tcPr>
          <w:p w:rsidR="00707148" w:rsidRPr="00ED3700" w:rsidRDefault="00707148" w:rsidP="0038677D">
            <w:pPr>
              <w:rPr>
                <w:rFonts w:asciiTheme="majorHAnsi" w:hAnsiTheme="majorHAnsi" w:cs="Times New Roman"/>
                <w:b/>
                <w:sz w:val="20"/>
                <w:szCs w:val="20"/>
              </w:rPr>
            </w:pPr>
            <w:r w:rsidRPr="00ED3700">
              <w:rPr>
                <w:rFonts w:asciiTheme="majorHAnsi" w:hAnsiTheme="majorHAnsi" w:cs="Times New Roman"/>
                <w:b/>
                <w:sz w:val="20"/>
                <w:szCs w:val="20"/>
              </w:rPr>
              <w:t>Indikator</w:t>
            </w:r>
          </w:p>
        </w:tc>
      </w:tr>
      <w:tr w:rsidR="00DD0BA4" w:rsidRPr="00ED3700" w:rsidTr="0038677D">
        <w:tc>
          <w:tcPr>
            <w:tcW w:w="1250" w:type="pct"/>
          </w:tcPr>
          <w:p w:rsidR="00DD0BA4" w:rsidRPr="00ED3700" w:rsidRDefault="00DD0BA4" w:rsidP="00DD0BA4">
            <w:pPr>
              <w:rPr>
                <w:rFonts w:asciiTheme="majorHAnsi" w:hAnsiTheme="majorHAnsi" w:cs="Times New Roman"/>
                <w:sz w:val="20"/>
                <w:szCs w:val="20"/>
              </w:rPr>
            </w:pPr>
            <w:r>
              <w:rPr>
                <w:rFonts w:asciiTheme="majorHAnsi" w:hAnsiTheme="majorHAnsi" w:cs="Times New Roman"/>
                <w:sz w:val="20"/>
                <w:szCs w:val="20"/>
              </w:rPr>
              <w:t>2.1. Povezivati obrazovnu vertikalu kako bi se unaprijedila socijalna dimenzija obrazovanja</w:t>
            </w:r>
          </w:p>
        </w:tc>
        <w:tc>
          <w:tcPr>
            <w:tcW w:w="1250" w:type="pct"/>
          </w:tcPr>
          <w:p w:rsidR="00DD0BA4" w:rsidRPr="00ED3700" w:rsidRDefault="00DD0BA4" w:rsidP="0047286A">
            <w:pPr>
              <w:rPr>
                <w:rFonts w:asciiTheme="majorHAnsi" w:hAnsiTheme="majorHAnsi" w:cs="Times New Roman"/>
                <w:sz w:val="20"/>
                <w:szCs w:val="20"/>
              </w:rPr>
            </w:pPr>
            <w:r w:rsidRPr="00ED3700">
              <w:rPr>
                <w:rFonts w:asciiTheme="majorHAnsi" w:hAnsiTheme="majorHAnsi" w:cs="Times New Roman"/>
                <w:sz w:val="20"/>
                <w:szCs w:val="20"/>
              </w:rPr>
              <w:t>Osnovat</w:t>
            </w:r>
            <w:r w:rsidR="003B04FD">
              <w:rPr>
                <w:rFonts w:asciiTheme="majorHAnsi" w:hAnsiTheme="majorHAnsi" w:cs="Times New Roman"/>
                <w:sz w:val="20"/>
                <w:szCs w:val="20"/>
              </w:rPr>
              <w:t>i Nacionalnu skupinu za unapređiva</w:t>
            </w:r>
            <w:r w:rsidRPr="00ED3700">
              <w:rPr>
                <w:rFonts w:asciiTheme="majorHAnsi" w:hAnsiTheme="majorHAnsi" w:cs="Times New Roman"/>
                <w:sz w:val="20"/>
                <w:szCs w:val="20"/>
              </w:rPr>
              <w:t xml:space="preserve">nje socijalne dimenzije </w:t>
            </w:r>
            <w:proofErr w:type="spellStart"/>
            <w:r w:rsidRPr="00ED3700">
              <w:rPr>
                <w:rFonts w:asciiTheme="majorHAnsi" w:hAnsiTheme="majorHAnsi" w:cs="Times New Roman"/>
                <w:sz w:val="20"/>
                <w:szCs w:val="20"/>
              </w:rPr>
              <w:t>predtercijarnog</w:t>
            </w:r>
            <w:proofErr w:type="spellEnd"/>
            <w:r w:rsidRPr="00ED3700">
              <w:rPr>
                <w:rFonts w:asciiTheme="majorHAnsi" w:hAnsiTheme="majorHAnsi" w:cs="Times New Roman"/>
                <w:sz w:val="20"/>
                <w:szCs w:val="20"/>
              </w:rPr>
              <w:t xml:space="preserve"> obrazovanja  </w:t>
            </w:r>
          </w:p>
        </w:tc>
        <w:tc>
          <w:tcPr>
            <w:tcW w:w="1250" w:type="pct"/>
          </w:tcPr>
          <w:p w:rsidR="00DD0BA4" w:rsidRPr="00ED3700" w:rsidRDefault="00DD0BA4" w:rsidP="00DD0BA4">
            <w:pPr>
              <w:rPr>
                <w:rFonts w:asciiTheme="majorHAnsi" w:hAnsiTheme="majorHAnsi" w:cs="Times New Roman"/>
                <w:sz w:val="20"/>
                <w:szCs w:val="20"/>
              </w:rPr>
            </w:pPr>
            <w:r>
              <w:rPr>
                <w:rFonts w:asciiTheme="majorHAnsi" w:hAnsiTheme="majorHAnsi" w:cs="Times New Roman"/>
                <w:sz w:val="20"/>
                <w:szCs w:val="20"/>
              </w:rPr>
              <w:t>MZO</w:t>
            </w:r>
          </w:p>
          <w:p w:rsidR="00DD0BA4" w:rsidRPr="00ED3700" w:rsidRDefault="00DD0BA4" w:rsidP="0047286A">
            <w:pPr>
              <w:rPr>
                <w:rFonts w:asciiTheme="majorHAnsi" w:hAnsiTheme="majorHAnsi" w:cs="Times New Roman"/>
                <w:sz w:val="20"/>
                <w:szCs w:val="20"/>
              </w:rPr>
            </w:pPr>
          </w:p>
          <w:p w:rsidR="00DD0BA4" w:rsidRPr="00ED3700" w:rsidRDefault="00DD0BA4" w:rsidP="0047286A">
            <w:pPr>
              <w:rPr>
                <w:rFonts w:asciiTheme="majorHAnsi" w:hAnsiTheme="majorHAnsi" w:cs="Times New Roman"/>
                <w:sz w:val="20"/>
                <w:szCs w:val="20"/>
              </w:rPr>
            </w:pPr>
          </w:p>
        </w:tc>
        <w:tc>
          <w:tcPr>
            <w:tcW w:w="1250" w:type="pct"/>
          </w:tcPr>
          <w:p w:rsidR="00DD0BA4" w:rsidRPr="00ED3700" w:rsidRDefault="00DD0BA4" w:rsidP="0047286A">
            <w:pPr>
              <w:rPr>
                <w:rFonts w:asciiTheme="majorHAnsi" w:hAnsiTheme="majorHAnsi" w:cs="Times New Roman"/>
                <w:sz w:val="20"/>
                <w:szCs w:val="20"/>
              </w:rPr>
            </w:pPr>
            <w:r w:rsidRPr="00ED3700">
              <w:rPr>
                <w:rFonts w:asciiTheme="majorHAnsi" w:hAnsiTheme="majorHAnsi" w:cs="Times New Roman"/>
                <w:sz w:val="20"/>
                <w:szCs w:val="20"/>
              </w:rPr>
              <w:t>Osnovana skupina i izr</w:t>
            </w:r>
            <w:r w:rsidR="003B04FD">
              <w:rPr>
                <w:rFonts w:asciiTheme="majorHAnsi" w:hAnsiTheme="majorHAnsi" w:cs="Times New Roman"/>
                <w:sz w:val="20"/>
                <w:szCs w:val="20"/>
              </w:rPr>
              <w:t>ađen nacionalni plan za unapređiva</w:t>
            </w:r>
            <w:r w:rsidRPr="00ED3700">
              <w:rPr>
                <w:rFonts w:asciiTheme="majorHAnsi" w:hAnsiTheme="majorHAnsi" w:cs="Times New Roman"/>
                <w:sz w:val="20"/>
                <w:szCs w:val="20"/>
              </w:rPr>
              <w:t xml:space="preserve">nje socijalne dimenzije </w:t>
            </w:r>
            <w:proofErr w:type="spellStart"/>
            <w:r w:rsidRPr="00ED3700">
              <w:rPr>
                <w:rFonts w:asciiTheme="majorHAnsi" w:hAnsiTheme="majorHAnsi" w:cs="Times New Roman"/>
                <w:sz w:val="20"/>
                <w:szCs w:val="20"/>
              </w:rPr>
              <w:t>predtercijarnog</w:t>
            </w:r>
            <w:proofErr w:type="spellEnd"/>
            <w:r w:rsidRPr="00ED3700">
              <w:rPr>
                <w:rFonts w:asciiTheme="majorHAnsi" w:hAnsiTheme="majorHAnsi" w:cs="Times New Roman"/>
                <w:sz w:val="20"/>
                <w:szCs w:val="20"/>
              </w:rPr>
              <w:t xml:space="preserve"> obrazovanja</w:t>
            </w:r>
          </w:p>
          <w:p w:rsidR="00DD0BA4" w:rsidRPr="00ED3700" w:rsidRDefault="00DD0BA4" w:rsidP="0047286A">
            <w:pPr>
              <w:rPr>
                <w:rFonts w:asciiTheme="majorHAnsi" w:hAnsiTheme="majorHAnsi" w:cs="Times New Roman"/>
                <w:sz w:val="20"/>
                <w:szCs w:val="20"/>
              </w:rPr>
            </w:pPr>
          </w:p>
        </w:tc>
      </w:tr>
      <w:tr w:rsidR="00E678CE" w:rsidRPr="00ED3700" w:rsidTr="0038677D">
        <w:tc>
          <w:tcPr>
            <w:tcW w:w="1250" w:type="pct"/>
          </w:tcPr>
          <w:p w:rsidR="00E678CE" w:rsidRDefault="00E678CE" w:rsidP="0047286A">
            <w:pPr>
              <w:rPr>
                <w:rFonts w:asciiTheme="majorHAnsi" w:hAnsiTheme="majorHAnsi" w:cs="Times New Roman"/>
                <w:sz w:val="20"/>
                <w:szCs w:val="20"/>
              </w:rPr>
            </w:pPr>
            <w:r w:rsidRPr="00ED3700">
              <w:rPr>
                <w:rFonts w:asciiTheme="majorHAnsi" w:hAnsiTheme="majorHAnsi" w:cs="Times New Roman"/>
                <w:sz w:val="20"/>
                <w:szCs w:val="20"/>
              </w:rPr>
              <w:t>2.</w:t>
            </w:r>
            <w:r>
              <w:rPr>
                <w:rFonts w:asciiTheme="majorHAnsi" w:hAnsiTheme="majorHAnsi" w:cs="Times New Roman"/>
                <w:sz w:val="20"/>
                <w:szCs w:val="20"/>
              </w:rPr>
              <w:t>2</w:t>
            </w:r>
            <w:r w:rsidRPr="00ED3700">
              <w:rPr>
                <w:rFonts w:asciiTheme="majorHAnsi" w:hAnsiTheme="majorHAnsi" w:cs="Times New Roman"/>
                <w:sz w:val="20"/>
                <w:szCs w:val="20"/>
              </w:rPr>
              <w:t>. Povećati interes za pristup visokom obrazovanju kod podzastupljenih i ranjivih skupina</w:t>
            </w:r>
          </w:p>
          <w:p w:rsidR="00E678CE" w:rsidRPr="00ED3700" w:rsidRDefault="00E678CE" w:rsidP="0047286A">
            <w:pPr>
              <w:rPr>
                <w:rFonts w:asciiTheme="majorHAnsi" w:hAnsiTheme="majorHAnsi" w:cs="Times New Roman"/>
                <w:sz w:val="20"/>
                <w:szCs w:val="20"/>
              </w:rPr>
            </w:pPr>
          </w:p>
        </w:tc>
        <w:tc>
          <w:tcPr>
            <w:tcW w:w="1250" w:type="pct"/>
          </w:tcPr>
          <w:p w:rsidR="00E678CE" w:rsidRPr="00ED3700" w:rsidRDefault="00E678CE" w:rsidP="0047286A">
            <w:pPr>
              <w:rPr>
                <w:rFonts w:asciiTheme="majorHAnsi" w:hAnsiTheme="majorHAnsi" w:cs="Times New Roman"/>
                <w:sz w:val="20"/>
                <w:szCs w:val="20"/>
              </w:rPr>
            </w:pPr>
            <w:r w:rsidRPr="00ED3700">
              <w:rPr>
                <w:rFonts w:asciiTheme="majorHAnsi" w:hAnsiTheme="majorHAnsi" w:cs="Times New Roman"/>
                <w:sz w:val="20"/>
                <w:szCs w:val="20"/>
              </w:rPr>
              <w:t xml:space="preserve">Unaprijediti sustav ranih intervencija kroz uvođenje </w:t>
            </w:r>
            <w:proofErr w:type="spellStart"/>
            <w:r w:rsidRPr="00ED3700">
              <w:rPr>
                <w:rFonts w:asciiTheme="majorHAnsi" w:hAnsiTheme="majorHAnsi" w:cs="Times New Roman"/>
                <w:i/>
                <w:sz w:val="20"/>
                <w:szCs w:val="20"/>
              </w:rPr>
              <w:t>Outreach</w:t>
            </w:r>
            <w:proofErr w:type="spellEnd"/>
            <w:r w:rsidRPr="00ED3700">
              <w:rPr>
                <w:rFonts w:asciiTheme="majorHAnsi" w:hAnsiTheme="majorHAnsi" w:cs="Times New Roman"/>
                <w:i/>
                <w:sz w:val="20"/>
                <w:szCs w:val="20"/>
              </w:rPr>
              <w:t xml:space="preserve"> </w:t>
            </w:r>
            <w:r w:rsidRPr="00ED3700">
              <w:rPr>
                <w:rFonts w:asciiTheme="majorHAnsi" w:hAnsiTheme="majorHAnsi" w:cs="Times New Roman"/>
                <w:sz w:val="20"/>
                <w:szCs w:val="20"/>
              </w:rPr>
              <w:t>programa (ljetne škole, dani karijera, dani otvorenih vrata, smotre sveučilišta, sajam stipendija,</w:t>
            </w:r>
            <w:r w:rsidR="003478AA">
              <w:rPr>
                <w:rFonts w:asciiTheme="majorHAnsi" w:hAnsiTheme="majorHAnsi" w:cs="Times New Roman"/>
                <w:sz w:val="20"/>
                <w:szCs w:val="20"/>
              </w:rPr>
              <w:t xml:space="preserve"> festivali znanosti</w:t>
            </w:r>
            <w:r>
              <w:rPr>
                <w:rFonts w:asciiTheme="majorHAnsi" w:hAnsiTheme="majorHAnsi" w:cs="Times New Roman"/>
                <w:sz w:val="20"/>
                <w:szCs w:val="20"/>
              </w:rPr>
              <w:t xml:space="preserve">) </w:t>
            </w:r>
            <w:r w:rsidRPr="00ED3700">
              <w:rPr>
                <w:rFonts w:asciiTheme="majorHAnsi" w:hAnsiTheme="majorHAnsi" w:cs="Times New Roman"/>
                <w:sz w:val="20"/>
                <w:szCs w:val="20"/>
              </w:rPr>
              <w:t>za rad s učenicima i njihovim roditeljima s ciljem povećanja  motivacije za studij</w:t>
            </w:r>
          </w:p>
          <w:p w:rsidR="00E678CE" w:rsidRPr="00ED3700" w:rsidRDefault="00E678CE" w:rsidP="0047286A">
            <w:pPr>
              <w:rPr>
                <w:rFonts w:asciiTheme="majorHAnsi" w:hAnsiTheme="majorHAnsi" w:cs="Times New Roman"/>
                <w:sz w:val="20"/>
                <w:szCs w:val="20"/>
              </w:rPr>
            </w:pPr>
          </w:p>
        </w:tc>
        <w:tc>
          <w:tcPr>
            <w:tcW w:w="1250" w:type="pct"/>
          </w:tcPr>
          <w:p w:rsidR="00E678CE" w:rsidRPr="00ED3700" w:rsidRDefault="00E678CE" w:rsidP="0047286A">
            <w:pPr>
              <w:rPr>
                <w:rFonts w:asciiTheme="majorHAnsi" w:hAnsiTheme="majorHAnsi" w:cs="Times New Roman"/>
                <w:sz w:val="20"/>
                <w:szCs w:val="20"/>
              </w:rPr>
            </w:pPr>
            <w:r w:rsidRPr="00ED3700">
              <w:rPr>
                <w:rFonts w:asciiTheme="majorHAnsi" w:hAnsiTheme="majorHAnsi" w:cs="Times New Roman"/>
                <w:sz w:val="20"/>
                <w:szCs w:val="20"/>
              </w:rPr>
              <w:t>Udruge, obrazovne institucije</w:t>
            </w:r>
            <w:r>
              <w:rPr>
                <w:rFonts w:asciiTheme="majorHAnsi" w:hAnsiTheme="majorHAnsi" w:cs="Times New Roman"/>
                <w:sz w:val="20"/>
                <w:szCs w:val="20"/>
              </w:rPr>
              <w:t>, MZO</w:t>
            </w:r>
            <w:r w:rsidRPr="00ED3700">
              <w:rPr>
                <w:rFonts w:asciiTheme="majorHAnsi" w:hAnsiTheme="majorHAnsi" w:cs="Times New Roman"/>
                <w:sz w:val="20"/>
                <w:szCs w:val="20"/>
              </w:rPr>
              <w:t>, AOO, HZZ, visoka učilišta, lokalna zajednica</w:t>
            </w:r>
          </w:p>
          <w:p w:rsidR="00E678CE" w:rsidRPr="00ED3700" w:rsidRDefault="00E678CE" w:rsidP="0047286A">
            <w:pPr>
              <w:rPr>
                <w:rFonts w:asciiTheme="majorHAnsi" w:hAnsiTheme="majorHAnsi" w:cs="Times New Roman"/>
                <w:sz w:val="20"/>
                <w:szCs w:val="20"/>
              </w:rPr>
            </w:pPr>
          </w:p>
        </w:tc>
        <w:tc>
          <w:tcPr>
            <w:tcW w:w="1250" w:type="pct"/>
          </w:tcPr>
          <w:p w:rsidR="00E678CE" w:rsidRDefault="00E678CE" w:rsidP="0047286A">
            <w:pPr>
              <w:rPr>
                <w:rFonts w:asciiTheme="majorHAnsi" w:hAnsiTheme="majorHAnsi" w:cs="Times New Roman"/>
                <w:sz w:val="20"/>
                <w:szCs w:val="20"/>
              </w:rPr>
            </w:pPr>
            <w:r>
              <w:rPr>
                <w:rFonts w:asciiTheme="majorHAnsi" w:hAnsiTheme="majorHAnsi" w:cs="Times New Roman"/>
                <w:sz w:val="20"/>
                <w:szCs w:val="20"/>
              </w:rPr>
              <w:t>Broj ponuđenih programa i broj  sudionika uključenih u programe</w:t>
            </w:r>
          </w:p>
          <w:p w:rsidR="00E678CE" w:rsidRDefault="00E678CE" w:rsidP="0047286A">
            <w:pPr>
              <w:rPr>
                <w:rFonts w:asciiTheme="majorHAnsi" w:hAnsiTheme="majorHAnsi" w:cs="Times New Roman"/>
                <w:sz w:val="20"/>
                <w:szCs w:val="20"/>
              </w:rPr>
            </w:pPr>
          </w:p>
          <w:p w:rsidR="00E678CE" w:rsidRPr="00D77C15" w:rsidRDefault="00E678CE" w:rsidP="0047286A">
            <w:pPr>
              <w:rPr>
                <w:rFonts w:asciiTheme="majorHAnsi" w:hAnsiTheme="majorHAnsi" w:cs="Times New Roman"/>
                <w:sz w:val="20"/>
                <w:szCs w:val="20"/>
              </w:rPr>
            </w:pPr>
            <w:r w:rsidRPr="00D77C15">
              <w:rPr>
                <w:rFonts w:asciiTheme="majorHAnsi" w:hAnsiTheme="majorHAnsi" w:cs="Times New Roman"/>
                <w:sz w:val="20"/>
                <w:szCs w:val="20"/>
              </w:rPr>
              <w:t xml:space="preserve">Broj sudionika </w:t>
            </w:r>
            <w:r>
              <w:rPr>
                <w:rFonts w:asciiTheme="majorHAnsi" w:hAnsiTheme="majorHAnsi" w:cs="Times New Roman"/>
                <w:sz w:val="20"/>
                <w:szCs w:val="20"/>
              </w:rPr>
              <w:t xml:space="preserve">koji su bili zadovoljni provedenim programima </w:t>
            </w:r>
          </w:p>
          <w:p w:rsidR="00E678CE" w:rsidRPr="00ED3700" w:rsidRDefault="00E678CE" w:rsidP="0047286A">
            <w:pPr>
              <w:rPr>
                <w:rFonts w:asciiTheme="majorHAnsi" w:hAnsiTheme="majorHAnsi" w:cs="Times New Roman"/>
                <w:sz w:val="20"/>
                <w:szCs w:val="20"/>
              </w:rPr>
            </w:pPr>
          </w:p>
        </w:tc>
      </w:tr>
      <w:tr w:rsidR="00707148" w:rsidRPr="00ED3700" w:rsidTr="0038677D">
        <w:tc>
          <w:tcPr>
            <w:tcW w:w="1250" w:type="pct"/>
          </w:tcPr>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t>2.</w:t>
            </w:r>
            <w:r w:rsidR="00A4136E">
              <w:rPr>
                <w:rFonts w:asciiTheme="majorHAnsi" w:hAnsiTheme="majorHAnsi" w:cs="Times New Roman"/>
                <w:sz w:val="20"/>
                <w:szCs w:val="20"/>
              </w:rPr>
              <w:t>3</w:t>
            </w:r>
            <w:r w:rsidR="00852114" w:rsidRPr="00ED3700">
              <w:rPr>
                <w:rFonts w:asciiTheme="majorHAnsi" w:hAnsiTheme="majorHAnsi" w:cs="Times New Roman"/>
                <w:sz w:val="20"/>
                <w:szCs w:val="20"/>
              </w:rPr>
              <w:t>.</w:t>
            </w:r>
            <w:r w:rsidRPr="00ED3700">
              <w:rPr>
                <w:rFonts w:asciiTheme="majorHAnsi" w:hAnsiTheme="majorHAnsi" w:cs="Times New Roman"/>
                <w:sz w:val="20"/>
                <w:szCs w:val="20"/>
              </w:rPr>
              <w:t xml:space="preserve"> Unaprijediti sustav profesionalnog usmjeravanja i samo-</w:t>
            </w:r>
            <w:r w:rsidRPr="00ED3700">
              <w:rPr>
                <w:rFonts w:asciiTheme="majorHAnsi" w:hAnsiTheme="majorHAnsi" w:cs="Times New Roman"/>
                <w:sz w:val="20"/>
                <w:szCs w:val="20"/>
              </w:rPr>
              <w:lastRenderedPageBreak/>
              <w:t>informiranja</w:t>
            </w:r>
          </w:p>
        </w:tc>
        <w:tc>
          <w:tcPr>
            <w:tcW w:w="1250" w:type="pct"/>
          </w:tcPr>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lastRenderedPageBreak/>
              <w:t xml:space="preserve">Uspostaviti mrežu centara, službi i usluga profesionalnog </w:t>
            </w:r>
            <w:r w:rsidRPr="00ED3700">
              <w:rPr>
                <w:rFonts w:asciiTheme="majorHAnsi" w:hAnsiTheme="majorHAnsi" w:cs="Times New Roman"/>
                <w:sz w:val="20"/>
                <w:szCs w:val="20"/>
              </w:rPr>
              <w:lastRenderedPageBreak/>
              <w:t>usmjeravanja</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i/>
                <w:sz w:val="20"/>
                <w:szCs w:val="20"/>
              </w:rPr>
            </w:pPr>
            <w:r w:rsidRPr="00ED3700">
              <w:rPr>
                <w:rFonts w:asciiTheme="majorHAnsi" w:hAnsiTheme="majorHAnsi" w:cs="Times New Roman"/>
                <w:sz w:val="20"/>
                <w:szCs w:val="20"/>
              </w:rPr>
              <w:t>Pokrenuti web sučelje za sveobuhvatni pristup profesionalnom usmjeravanju</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F25681" w:rsidRDefault="00F25681" w:rsidP="0038677D">
            <w:pPr>
              <w:rPr>
                <w:rFonts w:asciiTheme="majorHAnsi" w:hAnsiTheme="majorHAnsi" w:cs="Times New Roman"/>
                <w:sz w:val="20"/>
                <w:szCs w:val="20"/>
              </w:rPr>
            </w:pPr>
          </w:p>
          <w:p w:rsidR="00F25681" w:rsidRDefault="00F25681"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t>Dodatno osposobiti  stručne suradnike i nastavnike za provođenje profesionalnog informiranja i savjetovanja učenika i roditelja</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t xml:space="preserve">Intenzivirati rad na realizaciji profesionalnog usmjeravanja kao </w:t>
            </w:r>
            <w:proofErr w:type="spellStart"/>
            <w:r w:rsidRPr="00ED3700">
              <w:rPr>
                <w:rFonts w:asciiTheme="majorHAnsi" w:hAnsiTheme="majorHAnsi" w:cs="Times New Roman"/>
                <w:sz w:val="20"/>
                <w:szCs w:val="20"/>
              </w:rPr>
              <w:t>međupredmetne</w:t>
            </w:r>
            <w:proofErr w:type="spellEnd"/>
            <w:r w:rsidRPr="00ED3700">
              <w:rPr>
                <w:rFonts w:asciiTheme="majorHAnsi" w:hAnsiTheme="majorHAnsi" w:cs="Times New Roman"/>
                <w:sz w:val="20"/>
                <w:szCs w:val="20"/>
              </w:rPr>
              <w:t xml:space="preserve"> teme u osnovnim i srednjim školama</w:t>
            </w:r>
          </w:p>
          <w:p w:rsidR="00707148" w:rsidRPr="00ED3700" w:rsidRDefault="00707148" w:rsidP="0038677D">
            <w:pPr>
              <w:rPr>
                <w:rFonts w:asciiTheme="majorHAnsi" w:hAnsiTheme="majorHAnsi" w:cs="Times New Roman"/>
                <w:sz w:val="20"/>
                <w:szCs w:val="20"/>
              </w:rPr>
            </w:pPr>
          </w:p>
          <w:p w:rsidR="00707148" w:rsidRPr="00ED3700" w:rsidRDefault="00707148" w:rsidP="00F25681">
            <w:pPr>
              <w:rPr>
                <w:rFonts w:asciiTheme="majorHAnsi" w:hAnsiTheme="majorHAnsi" w:cs="Times New Roman"/>
                <w:sz w:val="20"/>
                <w:szCs w:val="20"/>
              </w:rPr>
            </w:pPr>
            <w:r w:rsidRPr="00ED3700">
              <w:rPr>
                <w:rFonts w:asciiTheme="majorHAnsi" w:hAnsiTheme="majorHAnsi" w:cs="Times New Roman"/>
                <w:sz w:val="20"/>
                <w:szCs w:val="20"/>
              </w:rPr>
              <w:t>Uvesti obvezno dodatno savjetovanje o izboru studija za osobe s invaliditetom</w:t>
            </w:r>
          </w:p>
        </w:tc>
        <w:tc>
          <w:tcPr>
            <w:tcW w:w="1250" w:type="pct"/>
          </w:tcPr>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lastRenderedPageBreak/>
              <w:t>HZZ, udruge, institucije srednjeg i visokog obrazovanja</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t xml:space="preserve">HZZ </w:t>
            </w:r>
            <w:r w:rsidR="003478AA">
              <w:rPr>
                <w:rFonts w:asciiTheme="majorHAnsi" w:hAnsiTheme="majorHAnsi" w:cs="Times New Roman"/>
                <w:sz w:val="20"/>
                <w:szCs w:val="20"/>
              </w:rPr>
              <w:t>–</w:t>
            </w:r>
            <w:r w:rsidRPr="00ED3700">
              <w:rPr>
                <w:rFonts w:asciiTheme="majorHAnsi" w:hAnsiTheme="majorHAnsi" w:cs="Times New Roman"/>
                <w:sz w:val="20"/>
                <w:szCs w:val="20"/>
              </w:rPr>
              <w:t xml:space="preserve"> CISOK</w:t>
            </w:r>
            <w:r w:rsidR="003478AA">
              <w:rPr>
                <w:rFonts w:asciiTheme="majorHAnsi" w:hAnsiTheme="majorHAnsi" w:cs="Times New Roman"/>
                <w:sz w:val="20"/>
                <w:szCs w:val="20"/>
              </w:rPr>
              <w:t>, MZO, visoka učilišta, udruge</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F25681" w:rsidP="0038677D">
            <w:pPr>
              <w:rPr>
                <w:rFonts w:asciiTheme="majorHAnsi" w:hAnsiTheme="majorHAnsi" w:cs="Times New Roman"/>
                <w:sz w:val="20"/>
                <w:szCs w:val="20"/>
              </w:rPr>
            </w:pPr>
            <w:r>
              <w:rPr>
                <w:rFonts w:asciiTheme="majorHAnsi" w:hAnsiTheme="majorHAnsi" w:cs="Times New Roman"/>
                <w:sz w:val="20"/>
                <w:szCs w:val="20"/>
              </w:rPr>
              <w:t>MZO</w:t>
            </w:r>
            <w:r w:rsidR="00707148" w:rsidRPr="00ED3700">
              <w:rPr>
                <w:rFonts w:asciiTheme="majorHAnsi" w:hAnsiTheme="majorHAnsi" w:cs="Times New Roman"/>
                <w:sz w:val="20"/>
                <w:szCs w:val="20"/>
              </w:rPr>
              <w:t>, AZOO, ASOO</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F25681" w:rsidRDefault="00F25681" w:rsidP="0038677D">
            <w:pPr>
              <w:rPr>
                <w:rFonts w:asciiTheme="majorHAnsi" w:hAnsiTheme="majorHAnsi" w:cs="Times New Roman"/>
                <w:sz w:val="20"/>
                <w:szCs w:val="20"/>
              </w:rPr>
            </w:pPr>
          </w:p>
          <w:p w:rsidR="00707148" w:rsidRPr="00ED3700" w:rsidRDefault="00F25681" w:rsidP="0038677D">
            <w:pPr>
              <w:rPr>
                <w:rFonts w:asciiTheme="majorHAnsi" w:hAnsiTheme="majorHAnsi" w:cs="Times New Roman"/>
                <w:sz w:val="20"/>
                <w:szCs w:val="20"/>
              </w:rPr>
            </w:pPr>
            <w:r>
              <w:rPr>
                <w:rFonts w:asciiTheme="majorHAnsi" w:hAnsiTheme="majorHAnsi" w:cs="Times New Roman"/>
                <w:sz w:val="20"/>
                <w:szCs w:val="20"/>
              </w:rPr>
              <w:t>MZO</w:t>
            </w:r>
            <w:r w:rsidR="00707148" w:rsidRPr="00ED3700">
              <w:rPr>
                <w:rFonts w:asciiTheme="majorHAnsi" w:hAnsiTheme="majorHAnsi" w:cs="Times New Roman"/>
                <w:sz w:val="20"/>
                <w:szCs w:val="20"/>
              </w:rPr>
              <w:t>, AOO, OŠ, SŠ</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F25681" w:rsidRDefault="00F25681" w:rsidP="00F25681">
            <w:pPr>
              <w:rPr>
                <w:rFonts w:asciiTheme="majorHAnsi" w:hAnsiTheme="majorHAnsi" w:cs="Times New Roman"/>
                <w:sz w:val="20"/>
                <w:szCs w:val="20"/>
              </w:rPr>
            </w:pPr>
          </w:p>
          <w:p w:rsidR="00707148" w:rsidRPr="00ED3700" w:rsidRDefault="00F25681" w:rsidP="00F25681">
            <w:pPr>
              <w:rPr>
                <w:rFonts w:asciiTheme="majorHAnsi" w:hAnsiTheme="majorHAnsi" w:cs="Times New Roman"/>
                <w:sz w:val="20"/>
                <w:szCs w:val="20"/>
              </w:rPr>
            </w:pPr>
            <w:r>
              <w:rPr>
                <w:rFonts w:asciiTheme="majorHAnsi" w:hAnsiTheme="majorHAnsi" w:cs="Times New Roman"/>
                <w:sz w:val="20"/>
                <w:szCs w:val="20"/>
              </w:rPr>
              <w:t>MZO</w:t>
            </w:r>
            <w:r w:rsidR="00707148" w:rsidRPr="00ED3700">
              <w:rPr>
                <w:rFonts w:asciiTheme="majorHAnsi" w:hAnsiTheme="majorHAnsi" w:cs="Times New Roman"/>
                <w:sz w:val="20"/>
                <w:szCs w:val="20"/>
              </w:rPr>
              <w:t>, AOO</w:t>
            </w:r>
            <w:r w:rsidR="00B618AD">
              <w:rPr>
                <w:rFonts w:asciiTheme="majorHAnsi" w:hAnsiTheme="majorHAnsi" w:cs="Times New Roman"/>
                <w:sz w:val="20"/>
                <w:szCs w:val="20"/>
              </w:rPr>
              <w:t>, HZZ</w:t>
            </w:r>
          </w:p>
        </w:tc>
        <w:tc>
          <w:tcPr>
            <w:tcW w:w="1250" w:type="pct"/>
          </w:tcPr>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lastRenderedPageBreak/>
              <w:t xml:space="preserve">Formirana mreža </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Default="00707148" w:rsidP="0038677D">
            <w:pPr>
              <w:rPr>
                <w:rFonts w:asciiTheme="majorHAnsi" w:hAnsiTheme="majorHAnsi" w:cs="Times New Roman"/>
                <w:sz w:val="20"/>
                <w:szCs w:val="20"/>
              </w:rPr>
            </w:pPr>
            <w:r w:rsidRPr="00ED3700">
              <w:rPr>
                <w:rFonts w:asciiTheme="majorHAnsi" w:hAnsiTheme="majorHAnsi" w:cs="Times New Roman"/>
                <w:sz w:val="20"/>
                <w:szCs w:val="20"/>
              </w:rPr>
              <w:t xml:space="preserve">Pokrenuto web sučelje </w:t>
            </w:r>
          </w:p>
          <w:p w:rsidR="00F25681" w:rsidRDefault="00F25681" w:rsidP="0038677D">
            <w:pPr>
              <w:rPr>
                <w:rFonts w:asciiTheme="majorHAnsi" w:hAnsiTheme="majorHAnsi" w:cs="Times New Roman"/>
                <w:sz w:val="20"/>
                <w:szCs w:val="20"/>
              </w:rPr>
            </w:pPr>
          </w:p>
          <w:p w:rsidR="00F25681" w:rsidRPr="00ED3700" w:rsidRDefault="00F25681" w:rsidP="00F25681">
            <w:pPr>
              <w:rPr>
                <w:rFonts w:asciiTheme="majorHAnsi" w:hAnsiTheme="majorHAnsi" w:cs="Times New Roman"/>
                <w:sz w:val="20"/>
                <w:szCs w:val="20"/>
              </w:rPr>
            </w:pPr>
            <w:r w:rsidRPr="00ED3700">
              <w:rPr>
                <w:rFonts w:asciiTheme="majorHAnsi" w:hAnsiTheme="majorHAnsi" w:cs="Times New Roman"/>
                <w:sz w:val="20"/>
                <w:szCs w:val="20"/>
              </w:rPr>
              <w:t>Broj visokih učilišta koja su informacije učinila dostupnima i prilagođenima; objedinjene informacije</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t>Broj ponuđenih dodatnih edukacija, broj sudionika (broj dodatno osposobljenih stručnih suradnika i nastavnika)</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t>Broj pre</w:t>
            </w:r>
            <w:r w:rsidR="00F25681">
              <w:rPr>
                <w:rFonts w:asciiTheme="majorHAnsi" w:hAnsiTheme="majorHAnsi" w:cs="Times New Roman"/>
                <w:sz w:val="20"/>
                <w:szCs w:val="20"/>
              </w:rPr>
              <w:t>d</w:t>
            </w:r>
            <w:r w:rsidRPr="00ED3700">
              <w:rPr>
                <w:rFonts w:asciiTheme="majorHAnsi" w:hAnsiTheme="majorHAnsi" w:cs="Times New Roman"/>
                <w:sz w:val="20"/>
                <w:szCs w:val="20"/>
              </w:rPr>
              <w:t>meta i realiziranih tema</w:t>
            </w: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p>
          <w:p w:rsidR="00F25681" w:rsidRDefault="00F25681" w:rsidP="0038677D">
            <w:pPr>
              <w:rPr>
                <w:rFonts w:asciiTheme="majorHAnsi" w:hAnsiTheme="majorHAnsi" w:cs="Times New Roman"/>
                <w:sz w:val="20"/>
                <w:szCs w:val="20"/>
              </w:rPr>
            </w:pPr>
          </w:p>
          <w:p w:rsidR="00F25681" w:rsidRDefault="00F25681" w:rsidP="0038677D">
            <w:pPr>
              <w:rPr>
                <w:rFonts w:asciiTheme="majorHAnsi" w:hAnsiTheme="majorHAnsi" w:cs="Times New Roman"/>
                <w:sz w:val="20"/>
                <w:szCs w:val="20"/>
              </w:rPr>
            </w:pPr>
          </w:p>
          <w:p w:rsidR="00707148" w:rsidRPr="00ED3700" w:rsidRDefault="00707148" w:rsidP="0038677D">
            <w:pPr>
              <w:rPr>
                <w:rFonts w:asciiTheme="majorHAnsi" w:hAnsiTheme="majorHAnsi" w:cs="Times New Roman"/>
                <w:sz w:val="20"/>
                <w:szCs w:val="20"/>
              </w:rPr>
            </w:pPr>
            <w:r w:rsidRPr="00ED3700">
              <w:rPr>
                <w:rFonts w:asciiTheme="majorHAnsi" w:hAnsiTheme="majorHAnsi" w:cs="Times New Roman"/>
                <w:sz w:val="20"/>
                <w:szCs w:val="20"/>
              </w:rPr>
              <w:t>Broj provedenih savjetovanja i sudionika</w:t>
            </w:r>
          </w:p>
        </w:tc>
      </w:tr>
      <w:tr w:rsidR="00A4136E" w:rsidRPr="00ED3700" w:rsidTr="0038677D">
        <w:tc>
          <w:tcPr>
            <w:tcW w:w="1250" w:type="pct"/>
          </w:tcPr>
          <w:p w:rsidR="00A4136E" w:rsidRPr="00ED3700" w:rsidRDefault="00A4136E" w:rsidP="0047286A">
            <w:pPr>
              <w:rPr>
                <w:rFonts w:asciiTheme="majorHAnsi" w:hAnsiTheme="majorHAnsi" w:cs="Times New Roman"/>
                <w:sz w:val="20"/>
                <w:szCs w:val="20"/>
              </w:rPr>
            </w:pPr>
            <w:r>
              <w:rPr>
                <w:rFonts w:asciiTheme="majorHAnsi" w:hAnsiTheme="majorHAnsi" w:cs="Times New Roman"/>
                <w:sz w:val="20"/>
                <w:szCs w:val="20"/>
              </w:rPr>
              <w:lastRenderedPageBreak/>
              <w:t>2.4. Osigurati prijelaz iz trogodišnjeg srednjoškolskog u visoko obrazovanje</w:t>
            </w:r>
          </w:p>
        </w:tc>
        <w:tc>
          <w:tcPr>
            <w:tcW w:w="1250" w:type="pct"/>
          </w:tcPr>
          <w:p w:rsidR="00A4136E" w:rsidRPr="00ED3700" w:rsidRDefault="00A4136E" w:rsidP="0047286A">
            <w:pPr>
              <w:rPr>
                <w:rFonts w:asciiTheme="majorHAnsi" w:hAnsiTheme="majorHAnsi" w:cs="Times New Roman"/>
                <w:sz w:val="20"/>
                <w:szCs w:val="20"/>
              </w:rPr>
            </w:pPr>
            <w:r w:rsidRPr="00ED3700">
              <w:rPr>
                <w:rFonts w:asciiTheme="majorHAnsi" w:hAnsiTheme="majorHAnsi" w:cs="Times New Roman"/>
                <w:sz w:val="20"/>
                <w:szCs w:val="20"/>
              </w:rPr>
              <w:t xml:space="preserve">Kreirati i provesti program obrazovanja za prijelaz iz trogodišnjih strukovnih škola u visoko obrazovanje </w:t>
            </w:r>
          </w:p>
        </w:tc>
        <w:tc>
          <w:tcPr>
            <w:tcW w:w="1250" w:type="pct"/>
          </w:tcPr>
          <w:p w:rsidR="00A4136E" w:rsidRPr="00ED3700" w:rsidRDefault="00010678" w:rsidP="0047286A">
            <w:pPr>
              <w:rPr>
                <w:rFonts w:asciiTheme="majorHAnsi" w:hAnsiTheme="majorHAnsi" w:cs="Times New Roman"/>
                <w:sz w:val="20"/>
                <w:szCs w:val="20"/>
              </w:rPr>
            </w:pPr>
            <w:r>
              <w:rPr>
                <w:rFonts w:asciiTheme="majorHAnsi" w:hAnsiTheme="majorHAnsi" w:cs="Times New Roman"/>
                <w:sz w:val="20"/>
                <w:szCs w:val="20"/>
              </w:rPr>
              <w:t>MZO</w:t>
            </w:r>
            <w:r w:rsidR="00A4136E" w:rsidRPr="00ED3700">
              <w:rPr>
                <w:rFonts w:asciiTheme="majorHAnsi" w:hAnsiTheme="majorHAnsi" w:cs="Times New Roman"/>
                <w:sz w:val="20"/>
                <w:szCs w:val="20"/>
              </w:rPr>
              <w:t>, AOO</w:t>
            </w:r>
            <w:r w:rsidR="0067488B">
              <w:rPr>
                <w:rFonts w:asciiTheme="majorHAnsi" w:hAnsiTheme="majorHAnsi" w:cs="Times New Roman"/>
                <w:sz w:val="20"/>
                <w:szCs w:val="20"/>
              </w:rPr>
              <w:t>, NCVVO i AZVO</w:t>
            </w:r>
          </w:p>
          <w:p w:rsidR="00A4136E" w:rsidRPr="00ED3700" w:rsidRDefault="00A4136E" w:rsidP="0047286A">
            <w:pPr>
              <w:rPr>
                <w:rFonts w:asciiTheme="majorHAnsi" w:hAnsiTheme="majorHAnsi" w:cs="Times New Roman"/>
                <w:sz w:val="20"/>
                <w:szCs w:val="20"/>
              </w:rPr>
            </w:pPr>
          </w:p>
          <w:p w:rsidR="00A4136E" w:rsidRPr="00ED3700" w:rsidRDefault="00A4136E" w:rsidP="0047286A">
            <w:pPr>
              <w:rPr>
                <w:rFonts w:asciiTheme="majorHAnsi" w:hAnsiTheme="majorHAnsi" w:cs="Times New Roman"/>
                <w:sz w:val="20"/>
                <w:szCs w:val="20"/>
              </w:rPr>
            </w:pPr>
          </w:p>
          <w:p w:rsidR="00A4136E" w:rsidRPr="00ED3700" w:rsidRDefault="00A4136E" w:rsidP="0047286A">
            <w:pPr>
              <w:rPr>
                <w:rFonts w:asciiTheme="majorHAnsi" w:hAnsiTheme="majorHAnsi" w:cs="Times New Roman"/>
                <w:sz w:val="20"/>
                <w:szCs w:val="20"/>
              </w:rPr>
            </w:pPr>
          </w:p>
          <w:p w:rsidR="00A4136E" w:rsidRPr="00ED3700" w:rsidRDefault="00A4136E" w:rsidP="0047286A">
            <w:pPr>
              <w:rPr>
                <w:rFonts w:asciiTheme="majorHAnsi" w:hAnsiTheme="majorHAnsi" w:cs="Times New Roman"/>
                <w:sz w:val="20"/>
                <w:szCs w:val="20"/>
              </w:rPr>
            </w:pPr>
          </w:p>
        </w:tc>
        <w:tc>
          <w:tcPr>
            <w:tcW w:w="1250" w:type="pct"/>
          </w:tcPr>
          <w:p w:rsidR="00A4136E" w:rsidRPr="00ED3700" w:rsidRDefault="00A4136E" w:rsidP="0047286A">
            <w:pPr>
              <w:rPr>
                <w:rFonts w:asciiTheme="majorHAnsi" w:hAnsiTheme="majorHAnsi" w:cs="Times New Roman"/>
                <w:sz w:val="20"/>
                <w:szCs w:val="20"/>
              </w:rPr>
            </w:pPr>
            <w:r>
              <w:rPr>
                <w:rFonts w:asciiTheme="majorHAnsi" w:hAnsiTheme="majorHAnsi" w:cs="Times New Roman"/>
                <w:sz w:val="20"/>
                <w:szCs w:val="20"/>
              </w:rPr>
              <w:t>Povećanje broja studenata koji su završili trogodišnje srednjoškolsko obrazovanje</w:t>
            </w:r>
          </w:p>
          <w:p w:rsidR="00A4136E" w:rsidRPr="00ED3700" w:rsidRDefault="00A4136E" w:rsidP="0047286A">
            <w:pPr>
              <w:rPr>
                <w:rFonts w:asciiTheme="majorHAnsi" w:hAnsiTheme="majorHAnsi" w:cs="Times New Roman"/>
                <w:sz w:val="20"/>
                <w:szCs w:val="20"/>
              </w:rPr>
            </w:pPr>
          </w:p>
        </w:tc>
      </w:tr>
    </w:tbl>
    <w:p w:rsidR="00707148" w:rsidRPr="00ED3700" w:rsidRDefault="00707148" w:rsidP="00707148">
      <w:pPr>
        <w:jc w:val="both"/>
        <w:rPr>
          <w:rFonts w:asciiTheme="majorHAnsi" w:hAnsiTheme="majorHAnsi" w:cs="Times New Roman"/>
          <w:sz w:val="24"/>
          <w:szCs w:val="24"/>
        </w:rPr>
      </w:pPr>
    </w:p>
    <w:p w:rsidR="00707148" w:rsidRPr="00ED3700" w:rsidRDefault="00707148" w:rsidP="00707148">
      <w:pPr>
        <w:rPr>
          <w:rFonts w:asciiTheme="majorHAnsi" w:hAnsiTheme="majorHAnsi"/>
        </w:rPr>
      </w:pPr>
    </w:p>
    <w:bookmarkEnd w:id="2"/>
    <w:p w:rsidR="002536D2" w:rsidRPr="00ED3700" w:rsidRDefault="002536D2" w:rsidP="00897A38">
      <w:pPr>
        <w:pStyle w:val="Heading3"/>
        <w:rPr>
          <w:rStyle w:val="BookTitle"/>
          <w:rFonts w:cs="Times New Roman"/>
          <w:smallCaps w:val="0"/>
          <w:spacing w:val="0"/>
          <w:sz w:val="28"/>
          <w:szCs w:val="28"/>
        </w:rPr>
      </w:pPr>
      <w:r w:rsidRPr="00ED3700">
        <w:rPr>
          <w:rStyle w:val="BookTitle"/>
          <w:sz w:val="28"/>
          <w:szCs w:val="28"/>
        </w:rPr>
        <w:t>Cilj 3: Omogućiti jednake prilike svim studentima tijekom studiranja</w:t>
      </w:r>
    </w:p>
    <w:p w:rsidR="002536D2" w:rsidRPr="00ED3700" w:rsidRDefault="002536D2" w:rsidP="002536D2">
      <w:pPr>
        <w:contextualSpacing/>
        <w:jc w:val="both"/>
        <w:rPr>
          <w:rFonts w:asciiTheme="majorHAnsi" w:hAnsiTheme="majorHAnsi" w:cs="Times New Roman"/>
        </w:rPr>
      </w:pPr>
    </w:p>
    <w:tbl>
      <w:tblPr>
        <w:tblStyle w:val="Tablicareetke4-isticanje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52"/>
        <w:gridCol w:w="1984"/>
        <w:gridCol w:w="2517"/>
      </w:tblGrid>
      <w:tr w:rsidR="00A2106B" w:rsidRPr="00ED3700" w:rsidTr="00AF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pct"/>
            <w:tcBorders>
              <w:top w:val="none" w:sz="0" w:space="0" w:color="auto"/>
              <w:left w:val="none" w:sz="0" w:space="0" w:color="auto"/>
              <w:bottom w:val="none" w:sz="0" w:space="0" w:color="auto"/>
              <w:right w:val="none" w:sz="0" w:space="0" w:color="auto"/>
            </w:tcBorders>
            <w:shd w:val="clear" w:color="auto" w:fill="auto"/>
          </w:tcPr>
          <w:p w:rsidR="00A2106B" w:rsidRPr="00ED3700" w:rsidRDefault="00A2106B" w:rsidP="00AF2143">
            <w:pPr>
              <w:rPr>
                <w:rFonts w:asciiTheme="majorHAnsi" w:hAnsiTheme="majorHAnsi" w:cs="Times New Roman"/>
                <w:color w:val="auto"/>
                <w:sz w:val="20"/>
                <w:szCs w:val="20"/>
              </w:rPr>
            </w:pPr>
            <w:proofErr w:type="spellStart"/>
            <w:r w:rsidRPr="00ED3700">
              <w:rPr>
                <w:rFonts w:asciiTheme="majorHAnsi" w:hAnsiTheme="majorHAnsi" w:cs="Times New Roman"/>
                <w:color w:val="auto"/>
                <w:sz w:val="20"/>
                <w:szCs w:val="20"/>
              </w:rPr>
              <w:t>Podcilj</w:t>
            </w:r>
            <w:proofErr w:type="spellEnd"/>
          </w:p>
        </w:tc>
        <w:tc>
          <w:tcPr>
            <w:tcW w:w="1374" w:type="pct"/>
            <w:tcBorders>
              <w:top w:val="none" w:sz="0" w:space="0" w:color="auto"/>
              <w:left w:val="none" w:sz="0" w:space="0" w:color="auto"/>
              <w:bottom w:val="none" w:sz="0" w:space="0" w:color="auto"/>
              <w:right w:val="none" w:sz="0" w:space="0" w:color="auto"/>
            </w:tcBorders>
            <w:shd w:val="clear" w:color="auto" w:fill="auto"/>
          </w:tcPr>
          <w:p w:rsidR="00A2106B" w:rsidRPr="00ED3700" w:rsidRDefault="00A2106B" w:rsidP="00AF2143">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0"/>
                <w:szCs w:val="20"/>
              </w:rPr>
            </w:pPr>
            <w:r w:rsidRPr="00ED3700">
              <w:rPr>
                <w:rFonts w:asciiTheme="majorHAnsi" w:hAnsiTheme="majorHAnsi" w:cs="Times New Roman"/>
                <w:color w:val="auto"/>
                <w:sz w:val="20"/>
                <w:szCs w:val="20"/>
              </w:rPr>
              <w:t>Aktivnost</w:t>
            </w:r>
          </w:p>
        </w:tc>
        <w:tc>
          <w:tcPr>
            <w:tcW w:w="1068" w:type="pct"/>
            <w:tcBorders>
              <w:top w:val="none" w:sz="0" w:space="0" w:color="auto"/>
              <w:left w:val="none" w:sz="0" w:space="0" w:color="auto"/>
              <w:bottom w:val="none" w:sz="0" w:space="0" w:color="auto"/>
              <w:right w:val="none" w:sz="0" w:space="0" w:color="auto"/>
            </w:tcBorders>
            <w:shd w:val="clear" w:color="auto" w:fill="auto"/>
          </w:tcPr>
          <w:p w:rsidR="00A2106B" w:rsidRPr="00ED3700" w:rsidRDefault="00A2106B" w:rsidP="00AF2143">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0"/>
                <w:szCs w:val="20"/>
              </w:rPr>
            </w:pPr>
            <w:r w:rsidRPr="00ED3700">
              <w:rPr>
                <w:rFonts w:asciiTheme="majorHAnsi" w:hAnsiTheme="majorHAnsi" w:cs="Times New Roman"/>
                <w:color w:val="auto"/>
                <w:sz w:val="20"/>
                <w:szCs w:val="20"/>
              </w:rPr>
              <w:t>Odgovornost</w:t>
            </w:r>
          </w:p>
        </w:tc>
        <w:tc>
          <w:tcPr>
            <w:tcW w:w="1355" w:type="pct"/>
            <w:tcBorders>
              <w:top w:val="none" w:sz="0" w:space="0" w:color="auto"/>
              <w:left w:val="none" w:sz="0" w:space="0" w:color="auto"/>
              <w:bottom w:val="none" w:sz="0" w:space="0" w:color="auto"/>
              <w:right w:val="none" w:sz="0" w:space="0" w:color="auto"/>
            </w:tcBorders>
            <w:shd w:val="clear" w:color="auto" w:fill="auto"/>
          </w:tcPr>
          <w:p w:rsidR="00A2106B" w:rsidRPr="00ED3700" w:rsidRDefault="00A2106B" w:rsidP="00AF2143">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0"/>
                <w:szCs w:val="20"/>
              </w:rPr>
            </w:pPr>
            <w:r w:rsidRPr="00ED3700">
              <w:rPr>
                <w:rFonts w:asciiTheme="majorHAnsi" w:hAnsiTheme="majorHAnsi" w:cs="Times New Roman"/>
                <w:color w:val="auto"/>
                <w:sz w:val="20"/>
                <w:szCs w:val="20"/>
              </w:rPr>
              <w:t>Indikator</w:t>
            </w:r>
          </w:p>
        </w:tc>
      </w:tr>
      <w:tr w:rsidR="00A2106B" w:rsidRPr="00ED3700" w:rsidTr="00AF2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pct"/>
            <w:shd w:val="clear" w:color="auto" w:fill="auto"/>
          </w:tcPr>
          <w:p w:rsidR="00A2106B" w:rsidRPr="00ED3700" w:rsidRDefault="00A2106B" w:rsidP="00AF2143">
            <w:pPr>
              <w:contextualSpacing/>
              <w:rPr>
                <w:rFonts w:asciiTheme="majorHAnsi" w:hAnsiTheme="majorHAnsi" w:cs="Times New Roman"/>
                <w:b w:val="0"/>
                <w:sz w:val="20"/>
                <w:szCs w:val="20"/>
              </w:rPr>
            </w:pPr>
            <w:r w:rsidRPr="00ED3700">
              <w:rPr>
                <w:rFonts w:asciiTheme="majorHAnsi" w:hAnsiTheme="majorHAnsi" w:cs="Times New Roman"/>
                <w:b w:val="0"/>
                <w:sz w:val="20"/>
                <w:szCs w:val="20"/>
                <w:lang w:eastAsia="hr-HR"/>
              </w:rPr>
              <w:t>3</w:t>
            </w:r>
            <w:r w:rsidR="00B015CE">
              <w:rPr>
                <w:rFonts w:asciiTheme="majorHAnsi" w:hAnsiTheme="majorHAnsi" w:cs="Times New Roman"/>
                <w:b w:val="0"/>
                <w:sz w:val="20"/>
                <w:szCs w:val="20"/>
                <w:lang w:eastAsia="hr-HR"/>
              </w:rPr>
              <w:t>.1</w:t>
            </w:r>
            <w:r w:rsidRPr="00ED3700">
              <w:rPr>
                <w:rFonts w:asciiTheme="majorHAnsi" w:hAnsiTheme="majorHAnsi" w:cs="Times New Roman"/>
                <w:b w:val="0"/>
                <w:sz w:val="20"/>
                <w:szCs w:val="20"/>
                <w:lang w:eastAsia="hr-HR"/>
              </w:rPr>
              <w:t>. Ukloniti prepreke pri početku studiranja</w:t>
            </w:r>
          </w:p>
          <w:p w:rsidR="00A2106B" w:rsidRPr="00ED3700" w:rsidRDefault="00A2106B" w:rsidP="00AF2143">
            <w:pPr>
              <w:contextualSpacing/>
              <w:rPr>
                <w:rFonts w:asciiTheme="majorHAnsi" w:hAnsiTheme="majorHAnsi" w:cs="Times New Roman"/>
                <w:b w:val="0"/>
                <w:sz w:val="20"/>
                <w:szCs w:val="20"/>
              </w:rPr>
            </w:pPr>
          </w:p>
        </w:tc>
        <w:tc>
          <w:tcPr>
            <w:tcW w:w="1374" w:type="pct"/>
            <w:shd w:val="clear" w:color="auto" w:fill="auto"/>
          </w:tcPr>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r w:rsidRPr="00ED3700">
              <w:rPr>
                <w:rFonts w:asciiTheme="majorHAnsi" w:hAnsiTheme="majorHAnsi" w:cs="Times New Roman"/>
                <w:sz w:val="20"/>
                <w:szCs w:val="20"/>
                <w:lang w:eastAsia="hr-HR"/>
              </w:rPr>
              <w:t xml:space="preserve">Uspostaviti programe nadoknade kompetencija </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r w:rsidRPr="00ED3700">
              <w:rPr>
                <w:rFonts w:asciiTheme="majorHAnsi" w:hAnsiTheme="majorHAnsi" w:cs="Times New Roman"/>
                <w:sz w:val="20"/>
                <w:szCs w:val="20"/>
                <w:lang w:eastAsia="hr-HR"/>
              </w:rPr>
              <w:t>U okviru studentskog savjetovanja, razviti program prilagodbe na studij za ranjive skupine</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r w:rsidRPr="00ED3700">
              <w:rPr>
                <w:rFonts w:asciiTheme="majorHAnsi" w:hAnsiTheme="majorHAnsi" w:cs="Times New Roman"/>
                <w:sz w:val="20"/>
                <w:szCs w:val="20"/>
                <w:lang w:eastAsia="hr-HR"/>
              </w:rPr>
              <w:t>Revidirati studijske programe i ujednačiti optere</w:t>
            </w:r>
            <w:r w:rsidR="006C7D14">
              <w:rPr>
                <w:rFonts w:asciiTheme="majorHAnsi" w:hAnsiTheme="majorHAnsi" w:cs="Times New Roman"/>
                <w:sz w:val="20"/>
                <w:szCs w:val="20"/>
                <w:lang w:eastAsia="hr-HR"/>
              </w:rPr>
              <w:t xml:space="preserve">ćenje na svim godinama studija </w:t>
            </w:r>
          </w:p>
        </w:tc>
        <w:tc>
          <w:tcPr>
            <w:tcW w:w="1068" w:type="pct"/>
            <w:shd w:val="clear" w:color="auto" w:fill="auto"/>
          </w:tcPr>
          <w:p w:rsidR="00A2106B" w:rsidRDefault="00081520"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lastRenderedPageBreak/>
              <w:t>MZO</w:t>
            </w:r>
            <w:r w:rsidR="00314380">
              <w:rPr>
                <w:rFonts w:asciiTheme="majorHAnsi" w:hAnsiTheme="majorHAnsi" w:cs="Times New Roman"/>
                <w:sz w:val="20"/>
                <w:szCs w:val="20"/>
              </w:rPr>
              <w:t xml:space="preserve"> </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Visoko učilište (pojedine sastavnice, odnosno centri odgovorni za nastavu)</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775A22" w:rsidRDefault="00775A22"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4380" w:rsidRPr="00ED3700" w:rsidRDefault="00081520"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MZO</w:t>
            </w:r>
            <w:r w:rsidR="00A2106B" w:rsidRPr="00ED3700">
              <w:rPr>
                <w:rFonts w:asciiTheme="majorHAnsi" w:hAnsiTheme="majorHAnsi" w:cs="Times New Roman"/>
                <w:sz w:val="20"/>
                <w:szCs w:val="20"/>
              </w:rPr>
              <w:t xml:space="preserve"> </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Studentski savjetovališni centri (uspostava programa)</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E36FD6" w:rsidRDefault="00E36FD6"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6501" w:rsidRDefault="00A26501"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Visoka učilišta</w:t>
            </w:r>
          </w:p>
        </w:tc>
        <w:tc>
          <w:tcPr>
            <w:tcW w:w="1355" w:type="pct"/>
            <w:shd w:val="clear" w:color="auto" w:fill="auto"/>
          </w:tcPr>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programa nadoknade kompetencija</w:t>
            </w:r>
          </w:p>
          <w:p w:rsidR="00314380" w:rsidRDefault="00314380"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Kvaliteta i korisnost ovih programa (analiza utjecaja na prolaznost)</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7606B3" w:rsidRDefault="007606B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Izvještaji Ureda za studente s invaliditetom (s povratnim informacijama korisnika)</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Izvještaji Sveučilišnih savjetovališnih centara</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(s povratnim informacijama korisnika)</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Revidirani studijski programi</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A2106B" w:rsidRPr="00ED3700" w:rsidTr="00AF2143">
        <w:tc>
          <w:tcPr>
            <w:cnfStyle w:val="001000000000" w:firstRow="0" w:lastRow="0" w:firstColumn="1" w:lastColumn="0" w:oddVBand="0" w:evenVBand="0" w:oddHBand="0" w:evenHBand="0" w:firstRowFirstColumn="0" w:firstRowLastColumn="0" w:lastRowFirstColumn="0" w:lastRowLastColumn="0"/>
            <w:tcW w:w="1203" w:type="pct"/>
            <w:shd w:val="clear" w:color="auto" w:fill="auto"/>
          </w:tcPr>
          <w:p w:rsidR="00A2106B" w:rsidRPr="00ED3700" w:rsidRDefault="00A2106B" w:rsidP="00AF2143">
            <w:pPr>
              <w:rPr>
                <w:rFonts w:asciiTheme="majorHAnsi" w:hAnsiTheme="majorHAnsi" w:cs="Times New Roman"/>
                <w:b w:val="0"/>
                <w:sz w:val="20"/>
                <w:szCs w:val="20"/>
              </w:rPr>
            </w:pPr>
            <w:r w:rsidRPr="00ED3700">
              <w:rPr>
                <w:rFonts w:asciiTheme="majorHAnsi" w:hAnsiTheme="majorHAnsi" w:cs="Times New Roman"/>
                <w:b w:val="0"/>
                <w:sz w:val="20"/>
                <w:szCs w:val="20"/>
              </w:rPr>
              <w:lastRenderedPageBreak/>
              <w:t>3</w:t>
            </w:r>
            <w:r w:rsidR="000B11CA">
              <w:rPr>
                <w:rFonts w:asciiTheme="majorHAnsi" w:hAnsiTheme="majorHAnsi" w:cs="Times New Roman"/>
                <w:b w:val="0"/>
                <w:sz w:val="20"/>
                <w:szCs w:val="20"/>
              </w:rPr>
              <w:t>.2</w:t>
            </w:r>
            <w:r w:rsidRPr="00ED3700">
              <w:rPr>
                <w:rFonts w:asciiTheme="majorHAnsi" w:hAnsiTheme="majorHAnsi" w:cs="Times New Roman"/>
                <w:b w:val="0"/>
                <w:sz w:val="20"/>
                <w:szCs w:val="20"/>
              </w:rPr>
              <w:t>. Uspostaviti učinkovit sustav nematerijalne potpore za studente tijekom studija</w:t>
            </w:r>
          </w:p>
          <w:p w:rsidR="00A2106B" w:rsidRPr="00ED3700" w:rsidRDefault="00A2106B" w:rsidP="00AF2143">
            <w:pPr>
              <w:rPr>
                <w:rFonts w:asciiTheme="majorHAnsi" w:hAnsiTheme="majorHAnsi" w:cs="Times New Roman"/>
                <w:b w:val="0"/>
                <w:bCs w:val="0"/>
                <w:sz w:val="20"/>
                <w:szCs w:val="20"/>
              </w:rPr>
            </w:pPr>
          </w:p>
          <w:p w:rsidR="00A2106B" w:rsidRPr="00ED3700" w:rsidRDefault="00A2106B" w:rsidP="00AF2143">
            <w:pPr>
              <w:rPr>
                <w:rFonts w:asciiTheme="majorHAnsi" w:hAnsiTheme="majorHAnsi" w:cs="Times New Roman"/>
                <w:sz w:val="20"/>
                <w:szCs w:val="20"/>
              </w:rPr>
            </w:pPr>
          </w:p>
          <w:p w:rsidR="00A2106B" w:rsidRPr="00ED3700" w:rsidRDefault="00A2106B" w:rsidP="00AF2143">
            <w:pPr>
              <w:tabs>
                <w:tab w:val="left" w:pos="2400"/>
              </w:tabs>
              <w:rPr>
                <w:rFonts w:asciiTheme="majorHAnsi" w:hAnsiTheme="majorHAnsi" w:cs="Times New Roman"/>
                <w:sz w:val="20"/>
                <w:szCs w:val="20"/>
              </w:rPr>
            </w:pPr>
            <w:r w:rsidRPr="00ED3700">
              <w:rPr>
                <w:rFonts w:asciiTheme="majorHAnsi" w:hAnsiTheme="majorHAnsi" w:cs="Times New Roman"/>
                <w:sz w:val="20"/>
                <w:szCs w:val="20"/>
              </w:rPr>
              <w:tab/>
            </w:r>
          </w:p>
        </w:tc>
        <w:tc>
          <w:tcPr>
            <w:tcW w:w="1374" w:type="pct"/>
            <w:shd w:val="clear" w:color="auto" w:fill="auto"/>
          </w:tcPr>
          <w:p w:rsidR="006C0E9D" w:rsidRDefault="00A2106B" w:rsidP="006C0E9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Uspostaviti sustav savjetovanja na visokim učil</w:t>
            </w:r>
            <w:r w:rsidR="006C0E9D">
              <w:rPr>
                <w:rFonts w:asciiTheme="majorHAnsi" w:hAnsiTheme="majorHAnsi" w:cs="Times New Roman"/>
                <w:sz w:val="20"/>
                <w:szCs w:val="20"/>
              </w:rPr>
              <w:t>ištima sa sljedećim elementima:</w:t>
            </w:r>
          </w:p>
          <w:p w:rsidR="00A2106B" w:rsidRPr="006C0E9D" w:rsidRDefault="00A2106B" w:rsidP="006C0E9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6C0E9D">
              <w:rPr>
                <w:rFonts w:asciiTheme="majorHAnsi" w:hAnsiTheme="majorHAnsi" w:cs="Times New Roman"/>
                <w:sz w:val="20"/>
                <w:szCs w:val="20"/>
              </w:rPr>
              <w:t>Psihološko savjetovanje</w:t>
            </w:r>
            <w:r w:rsidR="006C0E9D">
              <w:rPr>
                <w:rFonts w:asciiTheme="majorHAnsi" w:hAnsiTheme="majorHAnsi" w:cs="Times New Roman"/>
                <w:sz w:val="20"/>
                <w:szCs w:val="20"/>
              </w:rPr>
              <w:t xml:space="preserve">; </w:t>
            </w:r>
            <w:r w:rsidRPr="006C0E9D">
              <w:rPr>
                <w:rFonts w:asciiTheme="majorHAnsi" w:hAnsiTheme="majorHAnsi" w:cs="Times New Roman"/>
                <w:sz w:val="20"/>
                <w:szCs w:val="20"/>
              </w:rPr>
              <w:t>Karijerno i financijsko savjetovanje</w:t>
            </w:r>
            <w:r w:rsidR="006C0E9D">
              <w:rPr>
                <w:rFonts w:asciiTheme="majorHAnsi" w:hAnsiTheme="majorHAnsi" w:cs="Times New Roman"/>
                <w:sz w:val="20"/>
                <w:szCs w:val="20"/>
              </w:rPr>
              <w:t>; Akademsko savjetovanje</w:t>
            </w:r>
            <w:r w:rsidR="004A74C9">
              <w:rPr>
                <w:rFonts w:asciiTheme="majorHAnsi" w:hAnsiTheme="majorHAnsi" w:cs="Times New Roman"/>
                <w:sz w:val="20"/>
                <w:szCs w:val="20"/>
              </w:rPr>
              <w:t>; Savjetovanje i potpora studentima s invaliditetom</w:t>
            </w:r>
          </w:p>
        </w:tc>
        <w:tc>
          <w:tcPr>
            <w:tcW w:w="1068" w:type="pct"/>
            <w:shd w:val="clear" w:color="auto" w:fill="auto"/>
          </w:tcPr>
          <w:p w:rsidR="00A2106B" w:rsidRPr="00ED3700" w:rsidRDefault="00A2106B" w:rsidP="00AF2143">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Visoka učilišta</w:t>
            </w:r>
          </w:p>
          <w:p w:rsidR="00A2106B" w:rsidRPr="00ED3700" w:rsidRDefault="00A2106B" w:rsidP="00AF2143">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Hrvatski zavod za zapošljavanje</w:t>
            </w:r>
          </w:p>
          <w:p w:rsidR="00A2106B" w:rsidRDefault="00A2106B" w:rsidP="00AF2143">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Ministarstvo rada i mirovinskog sustava</w:t>
            </w:r>
          </w:p>
          <w:p w:rsidR="00EE4C58" w:rsidRPr="00ED3700" w:rsidRDefault="00EE4C58" w:rsidP="00AF2143">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MZO</w:t>
            </w:r>
          </w:p>
        </w:tc>
        <w:tc>
          <w:tcPr>
            <w:tcW w:w="1355" w:type="pct"/>
            <w:shd w:val="clear" w:color="auto" w:fill="auto"/>
          </w:tcPr>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studenata korisnika ovih programa</w:t>
            </w: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Izvještaji savjetovališnih centara (s povratnim informacijama korisnika)</w:t>
            </w:r>
          </w:p>
        </w:tc>
      </w:tr>
      <w:tr w:rsidR="006C0E9D" w:rsidRPr="00ED3700" w:rsidTr="00AF2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pct"/>
            <w:shd w:val="clear" w:color="auto" w:fill="auto"/>
          </w:tcPr>
          <w:p w:rsidR="006C0E9D" w:rsidRPr="00ED3700" w:rsidRDefault="006C0E9D" w:rsidP="00AF2143">
            <w:pPr>
              <w:rPr>
                <w:rFonts w:asciiTheme="majorHAnsi" w:hAnsiTheme="majorHAnsi" w:cs="Times New Roman"/>
                <w:b w:val="0"/>
                <w:sz w:val="20"/>
                <w:szCs w:val="20"/>
              </w:rPr>
            </w:pPr>
            <w:r>
              <w:rPr>
                <w:rFonts w:asciiTheme="majorHAnsi" w:hAnsiTheme="majorHAnsi" w:cs="Times New Roman"/>
                <w:b w:val="0"/>
                <w:sz w:val="20"/>
                <w:szCs w:val="20"/>
              </w:rPr>
              <w:t xml:space="preserve">3.3. </w:t>
            </w:r>
            <w:proofErr w:type="spellStart"/>
            <w:r>
              <w:rPr>
                <w:rFonts w:asciiTheme="majorHAnsi" w:hAnsiTheme="majorHAnsi" w:cs="Times New Roman"/>
                <w:b w:val="0"/>
                <w:sz w:val="20"/>
                <w:szCs w:val="20"/>
              </w:rPr>
              <w:t>Fleksibilizacija</w:t>
            </w:r>
            <w:proofErr w:type="spellEnd"/>
            <w:r>
              <w:rPr>
                <w:rFonts w:asciiTheme="majorHAnsi" w:hAnsiTheme="majorHAnsi" w:cs="Times New Roman"/>
                <w:b w:val="0"/>
                <w:sz w:val="20"/>
                <w:szCs w:val="20"/>
              </w:rPr>
              <w:t xml:space="preserve"> studijskih programa </w:t>
            </w:r>
          </w:p>
        </w:tc>
        <w:tc>
          <w:tcPr>
            <w:tcW w:w="1374" w:type="pct"/>
            <w:shd w:val="clear" w:color="auto" w:fill="auto"/>
          </w:tcPr>
          <w:p w:rsidR="001C215C" w:rsidRPr="00E55DDD" w:rsidRDefault="001C215C"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55DDD">
              <w:rPr>
                <w:rFonts w:asciiTheme="majorHAnsi" w:hAnsiTheme="majorHAnsi" w:cs="Times New Roman"/>
                <w:sz w:val="20"/>
                <w:szCs w:val="20"/>
              </w:rPr>
              <w:t xml:space="preserve">Izrada strateškog dokumenta za razvoj sustava priznavanja  </w:t>
            </w:r>
            <w:r w:rsidR="002D3241">
              <w:rPr>
                <w:rFonts w:asciiTheme="majorHAnsi" w:hAnsiTheme="majorHAnsi" w:cs="Times New Roman"/>
                <w:sz w:val="20"/>
                <w:szCs w:val="20"/>
              </w:rPr>
              <w:t>prethodnog</w:t>
            </w:r>
            <w:r w:rsidRPr="00E55DDD">
              <w:rPr>
                <w:rFonts w:asciiTheme="majorHAnsi" w:hAnsiTheme="majorHAnsi" w:cs="Times New Roman"/>
                <w:sz w:val="20"/>
                <w:szCs w:val="20"/>
              </w:rPr>
              <w:t xml:space="preserve"> učenja</w:t>
            </w:r>
          </w:p>
          <w:p w:rsidR="001C215C" w:rsidRPr="00E55DDD" w:rsidRDefault="001C215C"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Pr="00ED3700"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55DDD">
              <w:rPr>
                <w:rFonts w:asciiTheme="majorHAnsi" w:hAnsiTheme="majorHAnsi" w:cs="Times New Roman"/>
                <w:sz w:val="20"/>
                <w:szCs w:val="20"/>
              </w:rPr>
              <w:t xml:space="preserve">Kroz procedure vrednovanja </w:t>
            </w:r>
            <w:proofErr w:type="spellStart"/>
            <w:r w:rsidRPr="00E55DDD">
              <w:rPr>
                <w:rFonts w:asciiTheme="majorHAnsi" w:hAnsiTheme="majorHAnsi" w:cs="Times New Roman"/>
                <w:sz w:val="20"/>
                <w:szCs w:val="20"/>
              </w:rPr>
              <w:t>informalnog</w:t>
            </w:r>
            <w:proofErr w:type="spellEnd"/>
            <w:r w:rsidRPr="00E55DDD">
              <w:rPr>
                <w:rFonts w:asciiTheme="majorHAnsi" w:hAnsiTheme="majorHAnsi" w:cs="Times New Roman"/>
                <w:sz w:val="20"/>
                <w:szCs w:val="20"/>
              </w:rPr>
              <w:t xml:space="preserve"> i neformalnog učenja pružiti studentima s prethodnim ili trenutnim radnim ili drugim iskustvom mogućnost </w:t>
            </w:r>
            <w:r w:rsidR="001C215C" w:rsidRPr="00E55DDD">
              <w:rPr>
                <w:rFonts w:asciiTheme="majorHAnsi" w:hAnsiTheme="majorHAnsi" w:cs="Times New Roman"/>
                <w:sz w:val="20"/>
                <w:szCs w:val="20"/>
              </w:rPr>
              <w:t xml:space="preserve">izuzeća od </w:t>
            </w:r>
            <w:r w:rsidRPr="00E55DDD">
              <w:rPr>
                <w:rFonts w:asciiTheme="majorHAnsi" w:hAnsiTheme="majorHAnsi" w:cs="Times New Roman"/>
                <w:sz w:val="20"/>
                <w:szCs w:val="20"/>
              </w:rPr>
              <w:t>dijela formalnog studijskog programa</w:t>
            </w:r>
          </w:p>
          <w:p w:rsidR="006C0E9D"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Default="00234B14"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Pr="00ED3700"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roofErr w:type="spellStart"/>
            <w:r>
              <w:rPr>
                <w:rFonts w:asciiTheme="majorHAnsi" w:hAnsiTheme="majorHAnsi" w:cs="Times New Roman"/>
                <w:sz w:val="20"/>
                <w:szCs w:val="20"/>
              </w:rPr>
              <w:t>F</w:t>
            </w:r>
            <w:r w:rsidRPr="00ED3700">
              <w:rPr>
                <w:rFonts w:asciiTheme="majorHAnsi" w:hAnsiTheme="majorHAnsi" w:cs="Times New Roman"/>
                <w:sz w:val="20"/>
                <w:szCs w:val="20"/>
              </w:rPr>
              <w:t>leksibilizirati</w:t>
            </w:r>
            <w:proofErr w:type="spellEnd"/>
            <w:r w:rsidRPr="00ED3700">
              <w:rPr>
                <w:rFonts w:asciiTheme="majorHAnsi" w:hAnsiTheme="majorHAnsi" w:cs="Times New Roman"/>
                <w:sz w:val="20"/>
                <w:szCs w:val="20"/>
              </w:rPr>
              <w:t xml:space="preserve"> studijske programe kroz primjenu učenja na daljinu i smanj</w:t>
            </w:r>
            <w:r w:rsidR="006C7D14">
              <w:rPr>
                <w:rFonts w:asciiTheme="majorHAnsi" w:hAnsiTheme="majorHAnsi" w:cs="Times New Roman"/>
                <w:sz w:val="20"/>
                <w:szCs w:val="20"/>
              </w:rPr>
              <w:t>ene obaveze fizičke prisutnosti</w:t>
            </w:r>
          </w:p>
        </w:tc>
        <w:tc>
          <w:tcPr>
            <w:tcW w:w="1068" w:type="pct"/>
            <w:shd w:val="clear" w:color="auto" w:fill="auto"/>
          </w:tcPr>
          <w:p w:rsidR="00234B14" w:rsidRPr="00E55DDD" w:rsidRDefault="00234B14"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55DDD">
              <w:rPr>
                <w:rFonts w:asciiTheme="majorHAnsi" w:hAnsiTheme="majorHAnsi" w:cs="Times New Roman"/>
                <w:sz w:val="20"/>
                <w:szCs w:val="20"/>
              </w:rPr>
              <w:t>Nacionalno vijeće za razvoj ljudskih potencijala</w:t>
            </w:r>
          </w:p>
          <w:p w:rsidR="00234B14" w:rsidRPr="00E55DDD" w:rsidRDefault="00234B14"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Pr="00E55DDD" w:rsidRDefault="00234B14"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Pr="00E55DDD" w:rsidRDefault="00234B14"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Pr="00E55DDD" w:rsidRDefault="00234B14"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Pr="00E55DDD" w:rsidRDefault="00234B14"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Pr="00E55DDD"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55DDD">
              <w:rPr>
                <w:rFonts w:asciiTheme="majorHAnsi" w:hAnsiTheme="majorHAnsi" w:cs="Times New Roman"/>
                <w:sz w:val="20"/>
                <w:szCs w:val="20"/>
              </w:rPr>
              <w:t xml:space="preserve">Visoka učilišta </w:t>
            </w:r>
          </w:p>
          <w:p w:rsidR="006C0E9D" w:rsidRPr="00ED3700"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55DDD">
              <w:rPr>
                <w:rFonts w:asciiTheme="majorHAnsi" w:hAnsiTheme="majorHAnsi" w:cs="Times New Roman"/>
                <w:sz w:val="20"/>
                <w:szCs w:val="20"/>
              </w:rPr>
              <w:t>(centri i tijela zaduženi za studijske programe)</w:t>
            </w:r>
          </w:p>
          <w:p w:rsidR="006C0E9D"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6C0E9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Pr="00ED3700" w:rsidRDefault="006C0E9D" w:rsidP="006C7D14">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Visoka učilišta (centri i tijela </w:t>
            </w:r>
            <w:r w:rsidR="006C7D14">
              <w:rPr>
                <w:rFonts w:asciiTheme="majorHAnsi" w:hAnsiTheme="majorHAnsi" w:cs="Times New Roman"/>
                <w:sz w:val="20"/>
                <w:szCs w:val="20"/>
              </w:rPr>
              <w:t>zaduženi za studijske programe)</w:t>
            </w:r>
          </w:p>
        </w:tc>
        <w:tc>
          <w:tcPr>
            <w:tcW w:w="1355" w:type="pct"/>
            <w:shd w:val="clear" w:color="auto" w:fill="auto"/>
          </w:tcPr>
          <w:p w:rsidR="00234B14" w:rsidRDefault="00234B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Default="00234B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Izrađen strateški dokument</w:t>
            </w:r>
          </w:p>
          <w:p w:rsidR="00234B14" w:rsidRDefault="00234B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Default="00234B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Default="00234B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Default="00234B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Default="00234B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234B14" w:rsidRDefault="00234B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 xml:space="preserve">Uspostavljene procedure vrednovanja </w:t>
            </w: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6501" w:rsidRDefault="00A26501" w:rsidP="00EE4C58">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0E9D" w:rsidRPr="00ED3700" w:rsidRDefault="006C0E9D" w:rsidP="00EE4C58">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Udio ECTS bodova koji studenti</w:t>
            </w:r>
            <w:r w:rsidR="00EE4C58">
              <w:rPr>
                <w:rFonts w:asciiTheme="majorHAnsi" w:hAnsiTheme="majorHAnsi" w:cs="Times New Roman"/>
                <w:sz w:val="20"/>
                <w:szCs w:val="20"/>
              </w:rPr>
              <w:t>,</w:t>
            </w:r>
            <w:r w:rsidRPr="00ED3700">
              <w:rPr>
                <w:rFonts w:asciiTheme="majorHAnsi" w:hAnsiTheme="majorHAnsi" w:cs="Times New Roman"/>
                <w:sz w:val="20"/>
                <w:szCs w:val="20"/>
              </w:rPr>
              <w:t xml:space="preserve"> kojima je to potrebno</w:t>
            </w:r>
            <w:r w:rsidR="00EE4C58">
              <w:rPr>
                <w:rFonts w:asciiTheme="majorHAnsi" w:hAnsiTheme="majorHAnsi" w:cs="Times New Roman"/>
                <w:sz w:val="20"/>
                <w:szCs w:val="20"/>
              </w:rPr>
              <w:t>,</w:t>
            </w:r>
            <w:r w:rsidRPr="00ED3700">
              <w:rPr>
                <w:rFonts w:asciiTheme="majorHAnsi" w:hAnsiTheme="majorHAnsi" w:cs="Times New Roman"/>
                <w:sz w:val="20"/>
                <w:szCs w:val="20"/>
              </w:rPr>
              <w:t xml:space="preserve"> mogu ostvariti učenjem na daljinu</w:t>
            </w:r>
          </w:p>
        </w:tc>
      </w:tr>
      <w:tr w:rsidR="00A2106B" w:rsidRPr="00ED3700" w:rsidTr="00AF2143">
        <w:tc>
          <w:tcPr>
            <w:cnfStyle w:val="001000000000" w:firstRow="0" w:lastRow="0" w:firstColumn="1" w:lastColumn="0" w:oddVBand="0" w:evenVBand="0" w:oddHBand="0" w:evenHBand="0" w:firstRowFirstColumn="0" w:firstRowLastColumn="0" w:lastRowFirstColumn="0" w:lastRowLastColumn="0"/>
            <w:tcW w:w="1203" w:type="pct"/>
            <w:shd w:val="clear" w:color="auto" w:fill="auto"/>
          </w:tcPr>
          <w:p w:rsidR="00A2106B" w:rsidRPr="00ED3700" w:rsidRDefault="003B04FD" w:rsidP="00AF2143">
            <w:pPr>
              <w:rPr>
                <w:rFonts w:asciiTheme="majorHAnsi" w:hAnsiTheme="majorHAnsi" w:cs="Times New Roman"/>
                <w:b w:val="0"/>
                <w:sz w:val="20"/>
                <w:szCs w:val="20"/>
              </w:rPr>
            </w:pPr>
            <w:r>
              <w:rPr>
                <w:rFonts w:asciiTheme="majorHAnsi" w:hAnsiTheme="majorHAnsi" w:cs="Times New Roman"/>
                <w:b w:val="0"/>
                <w:sz w:val="20"/>
                <w:szCs w:val="20"/>
              </w:rPr>
              <w:t>3.4. Unapređiva</w:t>
            </w:r>
            <w:r w:rsidR="006C0E9D">
              <w:rPr>
                <w:rFonts w:asciiTheme="majorHAnsi" w:hAnsiTheme="majorHAnsi" w:cs="Times New Roman"/>
                <w:b w:val="0"/>
                <w:sz w:val="20"/>
                <w:szCs w:val="20"/>
              </w:rPr>
              <w:t>nje resursa za učenje</w:t>
            </w:r>
          </w:p>
          <w:p w:rsidR="00A2106B" w:rsidRPr="00ED3700" w:rsidRDefault="00A2106B" w:rsidP="00AF2143">
            <w:pPr>
              <w:rPr>
                <w:rFonts w:asciiTheme="majorHAnsi" w:hAnsiTheme="majorHAnsi" w:cs="Times New Roman"/>
                <w:b w:val="0"/>
                <w:sz w:val="20"/>
                <w:szCs w:val="20"/>
              </w:rPr>
            </w:pPr>
          </w:p>
        </w:tc>
        <w:tc>
          <w:tcPr>
            <w:tcW w:w="1374" w:type="pct"/>
            <w:shd w:val="clear" w:color="auto" w:fill="auto"/>
          </w:tcPr>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Osigurati resurse za učenje i prilagoditi nastavne materijale</w:t>
            </w: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Uspostaviti sustav </w:t>
            </w:r>
            <w:proofErr w:type="spellStart"/>
            <w:r w:rsidRPr="00ED3700">
              <w:rPr>
                <w:rFonts w:asciiTheme="majorHAnsi" w:hAnsiTheme="majorHAnsi" w:cs="Times New Roman"/>
                <w:sz w:val="20"/>
                <w:szCs w:val="20"/>
              </w:rPr>
              <w:t>mentoriran</w:t>
            </w:r>
            <w:r w:rsidR="006C7D14">
              <w:rPr>
                <w:rFonts w:asciiTheme="majorHAnsi" w:hAnsiTheme="majorHAnsi" w:cs="Times New Roman"/>
                <w:sz w:val="20"/>
                <w:szCs w:val="20"/>
              </w:rPr>
              <w:t>ja</w:t>
            </w:r>
            <w:proofErr w:type="spellEnd"/>
            <w:r w:rsidR="006C7D14">
              <w:rPr>
                <w:rFonts w:asciiTheme="majorHAnsi" w:hAnsiTheme="majorHAnsi" w:cs="Times New Roman"/>
                <w:sz w:val="20"/>
                <w:szCs w:val="20"/>
              </w:rPr>
              <w:t xml:space="preserve"> (nastavničkog i studentskog)</w:t>
            </w:r>
          </w:p>
        </w:tc>
        <w:tc>
          <w:tcPr>
            <w:tcW w:w="1068" w:type="pct"/>
            <w:shd w:val="clear" w:color="auto" w:fill="auto"/>
          </w:tcPr>
          <w:p w:rsidR="00A2106B" w:rsidRPr="00ED3700" w:rsidRDefault="006C0E9D"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 xml:space="preserve">Visoka učilišta, </w:t>
            </w:r>
            <w:r w:rsidR="00A2106B" w:rsidRPr="00ED3700">
              <w:rPr>
                <w:rFonts w:asciiTheme="majorHAnsi" w:hAnsiTheme="majorHAnsi" w:cs="Times New Roman"/>
                <w:sz w:val="20"/>
                <w:szCs w:val="20"/>
              </w:rPr>
              <w:t>MZO</w:t>
            </w:r>
            <w:r>
              <w:rPr>
                <w:rFonts w:asciiTheme="majorHAnsi" w:hAnsiTheme="majorHAnsi" w:cs="Times New Roman"/>
                <w:sz w:val="20"/>
                <w:szCs w:val="20"/>
              </w:rPr>
              <w:t xml:space="preserve"> </w:t>
            </w:r>
          </w:p>
          <w:p w:rsidR="006C0E9D" w:rsidRDefault="006C0E9D"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C0E9D" w:rsidRDefault="006C0E9D"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Visoka učilišta, studentski zborovi</w:t>
            </w:r>
          </w:p>
        </w:tc>
        <w:tc>
          <w:tcPr>
            <w:tcW w:w="1355" w:type="pct"/>
            <w:shd w:val="clear" w:color="auto" w:fill="auto"/>
          </w:tcPr>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Povratne informacije studenata pripadnika ranjivih skupina</w:t>
            </w:r>
          </w:p>
          <w:p w:rsidR="006C0E9D" w:rsidRDefault="006C0E9D"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Povratne informacije korisnika sustava </w:t>
            </w:r>
            <w:proofErr w:type="spellStart"/>
            <w:r w:rsidRPr="00ED3700">
              <w:rPr>
                <w:rFonts w:asciiTheme="majorHAnsi" w:hAnsiTheme="majorHAnsi" w:cs="Times New Roman"/>
                <w:sz w:val="20"/>
                <w:szCs w:val="20"/>
              </w:rPr>
              <w:t>mentoriranja</w:t>
            </w:r>
            <w:proofErr w:type="spellEnd"/>
          </w:p>
        </w:tc>
      </w:tr>
      <w:tr w:rsidR="00A2106B" w:rsidRPr="00ED3700" w:rsidTr="00AF2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pct"/>
            <w:shd w:val="clear" w:color="auto" w:fill="auto"/>
          </w:tcPr>
          <w:p w:rsidR="00A2106B" w:rsidRPr="00ED3700" w:rsidRDefault="006C7D14" w:rsidP="00AF2143">
            <w:pPr>
              <w:rPr>
                <w:rFonts w:asciiTheme="majorHAnsi" w:hAnsiTheme="majorHAnsi" w:cs="Times New Roman"/>
                <w:b w:val="0"/>
                <w:sz w:val="20"/>
                <w:szCs w:val="20"/>
              </w:rPr>
            </w:pPr>
            <w:r>
              <w:rPr>
                <w:rFonts w:asciiTheme="majorHAnsi" w:hAnsiTheme="majorHAnsi" w:cs="Times New Roman"/>
                <w:b w:val="0"/>
                <w:sz w:val="20"/>
                <w:szCs w:val="20"/>
              </w:rPr>
              <w:t>3.5</w:t>
            </w:r>
            <w:r w:rsidR="00A2106B" w:rsidRPr="00ED3700">
              <w:rPr>
                <w:rFonts w:asciiTheme="majorHAnsi" w:hAnsiTheme="majorHAnsi" w:cs="Times New Roman"/>
                <w:b w:val="0"/>
                <w:sz w:val="20"/>
                <w:szCs w:val="20"/>
              </w:rPr>
              <w:t>. Provesti profesionalno usavršavanje nastavnika i nenastavnog osoblja za rad s ranjivim skupinama</w:t>
            </w:r>
          </w:p>
        </w:tc>
        <w:tc>
          <w:tcPr>
            <w:tcW w:w="1374" w:type="pct"/>
            <w:shd w:val="clear" w:color="auto" w:fill="auto"/>
          </w:tcPr>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Revizija nastavničkih studijskih programa</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7D14" w:rsidRDefault="006C7D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7D14" w:rsidRDefault="006C7D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Izrada programa za usavršavanje nastavnika u </w:t>
            </w:r>
            <w:r w:rsidRPr="00ED3700">
              <w:rPr>
                <w:rFonts w:asciiTheme="majorHAnsi" w:hAnsiTheme="majorHAnsi" w:cs="Times New Roman"/>
                <w:sz w:val="20"/>
                <w:szCs w:val="20"/>
              </w:rPr>
              <w:lastRenderedPageBreak/>
              <w:t>području rada s pripadnicima ranjivih skupinama</w:t>
            </w:r>
          </w:p>
        </w:tc>
        <w:tc>
          <w:tcPr>
            <w:tcW w:w="1068" w:type="pct"/>
            <w:shd w:val="clear" w:color="auto" w:fill="auto"/>
          </w:tcPr>
          <w:p w:rsidR="006C7D14" w:rsidRDefault="006C7D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C7D14" w:rsidRDefault="006C7D14"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6C7D14">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Visoka učilišta (ce</w:t>
            </w:r>
            <w:r w:rsidR="006C7D14">
              <w:rPr>
                <w:rFonts w:asciiTheme="majorHAnsi" w:hAnsiTheme="majorHAnsi" w:cs="Times New Roman"/>
                <w:sz w:val="20"/>
                <w:szCs w:val="20"/>
              </w:rPr>
              <w:t xml:space="preserve">ntri za obrazovanje nastavnika), </w:t>
            </w:r>
            <w:r w:rsidRPr="00ED3700">
              <w:rPr>
                <w:rFonts w:asciiTheme="majorHAnsi" w:hAnsiTheme="majorHAnsi" w:cs="Times New Roman"/>
                <w:sz w:val="20"/>
                <w:szCs w:val="20"/>
              </w:rPr>
              <w:t>MZO</w:t>
            </w:r>
          </w:p>
        </w:tc>
        <w:tc>
          <w:tcPr>
            <w:tcW w:w="1355" w:type="pct"/>
            <w:shd w:val="clear" w:color="auto" w:fill="auto"/>
          </w:tcPr>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Revidirani studijski programi</w:t>
            </w:r>
            <w:r w:rsidR="006C7D14">
              <w:rPr>
                <w:rFonts w:asciiTheme="majorHAnsi" w:hAnsiTheme="majorHAnsi" w:cs="Times New Roman"/>
                <w:sz w:val="20"/>
                <w:szCs w:val="20"/>
              </w:rPr>
              <w:t xml:space="preserve"> na način da su integrirane teme vezane za socijalnu dimenziju</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Izrađen program za usavršavanje nastavnika u </w:t>
            </w:r>
            <w:r w:rsidRPr="00ED3700">
              <w:rPr>
                <w:rFonts w:asciiTheme="majorHAnsi" w:hAnsiTheme="majorHAnsi" w:cs="Times New Roman"/>
                <w:sz w:val="20"/>
                <w:szCs w:val="20"/>
              </w:rPr>
              <w:lastRenderedPageBreak/>
              <w:t>ovome području</w:t>
            </w:r>
          </w:p>
          <w:p w:rsidR="00A2106B" w:rsidRPr="00ED3700" w:rsidRDefault="00A2106B"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Udio nastavnik</w:t>
            </w:r>
            <w:r w:rsidR="006C7D14">
              <w:rPr>
                <w:rFonts w:asciiTheme="majorHAnsi" w:hAnsiTheme="majorHAnsi" w:cs="Times New Roman"/>
                <w:sz w:val="20"/>
                <w:szCs w:val="20"/>
              </w:rPr>
              <w:t>a koji su završili ovaj program</w:t>
            </w:r>
          </w:p>
        </w:tc>
      </w:tr>
      <w:tr w:rsidR="00A2106B" w:rsidRPr="00ED3700" w:rsidTr="00AF2143">
        <w:tc>
          <w:tcPr>
            <w:cnfStyle w:val="001000000000" w:firstRow="0" w:lastRow="0" w:firstColumn="1" w:lastColumn="0" w:oddVBand="0" w:evenVBand="0" w:oddHBand="0" w:evenHBand="0" w:firstRowFirstColumn="0" w:firstRowLastColumn="0" w:lastRowFirstColumn="0" w:lastRowLastColumn="0"/>
            <w:tcW w:w="1203" w:type="pct"/>
            <w:shd w:val="clear" w:color="auto" w:fill="auto"/>
          </w:tcPr>
          <w:p w:rsidR="00A2106B" w:rsidRPr="00ED3700" w:rsidRDefault="006C7D14" w:rsidP="00AF2143">
            <w:pPr>
              <w:rPr>
                <w:rFonts w:asciiTheme="majorHAnsi" w:hAnsiTheme="majorHAnsi" w:cs="Times New Roman"/>
                <w:b w:val="0"/>
                <w:sz w:val="20"/>
                <w:szCs w:val="20"/>
              </w:rPr>
            </w:pPr>
            <w:r>
              <w:rPr>
                <w:rFonts w:asciiTheme="majorHAnsi" w:hAnsiTheme="majorHAnsi" w:cs="Times New Roman"/>
                <w:b w:val="0"/>
                <w:sz w:val="20"/>
                <w:szCs w:val="20"/>
              </w:rPr>
              <w:lastRenderedPageBreak/>
              <w:t>3.6</w:t>
            </w:r>
            <w:r w:rsidR="00A2106B" w:rsidRPr="00ED3700">
              <w:rPr>
                <w:rFonts w:asciiTheme="majorHAnsi" w:hAnsiTheme="majorHAnsi" w:cs="Times New Roman"/>
                <w:b w:val="0"/>
                <w:sz w:val="20"/>
                <w:szCs w:val="20"/>
              </w:rPr>
              <w:t xml:space="preserve">. Prilagoditi i poboljšati sustav izvanrednog studiranja </w:t>
            </w:r>
          </w:p>
        </w:tc>
        <w:tc>
          <w:tcPr>
            <w:tcW w:w="1374" w:type="pct"/>
            <w:shd w:val="clear" w:color="auto" w:fill="auto"/>
          </w:tcPr>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Reformirati sustav izvanre</w:t>
            </w:r>
            <w:r w:rsidR="004F00D3">
              <w:rPr>
                <w:rFonts w:asciiTheme="majorHAnsi" w:hAnsiTheme="majorHAnsi" w:cs="Times New Roman"/>
                <w:sz w:val="20"/>
                <w:szCs w:val="20"/>
              </w:rPr>
              <w:t>dnog studiranja na način da se:</w:t>
            </w:r>
          </w:p>
          <w:p w:rsidR="00A2106B" w:rsidRPr="00ED3700" w:rsidRDefault="00A2106B" w:rsidP="00AF2143">
            <w:pPr>
              <w:pStyle w:val="ListParagraph"/>
              <w:numPr>
                <w:ilvl w:val="0"/>
                <w:numId w:val="7"/>
              </w:numPr>
              <w:ind w:left="362" w:hanging="284"/>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propišu specifična prava studenata izvanrednih studija</w:t>
            </w:r>
          </w:p>
          <w:p w:rsidR="00A2106B" w:rsidRPr="00ED3700" w:rsidRDefault="006C7D14" w:rsidP="00AF2143">
            <w:pPr>
              <w:pStyle w:val="ListParagraph"/>
              <w:numPr>
                <w:ilvl w:val="0"/>
                <w:numId w:val="7"/>
              </w:numPr>
              <w:ind w:left="362" w:hanging="284"/>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ograniči iznos školarina</w:t>
            </w:r>
            <w:r w:rsidR="00A2106B" w:rsidRPr="00ED3700">
              <w:rPr>
                <w:rFonts w:asciiTheme="majorHAnsi" w:hAnsiTheme="majorHAnsi" w:cs="Times New Roman"/>
                <w:sz w:val="20"/>
                <w:szCs w:val="20"/>
              </w:rPr>
              <w:t xml:space="preserve"> u odnosu na trošak participacije redovitih studenata</w:t>
            </w:r>
          </w:p>
          <w:p w:rsidR="00A2106B" w:rsidRPr="00ED3700" w:rsidRDefault="00A2106B" w:rsidP="00AF2143">
            <w:pPr>
              <w:pStyle w:val="ListParagraph"/>
              <w:numPr>
                <w:ilvl w:val="0"/>
                <w:numId w:val="7"/>
              </w:numPr>
              <w:ind w:left="362" w:hanging="284"/>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ograniči broj izvanrednih studenata u odnosu na broj redovitih studenata</w:t>
            </w:r>
          </w:p>
          <w:p w:rsidR="00A2106B" w:rsidRPr="00ED3700" w:rsidRDefault="00A2106B" w:rsidP="00AF2143">
            <w:pPr>
              <w:pStyle w:val="ListParagraph"/>
              <w:numPr>
                <w:ilvl w:val="0"/>
                <w:numId w:val="7"/>
              </w:numPr>
              <w:ind w:left="362" w:hanging="284"/>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određenim studentima izvanrednih studija omoguće studentska prava (prehrana, smještaj, stipendije)</w:t>
            </w:r>
          </w:p>
        </w:tc>
        <w:tc>
          <w:tcPr>
            <w:tcW w:w="1068" w:type="pct"/>
            <w:shd w:val="clear" w:color="auto" w:fill="auto"/>
          </w:tcPr>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Visoka učilišta</w:t>
            </w:r>
          </w:p>
        </w:tc>
        <w:tc>
          <w:tcPr>
            <w:tcW w:w="1355" w:type="pct"/>
            <w:shd w:val="clear" w:color="auto" w:fill="auto"/>
          </w:tcPr>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Nova zakonska regulativa izvanrednog studiranja</w:t>
            </w: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Uspostavljene potrebn</w:t>
            </w:r>
            <w:r w:rsidR="00634238">
              <w:rPr>
                <w:rFonts w:asciiTheme="majorHAnsi" w:hAnsiTheme="majorHAnsi" w:cs="Times New Roman"/>
                <w:sz w:val="20"/>
                <w:szCs w:val="20"/>
              </w:rPr>
              <w:t xml:space="preserve">e prakse na visokim učilištima </w:t>
            </w:r>
          </w:p>
          <w:p w:rsidR="00A2106B" w:rsidRPr="00ED3700" w:rsidRDefault="00A2106B"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bl>
    <w:p w:rsidR="000F0E86" w:rsidRPr="00ED3700" w:rsidRDefault="000F0E86">
      <w:pPr>
        <w:rPr>
          <w:rStyle w:val="BookTitle"/>
          <w:rFonts w:asciiTheme="majorHAnsi" w:hAnsiTheme="majorHAnsi"/>
          <w:sz w:val="28"/>
          <w:szCs w:val="28"/>
        </w:rPr>
      </w:pPr>
    </w:p>
    <w:p w:rsidR="002962AE" w:rsidRPr="00ED3700" w:rsidRDefault="002962AE" w:rsidP="00897A38">
      <w:pPr>
        <w:pStyle w:val="Heading3"/>
        <w:rPr>
          <w:rStyle w:val="BookTitle"/>
          <w:sz w:val="28"/>
          <w:szCs w:val="28"/>
        </w:rPr>
      </w:pPr>
      <w:r w:rsidRPr="00ED3700">
        <w:rPr>
          <w:rStyle w:val="BookTitle"/>
          <w:sz w:val="28"/>
          <w:szCs w:val="28"/>
        </w:rPr>
        <w:t xml:space="preserve">Cilj 4: Podizanje stope završavanja </w:t>
      </w:r>
      <w:r w:rsidR="00730754">
        <w:rPr>
          <w:rStyle w:val="BookTitle"/>
          <w:sz w:val="28"/>
          <w:szCs w:val="28"/>
        </w:rPr>
        <w:t xml:space="preserve">studija </w:t>
      </w:r>
      <w:r w:rsidRPr="00ED3700">
        <w:rPr>
          <w:rStyle w:val="BookTitle"/>
          <w:sz w:val="28"/>
          <w:szCs w:val="28"/>
        </w:rPr>
        <w:t>i zapošljavanja podzastupljenih i ranjivih skupina nakon završetka studija</w:t>
      </w:r>
    </w:p>
    <w:p w:rsidR="002962AE" w:rsidRPr="00ED3700" w:rsidRDefault="002962AE" w:rsidP="002962AE">
      <w:pPr>
        <w:contextualSpacing/>
        <w:jc w:val="both"/>
        <w:rPr>
          <w:rFonts w:asciiTheme="majorHAnsi" w:hAnsiTheme="majorHAnsi" w:cs="Times New Roman"/>
        </w:rPr>
      </w:pPr>
    </w:p>
    <w:tbl>
      <w:tblPr>
        <w:tblStyle w:val="LightList-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720"/>
        <w:gridCol w:w="1453"/>
        <w:gridCol w:w="1939"/>
      </w:tblGrid>
      <w:tr w:rsidR="00313013" w:rsidRPr="00ED3700" w:rsidTr="00AF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pct"/>
            <w:shd w:val="clear" w:color="auto" w:fill="auto"/>
          </w:tcPr>
          <w:p w:rsidR="00313013" w:rsidRPr="00ED3700" w:rsidRDefault="00313013" w:rsidP="00AF2143">
            <w:pPr>
              <w:tabs>
                <w:tab w:val="center" w:pos="1494"/>
              </w:tabs>
              <w:rPr>
                <w:rFonts w:asciiTheme="majorHAnsi" w:hAnsiTheme="majorHAnsi" w:cs="Times New Roman"/>
                <w:sz w:val="20"/>
                <w:szCs w:val="20"/>
              </w:rPr>
            </w:pPr>
            <w:proofErr w:type="spellStart"/>
            <w:r w:rsidRPr="00ED3700">
              <w:rPr>
                <w:rFonts w:asciiTheme="majorHAnsi" w:hAnsiTheme="majorHAnsi" w:cs="Times New Roman"/>
                <w:color w:val="auto"/>
                <w:sz w:val="20"/>
                <w:szCs w:val="20"/>
              </w:rPr>
              <w:t>Podcilj</w:t>
            </w:r>
            <w:proofErr w:type="spellEnd"/>
          </w:p>
        </w:tc>
        <w:tc>
          <w:tcPr>
            <w:tcW w:w="1464" w:type="pct"/>
            <w:shd w:val="clear" w:color="auto" w:fill="auto"/>
          </w:tcPr>
          <w:p w:rsidR="00313013" w:rsidRPr="00ED3700" w:rsidRDefault="00313013" w:rsidP="00AF2143">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color w:val="auto"/>
                <w:sz w:val="20"/>
                <w:szCs w:val="20"/>
              </w:rPr>
              <w:t>Aktivnost</w:t>
            </w:r>
          </w:p>
        </w:tc>
        <w:tc>
          <w:tcPr>
            <w:tcW w:w="782" w:type="pct"/>
            <w:shd w:val="clear" w:color="auto" w:fill="auto"/>
          </w:tcPr>
          <w:p w:rsidR="00313013" w:rsidRPr="00ED3700" w:rsidRDefault="00313013" w:rsidP="00AF2143">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color w:val="auto"/>
                <w:sz w:val="20"/>
                <w:szCs w:val="20"/>
              </w:rPr>
              <w:t>Odgovornost</w:t>
            </w:r>
          </w:p>
        </w:tc>
        <w:tc>
          <w:tcPr>
            <w:tcW w:w="1044" w:type="pct"/>
            <w:shd w:val="clear" w:color="auto" w:fill="auto"/>
          </w:tcPr>
          <w:p w:rsidR="00313013" w:rsidRPr="00ED3700" w:rsidRDefault="00313013" w:rsidP="00AF2143">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color w:val="auto"/>
                <w:sz w:val="20"/>
                <w:szCs w:val="20"/>
              </w:rPr>
              <w:t>Indikator</w:t>
            </w:r>
          </w:p>
        </w:tc>
      </w:tr>
      <w:tr w:rsidR="00313013" w:rsidRPr="00ED3700" w:rsidTr="00AF2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pct"/>
            <w:tcBorders>
              <w:top w:val="none" w:sz="0" w:space="0" w:color="auto"/>
              <w:left w:val="none" w:sz="0" w:space="0" w:color="auto"/>
              <w:bottom w:val="none" w:sz="0" w:space="0" w:color="auto"/>
            </w:tcBorders>
          </w:tcPr>
          <w:p w:rsidR="00313013" w:rsidRPr="00ED3700" w:rsidRDefault="00313013" w:rsidP="00AF2143">
            <w:pPr>
              <w:contextualSpacing/>
              <w:rPr>
                <w:rFonts w:asciiTheme="majorHAnsi" w:hAnsiTheme="majorHAnsi" w:cs="Times New Roman"/>
                <w:b w:val="0"/>
                <w:sz w:val="20"/>
                <w:szCs w:val="20"/>
                <w:lang w:eastAsia="hr-HR"/>
              </w:rPr>
            </w:pPr>
            <w:r w:rsidRPr="00ED3700">
              <w:rPr>
                <w:rFonts w:asciiTheme="majorHAnsi" w:hAnsiTheme="majorHAnsi" w:cs="Times New Roman"/>
                <w:b w:val="0"/>
                <w:sz w:val="20"/>
                <w:szCs w:val="20"/>
                <w:lang w:eastAsia="hr-HR"/>
              </w:rPr>
              <w:t>4.1. Podizanje suradnje VU s poslodavcima na osiguravanju studentske prakse za posebne podzastupljene/ranjive skupine</w:t>
            </w:r>
          </w:p>
        </w:tc>
        <w:tc>
          <w:tcPr>
            <w:tcW w:w="1464" w:type="pct"/>
            <w:tcBorders>
              <w:top w:val="none" w:sz="0" w:space="0" w:color="auto"/>
              <w:bottom w:val="none" w:sz="0" w:space="0" w:color="auto"/>
            </w:tcBorders>
          </w:tcPr>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Revizije studijskih programa s ciljem uključivanja studentske prakse u obaveze na studiju i uključivanje u mehanizme vanjskog vrednovanja kvalitete provođenja</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Uklanjanje administrativnih i ostalih prepreka za uvođenje i provođenje studentske prakse s naglaskom na prepreke za podzastupljene skupine</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O</w:t>
            </w:r>
            <w:r w:rsidR="003B04FD">
              <w:rPr>
                <w:rFonts w:asciiTheme="majorHAnsi" w:hAnsiTheme="majorHAnsi" w:cs="Times New Roman"/>
                <w:sz w:val="20"/>
                <w:szCs w:val="20"/>
              </w:rPr>
              <w:t>siguravanje sredstva za unapređiva</w:t>
            </w:r>
            <w:r w:rsidRPr="00ED3700">
              <w:rPr>
                <w:rFonts w:asciiTheme="majorHAnsi" w:hAnsiTheme="majorHAnsi" w:cs="Times New Roman"/>
                <w:sz w:val="20"/>
                <w:szCs w:val="20"/>
              </w:rPr>
              <w:t xml:space="preserve">nje studijskih programa uz svrsishodno uvođenje studentske prakse putem EU fondova i nacionalnih izvora </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Izrada informacijskog sustava za praćenje studentske prakse u koji bi pristup imali studenti i poslodavci </w:t>
            </w:r>
          </w:p>
        </w:tc>
        <w:tc>
          <w:tcPr>
            <w:tcW w:w="782" w:type="pct"/>
            <w:tcBorders>
              <w:top w:val="none" w:sz="0" w:space="0" w:color="auto"/>
              <w:bottom w:val="none" w:sz="0" w:space="0" w:color="auto"/>
            </w:tcBorders>
          </w:tcPr>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Visoka učilišta (VU), AZVO</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HZZ</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r w:rsidR="007E6FFD">
              <w:rPr>
                <w:rFonts w:asciiTheme="majorHAnsi" w:hAnsiTheme="majorHAnsi" w:cs="Times New Roman"/>
                <w:sz w:val="20"/>
                <w:szCs w:val="20"/>
              </w:rPr>
              <w:t>, HGK,</w:t>
            </w:r>
            <w:r w:rsidRPr="00ED3700">
              <w:rPr>
                <w:rFonts w:asciiTheme="majorHAnsi" w:hAnsiTheme="majorHAnsi" w:cs="Times New Roman"/>
                <w:sz w:val="20"/>
                <w:szCs w:val="20"/>
              </w:rPr>
              <w:t xml:space="preserve"> HUP</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VU</w:t>
            </w:r>
          </w:p>
        </w:tc>
        <w:tc>
          <w:tcPr>
            <w:tcW w:w="1044" w:type="pct"/>
            <w:tcBorders>
              <w:top w:val="none" w:sz="0" w:space="0" w:color="auto"/>
              <w:bottom w:val="none" w:sz="0" w:space="0" w:color="auto"/>
              <w:right w:val="none" w:sz="0" w:space="0" w:color="auto"/>
            </w:tcBorders>
          </w:tcPr>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studijskih programa s obaveznom studentskom praskom</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studenata koji su zadovoljni provođenjem studentske prakse</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poslodavaca koji su zadovoljni provođenjem studentske prakse</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studenata koji su se zaposlili kod poslodavca kod</w:t>
            </w:r>
            <w:r w:rsidR="00770564">
              <w:rPr>
                <w:rFonts w:asciiTheme="majorHAnsi" w:hAnsiTheme="majorHAnsi" w:cs="Times New Roman"/>
                <w:sz w:val="20"/>
                <w:szCs w:val="20"/>
              </w:rPr>
              <w:t xml:space="preserve"> </w:t>
            </w:r>
            <w:r w:rsidRPr="00ED3700">
              <w:rPr>
                <w:rFonts w:asciiTheme="majorHAnsi" w:hAnsiTheme="majorHAnsi" w:cs="Times New Roman"/>
                <w:sz w:val="20"/>
                <w:szCs w:val="20"/>
              </w:rPr>
              <w:t xml:space="preserve">kojeg su obavljali praksu </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FC3CA7"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 xml:space="preserve">Povoljan udio podzastupljenih i </w:t>
            </w:r>
            <w:r w:rsidR="00313013" w:rsidRPr="00ED3700">
              <w:rPr>
                <w:rFonts w:asciiTheme="majorHAnsi" w:hAnsiTheme="majorHAnsi" w:cs="Times New Roman"/>
                <w:sz w:val="20"/>
                <w:szCs w:val="20"/>
              </w:rPr>
              <w:t>ranjivih skupina u gornjim indikatorima</w:t>
            </w:r>
          </w:p>
        </w:tc>
      </w:tr>
      <w:tr w:rsidR="00313013" w:rsidRPr="00ED3700" w:rsidTr="00AF2143">
        <w:tc>
          <w:tcPr>
            <w:cnfStyle w:val="001000000000" w:firstRow="0" w:lastRow="0" w:firstColumn="1" w:lastColumn="0" w:oddVBand="0" w:evenVBand="0" w:oddHBand="0" w:evenHBand="0" w:firstRowFirstColumn="0" w:firstRowLastColumn="0" w:lastRowFirstColumn="0" w:lastRowLastColumn="0"/>
            <w:tcW w:w="1710" w:type="pct"/>
          </w:tcPr>
          <w:p w:rsidR="00313013" w:rsidRPr="00ED3700" w:rsidRDefault="00313013" w:rsidP="007E6FFD">
            <w:pPr>
              <w:contextualSpacing/>
              <w:rPr>
                <w:rFonts w:asciiTheme="majorHAnsi" w:hAnsiTheme="majorHAnsi" w:cs="Times New Roman"/>
                <w:b w:val="0"/>
                <w:sz w:val="20"/>
                <w:szCs w:val="20"/>
              </w:rPr>
            </w:pPr>
            <w:r w:rsidRPr="00ED3700">
              <w:rPr>
                <w:rFonts w:asciiTheme="majorHAnsi" w:hAnsiTheme="majorHAnsi" w:cs="Times New Roman"/>
                <w:b w:val="0"/>
                <w:sz w:val="20"/>
                <w:szCs w:val="20"/>
                <w:lang w:eastAsia="hr-HR"/>
              </w:rPr>
              <w:t xml:space="preserve">4.2. Organiziranje aktivnosti centara za potporu studentima (akademsko i psihološko </w:t>
            </w:r>
            <w:r w:rsidRPr="00ED3700">
              <w:rPr>
                <w:rFonts w:asciiTheme="majorHAnsi" w:hAnsiTheme="majorHAnsi" w:cs="Times New Roman"/>
                <w:b w:val="0"/>
                <w:sz w:val="20"/>
                <w:szCs w:val="20"/>
                <w:lang w:eastAsia="hr-HR"/>
              </w:rPr>
              <w:lastRenderedPageBreak/>
              <w:t>savjetovanje, savjetovanje za razvoj karijere, studentske prakse) koji pomažu studentima u postizanju kompetencija potrebnih za završavanje</w:t>
            </w:r>
            <w:r w:rsidR="007E6FFD">
              <w:rPr>
                <w:rFonts w:asciiTheme="majorHAnsi" w:hAnsiTheme="majorHAnsi" w:cs="Times New Roman"/>
                <w:b w:val="0"/>
                <w:sz w:val="20"/>
                <w:szCs w:val="20"/>
                <w:lang w:eastAsia="hr-HR"/>
              </w:rPr>
              <w:t xml:space="preserve"> studija i rani razvoj karijere</w:t>
            </w:r>
          </w:p>
        </w:tc>
        <w:tc>
          <w:tcPr>
            <w:tcW w:w="1464" w:type="pct"/>
          </w:tcPr>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lastRenderedPageBreak/>
              <w:t>Početna analiza stanja i potreba na VU</w:t>
            </w: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lastRenderedPageBreak/>
              <w:t>Financijska potpora VU koji su osnovali centre i uložili vlastita sredstva kako bi se dalje razvili i umrežili</w:t>
            </w: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Stvaranje mreže centara u RH kako bi se razvili i razmijenili programi, materijali za edukaciju te objedinili virtualni resursi</w:t>
            </w:r>
          </w:p>
        </w:tc>
        <w:tc>
          <w:tcPr>
            <w:tcW w:w="782" w:type="pct"/>
          </w:tcPr>
          <w:p w:rsidR="00313013" w:rsidRPr="00ED3700" w:rsidRDefault="00634238"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lastRenderedPageBreak/>
              <w:t>VU, MZO,</w:t>
            </w: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HZZ, MRMS specijalizirane </w:t>
            </w:r>
            <w:r w:rsidRPr="00ED3700">
              <w:rPr>
                <w:rFonts w:asciiTheme="majorHAnsi" w:hAnsiTheme="majorHAnsi" w:cs="Times New Roman"/>
                <w:sz w:val="20"/>
                <w:szCs w:val="20"/>
              </w:rPr>
              <w:lastRenderedPageBreak/>
              <w:t xml:space="preserve">udruge </w:t>
            </w:r>
          </w:p>
        </w:tc>
        <w:tc>
          <w:tcPr>
            <w:tcW w:w="1044" w:type="pct"/>
          </w:tcPr>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lastRenderedPageBreak/>
              <w:t xml:space="preserve">Broj centara, broj zaposlenih u centrima, broj </w:t>
            </w:r>
            <w:r w:rsidRPr="00ED3700">
              <w:rPr>
                <w:rFonts w:asciiTheme="majorHAnsi" w:hAnsiTheme="majorHAnsi" w:cs="Times New Roman"/>
                <w:sz w:val="20"/>
                <w:szCs w:val="20"/>
              </w:rPr>
              <w:lastRenderedPageBreak/>
              <w:t xml:space="preserve">aktivnosti vezanih uz završnost i rani razvoj karijere, broj korisnika  </w:t>
            </w: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Zadovoljstvo korisnika, posebno onih iz podzastupljenih i ranjivih skupina</w:t>
            </w:r>
            <w:r w:rsidR="00C9581B">
              <w:rPr>
                <w:rFonts w:asciiTheme="majorHAnsi" w:hAnsiTheme="majorHAnsi" w:cs="Times New Roman"/>
                <w:sz w:val="20"/>
                <w:szCs w:val="20"/>
              </w:rPr>
              <w:t>,</w:t>
            </w:r>
            <w:r w:rsidRPr="00ED3700">
              <w:rPr>
                <w:rFonts w:asciiTheme="majorHAnsi" w:hAnsiTheme="majorHAnsi" w:cs="Times New Roman"/>
                <w:sz w:val="20"/>
                <w:szCs w:val="20"/>
              </w:rPr>
              <w:t xml:space="preserve"> uslugama centara </w:t>
            </w: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članova mreže centara</w:t>
            </w:r>
          </w:p>
        </w:tc>
      </w:tr>
      <w:tr w:rsidR="00313013" w:rsidRPr="00ED3700" w:rsidTr="00AF2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pct"/>
            <w:tcBorders>
              <w:top w:val="none" w:sz="0" w:space="0" w:color="auto"/>
              <w:left w:val="none" w:sz="0" w:space="0" w:color="auto"/>
              <w:bottom w:val="none" w:sz="0" w:space="0" w:color="auto"/>
            </w:tcBorders>
          </w:tcPr>
          <w:p w:rsidR="00313013" w:rsidRPr="00ED3700" w:rsidRDefault="00313013" w:rsidP="00AF2143">
            <w:pPr>
              <w:contextualSpacing/>
              <w:rPr>
                <w:rFonts w:asciiTheme="majorHAnsi" w:hAnsiTheme="majorHAnsi" w:cs="Times New Roman"/>
                <w:b w:val="0"/>
                <w:sz w:val="20"/>
                <w:szCs w:val="20"/>
                <w:lang w:eastAsia="hr-HR"/>
              </w:rPr>
            </w:pPr>
            <w:r w:rsidRPr="00ED3700">
              <w:rPr>
                <w:rFonts w:asciiTheme="majorHAnsi" w:hAnsiTheme="majorHAnsi" w:cs="Times New Roman"/>
                <w:b w:val="0"/>
                <w:sz w:val="20"/>
                <w:szCs w:val="20"/>
                <w:lang w:eastAsia="hr-HR"/>
              </w:rPr>
              <w:lastRenderedPageBreak/>
              <w:t xml:space="preserve">4.3. Vrednovanje VU s pozicije potpore ranom razvoju karijere </w:t>
            </w:r>
            <w:proofErr w:type="spellStart"/>
            <w:r w:rsidRPr="00ED3700">
              <w:rPr>
                <w:rFonts w:asciiTheme="majorHAnsi" w:hAnsiTheme="majorHAnsi" w:cs="Times New Roman"/>
                <w:b w:val="0"/>
                <w:sz w:val="20"/>
                <w:szCs w:val="20"/>
                <w:lang w:eastAsia="hr-HR"/>
              </w:rPr>
              <w:t>diplomanada</w:t>
            </w:r>
            <w:proofErr w:type="spellEnd"/>
            <w:r w:rsidRPr="00ED3700">
              <w:rPr>
                <w:rFonts w:asciiTheme="majorHAnsi" w:hAnsiTheme="majorHAnsi" w:cs="Times New Roman"/>
                <w:b w:val="0"/>
                <w:sz w:val="20"/>
                <w:szCs w:val="20"/>
                <w:lang w:eastAsia="hr-HR"/>
              </w:rPr>
              <w:t xml:space="preserve"> temeljem jedinstvenog modela zrelosti  (</w:t>
            </w:r>
            <w:r w:rsidRPr="00ED3700">
              <w:rPr>
                <w:rFonts w:asciiTheme="majorHAnsi" w:hAnsiTheme="majorHAnsi"/>
                <w:b w:val="0"/>
                <w:sz w:val="20"/>
                <w:szCs w:val="20"/>
              </w:rPr>
              <w:t>određivanje razine na kojoj je neko VU s obzirom na potporu studentima u ranom razvoju karijere</w:t>
            </w:r>
            <w:r w:rsidRPr="00ED3700">
              <w:rPr>
                <w:rFonts w:asciiTheme="majorHAnsi" w:hAnsiTheme="majorHAnsi" w:cs="Times New Roman"/>
                <w:b w:val="0"/>
                <w:sz w:val="20"/>
                <w:szCs w:val="20"/>
                <w:lang w:eastAsia="hr-HR"/>
              </w:rPr>
              <w:t>) i</w:t>
            </w:r>
            <w:r w:rsidR="002F1460" w:rsidRPr="00ED3700">
              <w:rPr>
                <w:rFonts w:asciiTheme="majorHAnsi" w:hAnsiTheme="majorHAnsi" w:cs="Times New Roman"/>
                <w:b w:val="0"/>
                <w:sz w:val="20"/>
                <w:szCs w:val="20"/>
                <w:lang w:eastAsia="hr-HR"/>
              </w:rPr>
              <w:t xml:space="preserve"> </w:t>
            </w:r>
            <w:r w:rsidRPr="00ED3700">
              <w:rPr>
                <w:rFonts w:asciiTheme="majorHAnsi" w:hAnsiTheme="majorHAnsi" w:cs="Times New Roman"/>
                <w:b w:val="0"/>
                <w:sz w:val="20"/>
                <w:szCs w:val="20"/>
                <w:lang w:eastAsia="hr-HR"/>
              </w:rPr>
              <w:t>udovoljavanju zahtjevima HKO</w:t>
            </w:r>
          </w:p>
        </w:tc>
        <w:tc>
          <w:tcPr>
            <w:tcW w:w="1464" w:type="pct"/>
            <w:tcBorders>
              <w:top w:val="none" w:sz="0" w:space="0" w:color="auto"/>
              <w:bottom w:val="none" w:sz="0" w:space="0" w:color="auto"/>
            </w:tcBorders>
          </w:tcPr>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r w:rsidRPr="00ED3700">
              <w:rPr>
                <w:rFonts w:asciiTheme="majorHAnsi" w:hAnsiTheme="majorHAnsi" w:cs="Times New Roman"/>
                <w:sz w:val="20"/>
                <w:szCs w:val="20"/>
                <w:lang w:eastAsia="hr-HR"/>
              </w:rPr>
              <w:t>Uvođenje modela praćenja rada VU temeljem prihvaćenog modela zrelosti VU s obzirom na potporu ranom razvoju karijere diplomanata s naglaskom na jednake prilike za sve studente</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roofErr w:type="spellStart"/>
            <w:r w:rsidRPr="00ED3700">
              <w:rPr>
                <w:rFonts w:asciiTheme="majorHAnsi" w:hAnsiTheme="majorHAnsi" w:cs="Times New Roman"/>
                <w:sz w:val="20"/>
                <w:szCs w:val="20"/>
                <w:lang w:eastAsia="hr-HR"/>
              </w:rPr>
              <w:t>Samovrednovanje</w:t>
            </w:r>
            <w:proofErr w:type="spellEnd"/>
            <w:r w:rsidRPr="00ED3700">
              <w:rPr>
                <w:rFonts w:asciiTheme="majorHAnsi" w:hAnsiTheme="majorHAnsi" w:cs="Times New Roman"/>
                <w:sz w:val="20"/>
                <w:szCs w:val="20"/>
                <w:lang w:eastAsia="hr-HR"/>
              </w:rPr>
              <w:t xml:space="preserve"> i/ili unutarnje i/ili vanjsko vrednovanje VU prema razini zrelosti vezano uz potporu</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r w:rsidRPr="00ED3700">
              <w:rPr>
                <w:rFonts w:asciiTheme="majorHAnsi" w:hAnsiTheme="majorHAnsi" w:cs="Times New Roman"/>
                <w:sz w:val="20"/>
                <w:szCs w:val="20"/>
                <w:lang w:eastAsia="hr-HR"/>
              </w:rPr>
              <w:t>Izrada izvješća o stanju na VU u RH i preporuke za poboljšanje</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313013" w:rsidRPr="00E55DDD"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r w:rsidRPr="00E55DDD">
              <w:rPr>
                <w:rFonts w:asciiTheme="majorHAnsi" w:hAnsiTheme="majorHAnsi" w:cs="Times New Roman"/>
                <w:sz w:val="20"/>
                <w:szCs w:val="20"/>
                <w:lang w:eastAsia="hr-HR"/>
              </w:rPr>
              <w:t xml:space="preserve">Izrada preporuka za vrednovanje studijskih programa </w:t>
            </w:r>
            <w:r w:rsidR="0022086C" w:rsidRPr="00E55DDD">
              <w:rPr>
                <w:rFonts w:asciiTheme="majorHAnsi" w:hAnsiTheme="majorHAnsi" w:cs="Times New Roman"/>
                <w:sz w:val="20"/>
                <w:szCs w:val="20"/>
                <w:lang w:eastAsia="hr-HR"/>
              </w:rPr>
              <w:t>usklađenih</w:t>
            </w:r>
            <w:r w:rsidRPr="00E55DDD">
              <w:rPr>
                <w:rFonts w:asciiTheme="majorHAnsi" w:hAnsiTheme="majorHAnsi" w:cs="Times New Roman"/>
                <w:sz w:val="20"/>
                <w:szCs w:val="20"/>
                <w:lang w:eastAsia="hr-HR"/>
              </w:rPr>
              <w:t xml:space="preserve"> sa standardima kvalifikacija</w:t>
            </w:r>
          </w:p>
          <w:p w:rsidR="00313013" w:rsidRPr="00E55DDD"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313013" w:rsidRPr="00E55DDD"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r w:rsidRPr="00E55DDD">
              <w:rPr>
                <w:rFonts w:asciiTheme="majorHAnsi" w:hAnsiTheme="majorHAnsi" w:cs="Times New Roman"/>
                <w:sz w:val="20"/>
                <w:szCs w:val="20"/>
                <w:lang w:eastAsia="hr-HR"/>
              </w:rPr>
              <w:t>Usklađivanje studijskih programa sa standardima kvalifikacija i zanimanja</w:t>
            </w:r>
          </w:p>
          <w:p w:rsidR="00313013" w:rsidRPr="00E55DDD"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eastAsia="hr-HR"/>
              </w:rPr>
            </w:pPr>
            <w:proofErr w:type="spellStart"/>
            <w:r w:rsidRPr="00E55DDD">
              <w:rPr>
                <w:rFonts w:asciiTheme="majorHAnsi" w:hAnsiTheme="majorHAnsi" w:cs="Times New Roman"/>
                <w:sz w:val="20"/>
                <w:szCs w:val="20"/>
                <w:lang w:eastAsia="hr-HR"/>
              </w:rPr>
              <w:t>Samovrednovanje</w:t>
            </w:r>
            <w:proofErr w:type="spellEnd"/>
            <w:r w:rsidRPr="00E55DDD">
              <w:rPr>
                <w:rFonts w:asciiTheme="majorHAnsi" w:hAnsiTheme="majorHAnsi" w:cs="Times New Roman"/>
                <w:sz w:val="20"/>
                <w:szCs w:val="20"/>
                <w:lang w:eastAsia="hr-HR"/>
              </w:rPr>
              <w:t xml:space="preserve"> i/ili unutarnje i/ili vanjsko vrednovanje VU prema razini zrelosti vezano uz usklađenost sa HKO-om</w:t>
            </w:r>
          </w:p>
        </w:tc>
        <w:tc>
          <w:tcPr>
            <w:tcW w:w="782" w:type="pct"/>
            <w:tcBorders>
              <w:top w:val="none" w:sz="0" w:space="0" w:color="auto"/>
              <w:bottom w:val="none" w:sz="0" w:space="0" w:color="auto"/>
            </w:tcBorders>
          </w:tcPr>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AZVO, VU, MZO</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55DDD">
              <w:rPr>
                <w:rFonts w:asciiTheme="majorHAnsi" w:hAnsiTheme="majorHAnsi" w:cs="Times New Roman"/>
                <w:sz w:val="20"/>
                <w:szCs w:val="20"/>
              </w:rPr>
              <w:t>Nacionalno vijeće za razvoj ljudskih potencijala RH</w:t>
            </w:r>
          </w:p>
        </w:tc>
        <w:tc>
          <w:tcPr>
            <w:tcW w:w="1044" w:type="pct"/>
            <w:tcBorders>
              <w:top w:val="none" w:sz="0" w:space="0" w:color="auto"/>
              <w:bottom w:val="none" w:sz="0" w:space="0" w:color="auto"/>
              <w:right w:val="none" w:sz="0" w:space="0" w:color="auto"/>
            </w:tcBorders>
          </w:tcPr>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Prihvaćen model zrelosti VU s obzirom na rani razvoj karijere</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Podizanje razine zrelosti za jednu razinu u sljedećih 4 godine</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Preporuke za vrednovanje VU vezano uz usklađenost sa HKO-om</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55DDD"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55DDD">
              <w:rPr>
                <w:rFonts w:asciiTheme="majorHAnsi" w:hAnsiTheme="majorHAnsi" w:cs="Times New Roman"/>
                <w:sz w:val="20"/>
                <w:szCs w:val="20"/>
              </w:rPr>
              <w:t xml:space="preserve">Broj standarda kvalifikacija </w:t>
            </w:r>
            <w:r w:rsidR="002D3241">
              <w:rPr>
                <w:rFonts w:asciiTheme="majorHAnsi" w:hAnsiTheme="majorHAnsi" w:cs="Times New Roman"/>
                <w:sz w:val="20"/>
                <w:szCs w:val="20"/>
              </w:rPr>
              <w:t xml:space="preserve">i s njima povezanih studijskih programa </w:t>
            </w:r>
            <w:r w:rsidRPr="00E55DDD">
              <w:rPr>
                <w:rFonts w:asciiTheme="majorHAnsi" w:hAnsiTheme="majorHAnsi" w:cs="Times New Roman"/>
                <w:sz w:val="20"/>
                <w:szCs w:val="20"/>
              </w:rPr>
              <w:t>u Registru HKO-a</w:t>
            </w:r>
          </w:p>
          <w:p w:rsidR="00313013" w:rsidRPr="00E55DDD"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1B4D" w:rsidRPr="00E55DDD" w:rsidRDefault="004B1B4D" w:rsidP="004B1B4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1B4D" w:rsidRPr="00E55DDD" w:rsidRDefault="004B1B4D" w:rsidP="004B1B4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1B4D" w:rsidRPr="00E55DDD" w:rsidRDefault="004B1B4D" w:rsidP="004B1B4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1B4D" w:rsidRPr="00E55DDD" w:rsidRDefault="004B1B4D" w:rsidP="004B1B4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586A20" w:rsidRPr="00ED3700" w:rsidRDefault="00586A20"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313013" w:rsidRPr="00ED3700" w:rsidTr="00AF2143">
        <w:tc>
          <w:tcPr>
            <w:cnfStyle w:val="001000000000" w:firstRow="0" w:lastRow="0" w:firstColumn="1" w:lastColumn="0" w:oddVBand="0" w:evenVBand="0" w:oddHBand="0" w:evenHBand="0" w:firstRowFirstColumn="0" w:firstRowLastColumn="0" w:lastRowFirstColumn="0" w:lastRowLastColumn="0"/>
            <w:tcW w:w="1710" w:type="pct"/>
          </w:tcPr>
          <w:p w:rsidR="00313013" w:rsidRPr="00ED3700" w:rsidRDefault="00313013" w:rsidP="00AF2143">
            <w:pPr>
              <w:rPr>
                <w:rFonts w:asciiTheme="majorHAnsi" w:hAnsiTheme="majorHAnsi" w:cs="Times New Roman"/>
                <w:b w:val="0"/>
                <w:sz w:val="20"/>
                <w:szCs w:val="20"/>
              </w:rPr>
            </w:pPr>
            <w:r w:rsidRPr="00ED3700">
              <w:rPr>
                <w:rFonts w:asciiTheme="majorHAnsi" w:hAnsiTheme="majorHAnsi" w:cs="Times New Roman"/>
                <w:b w:val="0"/>
                <w:sz w:val="20"/>
                <w:szCs w:val="20"/>
              </w:rPr>
              <w:t>4.4. Posebni programi potpore zapošljavanju preko EU fondova (Garancija/Jamstvo za mlade)</w:t>
            </w:r>
          </w:p>
          <w:p w:rsidR="00313013" w:rsidRPr="00ED3700" w:rsidRDefault="00313013" w:rsidP="00AF2143">
            <w:pPr>
              <w:rPr>
                <w:rFonts w:asciiTheme="majorHAnsi" w:hAnsiTheme="majorHAnsi" w:cs="Times New Roman"/>
                <w:b w:val="0"/>
                <w:sz w:val="20"/>
                <w:szCs w:val="20"/>
              </w:rPr>
            </w:pPr>
            <w:r w:rsidRPr="00ED3700">
              <w:rPr>
                <w:rFonts w:asciiTheme="majorHAnsi" w:hAnsiTheme="majorHAnsi" w:cs="Times New Roman"/>
                <w:b w:val="0"/>
                <w:sz w:val="20"/>
                <w:szCs w:val="20"/>
              </w:rPr>
              <w:t>uključuju VU</w:t>
            </w:r>
            <w:r w:rsidRPr="00ED3700">
              <w:rPr>
                <w:rFonts w:asciiTheme="majorHAnsi" w:hAnsiTheme="majorHAnsi" w:cs="Times New Roman"/>
                <w:sz w:val="20"/>
                <w:szCs w:val="20"/>
              </w:rPr>
              <w:t xml:space="preserve"> </w:t>
            </w:r>
          </w:p>
        </w:tc>
        <w:tc>
          <w:tcPr>
            <w:tcW w:w="1464" w:type="pct"/>
          </w:tcPr>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Koordinacija aktivnosti MZO, HZZ, VU </w:t>
            </w:r>
          </w:p>
        </w:tc>
        <w:tc>
          <w:tcPr>
            <w:tcW w:w="782" w:type="pct"/>
          </w:tcPr>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HZZ, MZO, MRMS </w:t>
            </w:r>
          </w:p>
        </w:tc>
        <w:tc>
          <w:tcPr>
            <w:tcW w:w="1044" w:type="pct"/>
          </w:tcPr>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Povratak studiranju onih koji su odustajali od studija</w:t>
            </w:r>
            <w:r w:rsidR="00C9581B">
              <w:rPr>
                <w:rFonts w:asciiTheme="majorHAnsi" w:hAnsiTheme="majorHAnsi" w:cs="Times New Roman"/>
                <w:sz w:val="20"/>
                <w:szCs w:val="20"/>
              </w:rPr>
              <w:t>,</w:t>
            </w:r>
            <w:r w:rsidRPr="00ED3700">
              <w:rPr>
                <w:rFonts w:asciiTheme="majorHAnsi" w:hAnsiTheme="majorHAnsi" w:cs="Times New Roman"/>
                <w:sz w:val="20"/>
                <w:szCs w:val="20"/>
              </w:rPr>
              <w:t xml:space="preserve"> posebno podzastupljenih skupina</w:t>
            </w:r>
          </w:p>
        </w:tc>
      </w:tr>
      <w:tr w:rsidR="00313013" w:rsidRPr="00ED3700" w:rsidTr="00AF2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pct"/>
            <w:tcBorders>
              <w:top w:val="none" w:sz="0" w:space="0" w:color="auto"/>
              <w:left w:val="none" w:sz="0" w:space="0" w:color="auto"/>
              <w:bottom w:val="none" w:sz="0" w:space="0" w:color="auto"/>
            </w:tcBorders>
          </w:tcPr>
          <w:p w:rsidR="00313013" w:rsidRPr="00ED3700" w:rsidRDefault="00313013" w:rsidP="00422B25">
            <w:pPr>
              <w:rPr>
                <w:rFonts w:asciiTheme="majorHAnsi" w:hAnsiTheme="majorHAnsi" w:cs="Times New Roman"/>
                <w:b w:val="0"/>
                <w:sz w:val="20"/>
                <w:szCs w:val="20"/>
              </w:rPr>
            </w:pPr>
            <w:r w:rsidRPr="00ED3700">
              <w:rPr>
                <w:rFonts w:asciiTheme="majorHAnsi" w:hAnsiTheme="majorHAnsi" w:cs="Times New Roman"/>
                <w:b w:val="0"/>
                <w:sz w:val="20"/>
                <w:szCs w:val="20"/>
              </w:rPr>
              <w:t xml:space="preserve">4.5. Razrada programskih ugovora na način da se prate dogovoreni indikatori vezani uz podzastupljene/ ranjive skupine i aktivnosti iz </w:t>
            </w:r>
            <w:r w:rsidR="00422B25">
              <w:rPr>
                <w:rFonts w:asciiTheme="majorHAnsi" w:hAnsiTheme="majorHAnsi" w:cs="Times New Roman"/>
                <w:b w:val="0"/>
                <w:sz w:val="20"/>
                <w:szCs w:val="20"/>
              </w:rPr>
              <w:t>P</w:t>
            </w:r>
            <w:r w:rsidRPr="00ED3700">
              <w:rPr>
                <w:rFonts w:asciiTheme="majorHAnsi" w:hAnsiTheme="majorHAnsi" w:cs="Times New Roman"/>
                <w:b w:val="0"/>
                <w:sz w:val="20"/>
                <w:szCs w:val="20"/>
              </w:rPr>
              <w:t xml:space="preserve">lana vezane uz završavanje studija i zapošljavanje </w:t>
            </w:r>
          </w:p>
        </w:tc>
        <w:tc>
          <w:tcPr>
            <w:tcW w:w="1464" w:type="pct"/>
            <w:tcBorders>
              <w:top w:val="none" w:sz="0" w:space="0" w:color="auto"/>
              <w:bottom w:val="none" w:sz="0" w:space="0" w:color="auto"/>
            </w:tcBorders>
          </w:tcPr>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Postavljenje programskih ugovora na način da budu orijentirani na ishode, a ne na ulazne parametre</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Omogućavanje dodatnih sredstava za studije</w:t>
            </w:r>
            <w:r w:rsidR="00214EB6">
              <w:rPr>
                <w:rFonts w:asciiTheme="majorHAnsi" w:hAnsiTheme="majorHAnsi" w:cs="Times New Roman"/>
                <w:sz w:val="20"/>
                <w:szCs w:val="20"/>
              </w:rPr>
              <w:t>,</w:t>
            </w:r>
            <w:r w:rsidRPr="00ED3700">
              <w:rPr>
                <w:rFonts w:asciiTheme="majorHAnsi" w:hAnsiTheme="majorHAnsi" w:cs="Times New Roman"/>
                <w:sz w:val="20"/>
                <w:szCs w:val="20"/>
              </w:rPr>
              <w:t xml:space="preserve"> koji </w:t>
            </w:r>
            <w:r w:rsidRPr="00ED3700">
              <w:rPr>
                <w:rFonts w:asciiTheme="majorHAnsi" w:hAnsiTheme="majorHAnsi" w:cs="Times New Roman"/>
                <w:sz w:val="20"/>
                <w:szCs w:val="20"/>
              </w:rPr>
              <w:lastRenderedPageBreak/>
              <w:t>imaju visoku stopu zapošljavanja nakon diplome</w:t>
            </w:r>
            <w:r w:rsidR="00214EB6">
              <w:rPr>
                <w:rFonts w:asciiTheme="majorHAnsi" w:hAnsiTheme="majorHAnsi" w:cs="Times New Roman"/>
                <w:sz w:val="20"/>
                <w:szCs w:val="20"/>
              </w:rPr>
              <w:t>,</w:t>
            </w:r>
            <w:r w:rsidRPr="00ED3700">
              <w:rPr>
                <w:rFonts w:asciiTheme="majorHAnsi" w:hAnsiTheme="majorHAnsi" w:cs="Times New Roman"/>
                <w:sz w:val="20"/>
                <w:szCs w:val="20"/>
              </w:rPr>
              <w:t xml:space="preserve"> </w:t>
            </w:r>
            <w:r w:rsidR="00214EB6">
              <w:rPr>
                <w:rFonts w:asciiTheme="majorHAnsi" w:hAnsiTheme="majorHAnsi" w:cs="Times New Roman"/>
                <w:sz w:val="20"/>
                <w:szCs w:val="20"/>
              </w:rPr>
              <w:t>kako bi podigli kapacitete</w:t>
            </w:r>
            <w:r w:rsidRPr="00ED3700">
              <w:rPr>
                <w:rFonts w:asciiTheme="majorHAnsi" w:hAnsiTheme="majorHAnsi" w:cs="Times New Roman"/>
                <w:sz w:val="20"/>
                <w:szCs w:val="20"/>
              </w:rPr>
              <w:t xml:space="preserve"> za povećanje upisnih kvota </w:t>
            </w: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Omogućavanje dodatnih sredstava za studije kod kojih je udio podzastupljenih i/ili ranjivih skupina u grupi diplomiranih jednak (ili bolji) udjelu upisanih </w:t>
            </w:r>
          </w:p>
        </w:tc>
        <w:tc>
          <w:tcPr>
            <w:tcW w:w="782" w:type="pct"/>
            <w:tcBorders>
              <w:top w:val="none" w:sz="0" w:space="0" w:color="auto"/>
              <w:bottom w:val="none" w:sz="0" w:space="0" w:color="auto"/>
            </w:tcBorders>
          </w:tcPr>
          <w:p w:rsidR="00313013" w:rsidRPr="00ED3700" w:rsidRDefault="00010678"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lastRenderedPageBreak/>
              <w:t>Vlada RH, MZO</w:t>
            </w:r>
          </w:p>
        </w:tc>
        <w:tc>
          <w:tcPr>
            <w:tcW w:w="1044" w:type="pct"/>
            <w:tcBorders>
              <w:top w:val="none" w:sz="0" w:space="0" w:color="auto"/>
              <w:bottom w:val="none" w:sz="0" w:space="0" w:color="auto"/>
              <w:right w:val="none" w:sz="0" w:space="0" w:color="auto"/>
            </w:tcBorders>
          </w:tcPr>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Postavljanje jasnih indikatora u programske ugovore vezan</w:t>
            </w:r>
            <w:r w:rsidR="00C41C6D">
              <w:rPr>
                <w:rFonts w:asciiTheme="majorHAnsi" w:hAnsiTheme="majorHAnsi" w:cs="Times New Roman"/>
                <w:sz w:val="20"/>
                <w:szCs w:val="20"/>
              </w:rPr>
              <w:t>ih</w:t>
            </w:r>
            <w:r w:rsidRPr="00ED3700">
              <w:rPr>
                <w:rFonts w:asciiTheme="majorHAnsi" w:hAnsiTheme="majorHAnsi" w:cs="Times New Roman"/>
                <w:sz w:val="20"/>
                <w:szCs w:val="20"/>
              </w:rPr>
              <w:t xml:space="preserve"> uz stope završavanja studija unutar 150% nominalnog </w:t>
            </w:r>
            <w:r w:rsidRPr="00ED3700">
              <w:rPr>
                <w:rFonts w:asciiTheme="majorHAnsi" w:hAnsiTheme="majorHAnsi" w:cs="Times New Roman"/>
                <w:sz w:val="20"/>
                <w:szCs w:val="20"/>
              </w:rPr>
              <w:lastRenderedPageBreak/>
              <w:t xml:space="preserve">vremena trajanja studija i </w:t>
            </w:r>
            <w:r w:rsidR="00C41C6D">
              <w:rPr>
                <w:rFonts w:asciiTheme="majorHAnsi" w:hAnsiTheme="majorHAnsi" w:cs="Times New Roman"/>
                <w:sz w:val="20"/>
                <w:szCs w:val="20"/>
              </w:rPr>
              <w:t xml:space="preserve">vezanih uz </w:t>
            </w:r>
            <w:r w:rsidRPr="00ED3700">
              <w:rPr>
                <w:rFonts w:asciiTheme="majorHAnsi" w:hAnsiTheme="majorHAnsi" w:cs="Times New Roman"/>
                <w:sz w:val="20"/>
                <w:szCs w:val="20"/>
              </w:rPr>
              <w:t xml:space="preserve">zapošljavanje </w:t>
            </w:r>
            <w:proofErr w:type="spellStart"/>
            <w:r w:rsidRPr="00ED3700">
              <w:rPr>
                <w:rFonts w:asciiTheme="majorHAnsi" w:hAnsiTheme="majorHAnsi" w:cs="Times New Roman"/>
                <w:sz w:val="20"/>
                <w:szCs w:val="20"/>
              </w:rPr>
              <w:t>diplomanada</w:t>
            </w:r>
            <w:proofErr w:type="spellEnd"/>
          </w:p>
          <w:p w:rsidR="00313013" w:rsidRPr="00ED3700" w:rsidRDefault="00313013" w:rsidP="00AF214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313013" w:rsidRPr="00ED3700" w:rsidTr="00AF2143">
        <w:tc>
          <w:tcPr>
            <w:cnfStyle w:val="001000000000" w:firstRow="0" w:lastRow="0" w:firstColumn="1" w:lastColumn="0" w:oddVBand="0" w:evenVBand="0" w:oddHBand="0" w:evenHBand="0" w:firstRowFirstColumn="0" w:firstRowLastColumn="0" w:lastRowFirstColumn="0" w:lastRowLastColumn="0"/>
            <w:tcW w:w="1710" w:type="pct"/>
          </w:tcPr>
          <w:p w:rsidR="00313013" w:rsidRPr="00ED3700" w:rsidRDefault="00313013" w:rsidP="00AF2143">
            <w:pPr>
              <w:rPr>
                <w:rFonts w:asciiTheme="majorHAnsi" w:hAnsiTheme="majorHAnsi" w:cs="Times New Roman"/>
                <w:b w:val="0"/>
                <w:sz w:val="20"/>
                <w:szCs w:val="20"/>
              </w:rPr>
            </w:pPr>
            <w:r w:rsidRPr="00ED3700">
              <w:rPr>
                <w:rFonts w:asciiTheme="majorHAnsi" w:hAnsiTheme="majorHAnsi" w:cs="Times New Roman"/>
                <w:b w:val="0"/>
                <w:sz w:val="20"/>
                <w:szCs w:val="20"/>
              </w:rPr>
              <w:lastRenderedPageBreak/>
              <w:t xml:space="preserve">4.6. Praćenje zapošljavanja studenata u prva 4 mjeseca nakon diplome i redovito izvještavanje VU </w:t>
            </w:r>
          </w:p>
        </w:tc>
        <w:tc>
          <w:tcPr>
            <w:tcW w:w="1464" w:type="pct"/>
          </w:tcPr>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Postavljanje sustava monitoringa i izvještavanja vezano uz zapošljavanje diplomanta (</w:t>
            </w:r>
            <w:r w:rsidR="00C41C6D">
              <w:rPr>
                <w:rFonts w:asciiTheme="majorHAnsi" w:hAnsiTheme="majorHAnsi" w:cs="Times New Roman"/>
                <w:sz w:val="20"/>
                <w:szCs w:val="20"/>
              </w:rPr>
              <w:t xml:space="preserve">ovu aktivnost povezati s postupcima </w:t>
            </w:r>
            <w:r w:rsidRPr="00ED3700">
              <w:rPr>
                <w:rFonts w:asciiTheme="majorHAnsi" w:hAnsiTheme="majorHAnsi" w:cs="Times New Roman"/>
                <w:sz w:val="20"/>
                <w:szCs w:val="20"/>
              </w:rPr>
              <w:t>vanjskog vrednovanja</w:t>
            </w:r>
            <w:r w:rsidR="00C41C6D">
              <w:rPr>
                <w:rFonts w:asciiTheme="majorHAnsi" w:hAnsiTheme="majorHAnsi" w:cs="Times New Roman"/>
                <w:sz w:val="20"/>
                <w:szCs w:val="20"/>
              </w:rPr>
              <w:t xml:space="preserve"> VU</w:t>
            </w:r>
            <w:r w:rsidRPr="00ED3700">
              <w:rPr>
                <w:rFonts w:asciiTheme="majorHAnsi" w:hAnsiTheme="majorHAnsi" w:cs="Times New Roman"/>
                <w:sz w:val="20"/>
                <w:szCs w:val="20"/>
              </w:rPr>
              <w:t>)</w:t>
            </w: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VU prate stope zapošljavanja (u struci) podzastupljenih i ranjivih skupina </w:t>
            </w:r>
            <w:proofErr w:type="spellStart"/>
            <w:r w:rsidRPr="00ED3700">
              <w:rPr>
                <w:rFonts w:asciiTheme="majorHAnsi" w:hAnsiTheme="majorHAnsi" w:cs="Times New Roman"/>
                <w:sz w:val="20"/>
                <w:szCs w:val="20"/>
              </w:rPr>
              <w:t>diplomanada</w:t>
            </w:r>
            <w:proofErr w:type="spellEnd"/>
            <w:r w:rsidRPr="00ED3700">
              <w:rPr>
                <w:rFonts w:asciiTheme="majorHAnsi" w:hAnsiTheme="majorHAnsi" w:cs="Times New Roman"/>
                <w:sz w:val="20"/>
                <w:szCs w:val="20"/>
              </w:rPr>
              <w:t xml:space="preserve"> </w:t>
            </w:r>
          </w:p>
        </w:tc>
        <w:tc>
          <w:tcPr>
            <w:tcW w:w="782" w:type="pct"/>
          </w:tcPr>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HZZ, AZVO, VU</w:t>
            </w:r>
          </w:p>
        </w:tc>
        <w:tc>
          <w:tcPr>
            <w:tcW w:w="1044" w:type="pct"/>
          </w:tcPr>
          <w:p w:rsidR="00313013" w:rsidRPr="00ED3700" w:rsidRDefault="00635ED5"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Udio zaposlenih 4 mjeseca nakon studija</w:t>
            </w:r>
          </w:p>
          <w:p w:rsidR="002979B1" w:rsidRDefault="002979B1"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2979B1" w:rsidRDefault="002979B1"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2979B1" w:rsidRDefault="002979B1"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2979B1" w:rsidRDefault="002979B1"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313013" w:rsidRPr="00ED3700" w:rsidRDefault="00313013" w:rsidP="00AF2143">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 VU koji imaju sustav praćenja </w:t>
            </w:r>
            <w:proofErr w:type="spellStart"/>
            <w:r w:rsidRPr="00ED3700">
              <w:rPr>
                <w:rFonts w:asciiTheme="majorHAnsi" w:hAnsiTheme="majorHAnsi" w:cs="Times New Roman"/>
                <w:sz w:val="20"/>
                <w:szCs w:val="20"/>
              </w:rPr>
              <w:t>alumnija</w:t>
            </w:r>
            <w:proofErr w:type="spellEnd"/>
            <w:r w:rsidRPr="00ED3700">
              <w:rPr>
                <w:rFonts w:asciiTheme="majorHAnsi" w:hAnsiTheme="majorHAnsi" w:cs="Times New Roman"/>
                <w:sz w:val="20"/>
                <w:szCs w:val="20"/>
              </w:rPr>
              <w:t xml:space="preserve"> </w:t>
            </w:r>
          </w:p>
        </w:tc>
      </w:tr>
    </w:tbl>
    <w:p w:rsidR="001C08BD" w:rsidRPr="00ED3700" w:rsidRDefault="001C08BD" w:rsidP="00DC2308">
      <w:pPr>
        <w:rPr>
          <w:rFonts w:asciiTheme="majorHAnsi" w:hAnsiTheme="majorHAnsi" w:cs="Times New Roman"/>
        </w:rPr>
      </w:pPr>
    </w:p>
    <w:p w:rsidR="00B611F0" w:rsidRPr="00897A38" w:rsidRDefault="00B611F0" w:rsidP="00897A38">
      <w:pPr>
        <w:pStyle w:val="Heading3"/>
        <w:rPr>
          <w:b w:val="0"/>
          <w:bCs w:val="0"/>
          <w:smallCaps/>
          <w:spacing w:val="5"/>
          <w:sz w:val="28"/>
          <w:szCs w:val="28"/>
        </w:rPr>
      </w:pPr>
      <w:bookmarkStart w:id="3" w:name="_Toc461865507"/>
      <w:r w:rsidRPr="00ED3700">
        <w:rPr>
          <w:rStyle w:val="BookTitle"/>
          <w:sz w:val="28"/>
          <w:szCs w:val="28"/>
        </w:rPr>
        <w:t>Cilj 5: Unaprijediti sustav financijske pomoći pripadnicima podzastupljenih i ranjivih skupina</w:t>
      </w:r>
    </w:p>
    <w:tbl>
      <w:tblPr>
        <w:tblStyle w:val="GridTable4-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617"/>
        <w:gridCol w:w="2616"/>
        <w:gridCol w:w="2028"/>
      </w:tblGrid>
      <w:tr w:rsidR="00990C4C" w:rsidRPr="00ED3700" w:rsidTr="003C6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Borders>
              <w:top w:val="none" w:sz="0" w:space="0" w:color="auto"/>
              <w:left w:val="none" w:sz="0" w:space="0" w:color="auto"/>
              <w:bottom w:val="none" w:sz="0" w:space="0" w:color="auto"/>
              <w:right w:val="none" w:sz="0" w:space="0" w:color="auto"/>
            </w:tcBorders>
            <w:shd w:val="clear" w:color="auto" w:fill="auto"/>
          </w:tcPr>
          <w:p w:rsidR="00990C4C" w:rsidRPr="00ED3700" w:rsidRDefault="00990C4C" w:rsidP="003C620D">
            <w:pPr>
              <w:rPr>
                <w:rFonts w:asciiTheme="majorHAnsi" w:hAnsiTheme="majorHAnsi" w:cs="Times New Roman"/>
                <w:color w:val="auto"/>
                <w:sz w:val="20"/>
                <w:szCs w:val="20"/>
              </w:rPr>
            </w:pPr>
            <w:proofErr w:type="spellStart"/>
            <w:r w:rsidRPr="00ED3700">
              <w:rPr>
                <w:rFonts w:asciiTheme="majorHAnsi" w:hAnsiTheme="majorHAnsi" w:cs="Times New Roman"/>
                <w:color w:val="auto"/>
                <w:sz w:val="20"/>
                <w:szCs w:val="20"/>
              </w:rPr>
              <w:t>Podcilj</w:t>
            </w:r>
            <w:proofErr w:type="spellEnd"/>
          </w:p>
        </w:tc>
        <w:tc>
          <w:tcPr>
            <w:tcW w:w="1409" w:type="pct"/>
            <w:tcBorders>
              <w:top w:val="none" w:sz="0" w:space="0" w:color="auto"/>
              <w:left w:val="none" w:sz="0" w:space="0" w:color="auto"/>
              <w:bottom w:val="none" w:sz="0" w:space="0" w:color="auto"/>
              <w:right w:val="none" w:sz="0" w:space="0" w:color="auto"/>
            </w:tcBorders>
            <w:shd w:val="clear" w:color="auto" w:fill="auto"/>
          </w:tcPr>
          <w:p w:rsidR="00990C4C" w:rsidRPr="00ED3700" w:rsidRDefault="00990C4C" w:rsidP="003C620D">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0"/>
                <w:szCs w:val="20"/>
              </w:rPr>
            </w:pPr>
            <w:r w:rsidRPr="00ED3700">
              <w:rPr>
                <w:rFonts w:asciiTheme="majorHAnsi" w:hAnsiTheme="majorHAnsi" w:cs="Times New Roman"/>
                <w:color w:val="auto"/>
                <w:sz w:val="20"/>
                <w:szCs w:val="20"/>
              </w:rPr>
              <w:t>Aktivnost</w:t>
            </w:r>
          </w:p>
        </w:tc>
        <w:tc>
          <w:tcPr>
            <w:tcW w:w="1408" w:type="pct"/>
            <w:tcBorders>
              <w:top w:val="none" w:sz="0" w:space="0" w:color="auto"/>
              <w:left w:val="none" w:sz="0" w:space="0" w:color="auto"/>
              <w:bottom w:val="none" w:sz="0" w:space="0" w:color="auto"/>
              <w:right w:val="none" w:sz="0" w:space="0" w:color="auto"/>
            </w:tcBorders>
            <w:shd w:val="clear" w:color="auto" w:fill="auto"/>
          </w:tcPr>
          <w:p w:rsidR="00990C4C" w:rsidRPr="00ED3700" w:rsidRDefault="00990C4C" w:rsidP="003C620D">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0"/>
                <w:szCs w:val="20"/>
              </w:rPr>
            </w:pPr>
            <w:r w:rsidRPr="00ED3700">
              <w:rPr>
                <w:rFonts w:asciiTheme="majorHAnsi" w:hAnsiTheme="majorHAnsi" w:cs="Times New Roman"/>
                <w:color w:val="auto"/>
                <w:sz w:val="20"/>
                <w:szCs w:val="20"/>
              </w:rPr>
              <w:t>Odgovornost</w:t>
            </w:r>
          </w:p>
        </w:tc>
        <w:tc>
          <w:tcPr>
            <w:tcW w:w="1092" w:type="pct"/>
            <w:tcBorders>
              <w:top w:val="none" w:sz="0" w:space="0" w:color="auto"/>
              <w:left w:val="none" w:sz="0" w:space="0" w:color="auto"/>
              <w:bottom w:val="none" w:sz="0" w:space="0" w:color="auto"/>
              <w:right w:val="none" w:sz="0" w:space="0" w:color="auto"/>
            </w:tcBorders>
            <w:shd w:val="clear" w:color="auto" w:fill="auto"/>
          </w:tcPr>
          <w:p w:rsidR="00990C4C" w:rsidRPr="00ED3700" w:rsidRDefault="00990C4C" w:rsidP="003C620D">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0"/>
                <w:szCs w:val="20"/>
              </w:rPr>
            </w:pPr>
            <w:r w:rsidRPr="00ED3700">
              <w:rPr>
                <w:rFonts w:asciiTheme="majorHAnsi" w:hAnsiTheme="majorHAnsi" w:cs="Times New Roman"/>
                <w:color w:val="auto"/>
                <w:sz w:val="20"/>
                <w:szCs w:val="20"/>
              </w:rPr>
              <w:t>Indikator</w:t>
            </w:r>
          </w:p>
        </w:tc>
      </w:tr>
      <w:tr w:rsidR="004D773C" w:rsidRPr="00ED3700" w:rsidTr="004D773C">
        <w:trPr>
          <w:cnfStyle w:val="000000100000" w:firstRow="0" w:lastRow="0" w:firstColumn="0" w:lastColumn="0" w:oddVBand="0" w:evenVBand="0" w:oddHBand="1" w:evenHBand="0" w:firstRowFirstColumn="0" w:firstRowLastColumn="0" w:lastRowFirstColumn="0" w:lastRowLastColumn="0"/>
          <w:trHeight w:val="1356"/>
        </w:trPr>
        <w:tc>
          <w:tcPr>
            <w:cnfStyle w:val="001000000000" w:firstRow="0" w:lastRow="0" w:firstColumn="1" w:lastColumn="0" w:oddVBand="0" w:evenVBand="0" w:oddHBand="0" w:evenHBand="0" w:firstRowFirstColumn="0" w:firstRowLastColumn="0" w:lastRowFirstColumn="0" w:lastRowLastColumn="0"/>
            <w:tcW w:w="1091" w:type="pct"/>
            <w:vMerge w:val="restart"/>
            <w:shd w:val="clear" w:color="auto" w:fill="auto"/>
          </w:tcPr>
          <w:p w:rsidR="004D773C" w:rsidRPr="00ED3700" w:rsidRDefault="004D773C" w:rsidP="003C620D">
            <w:pPr>
              <w:contextualSpacing/>
              <w:rPr>
                <w:rFonts w:asciiTheme="majorHAnsi" w:hAnsiTheme="majorHAnsi" w:cs="Times New Roman"/>
                <w:sz w:val="20"/>
                <w:szCs w:val="20"/>
                <w:lang w:eastAsia="hr-HR"/>
              </w:rPr>
            </w:pPr>
            <w:r w:rsidRPr="00ED3700">
              <w:rPr>
                <w:rFonts w:asciiTheme="majorHAnsi" w:hAnsiTheme="majorHAnsi" w:cs="Times New Roman"/>
                <w:b w:val="0"/>
                <w:sz w:val="20"/>
                <w:szCs w:val="20"/>
                <w:lang w:eastAsia="hr-HR"/>
              </w:rPr>
              <w:t>5.1. Objediniti i centralizirati prikupljanje podataka o financijskoj pomoći studentima na nacionalnoj, lokalnoj i institucijskoj razini.</w:t>
            </w:r>
            <w:r w:rsidRPr="00ED3700">
              <w:rPr>
                <w:rFonts w:asciiTheme="majorHAnsi" w:hAnsiTheme="majorHAnsi" w:cs="Times New Roman"/>
                <w:sz w:val="20"/>
                <w:szCs w:val="20"/>
                <w:lang w:eastAsia="hr-HR"/>
              </w:rPr>
              <w:t xml:space="preserve"> </w:t>
            </w:r>
          </w:p>
        </w:tc>
        <w:tc>
          <w:tcPr>
            <w:tcW w:w="1409" w:type="pct"/>
            <w:shd w:val="clear" w:color="auto" w:fill="auto"/>
          </w:tcPr>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Uspostava jedinstvenog informacijskog sustava za pružanje financijske pomoći studentima (objedinjuje sve niže navedene aktivnosti).</w:t>
            </w: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Objedinjeni različiti informacijski sustavi i baze u jedinstven informacijski sustav. </w:t>
            </w: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4D773C" w:rsidRPr="00ED3700" w:rsidTr="004D773C">
        <w:trPr>
          <w:trHeight w:val="1536"/>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4D773C" w:rsidRPr="00ED3700" w:rsidRDefault="004D773C" w:rsidP="003C620D">
            <w:pPr>
              <w:contextualSpacing/>
              <w:rPr>
                <w:rFonts w:asciiTheme="majorHAnsi" w:hAnsiTheme="majorHAnsi" w:cs="Times New Roman"/>
                <w:b w:val="0"/>
                <w:sz w:val="20"/>
                <w:szCs w:val="20"/>
                <w:lang w:eastAsia="hr-HR"/>
              </w:rPr>
            </w:pPr>
          </w:p>
        </w:tc>
        <w:tc>
          <w:tcPr>
            <w:tcW w:w="1409" w:type="pct"/>
            <w:shd w:val="clear" w:color="auto" w:fill="auto"/>
          </w:tcPr>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Uspostava sustava provjere materijalnog statusa studenata.</w:t>
            </w: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MFIN</w:t>
            </w: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Pouzdana provjera materijalnog statusa se vrši putem jedinstvenog informacijskog sustava.</w:t>
            </w: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4D773C" w:rsidRPr="00ED3700" w:rsidTr="004D773C">
        <w:trPr>
          <w:cnfStyle w:val="000000100000" w:firstRow="0" w:lastRow="0" w:firstColumn="0" w:lastColumn="0" w:oddVBand="0" w:evenVBand="0" w:oddHBand="1"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4D773C" w:rsidRPr="00ED3700" w:rsidRDefault="004D773C" w:rsidP="003C620D">
            <w:pPr>
              <w:contextualSpacing/>
              <w:rPr>
                <w:rFonts w:asciiTheme="majorHAnsi" w:hAnsiTheme="majorHAnsi" w:cs="Times New Roman"/>
                <w:b w:val="0"/>
                <w:sz w:val="20"/>
                <w:szCs w:val="20"/>
                <w:lang w:eastAsia="hr-HR"/>
              </w:rPr>
            </w:pPr>
          </w:p>
        </w:tc>
        <w:tc>
          <w:tcPr>
            <w:tcW w:w="1409" w:type="pct"/>
            <w:shd w:val="clear" w:color="auto" w:fill="auto"/>
          </w:tcPr>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Pokretanje jedinstvene nacionalne baze podataka o financijskim potporama studentima (uključuje i bazu stipendija).</w:t>
            </w: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u suradnji sa stručnim organizacijama u ovom području.</w:t>
            </w:r>
          </w:p>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Pokrenuta nacionalna on-line baza koja je javno dostupna.</w:t>
            </w:r>
          </w:p>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4D773C" w:rsidRPr="00ED3700" w:rsidTr="004B7FFC">
        <w:trPr>
          <w:trHeight w:val="1343"/>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4D773C" w:rsidRPr="00ED3700" w:rsidRDefault="004D773C" w:rsidP="003C620D">
            <w:pPr>
              <w:contextualSpacing/>
              <w:rPr>
                <w:rFonts w:asciiTheme="majorHAnsi" w:hAnsiTheme="majorHAnsi" w:cs="Times New Roman"/>
                <w:b w:val="0"/>
                <w:sz w:val="20"/>
                <w:szCs w:val="20"/>
                <w:lang w:eastAsia="hr-HR"/>
              </w:rPr>
            </w:pPr>
          </w:p>
        </w:tc>
        <w:tc>
          <w:tcPr>
            <w:tcW w:w="1409" w:type="pct"/>
            <w:shd w:val="clear" w:color="auto" w:fill="auto"/>
          </w:tcPr>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roofErr w:type="spellStart"/>
            <w:r w:rsidRPr="00ED3700">
              <w:rPr>
                <w:rFonts w:asciiTheme="majorHAnsi" w:hAnsiTheme="majorHAnsi" w:cs="Times New Roman"/>
                <w:sz w:val="20"/>
                <w:szCs w:val="20"/>
              </w:rPr>
              <w:t>Evaluiranje</w:t>
            </w:r>
            <w:proofErr w:type="spellEnd"/>
            <w:r w:rsidRPr="00ED3700">
              <w:rPr>
                <w:rFonts w:asciiTheme="majorHAnsi" w:hAnsiTheme="majorHAnsi" w:cs="Times New Roman"/>
                <w:sz w:val="20"/>
                <w:szCs w:val="20"/>
              </w:rPr>
              <w:t xml:space="preserve"> različitih oblika financijske pomoći studentima, s posebnim fokusom na podzastupljene i ranjive skupine. </w:t>
            </w: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r>
              <w:rPr>
                <w:rFonts w:asciiTheme="majorHAnsi" w:hAnsiTheme="majorHAnsi" w:cs="Times New Roman"/>
                <w:sz w:val="20"/>
                <w:szCs w:val="20"/>
              </w:rPr>
              <w:t xml:space="preserve"> </w:t>
            </w: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Objavljena godišnja izvješća. </w:t>
            </w: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4B7FFC" w:rsidRPr="00ED3700" w:rsidTr="004B7FFC">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4B7FFC" w:rsidRPr="00ED3700" w:rsidRDefault="004B7FFC" w:rsidP="003C620D">
            <w:pPr>
              <w:contextualSpacing/>
              <w:rPr>
                <w:rFonts w:asciiTheme="majorHAnsi" w:hAnsiTheme="majorHAnsi" w:cs="Times New Roman"/>
                <w:b w:val="0"/>
                <w:sz w:val="20"/>
                <w:szCs w:val="20"/>
                <w:lang w:eastAsia="hr-HR"/>
              </w:rPr>
            </w:pPr>
          </w:p>
        </w:tc>
        <w:tc>
          <w:tcPr>
            <w:tcW w:w="1409" w:type="pct"/>
            <w:shd w:val="clear" w:color="auto" w:fill="auto"/>
          </w:tcPr>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Pokretanje razmjene primjera dobre prakse među dionicima koji dodjeljuju financijsku pomoć studentima </w:t>
            </w:r>
            <w:r w:rsidRPr="00ED3700">
              <w:rPr>
                <w:rFonts w:asciiTheme="majorHAnsi" w:hAnsiTheme="majorHAnsi" w:cs="Times New Roman"/>
                <w:i/>
                <w:sz w:val="20"/>
                <w:szCs w:val="20"/>
              </w:rPr>
              <w:t>(</w:t>
            </w:r>
            <w:proofErr w:type="spellStart"/>
            <w:r w:rsidRPr="00ED3700">
              <w:rPr>
                <w:rFonts w:asciiTheme="majorHAnsi" w:hAnsiTheme="majorHAnsi" w:cs="Times New Roman"/>
                <w:i/>
                <w:sz w:val="20"/>
                <w:szCs w:val="20"/>
              </w:rPr>
              <w:t>peer</w:t>
            </w:r>
            <w:proofErr w:type="spellEnd"/>
            <w:r w:rsidRPr="00ED3700">
              <w:rPr>
                <w:rFonts w:asciiTheme="majorHAnsi" w:hAnsiTheme="majorHAnsi" w:cs="Times New Roman"/>
                <w:i/>
                <w:sz w:val="20"/>
                <w:szCs w:val="20"/>
              </w:rPr>
              <w:t xml:space="preserve"> </w:t>
            </w:r>
            <w:proofErr w:type="spellStart"/>
            <w:r w:rsidRPr="00ED3700">
              <w:rPr>
                <w:rFonts w:asciiTheme="majorHAnsi" w:hAnsiTheme="majorHAnsi" w:cs="Times New Roman"/>
                <w:i/>
                <w:sz w:val="20"/>
                <w:szCs w:val="20"/>
              </w:rPr>
              <w:t>learning</w:t>
            </w:r>
            <w:proofErr w:type="spellEnd"/>
            <w:r w:rsidRPr="00ED3700">
              <w:rPr>
                <w:rFonts w:asciiTheme="majorHAnsi" w:hAnsiTheme="majorHAnsi" w:cs="Times New Roman"/>
                <w:i/>
                <w:sz w:val="20"/>
                <w:szCs w:val="20"/>
              </w:rPr>
              <w:t>)</w:t>
            </w:r>
            <w:r w:rsidRPr="00ED3700">
              <w:rPr>
                <w:rFonts w:asciiTheme="majorHAnsi" w:hAnsiTheme="majorHAnsi" w:cs="Times New Roman"/>
                <w:sz w:val="20"/>
                <w:szCs w:val="20"/>
              </w:rPr>
              <w:t>, s posebnim fokusom na podzastupljene i ranjive skupine.</w:t>
            </w:r>
          </w:p>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7FFC" w:rsidRPr="00ED3700" w:rsidRDefault="004B7FF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MZO osiguravanjem financijskih sredstava za ovakve projekte kroz EU fondove </w:t>
            </w:r>
          </w:p>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7FFC"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7FFC"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7FFC"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B7FFC" w:rsidRPr="00ED3700" w:rsidRDefault="004B7FF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raspisanih natječaja te broj dodijeljenih projekata.</w:t>
            </w:r>
          </w:p>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Broj primjera dobre prakse unesen u jedinstveni informacijski sustav. </w:t>
            </w:r>
          </w:p>
          <w:p w:rsidR="004B7FFC" w:rsidRPr="00ED3700" w:rsidRDefault="004B7FFC" w:rsidP="004B7FF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Broj organiziranih javnih skupova na ovu temu. </w:t>
            </w:r>
          </w:p>
          <w:p w:rsidR="004B7FFC" w:rsidRPr="00ED3700" w:rsidRDefault="004B7FF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4B7FFC" w:rsidRPr="00ED3700" w:rsidTr="004B7FFC">
        <w:trPr>
          <w:trHeight w:val="2278"/>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4B7FFC" w:rsidRPr="00ED3700" w:rsidRDefault="004B7FFC" w:rsidP="003C620D">
            <w:pPr>
              <w:contextualSpacing/>
              <w:rPr>
                <w:rFonts w:asciiTheme="majorHAnsi" w:hAnsiTheme="majorHAnsi" w:cs="Times New Roman"/>
                <w:b w:val="0"/>
                <w:sz w:val="20"/>
                <w:szCs w:val="20"/>
                <w:lang w:eastAsia="hr-HR"/>
              </w:rPr>
            </w:pPr>
          </w:p>
        </w:tc>
        <w:tc>
          <w:tcPr>
            <w:tcW w:w="1409" w:type="pct"/>
            <w:shd w:val="clear" w:color="auto" w:fill="auto"/>
          </w:tcPr>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Analiziranje prikupljenih podatka o financijskoj pomoći podzastupljenim i ranjivim studentima putem istraživačkih i stručnih projekata, potaknutih javnim i privatnim financiranjem.</w:t>
            </w:r>
          </w:p>
          <w:p w:rsidR="004B7FFC" w:rsidRDefault="004B7FF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r>
              <w:rPr>
                <w:rFonts w:asciiTheme="majorHAnsi" w:hAnsiTheme="majorHAnsi" w:cs="Times New Roman"/>
                <w:sz w:val="20"/>
                <w:szCs w:val="20"/>
              </w:rPr>
              <w:t xml:space="preserve">, </w:t>
            </w:r>
            <w:r w:rsidRPr="00ED3700">
              <w:rPr>
                <w:rFonts w:asciiTheme="majorHAnsi" w:hAnsiTheme="majorHAnsi" w:cs="Times New Roman"/>
                <w:sz w:val="20"/>
                <w:szCs w:val="20"/>
              </w:rPr>
              <w:t>HUP,HGK, tvrtke.</w:t>
            </w: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Visoka učilišta, stručne organizacije, udruge.</w:t>
            </w: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B7FFC" w:rsidRDefault="004B7FF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pokrenutih znanstvenih i stručnih projekata na ovu temu te broj objavljenih radova.</w:t>
            </w: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B7FFC" w:rsidRPr="00ED3700" w:rsidRDefault="004B7FFC" w:rsidP="004B7F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B7FFC" w:rsidRPr="00ED3700" w:rsidRDefault="004B7FFC" w:rsidP="004D773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4D773C" w:rsidRPr="00ED3700" w:rsidTr="004B7FFC">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4D773C" w:rsidRPr="00ED3700" w:rsidRDefault="004D773C" w:rsidP="003C620D">
            <w:pPr>
              <w:contextualSpacing/>
              <w:rPr>
                <w:rFonts w:asciiTheme="majorHAnsi" w:hAnsiTheme="majorHAnsi" w:cs="Times New Roman"/>
                <w:b w:val="0"/>
                <w:sz w:val="20"/>
                <w:szCs w:val="20"/>
                <w:lang w:eastAsia="hr-HR"/>
              </w:rPr>
            </w:pPr>
          </w:p>
        </w:tc>
        <w:tc>
          <w:tcPr>
            <w:tcW w:w="1409" w:type="pct"/>
            <w:shd w:val="clear" w:color="auto" w:fill="auto"/>
          </w:tcPr>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Izraditi analizu opravdanosti postojećeg modela oporezivanja studentskog rada putem studentskih ugovora.</w:t>
            </w: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D773C"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p>
          <w:p w:rsidR="004D773C"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Izrađena i objavljena analiza opravdanosti. </w:t>
            </w:r>
          </w:p>
        </w:tc>
      </w:tr>
      <w:tr w:rsidR="004D773C" w:rsidRPr="00ED3700" w:rsidTr="004D773C">
        <w:trPr>
          <w:trHeight w:val="1507"/>
        </w:trPr>
        <w:tc>
          <w:tcPr>
            <w:cnfStyle w:val="001000000000" w:firstRow="0" w:lastRow="0" w:firstColumn="1" w:lastColumn="0" w:oddVBand="0" w:evenVBand="0" w:oddHBand="0" w:evenHBand="0" w:firstRowFirstColumn="0" w:firstRowLastColumn="0" w:lastRowFirstColumn="0" w:lastRowLastColumn="0"/>
            <w:tcW w:w="1091" w:type="pct"/>
            <w:vMerge w:val="restart"/>
            <w:shd w:val="clear" w:color="auto" w:fill="auto"/>
          </w:tcPr>
          <w:p w:rsidR="004D773C" w:rsidRPr="00ED3700" w:rsidRDefault="004D773C" w:rsidP="003C620D">
            <w:pPr>
              <w:contextualSpacing/>
              <w:rPr>
                <w:rFonts w:asciiTheme="majorHAnsi" w:hAnsiTheme="majorHAnsi" w:cs="Times New Roman"/>
                <w:b w:val="0"/>
                <w:sz w:val="20"/>
                <w:szCs w:val="20"/>
              </w:rPr>
            </w:pPr>
            <w:r w:rsidRPr="00ED3700">
              <w:rPr>
                <w:rFonts w:asciiTheme="majorHAnsi" w:hAnsiTheme="majorHAnsi" w:cs="Times New Roman"/>
                <w:b w:val="0"/>
                <w:sz w:val="20"/>
                <w:szCs w:val="20"/>
                <w:lang w:eastAsia="hr-HR"/>
              </w:rPr>
              <w:t>5.2. Stipendirati učenike završnih razreda srednjih škola koji pripadaju podzastupljenim i ranjivim skupinama za nastavak obrazovanja na visokoškolskoj razini te pružati pomoć srednjim školama čiji učenici postižu loše ishode.</w:t>
            </w:r>
          </w:p>
          <w:p w:rsidR="004D773C" w:rsidRPr="00ED3700" w:rsidRDefault="004D773C" w:rsidP="003C620D">
            <w:pPr>
              <w:contextualSpacing/>
              <w:rPr>
                <w:rFonts w:asciiTheme="majorHAnsi" w:hAnsiTheme="majorHAnsi" w:cs="Times New Roman"/>
                <w:b w:val="0"/>
                <w:sz w:val="20"/>
                <w:szCs w:val="20"/>
              </w:rPr>
            </w:pPr>
          </w:p>
        </w:tc>
        <w:tc>
          <w:tcPr>
            <w:tcW w:w="1409" w:type="pct"/>
            <w:shd w:val="clear" w:color="auto" w:fill="auto"/>
          </w:tcPr>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Pokretanje programa stipendiranja učenika podzastupljenih i ranjivih skupina u završnim razredima srednjih škola za upis visokih učilišta. </w:t>
            </w: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MZO</w:t>
            </w:r>
            <w:r w:rsidRPr="00ED3700">
              <w:rPr>
                <w:rFonts w:asciiTheme="majorHAnsi" w:hAnsiTheme="majorHAnsi" w:cs="Times New Roman"/>
                <w:sz w:val="20"/>
                <w:szCs w:val="20"/>
              </w:rPr>
              <w:t xml:space="preserve">, u suradnji s jedinicama lokalne samouprave. </w:t>
            </w: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9455A9">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Broj pokrenutih programa stipendiranja i broj dodijeljenih stipendija. </w:t>
            </w: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4D773C" w:rsidRPr="00ED3700" w:rsidRDefault="004D773C"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4D773C" w:rsidRPr="00ED3700" w:rsidTr="003C620D">
        <w:trPr>
          <w:cnfStyle w:val="000000100000" w:firstRow="0" w:lastRow="0" w:firstColumn="0" w:lastColumn="0" w:oddVBand="0" w:evenVBand="0" w:oddHBand="1" w:evenHBand="0" w:firstRowFirstColumn="0" w:firstRowLastColumn="0" w:lastRowFirstColumn="0" w:lastRowLastColumn="0"/>
          <w:trHeight w:val="1993"/>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4D773C" w:rsidRPr="00ED3700" w:rsidRDefault="004D773C" w:rsidP="003C620D">
            <w:pPr>
              <w:contextualSpacing/>
              <w:rPr>
                <w:rFonts w:asciiTheme="majorHAnsi" w:hAnsiTheme="majorHAnsi" w:cs="Times New Roman"/>
                <w:b w:val="0"/>
                <w:sz w:val="20"/>
                <w:szCs w:val="20"/>
                <w:lang w:eastAsia="hr-HR"/>
              </w:rPr>
            </w:pPr>
          </w:p>
        </w:tc>
        <w:tc>
          <w:tcPr>
            <w:tcW w:w="1409" w:type="pct"/>
            <w:shd w:val="clear" w:color="auto" w:fill="auto"/>
          </w:tcPr>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Pružanje stručne i financijske pomoći školama za stručno usavršavanje nastavnika o socijalnoj dimenziji obrazovanja i proširivanju pristupa visokom obrazovanju. </w:t>
            </w:r>
          </w:p>
          <w:p w:rsidR="004D773C" w:rsidRPr="00ED3700" w:rsidRDefault="004D773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4D773C"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MZO</w:t>
            </w:r>
            <w:r w:rsidRPr="00ED3700">
              <w:rPr>
                <w:rFonts w:asciiTheme="majorHAnsi" w:hAnsiTheme="majorHAnsi" w:cs="Times New Roman"/>
                <w:sz w:val="20"/>
                <w:szCs w:val="20"/>
              </w:rPr>
              <w:t xml:space="preserve"> u suradnji s AOO</w:t>
            </w:r>
            <w:r>
              <w:rPr>
                <w:rFonts w:asciiTheme="majorHAnsi" w:hAnsiTheme="majorHAnsi" w:cs="Times New Roman"/>
                <w:sz w:val="20"/>
                <w:szCs w:val="20"/>
              </w:rPr>
              <w:t>, ASOO i</w:t>
            </w:r>
            <w:r w:rsidRPr="00ED3700">
              <w:rPr>
                <w:rFonts w:asciiTheme="majorHAnsi" w:hAnsiTheme="majorHAnsi" w:cs="Times New Roman"/>
                <w:sz w:val="20"/>
                <w:szCs w:val="20"/>
              </w:rPr>
              <w:t xml:space="preserve"> NCVVO</w:t>
            </w:r>
          </w:p>
        </w:tc>
        <w:tc>
          <w:tcPr>
            <w:tcW w:w="1092" w:type="pct"/>
            <w:shd w:val="clear" w:color="auto" w:fill="auto"/>
          </w:tcPr>
          <w:p w:rsidR="004D773C" w:rsidRPr="00ED3700" w:rsidRDefault="004D773C" w:rsidP="004D773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Broj provedenih programa stručnog usavršavanja nastavnika. </w:t>
            </w:r>
          </w:p>
        </w:tc>
      </w:tr>
      <w:tr w:rsidR="00667FAD" w:rsidRPr="00ED3700" w:rsidTr="00736CFE">
        <w:trPr>
          <w:trHeight w:val="1417"/>
        </w:trPr>
        <w:tc>
          <w:tcPr>
            <w:cnfStyle w:val="001000000000" w:firstRow="0" w:lastRow="0" w:firstColumn="1" w:lastColumn="0" w:oddVBand="0" w:evenVBand="0" w:oddHBand="0" w:evenHBand="0" w:firstRowFirstColumn="0" w:firstRowLastColumn="0" w:lastRowFirstColumn="0" w:lastRowLastColumn="0"/>
            <w:tcW w:w="1091" w:type="pct"/>
            <w:vMerge w:val="restart"/>
            <w:shd w:val="clear" w:color="auto" w:fill="auto"/>
          </w:tcPr>
          <w:p w:rsidR="00667FAD" w:rsidRPr="00ED3700" w:rsidRDefault="00667FAD" w:rsidP="003C620D">
            <w:pPr>
              <w:rPr>
                <w:rFonts w:asciiTheme="majorHAnsi" w:hAnsiTheme="majorHAnsi" w:cs="Times New Roman"/>
                <w:b w:val="0"/>
                <w:sz w:val="20"/>
                <w:szCs w:val="20"/>
              </w:rPr>
            </w:pPr>
            <w:r w:rsidRPr="00ED3700">
              <w:rPr>
                <w:rFonts w:asciiTheme="majorHAnsi" w:hAnsiTheme="majorHAnsi" w:cs="Times New Roman"/>
                <w:b w:val="0"/>
                <w:sz w:val="20"/>
                <w:szCs w:val="20"/>
              </w:rPr>
              <w:t xml:space="preserve">5.3. Financijsku pomoć iz javnih izvora temeljiti primarno na izravnim oblicima pomoći u obliku stipendija, pomoć dodjeljivati primarno po kriteriju potrebe te prilagoditi mjesečni iznos stipendije </w:t>
            </w:r>
            <w:r w:rsidRPr="00ED3700">
              <w:rPr>
                <w:rFonts w:asciiTheme="majorHAnsi" w:hAnsiTheme="majorHAnsi" w:cs="Times New Roman"/>
                <w:b w:val="0"/>
                <w:sz w:val="20"/>
                <w:szCs w:val="20"/>
              </w:rPr>
              <w:lastRenderedPageBreak/>
              <w:t>stvarnim troškovima studiranja.</w:t>
            </w:r>
          </w:p>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667FAD"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lastRenderedPageBreak/>
              <w:t xml:space="preserve">Izraditi studiju isplativosti vezanu uz moguće pokretanje nove javne institucije za pružanje financijske pomoći studentima. </w:t>
            </w: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Izrađena i objavljena studija isplativosti. </w:t>
            </w: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667FAD" w:rsidRPr="00ED3700" w:rsidTr="009747CA">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667FAD" w:rsidRPr="00ED3700" w:rsidRDefault="00667FAD"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Revidirati kriterije za dodjelu javnih stipendija te ih temeljiti primarno na kriteriju potrebe.</w:t>
            </w: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Pr="00ED3700" w:rsidRDefault="00667FAD"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Hrvatski studentski zbor (HSZ)</w:t>
            </w:r>
          </w:p>
          <w:p w:rsidR="00667FAD" w:rsidRPr="00ED3700" w:rsidRDefault="00667FAD"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667FAD" w:rsidRPr="00ED3700" w:rsidRDefault="00667FAD"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Broj javnih natječaja za stipendije s ovakvim kriterijima. </w:t>
            </w:r>
          </w:p>
          <w:p w:rsidR="00667FAD" w:rsidRPr="00ED3700" w:rsidRDefault="00667FAD"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9747CA" w:rsidRPr="00ED3700" w:rsidTr="009747CA">
        <w:trPr>
          <w:trHeight w:val="1768"/>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9747CA" w:rsidRPr="00ED3700" w:rsidRDefault="009747CA" w:rsidP="003C620D">
            <w:pPr>
              <w:rPr>
                <w:rFonts w:asciiTheme="majorHAnsi" w:hAnsiTheme="majorHAnsi" w:cs="Times New Roman"/>
                <w:b w:val="0"/>
                <w:sz w:val="20"/>
                <w:szCs w:val="20"/>
              </w:rPr>
            </w:pPr>
          </w:p>
        </w:tc>
        <w:tc>
          <w:tcPr>
            <w:tcW w:w="1409" w:type="pct"/>
            <w:shd w:val="clear" w:color="auto" w:fill="auto"/>
          </w:tcPr>
          <w:p w:rsidR="009747CA" w:rsidRPr="00ED3700" w:rsidRDefault="009747CA" w:rsidP="009747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Uz kriterij potrebe, odrediti dodatne kriterije za dodjelu javnih stipendija podzastupljenim i ranjivim skupinama. </w:t>
            </w:r>
          </w:p>
          <w:p w:rsidR="009747CA" w:rsidRPr="00ED3700" w:rsidRDefault="009747C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9747CA" w:rsidRPr="00ED3700" w:rsidRDefault="009747CA" w:rsidP="009747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Hrvatski studentski zbor (HSZ)</w:t>
            </w:r>
          </w:p>
          <w:p w:rsidR="009747CA" w:rsidRPr="00ED3700" w:rsidRDefault="009747CA" w:rsidP="009747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9747CA" w:rsidRPr="00ED3700" w:rsidRDefault="009747CA" w:rsidP="009747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9747CA" w:rsidRPr="00ED3700" w:rsidRDefault="009747CA" w:rsidP="009747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9747CA" w:rsidRPr="00ED3700" w:rsidRDefault="009747C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9747CA" w:rsidRPr="00ED3700" w:rsidRDefault="009747CA" w:rsidP="009747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javnih natječaja za stipendije s ovakvim kriterijima.</w:t>
            </w:r>
          </w:p>
          <w:p w:rsidR="009747CA" w:rsidRPr="00ED3700" w:rsidRDefault="009747CA" w:rsidP="009747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9747CA" w:rsidRPr="00ED3700" w:rsidRDefault="009747CA" w:rsidP="009747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9747CA" w:rsidRPr="00ED3700" w:rsidRDefault="009747C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667FAD" w:rsidRPr="00ED3700" w:rsidTr="00667FAD">
        <w:trPr>
          <w:cnfStyle w:val="000000100000" w:firstRow="0" w:lastRow="0" w:firstColumn="0" w:lastColumn="0" w:oddVBand="0" w:evenVBand="0" w:oddHBand="1" w:evenHBand="0" w:firstRowFirstColumn="0" w:firstRowLastColumn="0" w:lastRowFirstColumn="0" w:lastRowLastColumn="0"/>
          <w:trHeight w:val="2468"/>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Omogućiti svim studentima upisanim na visoka učilišta (od prve do posljednje godine studija) ostvarivanje prava na dobivanje javnih stipendija.</w:t>
            </w:r>
          </w:p>
          <w:p w:rsidR="00667FAD"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MZO, Hrvatski studentski zbor (HSZ)MZO (moguća suradnja  s novom javnom institucijom za pružanje financijske pomoći studentima) </w:t>
            </w:r>
          </w:p>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javnih natječaja za stipendije s ovakvim kriterijima (posebno pratiti jesu li natječaji namijenjeni studentima početnih godina studija).</w:t>
            </w: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667FAD" w:rsidRPr="00ED3700" w:rsidTr="008D2C85">
        <w:trPr>
          <w:trHeight w:val="5257"/>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897A38" w:rsidRPr="00897A38" w:rsidRDefault="00667FAD" w:rsidP="00897A38">
            <w:pPr>
              <w:pStyle w:val="FootnoteText"/>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D3700">
              <w:rPr>
                <w:rFonts w:asciiTheme="majorHAnsi" w:hAnsiTheme="majorHAnsi" w:cs="Times New Roman"/>
              </w:rPr>
              <w:t>Određivanje skale iznosa javnih stipendija sukladno ustanovljenim potrebama (5 razina) i stvarnim troškovima studiranja (koristiti tablicu s formulom).</w:t>
            </w:r>
            <w:r w:rsidR="00897A38">
              <w:rPr>
                <w:rFonts w:asciiTheme="majorHAnsi" w:hAnsiTheme="majorHAnsi" w:cs="Times New Roman"/>
              </w:rPr>
              <w:t xml:space="preserve"> </w:t>
            </w:r>
            <w:r w:rsidR="00897A38" w:rsidRPr="00897A38">
              <w:rPr>
                <w:rFonts w:asciiTheme="majorHAnsi" w:hAnsiTheme="majorHAnsi" w:cs="Times New Roman"/>
              </w:rPr>
              <w:t>*</w:t>
            </w:r>
            <w:r w:rsidRPr="00897A38">
              <w:rPr>
                <w:rFonts w:asciiTheme="majorHAnsi" w:hAnsiTheme="majorHAnsi" w:cs="Times New Roman"/>
              </w:rPr>
              <w:t xml:space="preserve"> </w:t>
            </w:r>
            <w:r w:rsidR="00897A38" w:rsidRPr="00897A38">
              <w:rPr>
                <w:rFonts w:asciiTheme="majorHAnsi" w:hAnsiTheme="majorHAnsi" w:cs="Times New Roman"/>
              </w:rPr>
              <w:t>Vidjeti File i dr. (2013). Financiranje visokog obrazovanja i socijalna dimenzija u Hrvatskoj: analiza i preporuke. Zagreb: Institut za razvoj obrazovanja. Vidjeti str. 65-70.</w:t>
            </w:r>
          </w:p>
          <w:p w:rsidR="00667FAD" w:rsidRPr="00897A38"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Pr="009747CA"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9747CA">
              <w:rPr>
                <w:rFonts w:asciiTheme="majorHAnsi" w:hAnsiTheme="majorHAnsi" w:cs="Times New Roman"/>
                <w:sz w:val="20"/>
                <w:szCs w:val="20"/>
              </w:rPr>
              <w:t xml:space="preserve">MZO (moguća suradnja  s novom javnom institucijom za pružanje financijske pomoći studentima) </w:t>
            </w: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D3700" w:rsidRDefault="00667FAD"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Kriteriji i skale iznosa javnih stipendija javno dostupni putem internetskih stranica. </w:t>
            </w: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Javno dostupni podaci o troškovima studiranja sustavnim objavljivanjem istraživanja </w:t>
            </w:r>
            <w:proofErr w:type="spellStart"/>
            <w:r w:rsidRPr="00ED3700">
              <w:rPr>
                <w:rFonts w:asciiTheme="majorHAnsi" w:hAnsiTheme="majorHAnsi" w:cs="Times New Roman"/>
                <w:sz w:val="20"/>
                <w:szCs w:val="20"/>
              </w:rPr>
              <w:t>Eurostudent</w:t>
            </w:r>
            <w:proofErr w:type="spellEnd"/>
            <w:r w:rsidRPr="00ED3700">
              <w:rPr>
                <w:rFonts w:asciiTheme="majorHAnsi" w:hAnsiTheme="majorHAnsi" w:cs="Times New Roman"/>
                <w:sz w:val="20"/>
                <w:szCs w:val="20"/>
              </w:rPr>
              <w:t xml:space="preserve"> (u obliku koji je prilagođen krajnjim korisnicima: učenici, studenti, roditelji) na internetskim stranicama MZO-a i relevantnih javnih institucija.</w:t>
            </w: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667FAD" w:rsidRPr="00ED3700" w:rsidTr="00667FAD">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667FAD" w:rsidRPr="00ED3700"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Prilagođavanje dinamike isplate javnih stipendija tako da budu dostupne na početku akademske godine. </w:t>
            </w: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Pr="009747CA"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9747CA">
              <w:rPr>
                <w:rFonts w:asciiTheme="majorHAnsi" w:hAnsiTheme="majorHAnsi" w:cs="Times New Roman"/>
                <w:sz w:val="20"/>
                <w:szCs w:val="20"/>
              </w:rPr>
              <w:t>MZO</w:t>
            </w:r>
          </w:p>
          <w:p w:rsidR="00667FAD" w:rsidRPr="00E85792"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highlight w:val="yellow"/>
              </w:rPr>
            </w:pPr>
          </w:p>
          <w:p w:rsidR="00667FAD" w:rsidRPr="00ED3700"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667FAD" w:rsidRPr="00ED3700"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Javno objavljeni datumi isplate rata javnih stipendija. </w:t>
            </w:r>
          </w:p>
          <w:p w:rsidR="00667FAD" w:rsidRPr="00ED3700"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667FAD" w:rsidRPr="00ED3700" w:rsidTr="00667FAD">
        <w:trPr>
          <w:trHeight w:val="1309"/>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Ograničavanje vremenskog razdoblja za primanje javnih stipendija u svrhu poticanja završavanja studija u roku. </w:t>
            </w: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Pr="009747CA"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9747CA">
              <w:rPr>
                <w:rFonts w:asciiTheme="majorHAnsi" w:hAnsiTheme="majorHAnsi" w:cs="Times New Roman"/>
                <w:sz w:val="20"/>
                <w:szCs w:val="20"/>
              </w:rPr>
              <w:t>MZO, HSZ</w:t>
            </w: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p w:rsidR="00667FAD" w:rsidRPr="00E85792" w:rsidRDefault="00667FAD" w:rsidP="008D2C85">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highlight w:val="yellow"/>
              </w:rPr>
            </w:pPr>
          </w:p>
        </w:tc>
        <w:tc>
          <w:tcPr>
            <w:tcW w:w="1092" w:type="pct"/>
            <w:shd w:val="clear" w:color="auto" w:fill="auto"/>
          </w:tcPr>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javnih natječaja za stipendije s ovakvim kriterijima.</w:t>
            </w: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667FAD" w:rsidRPr="00ED3700" w:rsidTr="00667FAD">
        <w:trPr>
          <w:cnfStyle w:val="000000100000" w:firstRow="0" w:lastRow="0" w:firstColumn="0" w:lastColumn="0" w:oddVBand="0" w:evenVBand="0" w:oddHBand="1" w:evenHBand="0"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Izraditi studiju isplativosti neizravnih financijskih potpora studentima u vidu javnih subvencija.</w:t>
            </w: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Pr="000961B1"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0961B1">
              <w:rPr>
                <w:rFonts w:asciiTheme="majorHAnsi" w:hAnsiTheme="majorHAnsi" w:cs="Times New Roman"/>
                <w:sz w:val="20"/>
                <w:szCs w:val="20"/>
              </w:rPr>
              <w:t>MZO</w:t>
            </w:r>
          </w:p>
          <w:p w:rsidR="00667FAD" w:rsidRPr="000961B1"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0961B1"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0961B1" w:rsidRDefault="00667FAD" w:rsidP="008D2C85">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Izrađena i objavljena studija isplativosti. </w:t>
            </w:r>
          </w:p>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667FAD" w:rsidRPr="00ED3700" w:rsidTr="00667FAD">
        <w:trPr>
          <w:trHeight w:val="2010"/>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Razmotriti smanjivanje ili postupno ukidanje neizravnih financijskih potpora studentima u vidu subvencija te preusmjeravanje ovih sredstva u javne stipendije prema kriteriju potrebe. </w:t>
            </w: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Pr="000961B1"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0961B1">
              <w:rPr>
                <w:rFonts w:asciiTheme="majorHAnsi" w:hAnsiTheme="majorHAnsi" w:cs="Times New Roman"/>
                <w:sz w:val="20"/>
                <w:szCs w:val="20"/>
              </w:rPr>
              <w:t>MZO</w:t>
            </w:r>
          </w:p>
          <w:p w:rsidR="00667FAD" w:rsidRPr="000961B1"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0961B1"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0961B1"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0961B1"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0961B1"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0961B1"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0961B1"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Pr>
                <w:rFonts w:asciiTheme="majorHAnsi" w:hAnsiTheme="majorHAnsi" w:cs="Times New Roman"/>
                <w:sz w:val="20"/>
                <w:szCs w:val="20"/>
              </w:rPr>
              <w:t>Izvješća MZO</w:t>
            </w:r>
            <w:r w:rsidRPr="00ED3700">
              <w:rPr>
                <w:rFonts w:asciiTheme="majorHAnsi" w:hAnsiTheme="majorHAnsi" w:cs="Times New Roman"/>
                <w:sz w:val="20"/>
                <w:szCs w:val="20"/>
              </w:rPr>
              <w:t xml:space="preserve">-a o ovoj temi. </w:t>
            </w: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667FA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667FAD" w:rsidRPr="00ED3700" w:rsidRDefault="00667FAD"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667FAD" w:rsidRPr="00ED3700" w:rsidTr="009747CA">
        <w:trPr>
          <w:cnfStyle w:val="000000100000" w:firstRow="0" w:lastRow="0" w:firstColumn="0" w:lastColumn="0" w:oddVBand="0" w:evenVBand="0" w:oddHBand="1" w:evenHBand="0"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667FAD" w:rsidRPr="00ED3700" w:rsidRDefault="00667FAD" w:rsidP="003C620D">
            <w:pPr>
              <w:rPr>
                <w:rFonts w:asciiTheme="majorHAnsi" w:hAnsiTheme="majorHAnsi" w:cs="Times New Roman"/>
                <w:b w:val="0"/>
                <w:sz w:val="20"/>
                <w:szCs w:val="20"/>
              </w:rPr>
            </w:pPr>
          </w:p>
        </w:tc>
        <w:tc>
          <w:tcPr>
            <w:tcW w:w="1409" w:type="pct"/>
            <w:shd w:val="clear" w:color="auto" w:fill="auto"/>
          </w:tcPr>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sz w:val="20"/>
                <w:szCs w:val="20"/>
              </w:rPr>
            </w:pPr>
            <w:r w:rsidRPr="00ED3700">
              <w:rPr>
                <w:rFonts w:asciiTheme="majorHAnsi" w:hAnsiTheme="majorHAnsi" w:cs="Times New Roman"/>
                <w:sz w:val="20"/>
                <w:szCs w:val="20"/>
              </w:rPr>
              <w:t>Povećati javnu financijsku potporu koja će studentima omogućiti da provedu određeno razdoblje studija u inozemstvu</w:t>
            </w:r>
            <w:r w:rsidRPr="00ED3700">
              <w:rPr>
                <w:rFonts w:asciiTheme="majorHAnsi" w:hAnsiTheme="majorHAnsi" w:cs="Times New Roman"/>
                <w:b/>
                <w:sz w:val="20"/>
                <w:szCs w:val="20"/>
              </w:rPr>
              <w:t>.</w:t>
            </w:r>
          </w:p>
          <w:p w:rsidR="00667FAD" w:rsidRPr="00ED3700"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667FAD"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9747CA">
              <w:rPr>
                <w:rFonts w:asciiTheme="majorHAnsi" w:hAnsiTheme="majorHAnsi" w:cs="Times New Roman"/>
                <w:sz w:val="20"/>
                <w:szCs w:val="20"/>
              </w:rPr>
              <w:t>MZO u suradnji s AMPEU i visokim učilištima, HSZ</w:t>
            </w:r>
          </w:p>
          <w:p w:rsidR="009747CA" w:rsidRPr="009747CA" w:rsidRDefault="009747CA"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667FAD" w:rsidRPr="00ED3700" w:rsidRDefault="00667FAD" w:rsidP="00667FA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i visina javnih stipendija koje omogućuju određeno razdoblje studiranja u inozemstvu.</w:t>
            </w:r>
          </w:p>
          <w:p w:rsidR="00667FAD" w:rsidRDefault="00667FAD"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C6109A" w:rsidRPr="00ED3700" w:rsidTr="00C6109A">
        <w:trPr>
          <w:trHeight w:val="1832"/>
        </w:trPr>
        <w:tc>
          <w:tcPr>
            <w:cnfStyle w:val="001000000000" w:firstRow="0" w:lastRow="0" w:firstColumn="1" w:lastColumn="0" w:oddVBand="0" w:evenVBand="0" w:oddHBand="0" w:evenHBand="0" w:firstRowFirstColumn="0" w:firstRowLastColumn="0" w:lastRowFirstColumn="0" w:lastRowLastColumn="0"/>
            <w:tcW w:w="1091" w:type="pct"/>
            <w:vMerge w:val="restart"/>
            <w:shd w:val="clear" w:color="auto" w:fill="auto"/>
          </w:tcPr>
          <w:p w:rsidR="00C6109A" w:rsidRPr="00ED3700" w:rsidRDefault="00C6109A" w:rsidP="003C620D">
            <w:pPr>
              <w:rPr>
                <w:rFonts w:asciiTheme="majorHAnsi" w:hAnsiTheme="majorHAnsi" w:cs="Times New Roman"/>
                <w:b w:val="0"/>
                <w:sz w:val="20"/>
                <w:szCs w:val="20"/>
              </w:rPr>
            </w:pPr>
            <w:r w:rsidRPr="00ED3700">
              <w:rPr>
                <w:rFonts w:asciiTheme="majorHAnsi" w:hAnsiTheme="majorHAnsi" w:cs="Times New Roman"/>
                <w:b w:val="0"/>
                <w:sz w:val="20"/>
                <w:szCs w:val="20"/>
              </w:rPr>
              <w:t>5.4. Povećati dostupnost smještaja u studentskim domovima pod povoljnim financijskim uvjetima s ciljem da je više od 20% studenata smješteno u studentskim domovima.</w:t>
            </w:r>
          </w:p>
          <w:p w:rsidR="00C6109A" w:rsidRPr="00ED3700" w:rsidRDefault="00C6109A" w:rsidP="003C620D">
            <w:pPr>
              <w:rPr>
                <w:rFonts w:asciiTheme="majorHAnsi" w:hAnsiTheme="majorHAnsi" w:cs="Times New Roman"/>
                <w:b w:val="0"/>
                <w:sz w:val="20"/>
                <w:szCs w:val="20"/>
              </w:rPr>
            </w:pPr>
          </w:p>
        </w:tc>
        <w:tc>
          <w:tcPr>
            <w:tcW w:w="1409" w:type="pct"/>
            <w:shd w:val="clear" w:color="auto" w:fill="auto"/>
          </w:tcPr>
          <w:p w:rsidR="00897A38" w:rsidRPr="004613F1" w:rsidRDefault="00C6109A" w:rsidP="00897A38">
            <w:pPr>
              <w:pStyle w:val="FootnoteText"/>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D3700">
              <w:rPr>
                <w:rFonts w:asciiTheme="majorHAnsi" w:hAnsiTheme="majorHAnsi" w:cs="Times New Roman"/>
              </w:rPr>
              <w:t>Proširivanje smještajnih kapaciteta u studentskim domovima izgradnjom novih i obnovom postojećih kapaciteta.</w:t>
            </w:r>
            <w:r w:rsidR="00897A38">
              <w:rPr>
                <w:rFonts w:asciiTheme="majorHAnsi" w:hAnsiTheme="majorHAnsi" w:cs="Times New Roman"/>
              </w:rPr>
              <w:t xml:space="preserve"> *</w:t>
            </w:r>
            <w:r w:rsidR="00897A38" w:rsidRPr="004613F1">
              <w:rPr>
                <w:rFonts w:asciiTheme="majorHAnsi" w:hAnsiTheme="majorHAnsi" w:cs="Times New Roman"/>
              </w:rPr>
              <w:t>Vidjeti File i dr. (2013). Financiranje visokog obrazovanja i socijalna dimenzija u Hrvatskoj: analiza i preporuke. Zagreb: Institut za razvoj obrazovanja. Vidjeti str. 65-70.</w:t>
            </w: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u suradnji s visokim učilištima</w:t>
            </w: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897A38" w:rsidRPr="004613F1" w:rsidRDefault="00C6109A" w:rsidP="00897A38">
            <w:pPr>
              <w:pStyle w:val="FootnoteText"/>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D3700">
              <w:rPr>
                <w:rFonts w:asciiTheme="majorHAnsi" w:hAnsiTheme="majorHAnsi" w:cs="Times New Roman"/>
              </w:rPr>
              <w:t>Povećati udio studenata smještenih u studentskim domovima s trenutnih 8% na 20% od ukupnog broja studenata.</w:t>
            </w:r>
            <w:r w:rsidR="00897A38">
              <w:rPr>
                <w:rFonts w:asciiTheme="majorHAnsi" w:hAnsiTheme="majorHAnsi" w:cs="Times New Roman"/>
              </w:rPr>
              <w:t xml:space="preserve"> *</w:t>
            </w:r>
            <w:r w:rsidR="00897A38" w:rsidRPr="00D4099A">
              <w:rPr>
                <w:rFonts w:ascii="Times New Roman" w:hAnsi="Times New Roman" w:cs="Times New Roman"/>
              </w:rPr>
              <w:t xml:space="preserve">Vidjeti </w:t>
            </w:r>
            <w:proofErr w:type="spellStart"/>
            <w:r w:rsidR="00897A38" w:rsidRPr="00D4099A">
              <w:rPr>
                <w:rFonts w:ascii="Times New Roman" w:hAnsi="Times New Roman" w:cs="Times New Roman"/>
              </w:rPr>
              <w:t>Šćukanec</w:t>
            </w:r>
            <w:proofErr w:type="spellEnd"/>
            <w:r w:rsidR="00897A38" w:rsidRPr="00D4099A">
              <w:rPr>
                <w:rFonts w:ascii="Times New Roman" w:hAnsi="Times New Roman" w:cs="Times New Roman"/>
              </w:rPr>
              <w:t xml:space="preserve"> i dr. (2016). Socijalni</w:t>
            </w:r>
            <w:r w:rsidR="00897A38">
              <w:rPr>
                <w:rFonts w:ascii="Times New Roman" w:hAnsi="Times New Roman" w:cs="Times New Roman"/>
              </w:rPr>
              <w:t xml:space="preserve"> i ekonomski uvjeti student</w:t>
            </w:r>
            <w:r w:rsidR="00897A38" w:rsidRPr="004613F1">
              <w:rPr>
                <w:rFonts w:asciiTheme="majorHAnsi" w:hAnsiTheme="majorHAnsi" w:cs="Times New Roman"/>
              </w:rPr>
              <w:t xml:space="preserve">skog života u Hrvatskoj: nacionalno izvješće istraživanja EUROSTUDENT V za Hrvatsku za 2014. Zagreb: Ministarstvo znanosti, obrazovanja i sporta. Vidjeti str. 66-74. </w:t>
            </w: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C6109A" w:rsidRPr="00ED3700" w:rsidTr="00C6109A">
        <w:trPr>
          <w:cnfStyle w:val="000000100000" w:firstRow="0" w:lastRow="0" w:firstColumn="0" w:lastColumn="0" w:oddVBand="0" w:evenVBand="0" w:oddHBand="1"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C6109A" w:rsidRPr="00ED3700" w:rsidRDefault="00C6109A" w:rsidP="003C620D">
            <w:pPr>
              <w:rPr>
                <w:rFonts w:asciiTheme="majorHAnsi" w:hAnsiTheme="majorHAnsi" w:cs="Times New Roman"/>
                <w:b w:val="0"/>
                <w:sz w:val="20"/>
                <w:szCs w:val="20"/>
              </w:rPr>
            </w:pPr>
          </w:p>
        </w:tc>
        <w:tc>
          <w:tcPr>
            <w:tcW w:w="1409"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Uvođenje kriterija potrebe kao glavnog kriterija za dobivanje smještaja u studentskom domu.</w:t>
            </w: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HSZ</w:t>
            </w: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javnih natječaja s ovakvim kriterijima.</w:t>
            </w: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C6109A" w:rsidRPr="00ED3700" w:rsidTr="003C620D">
        <w:trPr>
          <w:trHeight w:val="1515"/>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C6109A" w:rsidRPr="00ED3700" w:rsidRDefault="00C6109A" w:rsidP="003C620D">
            <w:pPr>
              <w:rPr>
                <w:rFonts w:asciiTheme="majorHAnsi" w:hAnsiTheme="majorHAnsi" w:cs="Times New Roman"/>
                <w:b w:val="0"/>
                <w:sz w:val="20"/>
                <w:szCs w:val="20"/>
              </w:rPr>
            </w:pPr>
          </w:p>
        </w:tc>
        <w:tc>
          <w:tcPr>
            <w:tcW w:w="1409"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Osigurati da kriteriji za smještaj u studentskom domu daju prednost podzastupljenim i ranjivim skupinama studenata.</w:t>
            </w:r>
          </w:p>
          <w:p w:rsidR="00C6109A"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p>
        </w:tc>
        <w:tc>
          <w:tcPr>
            <w:tcW w:w="1092"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javnih natječaja s ovakvim kriterijima.</w:t>
            </w: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990C4C" w:rsidRPr="00ED3700" w:rsidTr="003C6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rsidR="00990C4C" w:rsidRPr="00ED3700" w:rsidRDefault="00990C4C" w:rsidP="003C620D">
            <w:pPr>
              <w:rPr>
                <w:rFonts w:asciiTheme="majorHAnsi" w:hAnsiTheme="majorHAnsi" w:cs="Times New Roman"/>
                <w:b w:val="0"/>
                <w:sz w:val="20"/>
                <w:szCs w:val="20"/>
              </w:rPr>
            </w:pPr>
            <w:r w:rsidRPr="00ED3700">
              <w:rPr>
                <w:rFonts w:asciiTheme="majorHAnsi" w:hAnsiTheme="majorHAnsi" w:cs="Times New Roman"/>
                <w:b w:val="0"/>
                <w:sz w:val="20"/>
                <w:szCs w:val="20"/>
              </w:rPr>
              <w:t xml:space="preserve">5.5. Pokrenuti financiranje visokih učilišta putem cjelovitih programskih ugovora koji će u sebi sadržavati mehanizme za unapređivanje socijalne dimenzije visokog obrazovanja. </w:t>
            </w:r>
          </w:p>
          <w:p w:rsidR="00990C4C" w:rsidRPr="00ED3700" w:rsidRDefault="00990C4C" w:rsidP="003C620D">
            <w:pPr>
              <w:rPr>
                <w:rFonts w:asciiTheme="majorHAnsi" w:hAnsiTheme="majorHAnsi" w:cs="Times New Roman"/>
                <w:sz w:val="20"/>
                <w:szCs w:val="20"/>
              </w:rPr>
            </w:pPr>
          </w:p>
        </w:tc>
        <w:tc>
          <w:tcPr>
            <w:tcW w:w="1409" w:type="pct"/>
            <w:shd w:val="clear" w:color="auto" w:fill="auto"/>
          </w:tcPr>
          <w:p w:rsidR="00D05236" w:rsidRPr="00D4099A" w:rsidRDefault="00990C4C" w:rsidP="00D05236">
            <w:pPr>
              <w:pStyle w:val="Footnot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700">
              <w:rPr>
                <w:rFonts w:asciiTheme="majorHAnsi" w:hAnsiTheme="majorHAnsi" w:cs="Times New Roman"/>
              </w:rPr>
              <w:t xml:space="preserve">Pokretanje mehanizma financiranja visokih učilišta temeljen na osnovnom financiranju (broj upisanih studenata), na osnovu rezultata (broj diplomiranih) i na osnovu projekata – u sva tri segmenta financiranja ugraditi mehanizme kojima se unapređuje socijalna dimenzija visokog obrazovanja. </w:t>
            </w:r>
            <w:r w:rsidR="00D05236">
              <w:rPr>
                <w:rFonts w:asciiTheme="majorHAnsi" w:hAnsiTheme="majorHAnsi" w:cs="Times New Roman"/>
              </w:rPr>
              <w:t>*</w:t>
            </w:r>
            <w:r w:rsidR="00D05236" w:rsidRPr="00D4099A">
              <w:rPr>
                <w:rFonts w:ascii="Times New Roman" w:hAnsi="Times New Roman" w:cs="Times New Roman"/>
              </w:rPr>
              <w:t xml:space="preserve"> Vidjeti </w:t>
            </w:r>
            <w:proofErr w:type="spellStart"/>
            <w:r w:rsidR="00D05236" w:rsidRPr="00D4099A">
              <w:rPr>
                <w:rFonts w:ascii="Times New Roman" w:hAnsi="Times New Roman" w:cs="Times New Roman"/>
              </w:rPr>
              <w:t>Šćukanec</w:t>
            </w:r>
            <w:proofErr w:type="spellEnd"/>
            <w:r w:rsidR="00D05236" w:rsidRPr="00D4099A">
              <w:rPr>
                <w:rFonts w:ascii="Times New Roman" w:hAnsi="Times New Roman" w:cs="Times New Roman"/>
              </w:rPr>
              <w:t xml:space="preserve"> i dr. (2016). Socijalni i ekonomski uvjeti studentskog života u Hrvatskoj: nacionalno izvješće istraživanja EUROSTUDENT V z</w:t>
            </w:r>
            <w:r w:rsidR="00D05236">
              <w:rPr>
                <w:rFonts w:ascii="Times New Roman" w:hAnsi="Times New Roman" w:cs="Times New Roman"/>
              </w:rPr>
              <w:t>a Hrvatsku za 2014. Zagreb: Ministar</w:t>
            </w:r>
          </w:p>
          <w:p w:rsidR="00990C4C" w:rsidRPr="00ED3700" w:rsidRDefault="00990C4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990C4C" w:rsidRPr="00ED3700" w:rsidRDefault="00990C4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990C4C" w:rsidRPr="00ED3700" w:rsidRDefault="00990C4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p>
        </w:tc>
        <w:tc>
          <w:tcPr>
            <w:tcW w:w="1092" w:type="pct"/>
            <w:shd w:val="clear" w:color="auto" w:fill="auto"/>
          </w:tcPr>
          <w:p w:rsidR="00990C4C" w:rsidRPr="00ED3700" w:rsidRDefault="00990C4C"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sklopljenih programskih ugovora s visokim učilištima koji sadrže mehanizme kojima se unapređuje socijalna dimenzija visokog obrazovanja.</w:t>
            </w:r>
          </w:p>
        </w:tc>
      </w:tr>
      <w:tr w:rsidR="00C6109A" w:rsidRPr="00ED3700" w:rsidTr="00C6109A">
        <w:trPr>
          <w:trHeight w:val="1627"/>
        </w:trPr>
        <w:tc>
          <w:tcPr>
            <w:cnfStyle w:val="001000000000" w:firstRow="0" w:lastRow="0" w:firstColumn="1" w:lastColumn="0" w:oddVBand="0" w:evenVBand="0" w:oddHBand="0" w:evenHBand="0" w:firstRowFirstColumn="0" w:firstRowLastColumn="0" w:lastRowFirstColumn="0" w:lastRowLastColumn="0"/>
            <w:tcW w:w="1091" w:type="pct"/>
            <w:vMerge w:val="restart"/>
            <w:shd w:val="clear" w:color="auto" w:fill="auto"/>
          </w:tcPr>
          <w:p w:rsidR="00C6109A" w:rsidRPr="00ED3700" w:rsidRDefault="00C6109A" w:rsidP="003C620D">
            <w:pPr>
              <w:rPr>
                <w:rFonts w:asciiTheme="majorHAnsi" w:hAnsiTheme="majorHAnsi" w:cs="Times New Roman"/>
                <w:b w:val="0"/>
                <w:sz w:val="20"/>
                <w:szCs w:val="20"/>
              </w:rPr>
            </w:pPr>
            <w:r w:rsidRPr="00ED3700">
              <w:rPr>
                <w:rFonts w:asciiTheme="majorHAnsi" w:hAnsiTheme="majorHAnsi" w:cs="Times New Roman"/>
                <w:b w:val="0"/>
                <w:sz w:val="20"/>
                <w:szCs w:val="20"/>
              </w:rPr>
              <w:t>5.6. Pokrenuti mehanizme koji će potaknuti tvrtke, zaklade i udruge na aktivnije uključivanje u stipendiranje studenata iz podzastupljenih i ranjivih skupina.</w:t>
            </w:r>
          </w:p>
        </w:tc>
        <w:tc>
          <w:tcPr>
            <w:tcW w:w="1409" w:type="pct"/>
            <w:shd w:val="clear" w:color="auto" w:fill="auto"/>
          </w:tcPr>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Izrada propisa i procedura koje će omogućiti da se stipendije ne oporezuju i na temelju kojih će se ukinuti najniži neoporezivi iznos stipendija. </w:t>
            </w: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i MFIN (Porezna uprava)</w:t>
            </w: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Doneseni propisi koji omogućuju da stipendije bude neoporezive i kojima se ne ograničava najviši neoporezivi iznos stipendija. </w:t>
            </w:r>
          </w:p>
        </w:tc>
      </w:tr>
      <w:tr w:rsidR="00C6109A" w:rsidRPr="00ED3700" w:rsidTr="00C6109A">
        <w:trPr>
          <w:cnfStyle w:val="000000100000" w:firstRow="0" w:lastRow="0" w:firstColumn="0" w:lastColumn="0" w:oddVBand="0" w:evenVBand="0" w:oddHBand="1" w:evenHBand="0" w:firstRowFirstColumn="0" w:firstRowLastColumn="0" w:lastRowFirstColumn="0" w:lastRowLastColumn="0"/>
          <w:trHeight w:val="1525"/>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C6109A" w:rsidRPr="00ED3700" w:rsidRDefault="00C6109A" w:rsidP="003C620D">
            <w:pPr>
              <w:rPr>
                <w:rFonts w:asciiTheme="majorHAnsi" w:hAnsiTheme="majorHAnsi" w:cs="Times New Roman"/>
                <w:b w:val="0"/>
                <w:sz w:val="20"/>
                <w:szCs w:val="20"/>
              </w:rPr>
            </w:pPr>
          </w:p>
        </w:tc>
        <w:tc>
          <w:tcPr>
            <w:tcW w:w="1409"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Izrada poreznih poticaja za one koji izdvajaju za stipendiranje studenata. </w:t>
            </w: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i MFIN (Porezna uprava)</w:t>
            </w: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Doneseni propisi koji omogućuju porezne poticaje za one koji izdvajaju za stipendije. </w:t>
            </w: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C6109A" w:rsidRPr="00ED3700" w:rsidTr="003C620D">
        <w:trPr>
          <w:trHeight w:val="1993"/>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C6109A" w:rsidRPr="00ED3700" w:rsidRDefault="00C6109A" w:rsidP="003C620D">
            <w:pPr>
              <w:rPr>
                <w:rFonts w:asciiTheme="majorHAnsi" w:hAnsiTheme="majorHAnsi" w:cs="Times New Roman"/>
                <w:b w:val="0"/>
                <w:sz w:val="20"/>
                <w:szCs w:val="20"/>
              </w:rPr>
            </w:pPr>
          </w:p>
        </w:tc>
        <w:tc>
          <w:tcPr>
            <w:tcW w:w="1409"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Pokretanje programa nagrađivanja institucija koje su razvile najučinkovitije programe stipendiranja podzastupljenih i ranjivih skupina studenata. </w:t>
            </w: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u suradnji s organizacijama civilnog društva, Hrvatskim studentskim zborom, HUP-om, HGK-om i tvrtkama</w:t>
            </w: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Pokrenuti program nagrađivanja i broj dodijeljenih nagrada. </w:t>
            </w:r>
          </w:p>
        </w:tc>
      </w:tr>
      <w:tr w:rsidR="00C6109A" w:rsidRPr="00ED3700" w:rsidTr="00C6109A">
        <w:trPr>
          <w:cnfStyle w:val="000000100000" w:firstRow="0" w:lastRow="0" w:firstColumn="0" w:lastColumn="0" w:oddVBand="0" w:evenVBand="0" w:oddHBand="1" w:evenHBand="0" w:firstRowFirstColumn="0" w:firstRowLastColumn="0" w:lastRowFirstColumn="0" w:lastRowLastColumn="0"/>
          <w:trHeight w:val="1683"/>
        </w:trPr>
        <w:tc>
          <w:tcPr>
            <w:cnfStyle w:val="001000000000" w:firstRow="0" w:lastRow="0" w:firstColumn="1" w:lastColumn="0" w:oddVBand="0" w:evenVBand="0" w:oddHBand="0" w:evenHBand="0" w:firstRowFirstColumn="0" w:firstRowLastColumn="0" w:lastRowFirstColumn="0" w:lastRowLastColumn="0"/>
            <w:tcW w:w="1091" w:type="pct"/>
            <w:vMerge w:val="restart"/>
            <w:shd w:val="clear" w:color="auto" w:fill="auto"/>
          </w:tcPr>
          <w:p w:rsidR="00C6109A" w:rsidRPr="00ED3700" w:rsidRDefault="00C6109A" w:rsidP="003C620D">
            <w:pPr>
              <w:rPr>
                <w:rFonts w:asciiTheme="majorHAnsi" w:hAnsiTheme="majorHAnsi" w:cs="Times New Roman"/>
                <w:b w:val="0"/>
                <w:sz w:val="20"/>
                <w:szCs w:val="20"/>
              </w:rPr>
            </w:pPr>
            <w:r w:rsidRPr="00ED3700">
              <w:rPr>
                <w:rFonts w:asciiTheme="majorHAnsi" w:hAnsiTheme="majorHAnsi" w:cs="Times New Roman"/>
                <w:b w:val="0"/>
                <w:sz w:val="20"/>
                <w:szCs w:val="20"/>
              </w:rPr>
              <w:t>5.7. Edukacija o financijskom planiranju za uspješno studiranje</w:t>
            </w:r>
          </w:p>
        </w:tc>
        <w:tc>
          <w:tcPr>
            <w:tcW w:w="1409" w:type="pct"/>
            <w:shd w:val="clear" w:color="auto" w:fill="auto"/>
          </w:tcPr>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Donošenje propisa na temelju kojih će visoka učilišta transparentno istaknuti očekivane troškove studiranja te moguće prihode studentima. </w:t>
            </w: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i visoka učilišta</w:t>
            </w: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Doneseni propis. Broj visokih učilišta koji su na svojim internetskim stranicama objavili ove podatke. </w:t>
            </w: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C6109A" w:rsidRPr="00ED3700" w:rsidTr="00C6109A">
        <w:trPr>
          <w:trHeight w:val="3713"/>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C6109A" w:rsidRPr="00ED3700" w:rsidRDefault="00C6109A" w:rsidP="003C620D">
            <w:pPr>
              <w:rPr>
                <w:rFonts w:asciiTheme="majorHAnsi" w:hAnsiTheme="majorHAnsi" w:cs="Times New Roman"/>
                <w:b w:val="0"/>
                <w:sz w:val="20"/>
                <w:szCs w:val="20"/>
              </w:rPr>
            </w:pPr>
          </w:p>
        </w:tc>
        <w:tc>
          <w:tcPr>
            <w:tcW w:w="1409"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Uvođenje izbornog programa financijske pismenosti za uspješno studiranje u završne razrede srednjih škola za učenike te na visoka učilišta za studente. </w:t>
            </w: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w:t>
            </w:r>
            <w:r>
              <w:rPr>
                <w:rFonts w:asciiTheme="majorHAnsi" w:hAnsiTheme="majorHAnsi" w:cs="Times New Roman"/>
                <w:sz w:val="20"/>
                <w:szCs w:val="20"/>
              </w:rPr>
              <w:t xml:space="preserve"> </w:t>
            </w:r>
            <w:r w:rsidRPr="00ED3700">
              <w:rPr>
                <w:rFonts w:asciiTheme="majorHAnsi" w:hAnsiTheme="majorHAnsi" w:cs="Times New Roman"/>
                <w:sz w:val="20"/>
                <w:szCs w:val="20"/>
              </w:rPr>
              <w:t>u suradnji s MFIN te s visokim učilištima i srednjim školama</w:t>
            </w: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Broj javnih natječaja za financiranje projekata financijske pismenosti. </w:t>
            </w: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studentskih službi na visokim učilištima (npr. centri za razvoj karijere,  uredi za međunarodnu suradnju i dr.) koji nude programe financijske pismenosti studentima.</w:t>
            </w:r>
          </w:p>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C6109A" w:rsidRPr="00ED3700" w:rsidTr="00C6109A">
        <w:trPr>
          <w:cnfStyle w:val="000000100000" w:firstRow="0" w:lastRow="0" w:firstColumn="0" w:lastColumn="0" w:oddVBand="0" w:evenVBand="0" w:oddHBand="1" w:evenHBand="0" w:firstRowFirstColumn="0" w:firstRowLastColumn="0" w:lastRowFirstColumn="0" w:lastRowLastColumn="0"/>
          <w:trHeight w:val="2927"/>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C6109A" w:rsidRPr="00ED3700" w:rsidRDefault="00C6109A" w:rsidP="003C620D">
            <w:pPr>
              <w:rPr>
                <w:rFonts w:asciiTheme="majorHAnsi" w:hAnsiTheme="majorHAnsi" w:cs="Times New Roman"/>
                <w:b w:val="0"/>
                <w:sz w:val="20"/>
                <w:szCs w:val="20"/>
              </w:rPr>
            </w:pPr>
          </w:p>
        </w:tc>
        <w:tc>
          <w:tcPr>
            <w:tcW w:w="1409"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Uvođenje programa financijske pismenosti za uspješno studiranje i socijaln</w:t>
            </w:r>
            <w:r>
              <w:rPr>
                <w:rFonts w:asciiTheme="majorHAnsi" w:hAnsiTheme="majorHAnsi" w:cs="Times New Roman"/>
                <w:sz w:val="20"/>
                <w:szCs w:val="20"/>
              </w:rPr>
              <w:t>u</w:t>
            </w:r>
            <w:r w:rsidRPr="00ED3700">
              <w:rPr>
                <w:rFonts w:asciiTheme="majorHAnsi" w:hAnsiTheme="majorHAnsi" w:cs="Times New Roman"/>
                <w:sz w:val="20"/>
                <w:szCs w:val="20"/>
              </w:rPr>
              <w:t xml:space="preserve"> dimenzij</w:t>
            </w:r>
            <w:r>
              <w:rPr>
                <w:rFonts w:asciiTheme="majorHAnsi" w:hAnsiTheme="majorHAnsi" w:cs="Times New Roman"/>
                <w:sz w:val="20"/>
                <w:szCs w:val="20"/>
              </w:rPr>
              <w:t xml:space="preserve">u </w:t>
            </w:r>
            <w:r w:rsidRPr="00ED3700">
              <w:rPr>
                <w:rFonts w:asciiTheme="majorHAnsi" w:hAnsiTheme="majorHAnsi" w:cs="Times New Roman"/>
                <w:sz w:val="20"/>
                <w:szCs w:val="20"/>
              </w:rPr>
              <w:t>visokog obrazovanja, s posebnim naglaskom na potrebe podzastupljenih i ranjivih studenata, u stručno obrazovanje nastavnog i nenastavnog kadra na visokim učilištima.</w:t>
            </w:r>
          </w:p>
          <w:p w:rsidR="00C6109A" w:rsidRPr="00ED3700" w:rsidRDefault="00C6109A" w:rsidP="003C620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u suradnji s MFIN te visokim učilištima</w:t>
            </w: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c>
          <w:tcPr>
            <w:tcW w:w="1092" w:type="pct"/>
            <w:shd w:val="clear" w:color="auto" w:fill="auto"/>
          </w:tcPr>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 xml:space="preserve">Broj visokih učilišta koja su pokrenula ovakav program. </w:t>
            </w: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p w:rsidR="00C6109A" w:rsidRPr="00ED3700" w:rsidRDefault="00C6109A" w:rsidP="00C6109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
        </w:tc>
      </w:tr>
      <w:tr w:rsidR="00C6109A" w:rsidRPr="00ED3700" w:rsidTr="003C620D">
        <w:trPr>
          <w:trHeight w:val="2918"/>
        </w:trPr>
        <w:tc>
          <w:tcPr>
            <w:cnfStyle w:val="001000000000" w:firstRow="0" w:lastRow="0" w:firstColumn="1" w:lastColumn="0" w:oddVBand="0" w:evenVBand="0" w:oddHBand="0" w:evenHBand="0" w:firstRowFirstColumn="0" w:firstRowLastColumn="0" w:lastRowFirstColumn="0" w:lastRowLastColumn="0"/>
            <w:tcW w:w="1091" w:type="pct"/>
            <w:vMerge/>
            <w:shd w:val="clear" w:color="auto" w:fill="auto"/>
          </w:tcPr>
          <w:p w:rsidR="00C6109A" w:rsidRPr="00ED3700" w:rsidRDefault="00C6109A" w:rsidP="003C620D">
            <w:pPr>
              <w:rPr>
                <w:rFonts w:asciiTheme="majorHAnsi" w:hAnsiTheme="majorHAnsi" w:cs="Times New Roman"/>
                <w:b w:val="0"/>
                <w:sz w:val="20"/>
                <w:szCs w:val="20"/>
              </w:rPr>
            </w:pPr>
          </w:p>
        </w:tc>
        <w:tc>
          <w:tcPr>
            <w:tcW w:w="1409"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Uvođenje programa financijske pismenosti za uspješno studiranje i socijaln</w:t>
            </w:r>
            <w:r>
              <w:rPr>
                <w:rFonts w:asciiTheme="majorHAnsi" w:hAnsiTheme="majorHAnsi" w:cs="Times New Roman"/>
                <w:sz w:val="20"/>
                <w:szCs w:val="20"/>
              </w:rPr>
              <w:t>u</w:t>
            </w:r>
            <w:r w:rsidRPr="00ED3700">
              <w:rPr>
                <w:rFonts w:asciiTheme="majorHAnsi" w:hAnsiTheme="majorHAnsi" w:cs="Times New Roman"/>
                <w:sz w:val="20"/>
                <w:szCs w:val="20"/>
              </w:rPr>
              <w:t xml:space="preserve"> dimenzij</w:t>
            </w:r>
            <w:r>
              <w:rPr>
                <w:rFonts w:asciiTheme="majorHAnsi" w:hAnsiTheme="majorHAnsi" w:cs="Times New Roman"/>
                <w:sz w:val="20"/>
                <w:szCs w:val="20"/>
              </w:rPr>
              <w:t>u</w:t>
            </w:r>
            <w:r w:rsidRPr="00ED3700">
              <w:rPr>
                <w:rFonts w:asciiTheme="majorHAnsi" w:hAnsiTheme="majorHAnsi" w:cs="Times New Roman"/>
                <w:sz w:val="20"/>
                <w:szCs w:val="20"/>
              </w:rPr>
              <w:t xml:space="preserve"> obrazovanja, s posebnim naglaskom na potrebe podzastupljenih i ranjivih studenata, u stručno obrazovanje nastavnika srednjih škola.</w:t>
            </w:r>
          </w:p>
          <w:p w:rsidR="00C6109A" w:rsidRPr="00ED3700" w:rsidRDefault="00C6109A" w:rsidP="003C620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1408"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MZO u suradnji s AOO i ASOO</w:t>
            </w:r>
          </w:p>
        </w:tc>
        <w:tc>
          <w:tcPr>
            <w:tcW w:w="1092" w:type="pct"/>
            <w:shd w:val="clear" w:color="auto" w:fill="auto"/>
          </w:tcPr>
          <w:p w:rsidR="00C6109A" w:rsidRPr="00ED3700" w:rsidRDefault="00C6109A" w:rsidP="00C6109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ED3700">
              <w:rPr>
                <w:rFonts w:asciiTheme="majorHAnsi" w:hAnsiTheme="majorHAnsi" w:cs="Times New Roman"/>
                <w:sz w:val="20"/>
                <w:szCs w:val="20"/>
              </w:rPr>
              <w:t>Broj srednjih škola koja su pokrenula ovakav program.</w:t>
            </w:r>
          </w:p>
        </w:tc>
      </w:tr>
      <w:bookmarkEnd w:id="3"/>
    </w:tbl>
    <w:p w:rsidR="003C620D" w:rsidRDefault="003C620D" w:rsidP="00041942">
      <w:pPr>
        <w:rPr>
          <w:rStyle w:val="BookTitle"/>
          <w:rFonts w:asciiTheme="majorHAnsi" w:hAnsiTheme="majorHAnsi"/>
          <w:sz w:val="28"/>
          <w:szCs w:val="28"/>
        </w:rPr>
      </w:pPr>
    </w:p>
    <w:p w:rsidR="00041942" w:rsidRPr="00ED3700" w:rsidRDefault="00041942" w:rsidP="00897A38">
      <w:pPr>
        <w:pStyle w:val="Heading3"/>
        <w:rPr>
          <w:rStyle w:val="BookTitle"/>
          <w:sz w:val="28"/>
          <w:szCs w:val="28"/>
        </w:rPr>
      </w:pPr>
      <w:r w:rsidRPr="00ED3700">
        <w:rPr>
          <w:rStyle w:val="BookTitle"/>
          <w:sz w:val="28"/>
          <w:szCs w:val="28"/>
        </w:rPr>
        <w:t xml:space="preserve">Cilj 6: sustav osiguravanja kvalitete uključuje standarde vezane za socijalnu dimenziju </w:t>
      </w:r>
      <w:r w:rsidR="00A11574">
        <w:rPr>
          <w:rStyle w:val="BookTitle"/>
          <w:sz w:val="28"/>
          <w:szCs w:val="28"/>
        </w:rPr>
        <w:t>visokog obrazovanja</w:t>
      </w:r>
    </w:p>
    <w:p w:rsidR="00041942" w:rsidRPr="00ED3700" w:rsidRDefault="00041942" w:rsidP="00041942">
      <w:pPr>
        <w:rPr>
          <w:rFonts w:asciiTheme="majorHAnsi" w:hAnsiTheme="majorHAnsi"/>
          <w:b/>
          <w:bCs/>
          <w:smallCaps/>
          <w:spacing w:val="5"/>
          <w:sz w:val="28"/>
          <w:szCs w:val="28"/>
        </w:rPr>
      </w:pPr>
    </w:p>
    <w:tbl>
      <w:tblPr>
        <w:tblStyle w:val="TableGrid"/>
        <w:tblW w:w="9322" w:type="dxa"/>
        <w:tblLayout w:type="fixed"/>
        <w:tblLook w:val="04A0" w:firstRow="1" w:lastRow="0" w:firstColumn="1" w:lastColumn="0" w:noHBand="0" w:noVBand="1"/>
      </w:tblPr>
      <w:tblGrid>
        <w:gridCol w:w="2235"/>
        <w:gridCol w:w="2693"/>
        <w:gridCol w:w="1559"/>
        <w:gridCol w:w="2835"/>
      </w:tblGrid>
      <w:tr w:rsidR="003512B2" w:rsidRPr="00ED3700" w:rsidTr="003C620D">
        <w:tc>
          <w:tcPr>
            <w:tcW w:w="2235" w:type="dxa"/>
          </w:tcPr>
          <w:p w:rsidR="003512B2" w:rsidRPr="003512B2" w:rsidRDefault="003512B2" w:rsidP="003C620D">
            <w:pPr>
              <w:rPr>
                <w:rFonts w:asciiTheme="majorHAnsi" w:hAnsiTheme="majorHAnsi" w:cs="Times New Roman"/>
                <w:sz w:val="20"/>
                <w:szCs w:val="20"/>
                <w:lang w:eastAsia="hr-HR"/>
              </w:rPr>
            </w:pPr>
            <w:proofErr w:type="spellStart"/>
            <w:r w:rsidRPr="003512B2">
              <w:rPr>
                <w:rFonts w:asciiTheme="majorHAnsi" w:hAnsiTheme="majorHAnsi"/>
                <w:b/>
                <w:sz w:val="20"/>
                <w:szCs w:val="20"/>
              </w:rPr>
              <w:t>Podcilj</w:t>
            </w:r>
            <w:proofErr w:type="spellEnd"/>
          </w:p>
        </w:tc>
        <w:tc>
          <w:tcPr>
            <w:tcW w:w="2693" w:type="dxa"/>
          </w:tcPr>
          <w:p w:rsidR="003512B2" w:rsidRPr="003512B2" w:rsidRDefault="003512B2" w:rsidP="003C620D">
            <w:pPr>
              <w:rPr>
                <w:rFonts w:asciiTheme="majorHAnsi" w:hAnsiTheme="majorHAnsi" w:cs="Times New Roman"/>
                <w:sz w:val="20"/>
                <w:szCs w:val="20"/>
                <w:lang w:eastAsia="hr-HR"/>
              </w:rPr>
            </w:pPr>
            <w:r w:rsidRPr="003512B2">
              <w:rPr>
                <w:rFonts w:asciiTheme="majorHAnsi" w:hAnsiTheme="majorHAnsi"/>
                <w:b/>
                <w:sz w:val="20"/>
                <w:szCs w:val="20"/>
              </w:rPr>
              <w:t>Aktivnost</w:t>
            </w:r>
          </w:p>
        </w:tc>
        <w:tc>
          <w:tcPr>
            <w:tcW w:w="1559" w:type="dxa"/>
          </w:tcPr>
          <w:p w:rsidR="003512B2" w:rsidRPr="003512B2" w:rsidRDefault="003512B2" w:rsidP="003C620D">
            <w:pPr>
              <w:rPr>
                <w:rFonts w:asciiTheme="majorHAnsi" w:hAnsiTheme="majorHAnsi" w:cs="Times New Roman"/>
                <w:sz w:val="20"/>
                <w:szCs w:val="20"/>
                <w:lang w:eastAsia="hr-HR"/>
              </w:rPr>
            </w:pPr>
            <w:r w:rsidRPr="003512B2">
              <w:rPr>
                <w:rFonts w:asciiTheme="majorHAnsi" w:hAnsiTheme="majorHAnsi"/>
                <w:b/>
                <w:sz w:val="20"/>
                <w:szCs w:val="20"/>
              </w:rPr>
              <w:t>Odgovornost</w:t>
            </w:r>
          </w:p>
        </w:tc>
        <w:tc>
          <w:tcPr>
            <w:tcW w:w="2835" w:type="dxa"/>
          </w:tcPr>
          <w:p w:rsidR="003512B2" w:rsidRPr="003512B2" w:rsidRDefault="003512B2" w:rsidP="003C620D">
            <w:pPr>
              <w:rPr>
                <w:rFonts w:asciiTheme="majorHAnsi" w:hAnsiTheme="majorHAnsi" w:cs="Times New Roman"/>
                <w:sz w:val="20"/>
                <w:szCs w:val="20"/>
              </w:rPr>
            </w:pPr>
            <w:r w:rsidRPr="003512B2">
              <w:rPr>
                <w:rFonts w:asciiTheme="majorHAnsi" w:hAnsiTheme="majorHAnsi"/>
                <w:b/>
                <w:sz w:val="20"/>
                <w:szCs w:val="20"/>
              </w:rPr>
              <w:t>Indikator</w:t>
            </w:r>
          </w:p>
        </w:tc>
      </w:tr>
      <w:tr w:rsidR="003512B2" w:rsidRPr="00ED3700" w:rsidTr="003C620D">
        <w:tc>
          <w:tcPr>
            <w:tcW w:w="2235" w:type="dxa"/>
          </w:tcPr>
          <w:p w:rsidR="003512B2" w:rsidRPr="003512B2" w:rsidRDefault="003512B2" w:rsidP="003C620D">
            <w:pPr>
              <w:rPr>
                <w:rFonts w:asciiTheme="majorHAnsi" w:hAnsiTheme="majorHAnsi" w:cs="Times New Roman"/>
                <w:sz w:val="20"/>
                <w:szCs w:val="20"/>
                <w:lang w:eastAsia="hr-HR"/>
              </w:rPr>
            </w:pPr>
            <w:r w:rsidRPr="003512B2">
              <w:rPr>
                <w:rFonts w:asciiTheme="majorHAnsi" w:hAnsiTheme="majorHAnsi" w:cs="Times New Roman"/>
                <w:sz w:val="20"/>
                <w:szCs w:val="20"/>
                <w:lang w:eastAsia="hr-HR"/>
              </w:rPr>
              <w:t xml:space="preserve"> 6.1. Unaprjeđenje procesa upravljanja i donošenja politika vezanih za veću dostupnost visokog obrazovanja</w:t>
            </w:r>
          </w:p>
        </w:tc>
        <w:tc>
          <w:tcPr>
            <w:tcW w:w="2693" w:type="dxa"/>
          </w:tcPr>
          <w:p w:rsidR="003512B2" w:rsidRPr="003512B2" w:rsidRDefault="003512B2" w:rsidP="003C620D">
            <w:pPr>
              <w:rPr>
                <w:rFonts w:asciiTheme="majorHAnsi" w:hAnsiTheme="majorHAnsi" w:cs="Times New Roman"/>
                <w:sz w:val="20"/>
                <w:szCs w:val="20"/>
                <w:lang w:eastAsia="hr-HR"/>
              </w:rPr>
            </w:pPr>
            <w:r w:rsidRPr="003512B2">
              <w:rPr>
                <w:rFonts w:asciiTheme="majorHAnsi" w:hAnsiTheme="majorHAnsi" w:cs="Times New Roman"/>
                <w:sz w:val="20"/>
                <w:szCs w:val="20"/>
                <w:lang w:eastAsia="hr-HR"/>
              </w:rPr>
              <w:t>Izrada strateških dokumenata o većoj pristupačnosti visokog obrazovanja ranjivim i podzastupljenim skupinama te procjena učinaka tih strategija</w:t>
            </w:r>
          </w:p>
        </w:tc>
        <w:tc>
          <w:tcPr>
            <w:tcW w:w="1559" w:type="dxa"/>
          </w:tcPr>
          <w:p w:rsidR="003512B2" w:rsidRPr="003512B2" w:rsidRDefault="003512B2" w:rsidP="003C620D">
            <w:pPr>
              <w:rPr>
                <w:rFonts w:asciiTheme="majorHAnsi" w:hAnsiTheme="majorHAnsi" w:cs="Times New Roman"/>
                <w:sz w:val="20"/>
                <w:szCs w:val="20"/>
                <w:lang w:eastAsia="hr-HR"/>
              </w:rPr>
            </w:pPr>
            <w:r w:rsidRPr="003512B2">
              <w:rPr>
                <w:rFonts w:asciiTheme="majorHAnsi" w:hAnsiTheme="majorHAnsi" w:cs="Times New Roman"/>
                <w:sz w:val="20"/>
                <w:szCs w:val="20"/>
                <w:lang w:eastAsia="hr-HR"/>
              </w:rPr>
              <w:t>Visoka učilišta</w:t>
            </w:r>
          </w:p>
        </w:tc>
        <w:tc>
          <w:tcPr>
            <w:tcW w:w="2835" w:type="dxa"/>
          </w:tcPr>
          <w:p w:rsidR="003512B2" w:rsidRPr="003512B2" w:rsidRDefault="003512B2" w:rsidP="003C620D">
            <w:pPr>
              <w:rPr>
                <w:rFonts w:asciiTheme="majorHAnsi" w:hAnsiTheme="majorHAnsi" w:cs="Times New Roman"/>
                <w:sz w:val="20"/>
                <w:szCs w:val="20"/>
                <w:lang w:eastAsia="hr-HR"/>
              </w:rPr>
            </w:pPr>
            <w:r w:rsidRPr="003512B2">
              <w:rPr>
                <w:rFonts w:asciiTheme="majorHAnsi" w:hAnsiTheme="majorHAnsi" w:cs="Times New Roman"/>
                <w:sz w:val="20"/>
                <w:szCs w:val="20"/>
              </w:rPr>
              <w:t>Procijenjeni učinci provedbe strateških dokumenata nakon određenog vremenskog razdoblja</w:t>
            </w:r>
          </w:p>
        </w:tc>
      </w:tr>
      <w:tr w:rsidR="003512B2" w:rsidRPr="00ED3700" w:rsidTr="003C620D">
        <w:tc>
          <w:tcPr>
            <w:tcW w:w="2235" w:type="dxa"/>
          </w:tcPr>
          <w:p w:rsidR="003512B2" w:rsidRPr="00ED3700" w:rsidRDefault="003512B2" w:rsidP="003C620D">
            <w:pPr>
              <w:rPr>
                <w:rFonts w:asciiTheme="majorHAnsi" w:hAnsiTheme="majorHAnsi" w:cs="Times New Roman"/>
                <w:sz w:val="20"/>
                <w:szCs w:val="20"/>
                <w:lang w:eastAsia="hr-HR"/>
              </w:rPr>
            </w:pPr>
            <w:r>
              <w:rPr>
                <w:rFonts w:asciiTheme="majorHAnsi" w:hAnsiTheme="majorHAnsi" w:cs="Times New Roman"/>
                <w:sz w:val="20"/>
                <w:szCs w:val="20"/>
                <w:lang w:eastAsia="hr-HR"/>
              </w:rPr>
              <w:t xml:space="preserve">6.2. </w:t>
            </w:r>
            <w:r w:rsidRPr="00ED3700">
              <w:rPr>
                <w:rFonts w:asciiTheme="majorHAnsi" w:hAnsiTheme="majorHAnsi" w:cs="Times New Roman"/>
                <w:sz w:val="20"/>
                <w:szCs w:val="20"/>
                <w:lang w:eastAsia="hr-HR"/>
              </w:rPr>
              <w:t xml:space="preserve">Sustav osiguravanja kvalitete visokoga učilišta </w:t>
            </w:r>
            <w:r w:rsidRPr="00ED3700">
              <w:rPr>
                <w:rFonts w:asciiTheme="majorHAnsi" w:hAnsiTheme="majorHAnsi" w:cs="Times New Roman"/>
                <w:sz w:val="20"/>
                <w:szCs w:val="20"/>
                <w:lang w:eastAsia="hr-HR"/>
              </w:rPr>
              <w:lastRenderedPageBreak/>
              <w:t>promiče i procjenjuje aktivnosti visokoga učilišta usmjerene na olakšavanje studiranja ranjivim i podzastupljenim skupinama</w:t>
            </w:r>
          </w:p>
        </w:tc>
        <w:tc>
          <w:tcPr>
            <w:tcW w:w="2693" w:type="dxa"/>
          </w:tcPr>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lastRenderedPageBreak/>
              <w:t>Politika kvalitete visokoga učilišta obuhva</w:t>
            </w:r>
            <w:r>
              <w:rPr>
                <w:rFonts w:asciiTheme="majorHAnsi" w:hAnsiTheme="majorHAnsi" w:cs="Times New Roman"/>
                <w:sz w:val="20"/>
                <w:szCs w:val="20"/>
                <w:lang w:eastAsia="hr-HR"/>
              </w:rPr>
              <w:t>ća između ostaloga i:</w:t>
            </w:r>
            <w:r>
              <w:rPr>
                <w:rFonts w:asciiTheme="majorHAnsi" w:hAnsiTheme="majorHAnsi" w:cs="Times New Roman"/>
                <w:sz w:val="20"/>
                <w:szCs w:val="20"/>
                <w:lang w:eastAsia="hr-HR"/>
              </w:rPr>
              <w:br/>
            </w:r>
            <w:r>
              <w:rPr>
                <w:rFonts w:asciiTheme="majorHAnsi" w:hAnsiTheme="majorHAnsi" w:cs="Times New Roman"/>
                <w:sz w:val="20"/>
                <w:szCs w:val="20"/>
                <w:lang w:eastAsia="hr-HR"/>
              </w:rPr>
              <w:lastRenderedPageBreak/>
              <w:t>- unapređiva</w:t>
            </w:r>
            <w:r w:rsidRPr="00ED3700">
              <w:rPr>
                <w:rFonts w:asciiTheme="majorHAnsi" w:hAnsiTheme="majorHAnsi" w:cs="Times New Roman"/>
                <w:sz w:val="20"/>
                <w:szCs w:val="20"/>
                <w:lang w:eastAsia="hr-HR"/>
              </w:rPr>
              <w:t>nje socijalne dimenzije visokoga obrazovanja kao bitne sastavnice sveukupnog unapređenja kvalitete visokoga obrazovanja za dobrobit svih studenata,</w:t>
            </w:r>
          </w:p>
          <w:p w:rsidR="003512B2" w:rsidRPr="00ED3700" w:rsidRDefault="003512B2" w:rsidP="003C620D">
            <w:pPr>
              <w:rPr>
                <w:rFonts w:asciiTheme="majorHAnsi" w:hAnsiTheme="majorHAnsi"/>
                <w:sz w:val="20"/>
                <w:szCs w:val="20"/>
                <w:lang w:eastAsia="hr-HR"/>
              </w:rPr>
            </w:pPr>
            <w:r>
              <w:rPr>
                <w:rFonts w:asciiTheme="majorHAnsi" w:hAnsiTheme="majorHAnsi" w:cs="Times New Roman"/>
                <w:sz w:val="20"/>
                <w:szCs w:val="20"/>
                <w:lang w:eastAsia="hr-HR"/>
              </w:rPr>
              <w:t>-unapređiva</w:t>
            </w:r>
            <w:r w:rsidRPr="00ED3700">
              <w:rPr>
                <w:rFonts w:asciiTheme="majorHAnsi" w:hAnsiTheme="majorHAnsi" w:cs="Times New Roman"/>
                <w:sz w:val="20"/>
                <w:szCs w:val="20"/>
                <w:lang w:eastAsia="hr-HR"/>
              </w:rPr>
              <w:t>nje socijalne uključenosti i studenata i zaposlenika</w:t>
            </w:r>
            <w:r w:rsidRPr="00ED3700">
              <w:rPr>
                <w:rFonts w:asciiTheme="majorHAnsi" w:hAnsiTheme="majorHAnsi"/>
                <w:sz w:val="20"/>
                <w:szCs w:val="20"/>
                <w:lang w:eastAsia="hr-HR"/>
              </w:rPr>
              <w:t xml:space="preserve">. </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Usvajanje odgovarajućih akata kojima se osigurava podrška (financijska, nastavna, mentorska i dr., navedeno pod ciljevima 2. – 5.) studentima ranjivih i podzastupljenih skupina te praćenje njihovih učinaka</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 xml:space="preserve">Ustrojavanje odgovarajućih tijela koja osiguravaju podršku (financijsku, nastavnu, mentorsku i dr., vidi ciljeve 2. – 5.) studentima ranjivih i podzastupljenih skupina  </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Učinkovitost sustava osiguravanja kvalitete visokoga učilišta obuhvaća i procjenu aktivnosti kojima visoko učilište potiče i omogućava pristup, pruža potporu, prati  uspješnost  i završnost studija te razvoj karijere studenata ranjivih i podzastupljenih skupina.</w:t>
            </w:r>
          </w:p>
        </w:tc>
        <w:tc>
          <w:tcPr>
            <w:tcW w:w="1559" w:type="dxa"/>
          </w:tcPr>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lastRenderedPageBreak/>
              <w:t>Visoko učilište</w:t>
            </w:r>
          </w:p>
        </w:tc>
        <w:tc>
          <w:tcPr>
            <w:tcW w:w="2835" w:type="dxa"/>
          </w:tcPr>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Usvojen i javno objavljen dokument</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 xml:space="preserve">Prihvaćeni, objavljeni i dostupni odgovarajući akti te analiza učinaka provedbe </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 xml:space="preserve">Ustrojena odgovarajuća tijela za podršku </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Unutarnja prosudba sustava osiguravanja kvalitete obuhvatila je učinkovitost sustava unutarnjeg osiguravanja kvalitete u socijalnom aspektu visokoga obrazovanja</w:t>
            </w:r>
          </w:p>
        </w:tc>
      </w:tr>
      <w:tr w:rsidR="003512B2" w:rsidRPr="00ED3700" w:rsidTr="003C620D">
        <w:tc>
          <w:tcPr>
            <w:tcW w:w="2235" w:type="dxa"/>
          </w:tcPr>
          <w:p w:rsidR="003512B2" w:rsidRPr="00ED3700" w:rsidRDefault="003512B2" w:rsidP="003C620D">
            <w:pPr>
              <w:rPr>
                <w:rFonts w:asciiTheme="majorHAnsi" w:hAnsiTheme="majorHAnsi" w:cs="Times New Roman"/>
                <w:sz w:val="20"/>
                <w:szCs w:val="20"/>
                <w:lang w:eastAsia="hr-HR"/>
              </w:rPr>
            </w:pPr>
            <w:r>
              <w:rPr>
                <w:rFonts w:asciiTheme="majorHAnsi" w:hAnsiTheme="majorHAnsi" w:cs="Times New Roman"/>
                <w:sz w:val="20"/>
                <w:szCs w:val="20"/>
                <w:lang w:eastAsia="hr-HR"/>
              </w:rPr>
              <w:lastRenderedPageBreak/>
              <w:t xml:space="preserve">6.3. </w:t>
            </w:r>
            <w:r w:rsidRPr="00ED3700">
              <w:rPr>
                <w:rFonts w:asciiTheme="majorHAnsi" w:hAnsiTheme="majorHAnsi" w:cs="Times New Roman"/>
                <w:sz w:val="20"/>
                <w:szCs w:val="20"/>
                <w:lang w:eastAsia="hr-HR"/>
              </w:rPr>
              <w:t>Postupci vanjske evaluacije VU (</w:t>
            </w:r>
            <w:proofErr w:type="spellStart"/>
            <w:r w:rsidRPr="00ED3700">
              <w:rPr>
                <w:rFonts w:asciiTheme="majorHAnsi" w:hAnsiTheme="majorHAnsi" w:cs="Times New Roman"/>
                <w:sz w:val="20"/>
                <w:szCs w:val="20"/>
                <w:lang w:eastAsia="hr-HR"/>
              </w:rPr>
              <w:t>reakreditacija</w:t>
            </w:r>
            <w:proofErr w:type="spellEnd"/>
            <w:r w:rsidRPr="00ED3700">
              <w:rPr>
                <w:rFonts w:asciiTheme="majorHAnsi" w:hAnsiTheme="majorHAnsi" w:cs="Times New Roman"/>
                <w:sz w:val="20"/>
                <w:szCs w:val="20"/>
                <w:lang w:eastAsia="hr-HR"/>
              </w:rPr>
              <w:t>, audit) obuhvaćaju kriterije koji se odnose na socijalnu dimenziju visokoga obrazovanja</w:t>
            </w:r>
          </w:p>
        </w:tc>
        <w:tc>
          <w:tcPr>
            <w:tcW w:w="2693" w:type="dxa"/>
          </w:tcPr>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1. Izrada odgovarajućih kriterija i postupaka vanjskoga vrednovanja osiguravanja kvalitete visokoga učilišta</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 xml:space="preserve">2. Uvođenje oznake kvalitete ili odgovarajućeg kriterija za postignuća visokog učilišta u socijalnoj dimenziji visokoga obrazovanja i socijalne </w:t>
            </w:r>
            <w:proofErr w:type="spellStart"/>
            <w:r w:rsidRPr="00ED3700">
              <w:rPr>
                <w:rFonts w:asciiTheme="majorHAnsi" w:hAnsiTheme="majorHAnsi" w:cs="Times New Roman"/>
                <w:sz w:val="20"/>
                <w:szCs w:val="20"/>
                <w:lang w:eastAsia="hr-HR"/>
              </w:rPr>
              <w:t>uključivosti</w:t>
            </w:r>
            <w:proofErr w:type="spellEnd"/>
            <w:r w:rsidRPr="00ED3700">
              <w:rPr>
                <w:rFonts w:asciiTheme="majorHAnsi" w:hAnsiTheme="majorHAnsi" w:cs="Times New Roman"/>
                <w:sz w:val="20"/>
                <w:szCs w:val="20"/>
                <w:lang w:eastAsia="hr-HR"/>
              </w:rPr>
              <w:t xml:space="preserve"> kako studenata tako i zaposlenika</w:t>
            </w:r>
          </w:p>
        </w:tc>
        <w:tc>
          <w:tcPr>
            <w:tcW w:w="1559" w:type="dxa"/>
          </w:tcPr>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AZVO, MZO</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03061F" w:rsidRDefault="0003061F"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AZVO, MZO</w:t>
            </w:r>
          </w:p>
        </w:tc>
        <w:tc>
          <w:tcPr>
            <w:tcW w:w="2835" w:type="dxa"/>
          </w:tcPr>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Usvojeni kriteriji i postupci koji obuhvaćaju socijalnu dimenziju visokoga obrazovanja</w:t>
            </w: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p>
          <w:p w:rsidR="003512B2" w:rsidRPr="00ED3700" w:rsidRDefault="003512B2" w:rsidP="003C620D">
            <w:pPr>
              <w:rPr>
                <w:rFonts w:asciiTheme="majorHAnsi" w:hAnsiTheme="majorHAnsi" w:cs="Times New Roman"/>
                <w:sz w:val="20"/>
                <w:szCs w:val="20"/>
                <w:lang w:eastAsia="hr-HR"/>
              </w:rPr>
            </w:pPr>
            <w:r w:rsidRPr="00ED3700">
              <w:rPr>
                <w:rFonts w:asciiTheme="majorHAnsi" w:hAnsiTheme="majorHAnsi" w:cs="Times New Roman"/>
                <w:sz w:val="20"/>
                <w:szCs w:val="20"/>
                <w:lang w:eastAsia="hr-HR"/>
              </w:rPr>
              <w:t>Uvedena oznaka kvalitete ili zasebni kriterij za postignuća visokoga učilišta u socijalnoj dimenziji</w:t>
            </w:r>
          </w:p>
        </w:tc>
      </w:tr>
    </w:tbl>
    <w:p w:rsidR="00041942" w:rsidRPr="00ED3700" w:rsidRDefault="00041942" w:rsidP="00041942">
      <w:pPr>
        <w:rPr>
          <w:rFonts w:asciiTheme="majorHAnsi" w:hAnsiTheme="majorHAnsi" w:cs="Times New Roman"/>
          <w:sz w:val="24"/>
          <w:szCs w:val="24"/>
        </w:rPr>
      </w:pPr>
    </w:p>
    <w:p w:rsidR="001B6657" w:rsidRPr="00ED3700" w:rsidRDefault="001B6657" w:rsidP="001B6657">
      <w:pPr>
        <w:rPr>
          <w:rFonts w:asciiTheme="majorHAnsi" w:hAnsiTheme="majorHAnsi"/>
        </w:rPr>
      </w:pPr>
    </w:p>
    <w:p w:rsidR="00A2106B" w:rsidRPr="00ED3700" w:rsidRDefault="00A2106B" w:rsidP="00897A38">
      <w:pPr>
        <w:pStyle w:val="Heading2"/>
      </w:pPr>
      <w:r w:rsidRPr="00ED3700">
        <w:lastRenderedPageBreak/>
        <w:t xml:space="preserve">O ciljevima </w:t>
      </w:r>
    </w:p>
    <w:p w:rsidR="00A2106B" w:rsidRPr="00ED3700" w:rsidRDefault="00A2106B" w:rsidP="00897A38">
      <w:pPr>
        <w:pStyle w:val="Heading3"/>
        <w:rPr>
          <w:rStyle w:val="BookTitle"/>
          <w:sz w:val="28"/>
          <w:szCs w:val="28"/>
        </w:rPr>
      </w:pPr>
      <w:r w:rsidRPr="00ED3700">
        <w:rPr>
          <w:rStyle w:val="BookTitle"/>
          <w:sz w:val="28"/>
          <w:szCs w:val="28"/>
        </w:rPr>
        <w:t>Cilj 1: Ostvariti sustavno prikupljanje i obradu podatak</w:t>
      </w:r>
      <w:r w:rsidR="003B04FD">
        <w:rPr>
          <w:rStyle w:val="BookTitle"/>
          <w:sz w:val="28"/>
          <w:szCs w:val="28"/>
        </w:rPr>
        <w:t>a koji su relevantni za unapređiva</w:t>
      </w:r>
      <w:r w:rsidRPr="00ED3700">
        <w:rPr>
          <w:rStyle w:val="BookTitle"/>
          <w:sz w:val="28"/>
          <w:szCs w:val="28"/>
        </w:rPr>
        <w:t>nje socijalne dimenzije visokog obrazovanja te ih koristiti u tu svrhu</w:t>
      </w:r>
    </w:p>
    <w:p w:rsidR="00A2106B" w:rsidRPr="00ED3700" w:rsidRDefault="00A2106B" w:rsidP="001B6657">
      <w:pPr>
        <w:rPr>
          <w:rFonts w:asciiTheme="majorHAnsi" w:hAnsiTheme="majorHAnsi"/>
        </w:rPr>
      </w:pPr>
    </w:p>
    <w:p w:rsidR="00A2106B" w:rsidRPr="00ED3700" w:rsidRDefault="00A2106B" w:rsidP="001B6657">
      <w:pPr>
        <w:rPr>
          <w:rFonts w:asciiTheme="majorHAnsi" w:hAnsiTheme="majorHAnsi"/>
        </w:rPr>
      </w:pPr>
    </w:p>
    <w:p w:rsidR="00A2106B" w:rsidRPr="00ED3700" w:rsidRDefault="00A2106B" w:rsidP="00A2106B">
      <w:pPr>
        <w:jc w:val="both"/>
        <w:rPr>
          <w:rFonts w:asciiTheme="majorHAnsi" w:hAnsiTheme="majorHAnsi" w:cs="Times New Roman"/>
          <w:sz w:val="24"/>
          <w:szCs w:val="24"/>
        </w:rPr>
      </w:pPr>
      <w:r w:rsidRPr="00ED3700">
        <w:rPr>
          <w:rFonts w:asciiTheme="majorHAnsi" w:hAnsiTheme="majorHAnsi" w:cs="Times New Roman"/>
          <w:sz w:val="24"/>
          <w:szCs w:val="24"/>
        </w:rPr>
        <w:t xml:space="preserve">Donošenje odluka na temelju analize podataka jedno je od načela Strategije obrazovanja, znanosti i tehnologije. Ovo načelo </w:t>
      </w:r>
      <w:r w:rsidR="00774CF5">
        <w:rPr>
          <w:rFonts w:asciiTheme="majorHAnsi" w:hAnsiTheme="majorHAnsi" w:cs="Times New Roman"/>
          <w:sz w:val="24"/>
          <w:szCs w:val="24"/>
        </w:rPr>
        <w:t xml:space="preserve">posebno je </w:t>
      </w:r>
      <w:r w:rsidRPr="00ED3700">
        <w:rPr>
          <w:rFonts w:asciiTheme="majorHAnsi" w:hAnsiTheme="majorHAnsi" w:cs="Times New Roman"/>
          <w:sz w:val="24"/>
          <w:szCs w:val="24"/>
        </w:rPr>
        <w:t>izraženo</w:t>
      </w:r>
      <w:r w:rsidR="003B04FD">
        <w:rPr>
          <w:rFonts w:asciiTheme="majorHAnsi" w:hAnsiTheme="majorHAnsi" w:cs="Times New Roman"/>
          <w:sz w:val="24"/>
          <w:szCs w:val="24"/>
        </w:rPr>
        <w:t xml:space="preserve"> u Nacionalnom planu za unapređiva</w:t>
      </w:r>
      <w:r w:rsidRPr="00ED3700">
        <w:rPr>
          <w:rFonts w:asciiTheme="majorHAnsi" w:hAnsiTheme="majorHAnsi" w:cs="Times New Roman"/>
          <w:sz w:val="24"/>
          <w:szCs w:val="24"/>
        </w:rPr>
        <w:t>nje socijalne dimenzije visokog obrazovanja u cilju: ostvarivanje sustavnog prikupljanja i obrade podatak</w:t>
      </w:r>
      <w:r w:rsidR="003B04FD">
        <w:rPr>
          <w:rFonts w:asciiTheme="majorHAnsi" w:hAnsiTheme="majorHAnsi" w:cs="Times New Roman"/>
          <w:sz w:val="24"/>
          <w:szCs w:val="24"/>
        </w:rPr>
        <w:t>a koji su relevantni za unapređiva</w:t>
      </w:r>
      <w:r w:rsidRPr="00ED3700">
        <w:rPr>
          <w:rFonts w:asciiTheme="majorHAnsi" w:hAnsiTheme="majorHAnsi" w:cs="Times New Roman"/>
          <w:sz w:val="24"/>
          <w:szCs w:val="24"/>
        </w:rPr>
        <w:t xml:space="preserve">nje socijalne dimenzije visokog obrazovanja te njihovo korištenje u tu svrhu. </w:t>
      </w:r>
    </w:p>
    <w:p w:rsidR="00A2106B" w:rsidRPr="00ED3700" w:rsidRDefault="00A2106B" w:rsidP="00A2106B">
      <w:pPr>
        <w:jc w:val="both"/>
        <w:rPr>
          <w:rFonts w:asciiTheme="majorHAnsi" w:hAnsiTheme="majorHAnsi" w:cs="Times New Roman"/>
          <w:sz w:val="24"/>
          <w:szCs w:val="24"/>
        </w:rPr>
      </w:pPr>
    </w:p>
    <w:p w:rsidR="00A2106B" w:rsidRPr="00ED3700" w:rsidRDefault="00A2106B" w:rsidP="00A2106B">
      <w:pPr>
        <w:jc w:val="both"/>
        <w:rPr>
          <w:rFonts w:asciiTheme="majorHAnsi" w:hAnsiTheme="majorHAnsi" w:cs="Times New Roman"/>
          <w:sz w:val="24"/>
          <w:szCs w:val="24"/>
        </w:rPr>
      </w:pPr>
      <w:r w:rsidRPr="00ED3700">
        <w:rPr>
          <w:rFonts w:asciiTheme="majorHAnsi" w:hAnsiTheme="majorHAnsi" w:cs="Times New Roman"/>
          <w:sz w:val="24"/>
          <w:szCs w:val="24"/>
        </w:rPr>
        <w:t xml:space="preserve">Iako je u proteklih nekoliko godina u Hrvatskoj provedeno više istraživanja čiji su podaci važni za adresiranje socijalne dimenzije visokog obrazovanja, a koji čine temelj dokumenta </w:t>
      </w:r>
      <w:r w:rsidRPr="00ED3700">
        <w:rPr>
          <w:rFonts w:asciiTheme="majorHAnsi" w:hAnsiTheme="majorHAnsi" w:cs="Times New Roman"/>
          <w:i/>
          <w:sz w:val="24"/>
          <w:szCs w:val="24"/>
        </w:rPr>
        <w:t>Podzastupljene i ranjive skupine u visokom obrazovanju u Hrvatskoj</w:t>
      </w:r>
      <w:r w:rsidRPr="00ED3700">
        <w:rPr>
          <w:rFonts w:asciiTheme="majorHAnsi" w:hAnsiTheme="majorHAnsi" w:cs="Times New Roman"/>
          <w:sz w:val="24"/>
          <w:szCs w:val="24"/>
        </w:rPr>
        <w:t xml:space="preserve">, koji se nalazi u prilogu, uočeno je nekoliko empirijskih manjkavosti. Primjerice, ne postoji sustavno i standardizirano prikupljanje i obrada podataka relevantnih za socijalnu dimenziju visokog obrazovanja na razini svakog pojedinačnog visokog učilišta; za neke ranjive skupine studenata imamo više uvida, za druge vrlo malo; ne postoje podaci o uspješnosti mjera i aktivnosti usmjerenih na poboljšanje socijalne dimenzije visokog obrazovanja. Uz to, podaci o studentima se trenutno upisuju u više različitih baza podataka što otežava njihovu sistematizaciju. </w:t>
      </w:r>
    </w:p>
    <w:p w:rsidR="00A2106B" w:rsidRPr="00ED3700" w:rsidRDefault="00A2106B" w:rsidP="00A2106B">
      <w:pPr>
        <w:jc w:val="both"/>
        <w:rPr>
          <w:rFonts w:asciiTheme="majorHAnsi" w:hAnsiTheme="majorHAnsi" w:cs="Times New Roman"/>
          <w:sz w:val="24"/>
          <w:szCs w:val="24"/>
        </w:rPr>
      </w:pPr>
    </w:p>
    <w:p w:rsidR="00A2106B" w:rsidRPr="00ED3700" w:rsidRDefault="00A2106B" w:rsidP="00A2106B">
      <w:pPr>
        <w:jc w:val="both"/>
        <w:rPr>
          <w:rFonts w:asciiTheme="majorHAnsi" w:hAnsiTheme="majorHAnsi" w:cs="Times New Roman"/>
          <w:sz w:val="24"/>
          <w:szCs w:val="24"/>
        </w:rPr>
      </w:pPr>
      <w:proofErr w:type="spellStart"/>
      <w:r w:rsidRPr="00ED3700">
        <w:rPr>
          <w:rFonts w:asciiTheme="majorHAnsi" w:hAnsiTheme="majorHAnsi" w:cs="Times New Roman"/>
          <w:sz w:val="24"/>
          <w:szCs w:val="24"/>
        </w:rPr>
        <w:t>Podciljevi</w:t>
      </w:r>
      <w:proofErr w:type="spellEnd"/>
      <w:r w:rsidRPr="00ED3700">
        <w:rPr>
          <w:rFonts w:asciiTheme="majorHAnsi" w:hAnsiTheme="majorHAnsi" w:cs="Times New Roman"/>
          <w:sz w:val="24"/>
          <w:szCs w:val="24"/>
        </w:rPr>
        <w:t xml:space="preserve"> i aktivnosti navedeni u Nacionalnom planu usmjereni su na </w:t>
      </w:r>
      <w:proofErr w:type="spellStart"/>
      <w:r w:rsidRPr="00ED3700">
        <w:rPr>
          <w:rFonts w:asciiTheme="majorHAnsi" w:hAnsiTheme="majorHAnsi" w:cs="Times New Roman"/>
          <w:sz w:val="24"/>
          <w:szCs w:val="24"/>
        </w:rPr>
        <w:t>prevazilaženje</w:t>
      </w:r>
      <w:proofErr w:type="spellEnd"/>
      <w:r w:rsidRPr="00ED3700">
        <w:rPr>
          <w:rFonts w:asciiTheme="majorHAnsi" w:hAnsiTheme="majorHAnsi" w:cs="Times New Roman"/>
          <w:sz w:val="24"/>
          <w:szCs w:val="24"/>
        </w:rPr>
        <w:t xml:space="preserve"> tih manjkavosti. Sugerira se integracija postojećih baza podataka studenata (1.1.), sistematizacija postojećih podataka koje prikuplja Državni zavod za statistiku (1.2.), prikupljanje novih podataka o ranjivim skupinama studenata o kojima imamo nedostatne uvide (1.3.), nastavak dobre prakse prikupljanja kompar</w:t>
      </w:r>
      <w:r w:rsidR="003B04FD">
        <w:rPr>
          <w:rFonts w:asciiTheme="majorHAnsi" w:hAnsiTheme="majorHAnsi" w:cs="Times New Roman"/>
          <w:sz w:val="24"/>
          <w:szCs w:val="24"/>
        </w:rPr>
        <w:t>ativnih uvida važnih za unapređiva</w:t>
      </w:r>
      <w:r w:rsidRPr="00ED3700">
        <w:rPr>
          <w:rFonts w:asciiTheme="majorHAnsi" w:hAnsiTheme="majorHAnsi" w:cs="Times New Roman"/>
          <w:sz w:val="24"/>
          <w:szCs w:val="24"/>
        </w:rPr>
        <w:t xml:space="preserve">nje socijalne dimenzije (1.4.), izrada mehanizma kontinuiranog praćenja obrazovnih i profesionalnih putova studenata i studentica (1.5.), korištenje podataka u </w:t>
      </w:r>
      <w:proofErr w:type="spellStart"/>
      <w:r w:rsidRPr="00ED3700">
        <w:rPr>
          <w:rFonts w:asciiTheme="majorHAnsi" w:hAnsiTheme="majorHAnsi" w:cs="Times New Roman"/>
          <w:sz w:val="24"/>
          <w:szCs w:val="24"/>
        </w:rPr>
        <w:t>reakreditaciji</w:t>
      </w:r>
      <w:proofErr w:type="spellEnd"/>
      <w:r w:rsidRPr="00ED3700">
        <w:rPr>
          <w:rFonts w:asciiTheme="majorHAnsi" w:hAnsiTheme="majorHAnsi" w:cs="Times New Roman"/>
          <w:sz w:val="24"/>
          <w:szCs w:val="24"/>
        </w:rPr>
        <w:t xml:space="preserve"> visokih učilišta, kod odluka o financiranju visokih učilišta </w:t>
      </w:r>
      <w:r w:rsidR="003B04FD">
        <w:rPr>
          <w:rFonts w:asciiTheme="majorHAnsi" w:hAnsiTheme="majorHAnsi" w:cs="Times New Roman"/>
          <w:sz w:val="24"/>
          <w:szCs w:val="24"/>
        </w:rPr>
        <w:t>te kod razvoja mjera za unapređiva</w:t>
      </w:r>
      <w:r w:rsidRPr="00ED3700">
        <w:rPr>
          <w:rFonts w:asciiTheme="majorHAnsi" w:hAnsiTheme="majorHAnsi" w:cs="Times New Roman"/>
          <w:sz w:val="24"/>
          <w:szCs w:val="24"/>
        </w:rPr>
        <w:t>nje socijalne dimenzije (1.6.) te prikupljanje podataka o uspješnosti a</w:t>
      </w:r>
      <w:r w:rsidR="003B04FD">
        <w:rPr>
          <w:rFonts w:asciiTheme="majorHAnsi" w:hAnsiTheme="majorHAnsi" w:cs="Times New Roman"/>
          <w:sz w:val="24"/>
          <w:szCs w:val="24"/>
        </w:rPr>
        <w:t>ktivnosti usmjerenih za unapređiva</w:t>
      </w:r>
      <w:r w:rsidRPr="00ED3700">
        <w:rPr>
          <w:rFonts w:asciiTheme="majorHAnsi" w:hAnsiTheme="majorHAnsi" w:cs="Times New Roman"/>
          <w:sz w:val="24"/>
          <w:szCs w:val="24"/>
        </w:rPr>
        <w:t xml:space="preserve">nje socijalne dimenzije s ciljem identificiranja primjera dobre prakse (1.7.). </w:t>
      </w:r>
    </w:p>
    <w:p w:rsidR="00A2106B" w:rsidRPr="00ED3700" w:rsidRDefault="00A2106B" w:rsidP="00A2106B">
      <w:pPr>
        <w:jc w:val="both"/>
        <w:rPr>
          <w:rFonts w:asciiTheme="majorHAnsi" w:hAnsiTheme="majorHAnsi" w:cs="Times New Roman"/>
          <w:sz w:val="24"/>
          <w:szCs w:val="24"/>
        </w:rPr>
      </w:pPr>
    </w:p>
    <w:p w:rsidR="00A2106B" w:rsidRPr="00ED3700" w:rsidRDefault="00A2106B" w:rsidP="00897A38">
      <w:pPr>
        <w:pStyle w:val="Heading3"/>
        <w:rPr>
          <w:rStyle w:val="BookTitle"/>
          <w:sz w:val="28"/>
          <w:szCs w:val="28"/>
        </w:rPr>
      </w:pPr>
      <w:r w:rsidRPr="00ED3700">
        <w:rPr>
          <w:rStyle w:val="BookTitle"/>
          <w:sz w:val="28"/>
          <w:szCs w:val="28"/>
        </w:rPr>
        <w:t>Cilj 2: Unaprijediti pristup visokom obrazovanju podzastupljenim i ranjivim skupinama i ukloniti prepreke pri ulasku</w:t>
      </w:r>
    </w:p>
    <w:p w:rsidR="00A2106B" w:rsidRPr="00ED3700" w:rsidRDefault="00A2106B" w:rsidP="00A2106B">
      <w:pPr>
        <w:jc w:val="both"/>
        <w:rPr>
          <w:rFonts w:asciiTheme="majorHAnsi" w:hAnsiTheme="majorHAnsi" w:cs="Times New Roman"/>
          <w:sz w:val="24"/>
          <w:szCs w:val="24"/>
        </w:rPr>
      </w:pPr>
    </w:p>
    <w:p w:rsidR="002E092D" w:rsidRPr="003C3A0D" w:rsidRDefault="002E092D" w:rsidP="002E092D">
      <w:pPr>
        <w:jc w:val="both"/>
        <w:rPr>
          <w:rFonts w:asciiTheme="majorHAnsi" w:hAnsiTheme="majorHAnsi" w:cs="Times New Roman"/>
          <w:sz w:val="24"/>
          <w:szCs w:val="24"/>
        </w:rPr>
      </w:pPr>
      <w:r w:rsidRPr="00ED3700">
        <w:rPr>
          <w:rFonts w:asciiTheme="majorHAnsi" w:hAnsiTheme="majorHAnsi" w:cs="Times New Roman"/>
          <w:sz w:val="24"/>
          <w:szCs w:val="24"/>
        </w:rPr>
        <w:t>Misija hrvatskog obrazovnog sustava jest osigurati kvalitetno obrazovanje dostupno svima pod jednakim uvjetima (Strategija obrazovanja, znanosti i tehnologije</w:t>
      </w:r>
      <w:r>
        <w:rPr>
          <w:rFonts w:asciiTheme="majorHAnsi" w:hAnsiTheme="majorHAnsi" w:cs="Times New Roman"/>
          <w:sz w:val="24"/>
          <w:szCs w:val="24"/>
        </w:rPr>
        <w:t xml:space="preserve"> 2014.</w:t>
      </w:r>
      <w:r w:rsidRPr="00ED3700">
        <w:rPr>
          <w:rFonts w:asciiTheme="majorHAnsi" w:hAnsiTheme="majorHAnsi" w:cs="Times New Roman"/>
          <w:sz w:val="24"/>
          <w:szCs w:val="24"/>
        </w:rPr>
        <w:t xml:space="preserve">), što svakako uključuje i dostupnost visokog obrazovanja podzastupljenim i ranjivim skupinama studenata. S tim ciljem potrebno je realizirati čitav niz mjera rane intervencije i uklanjanja prepreka pri ulasku u visoko obrazovanje. To </w:t>
      </w:r>
      <w:r>
        <w:rPr>
          <w:rFonts w:asciiTheme="majorHAnsi" w:hAnsiTheme="majorHAnsi" w:cs="Times New Roman"/>
          <w:sz w:val="24"/>
          <w:szCs w:val="24"/>
        </w:rPr>
        <w:t xml:space="preserve">podrazumijeva </w:t>
      </w:r>
      <w:r w:rsidRPr="00ED3700">
        <w:rPr>
          <w:rFonts w:asciiTheme="majorHAnsi" w:hAnsiTheme="majorHAnsi" w:cs="Times New Roman"/>
          <w:sz w:val="24"/>
          <w:szCs w:val="24"/>
        </w:rPr>
        <w:t xml:space="preserve">aktivnosti </w:t>
      </w:r>
      <w:r>
        <w:rPr>
          <w:rFonts w:asciiTheme="majorHAnsi" w:hAnsiTheme="majorHAnsi" w:cs="Times New Roman"/>
          <w:sz w:val="24"/>
          <w:szCs w:val="24"/>
        </w:rPr>
        <w:t xml:space="preserve">povezivanja socijalne dimenzije </w:t>
      </w:r>
      <w:r w:rsidRPr="003C3A0D">
        <w:rPr>
          <w:rFonts w:asciiTheme="majorHAnsi" w:hAnsiTheme="majorHAnsi" w:cs="Times New Roman"/>
          <w:sz w:val="24"/>
          <w:szCs w:val="24"/>
        </w:rPr>
        <w:t>visokog obrazovanja po obrazovnoj vertikali</w:t>
      </w:r>
      <w:r w:rsidR="00FD749A" w:rsidRPr="003C3A0D">
        <w:rPr>
          <w:rFonts w:asciiTheme="majorHAnsi" w:hAnsiTheme="majorHAnsi" w:cs="Times New Roman"/>
          <w:sz w:val="24"/>
          <w:szCs w:val="24"/>
        </w:rPr>
        <w:t xml:space="preserve"> (2.1.)</w:t>
      </w:r>
      <w:r w:rsidRPr="003C3A0D">
        <w:rPr>
          <w:rFonts w:asciiTheme="majorHAnsi" w:hAnsiTheme="majorHAnsi" w:cs="Times New Roman"/>
          <w:sz w:val="24"/>
          <w:szCs w:val="24"/>
        </w:rPr>
        <w:t>, aktivnosti kojima će se povećati interes mladih za uključivanje u visokoobrazovne programe</w:t>
      </w:r>
      <w:r w:rsidR="00FD749A" w:rsidRPr="003C3A0D">
        <w:rPr>
          <w:rFonts w:asciiTheme="majorHAnsi" w:hAnsiTheme="majorHAnsi" w:cs="Times New Roman"/>
          <w:sz w:val="24"/>
          <w:szCs w:val="24"/>
        </w:rPr>
        <w:t xml:space="preserve"> (2.2.)</w:t>
      </w:r>
      <w:r w:rsidRPr="003C3A0D">
        <w:rPr>
          <w:rFonts w:asciiTheme="majorHAnsi" w:hAnsiTheme="majorHAnsi" w:cs="Times New Roman"/>
          <w:sz w:val="24"/>
          <w:szCs w:val="24"/>
        </w:rPr>
        <w:t xml:space="preserve">, aktivnosti kojima će se unaprijediti postojeći sustav profesionalnog usmjeravanja što uključuje profesionalno informiranje i prosvjećivanje, kao i </w:t>
      </w:r>
      <w:r w:rsidRPr="003C3A0D">
        <w:rPr>
          <w:rFonts w:asciiTheme="majorHAnsi" w:hAnsiTheme="majorHAnsi" w:cs="Times New Roman"/>
          <w:sz w:val="24"/>
          <w:szCs w:val="24"/>
        </w:rPr>
        <w:lastRenderedPageBreak/>
        <w:t xml:space="preserve">profesionalno savjetovanje, ali i samo-informiranje </w:t>
      </w:r>
      <w:r w:rsidR="00FD749A" w:rsidRPr="003C3A0D">
        <w:rPr>
          <w:rFonts w:asciiTheme="majorHAnsi" w:hAnsiTheme="majorHAnsi" w:cs="Times New Roman"/>
          <w:sz w:val="24"/>
          <w:szCs w:val="24"/>
        </w:rPr>
        <w:t xml:space="preserve">(2.3.) </w:t>
      </w:r>
      <w:r w:rsidRPr="003C3A0D">
        <w:rPr>
          <w:rFonts w:asciiTheme="majorHAnsi" w:hAnsiTheme="majorHAnsi" w:cs="Times New Roman"/>
          <w:sz w:val="24"/>
          <w:szCs w:val="24"/>
        </w:rPr>
        <w:t xml:space="preserve">te </w:t>
      </w:r>
      <w:r w:rsidR="003C3A0D" w:rsidRPr="003C3A0D">
        <w:rPr>
          <w:rFonts w:asciiTheme="majorHAnsi" w:hAnsiTheme="majorHAnsi" w:cs="Times New Roman"/>
          <w:sz w:val="24"/>
          <w:szCs w:val="24"/>
        </w:rPr>
        <w:t>osigurati prijelaz iz trogodišnjeg srednjoškolskog u visoko obrazovanje</w:t>
      </w:r>
      <w:r w:rsidR="00FD749A" w:rsidRPr="003C3A0D">
        <w:rPr>
          <w:rFonts w:asciiTheme="majorHAnsi" w:hAnsiTheme="majorHAnsi" w:cs="Times New Roman"/>
          <w:sz w:val="24"/>
          <w:szCs w:val="24"/>
        </w:rPr>
        <w:t xml:space="preserve"> (2.4)</w:t>
      </w:r>
      <w:r w:rsidRPr="003C3A0D">
        <w:rPr>
          <w:rFonts w:asciiTheme="majorHAnsi" w:hAnsiTheme="majorHAnsi" w:cs="Times New Roman"/>
          <w:sz w:val="24"/>
          <w:szCs w:val="24"/>
        </w:rPr>
        <w:t>.</w:t>
      </w:r>
    </w:p>
    <w:p w:rsidR="002E092D" w:rsidRPr="00ED3700" w:rsidRDefault="002E092D" w:rsidP="002E092D">
      <w:pPr>
        <w:jc w:val="both"/>
        <w:rPr>
          <w:rFonts w:asciiTheme="majorHAnsi" w:hAnsiTheme="majorHAnsi" w:cs="Times New Roman"/>
          <w:sz w:val="24"/>
          <w:szCs w:val="24"/>
        </w:rPr>
      </w:pPr>
    </w:p>
    <w:p w:rsidR="002E092D" w:rsidRPr="00ED3700" w:rsidRDefault="002E092D" w:rsidP="002E092D">
      <w:pPr>
        <w:jc w:val="both"/>
        <w:rPr>
          <w:rFonts w:asciiTheme="majorHAnsi" w:hAnsiTheme="majorHAnsi" w:cs="Times New Roman"/>
          <w:sz w:val="24"/>
          <w:szCs w:val="24"/>
        </w:rPr>
      </w:pPr>
      <w:r w:rsidRPr="00ED3700">
        <w:rPr>
          <w:rFonts w:asciiTheme="majorHAnsi" w:hAnsiTheme="majorHAnsi" w:cs="Times New Roman"/>
          <w:sz w:val="24"/>
          <w:szCs w:val="24"/>
        </w:rPr>
        <w:t xml:space="preserve">Rana intervencija u visokom obrazovanju prije svega se odnosi na osiguravanje socijalne dimenzije </w:t>
      </w:r>
      <w:proofErr w:type="spellStart"/>
      <w:r w:rsidRPr="00ED3700">
        <w:rPr>
          <w:rFonts w:asciiTheme="majorHAnsi" w:hAnsiTheme="majorHAnsi" w:cs="Times New Roman"/>
          <w:sz w:val="24"/>
          <w:szCs w:val="24"/>
        </w:rPr>
        <w:t>predtercijarnog</w:t>
      </w:r>
      <w:proofErr w:type="spellEnd"/>
      <w:r w:rsidRPr="00ED3700">
        <w:rPr>
          <w:rFonts w:asciiTheme="majorHAnsi" w:hAnsiTheme="majorHAnsi" w:cs="Times New Roman"/>
          <w:sz w:val="24"/>
          <w:szCs w:val="24"/>
        </w:rPr>
        <w:t xml:space="preserve"> obrazovanja i veći angažman resornih institucija</w:t>
      </w:r>
      <w:r w:rsidR="0075293A">
        <w:rPr>
          <w:rFonts w:asciiTheme="majorHAnsi" w:hAnsiTheme="majorHAnsi" w:cs="Times New Roman"/>
          <w:sz w:val="24"/>
          <w:szCs w:val="24"/>
        </w:rPr>
        <w:t>,</w:t>
      </w:r>
      <w:r w:rsidRPr="00ED3700">
        <w:rPr>
          <w:rFonts w:asciiTheme="majorHAnsi" w:hAnsiTheme="majorHAnsi" w:cs="Times New Roman"/>
          <w:sz w:val="24"/>
          <w:szCs w:val="24"/>
        </w:rPr>
        <w:t xml:space="preserve"> ali i civilnog sektora i lokalne zajednice. U tom pogledu, kvalitetno proveden postupak profesionalnog usmjeravanja (u kojem trebaju sudjelovati stručni suradnici i nastavnici u osnovnim i srednjim školama, ali i savjetnici za profesionalno usmjeravanje iz Hrvatskog zavoda za zapošljavanje), </w:t>
      </w:r>
      <w:r>
        <w:rPr>
          <w:rFonts w:asciiTheme="majorHAnsi" w:hAnsiTheme="majorHAnsi" w:cs="Times New Roman"/>
          <w:sz w:val="24"/>
          <w:szCs w:val="24"/>
        </w:rPr>
        <w:t>omogućit će pojedincu primjeren</w:t>
      </w:r>
      <w:r w:rsidRPr="00ED3700">
        <w:rPr>
          <w:rFonts w:asciiTheme="majorHAnsi" w:hAnsiTheme="majorHAnsi" w:cs="Times New Roman"/>
          <w:sz w:val="24"/>
          <w:szCs w:val="24"/>
        </w:rPr>
        <w:t xml:space="preserve"> odabir srednjeg odnosno visokog obrazovanja. Prema Zakonu o odgoju i obrazovanju u osnovnoj i srednjoj školi (NN, 87/08) u članku 4 navode se upravo načela odgoja i obrazovanja koja su uporište za provođenje profesionalnog usmjeravanja u školama, a koja uz stjecanje općeobrazovnih i stručnih kompetencija podrazumijevaju i osposobljavanje učenika za cjeloživotno učenje. </w:t>
      </w:r>
    </w:p>
    <w:p w:rsidR="002E092D" w:rsidRPr="00ED3700" w:rsidRDefault="002E092D" w:rsidP="002E092D">
      <w:pPr>
        <w:jc w:val="both"/>
        <w:rPr>
          <w:rFonts w:asciiTheme="majorHAnsi" w:hAnsiTheme="majorHAnsi" w:cs="Times New Roman"/>
          <w:sz w:val="24"/>
          <w:szCs w:val="24"/>
        </w:rPr>
      </w:pPr>
    </w:p>
    <w:p w:rsidR="002E092D" w:rsidRDefault="002E092D" w:rsidP="002E092D">
      <w:pPr>
        <w:jc w:val="both"/>
        <w:rPr>
          <w:rFonts w:asciiTheme="majorHAnsi" w:hAnsiTheme="majorHAnsi" w:cs="Times New Roman"/>
          <w:sz w:val="24"/>
          <w:szCs w:val="24"/>
        </w:rPr>
      </w:pPr>
      <w:r w:rsidRPr="00ED3700">
        <w:rPr>
          <w:rFonts w:asciiTheme="majorHAnsi" w:hAnsiTheme="majorHAnsi" w:cs="Times New Roman"/>
          <w:sz w:val="24"/>
          <w:szCs w:val="24"/>
        </w:rPr>
        <w:t xml:space="preserve">Na profesionalne interese pozitivno mogu djelovati različiti oblici grupnog informiranja provedeni od strane stručnjaka iz službi profesionalnog usmjeravanja, ali i osposobljenih stručnih suradnika i nastavnika u školama (što podrazumijeva usmjerena, specijalizirana stručna usavršavanja za područje profesionalnog usmjeravanja i razvoja karijere), kao i uvođenje izbornih ili fakultativnih nastavnih predmeta na temu profesionalnog usmjeravanja i/ili profesionalnim usmjeravanjem kao </w:t>
      </w:r>
      <w:proofErr w:type="spellStart"/>
      <w:r w:rsidRPr="00ED3700">
        <w:rPr>
          <w:rFonts w:asciiTheme="majorHAnsi" w:hAnsiTheme="majorHAnsi" w:cs="Times New Roman"/>
          <w:sz w:val="24"/>
          <w:szCs w:val="24"/>
        </w:rPr>
        <w:t>međupredmetnom</w:t>
      </w:r>
      <w:proofErr w:type="spellEnd"/>
      <w:r w:rsidRPr="00ED3700">
        <w:rPr>
          <w:rFonts w:asciiTheme="majorHAnsi" w:hAnsiTheme="majorHAnsi" w:cs="Times New Roman"/>
          <w:sz w:val="24"/>
          <w:szCs w:val="24"/>
        </w:rPr>
        <w:t xml:space="preserve"> temom (</w:t>
      </w:r>
      <w:proofErr w:type="spellStart"/>
      <w:r w:rsidRPr="00ED3700">
        <w:rPr>
          <w:rFonts w:asciiTheme="majorHAnsi" w:hAnsiTheme="majorHAnsi" w:cs="Times New Roman"/>
          <w:sz w:val="24"/>
          <w:szCs w:val="24"/>
        </w:rPr>
        <w:t>Euroguidance</w:t>
      </w:r>
      <w:proofErr w:type="spellEnd"/>
      <w:r w:rsidRPr="00ED3700">
        <w:rPr>
          <w:rFonts w:asciiTheme="majorHAnsi" w:hAnsiTheme="majorHAnsi" w:cs="Times New Roman"/>
          <w:sz w:val="24"/>
          <w:szCs w:val="24"/>
        </w:rPr>
        <w:t xml:space="preserve">, 2012). </w:t>
      </w:r>
      <w:r w:rsidR="00D05236" w:rsidRPr="00D05236">
        <w:rPr>
          <w:rFonts w:asciiTheme="majorHAnsi" w:hAnsiTheme="majorHAnsi" w:cs="Times New Roman"/>
          <w:sz w:val="20"/>
          <w:szCs w:val="20"/>
        </w:rPr>
        <w:t>*</w:t>
      </w:r>
      <w:proofErr w:type="spellStart"/>
      <w:r w:rsidR="00D05236" w:rsidRPr="00D05236">
        <w:rPr>
          <w:rFonts w:asciiTheme="majorHAnsi" w:hAnsiTheme="majorHAnsi"/>
          <w:sz w:val="20"/>
          <w:szCs w:val="20"/>
        </w:rPr>
        <w:t>Euroguidance</w:t>
      </w:r>
      <w:proofErr w:type="spellEnd"/>
      <w:r w:rsidR="00D05236" w:rsidRPr="00D05236">
        <w:rPr>
          <w:rFonts w:asciiTheme="majorHAnsi" w:hAnsiTheme="majorHAnsi"/>
          <w:sz w:val="20"/>
          <w:szCs w:val="20"/>
        </w:rPr>
        <w:t xml:space="preserve"> (2012). Agencija za mobilnost i programe Europske unije. </w:t>
      </w:r>
      <w:hyperlink r:id="rId11" w:tgtFrame="_blank" w:tooltip="This external link will open in a new window" w:history="1">
        <w:r w:rsidR="00D05236" w:rsidRPr="00D05236">
          <w:rPr>
            <w:rStyle w:val="Hyperlink"/>
            <w:rFonts w:asciiTheme="majorHAnsi" w:hAnsiTheme="majorHAnsi"/>
            <w:sz w:val="20"/>
            <w:szCs w:val="20"/>
          </w:rPr>
          <w:t>http://www.mobilnost.hr/hr/sadrzaj/programi/obrazovanje-i-osposobljavanje/programi-mreze-inicijative-u-podrucju-obrazovanja-i-osposobljavanja/euroguidance/</w:t>
        </w:r>
      </w:hyperlink>
      <w:r w:rsidR="00D05236">
        <w:rPr>
          <w:rStyle w:val="Hyperlink"/>
          <w:rFonts w:asciiTheme="majorHAnsi" w:hAnsiTheme="majorHAnsi"/>
          <w:sz w:val="20"/>
          <w:szCs w:val="20"/>
        </w:rPr>
        <w:t xml:space="preserve"> </w:t>
      </w:r>
      <w:r w:rsidRPr="00ED3700">
        <w:rPr>
          <w:rFonts w:asciiTheme="majorHAnsi" w:hAnsiTheme="majorHAnsi" w:cs="Times New Roman"/>
          <w:sz w:val="24"/>
          <w:szCs w:val="24"/>
        </w:rPr>
        <w:t>Uz to, važno je učenicima omogućiti i samo-informiranje na način da se sve informacije relevantne za donošenje odluka o nastavku školovanja, odnosno planiranja daljnjeg profesionalnog razvoja učine dostupnima i prilagođenima mladima. Korisno bi bilo objediniti informacije na jednom mjestu, iako se veliki broj ovakvih informacija, kao i korisnih brošura i vodiča, trenutno može naći na web-stranicama Hrvatskog zavoda za zapošljavanje (</w:t>
      </w:r>
      <w:hyperlink r:id="rId12" w:history="1">
        <w:r w:rsidRPr="00ED3700">
          <w:rPr>
            <w:rStyle w:val="Hyperlink"/>
            <w:rFonts w:asciiTheme="majorHAnsi" w:hAnsiTheme="majorHAnsi"/>
            <w:sz w:val="24"/>
            <w:szCs w:val="24"/>
          </w:rPr>
          <w:t>http://www.hzz.hr/</w:t>
        </w:r>
      </w:hyperlink>
      <w:r>
        <w:rPr>
          <w:rFonts w:asciiTheme="majorHAnsi" w:hAnsiTheme="majorHAnsi" w:cs="Times New Roman"/>
          <w:sz w:val="24"/>
          <w:szCs w:val="24"/>
        </w:rPr>
        <w:t>) i njihovih</w:t>
      </w:r>
      <w:r w:rsidRPr="00ED3700">
        <w:rPr>
          <w:rFonts w:asciiTheme="majorHAnsi" w:hAnsiTheme="majorHAnsi" w:cs="Times New Roman"/>
          <w:sz w:val="24"/>
          <w:szCs w:val="24"/>
        </w:rPr>
        <w:t xml:space="preserve"> Cent</w:t>
      </w:r>
      <w:r>
        <w:rPr>
          <w:rFonts w:asciiTheme="majorHAnsi" w:hAnsiTheme="majorHAnsi" w:cs="Times New Roman"/>
          <w:sz w:val="24"/>
          <w:szCs w:val="24"/>
        </w:rPr>
        <w:t>a</w:t>
      </w:r>
      <w:r w:rsidRPr="00ED3700">
        <w:rPr>
          <w:rFonts w:asciiTheme="majorHAnsi" w:hAnsiTheme="majorHAnsi" w:cs="Times New Roman"/>
          <w:sz w:val="24"/>
          <w:szCs w:val="24"/>
        </w:rPr>
        <w:t>ra za informiranje i savjetovanje o karijeri (</w:t>
      </w:r>
      <w:hyperlink r:id="rId13" w:history="1">
        <w:r w:rsidRPr="00ED3700">
          <w:rPr>
            <w:rStyle w:val="Hyperlink"/>
            <w:rFonts w:asciiTheme="majorHAnsi" w:hAnsiTheme="majorHAnsi"/>
            <w:sz w:val="24"/>
            <w:szCs w:val="24"/>
          </w:rPr>
          <w:t>http://www.cisok.hr/</w:t>
        </w:r>
      </w:hyperlink>
      <w:r w:rsidRPr="00ED3700">
        <w:rPr>
          <w:rFonts w:asciiTheme="majorHAnsi" w:hAnsiTheme="majorHAnsi" w:cs="Times New Roman"/>
          <w:sz w:val="24"/>
          <w:szCs w:val="24"/>
        </w:rPr>
        <w:t>), portala Upisi.hr (</w:t>
      </w:r>
      <w:hyperlink r:id="rId14" w:history="1">
        <w:r w:rsidRPr="00ED3700">
          <w:rPr>
            <w:rStyle w:val="Hyperlink"/>
            <w:rFonts w:asciiTheme="majorHAnsi" w:hAnsiTheme="majorHAnsi"/>
            <w:sz w:val="24"/>
            <w:szCs w:val="24"/>
          </w:rPr>
          <w:t>https://www.upisi.hr/upisi/</w:t>
        </w:r>
      </w:hyperlink>
      <w:r w:rsidRPr="00ED3700">
        <w:rPr>
          <w:rFonts w:asciiTheme="majorHAnsi" w:hAnsiTheme="majorHAnsi" w:cs="Times New Roman"/>
          <w:sz w:val="24"/>
          <w:szCs w:val="24"/>
        </w:rPr>
        <w:t>) i Instituta za razvoj obrazovanja (</w:t>
      </w:r>
      <w:hyperlink r:id="rId15" w:history="1">
        <w:r w:rsidRPr="00ED3700">
          <w:rPr>
            <w:rStyle w:val="Hyperlink"/>
            <w:rFonts w:asciiTheme="majorHAnsi" w:hAnsiTheme="majorHAnsi"/>
            <w:sz w:val="24"/>
            <w:szCs w:val="24"/>
          </w:rPr>
          <w:t>http://www.iro.hr/hr/</w:t>
        </w:r>
      </w:hyperlink>
      <w:r w:rsidRPr="00ED3700">
        <w:rPr>
          <w:rFonts w:asciiTheme="majorHAnsi" w:hAnsiTheme="majorHAnsi" w:cs="Times New Roman"/>
          <w:sz w:val="24"/>
          <w:szCs w:val="24"/>
        </w:rPr>
        <w:t xml:space="preserve">) te pojedinih visokih učilišta. S ciljem približavanja ovih informacija potencijalnim studentima trebalo bi ih objediniti. Smotre sveučilišta, dani otvorenih vrata, sajam stipendija, ljetne škole, dani karijera, dani otvorenih vrata, festivali znanosti i ostale takve aktivnosti, vrijedan su dio informiranja i motiviranja kandidata  za upis na studij. </w:t>
      </w:r>
    </w:p>
    <w:p w:rsidR="002E092D" w:rsidRDefault="002E092D" w:rsidP="002E092D">
      <w:pPr>
        <w:jc w:val="both"/>
        <w:rPr>
          <w:rFonts w:asciiTheme="majorHAnsi" w:hAnsiTheme="majorHAnsi" w:cs="Times New Roman"/>
          <w:sz w:val="24"/>
          <w:szCs w:val="24"/>
        </w:rPr>
      </w:pPr>
    </w:p>
    <w:p w:rsidR="002E092D" w:rsidRPr="00ED3700" w:rsidRDefault="002E092D" w:rsidP="002E092D">
      <w:pPr>
        <w:jc w:val="both"/>
        <w:rPr>
          <w:rFonts w:asciiTheme="majorHAnsi" w:hAnsiTheme="majorHAnsi" w:cs="Times New Roman"/>
          <w:sz w:val="24"/>
          <w:szCs w:val="24"/>
        </w:rPr>
      </w:pPr>
      <w:r w:rsidRPr="00ED3700">
        <w:rPr>
          <w:rFonts w:asciiTheme="majorHAnsi" w:hAnsiTheme="majorHAnsi" w:cs="Times New Roman"/>
          <w:sz w:val="24"/>
          <w:szCs w:val="24"/>
        </w:rPr>
        <w:t>Kada se radi o kandidatima s inva</w:t>
      </w:r>
      <w:r>
        <w:rPr>
          <w:rFonts w:asciiTheme="majorHAnsi" w:hAnsiTheme="majorHAnsi" w:cs="Times New Roman"/>
          <w:sz w:val="24"/>
          <w:szCs w:val="24"/>
        </w:rPr>
        <w:t xml:space="preserve">liditetom, potrebno je uvesti </w:t>
      </w:r>
      <w:r w:rsidRPr="00ED3700">
        <w:rPr>
          <w:rFonts w:asciiTheme="majorHAnsi" w:hAnsiTheme="majorHAnsi" w:cs="Times New Roman"/>
          <w:sz w:val="24"/>
          <w:szCs w:val="24"/>
        </w:rPr>
        <w:t>obvezno dodatno savjetovanje</w:t>
      </w:r>
      <w:r>
        <w:rPr>
          <w:rFonts w:asciiTheme="majorHAnsi" w:hAnsiTheme="majorHAnsi" w:cs="Times New Roman"/>
          <w:sz w:val="24"/>
          <w:szCs w:val="24"/>
        </w:rPr>
        <w:t xml:space="preserve"> </w:t>
      </w:r>
      <w:r w:rsidRPr="00ED3700">
        <w:rPr>
          <w:rFonts w:asciiTheme="majorHAnsi" w:eastAsia="Times New Roman" w:hAnsiTheme="majorHAnsi" w:cs="Times New Roman"/>
          <w:sz w:val="24"/>
          <w:szCs w:val="24"/>
        </w:rPr>
        <w:t>o mogućim teškoćama pri realizaciji ishoda učenja studijskog programa kojeg kandidati žele upisati</w:t>
      </w:r>
      <w:r w:rsidRPr="00ED3700">
        <w:rPr>
          <w:rFonts w:asciiTheme="majorHAnsi" w:hAnsiTheme="majorHAnsi" w:cs="Times New Roman"/>
          <w:sz w:val="24"/>
          <w:szCs w:val="24"/>
        </w:rPr>
        <w:t>,</w:t>
      </w:r>
      <w:r>
        <w:rPr>
          <w:rFonts w:asciiTheme="majorHAnsi" w:hAnsiTheme="majorHAnsi" w:cs="Times New Roman"/>
          <w:sz w:val="24"/>
          <w:szCs w:val="24"/>
        </w:rPr>
        <w:t xml:space="preserve"> a</w:t>
      </w:r>
      <w:r w:rsidRPr="00ED3700">
        <w:rPr>
          <w:rFonts w:asciiTheme="majorHAnsi" w:hAnsiTheme="majorHAnsi" w:cs="Times New Roman"/>
          <w:sz w:val="24"/>
          <w:szCs w:val="24"/>
        </w:rPr>
        <w:t xml:space="preserve"> koje bi trebali provesti </w:t>
      </w:r>
      <w:r w:rsidRPr="00ED3700">
        <w:rPr>
          <w:rFonts w:asciiTheme="majorHAnsi" w:eastAsia="Times New Roman" w:hAnsiTheme="majorHAnsi" w:cs="Times New Roman"/>
          <w:sz w:val="24"/>
          <w:szCs w:val="24"/>
        </w:rPr>
        <w:t>koordinatori za studente s invaliditetom, voditelji studijskih programa i prodekani za nastavu</w:t>
      </w:r>
      <w:r>
        <w:rPr>
          <w:rFonts w:asciiTheme="majorHAnsi" w:eastAsia="Times New Roman" w:hAnsiTheme="majorHAnsi" w:cs="Times New Roman"/>
          <w:sz w:val="24"/>
          <w:szCs w:val="24"/>
        </w:rPr>
        <w:t xml:space="preserve">. </w:t>
      </w:r>
      <w:r w:rsidRPr="00ED3700">
        <w:rPr>
          <w:rFonts w:asciiTheme="majorHAnsi" w:eastAsia="Times New Roman" w:hAnsiTheme="majorHAnsi" w:cs="Times New Roman"/>
          <w:sz w:val="24"/>
          <w:szCs w:val="24"/>
        </w:rPr>
        <w:t xml:space="preserve">To je potrebno kako bi se prevenirale eventualne teškoće vezane uz </w:t>
      </w:r>
      <w:r w:rsidRPr="00ED3700">
        <w:rPr>
          <w:rFonts w:asciiTheme="majorHAnsi" w:hAnsiTheme="majorHAnsi" w:cs="Times New Roman"/>
          <w:sz w:val="24"/>
          <w:szCs w:val="24"/>
        </w:rPr>
        <w:t>nemogućnost dosezanja nekih ishoda učenja pojedinog obveznog kolegija ili studijskog programa, uzrokovano mogućim ograničenjima kao posljedica oštećenja, bolesti ili poremećaja kod studenta i kako bi se na vrijeme osigurale potrebne prilagodbe. Ovakvo dodatno savjetovanje treba, prema želji i potrebi omogućiti i drugim kandidatima za upis na studij.</w:t>
      </w:r>
    </w:p>
    <w:p w:rsidR="002E092D" w:rsidRPr="00ED3700" w:rsidRDefault="002E092D" w:rsidP="002E092D">
      <w:pPr>
        <w:jc w:val="both"/>
        <w:rPr>
          <w:rFonts w:asciiTheme="majorHAnsi" w:hAnsiTheme="majorHAnsi" w:cs="Times New Roman"/>
          <w:sz w:val="24"/>
          <w:szCs w:val="24"/>
        </w:rPr>
      </w:pPr>
    </w:p>
    <w:p w:rsidR="002E092D" w:rsidRPr="00ED3700" w:rsidRDefault="002E092D" w:rsidP="002E092D">
      <w:pPr>
        <w:jc w:val="both"/>
        <w:rPr>
          <w:rFonts w:asciiTheme="majorHAnsi" w:hAnsiTheme="majorHAnsi" w:cs="Times New Roman"/>
          <w:sz w:val="24"/>
          <w:szCs w:val="24"/>
        </w:rPr>
      </w:pPr>
      <w:r>
        <w:rPr>
          <w:rFonts w:asciiTheme="majorHAnsi" w:hAnsiTheme="majorHAnsi" w:cs="Times New Roman"/>
          <w:sz w:val="24"/>
          <w:szCs w:val="24"/>
        </w:rPr>
        <w:t>S</w:t>
      </w:r>
      <w:r w:rsidRPr="00ED3700">
        <w:rPr>
          <w:rFonts w:asciiTheme="majorHAnsi" w:hAnsiTheme="majorHAnsi" w:cs="Times New Roman"/>
          <w:sz w:val="24"/>
          <w:szCs w:val="24"/>
        </w:rPr>
        <w:t xml:space="preserve">ve informacije o studijskim programima, savjetovanju, procedurama upisa i tijeku studija, mjerama izjednačavanja mogućnosti, financiranju studija i zapošljavanju moraju </w:t>
      </w:r>
      <w:r w:rsidRPr="00ED3700">
        <w:rPr>
          <w:rFonts w:asciiTheme="majorHAnsi" w:hAnsiTheme="majorHAnsi" w:cs="Times New Roman"/>
          <w:sz w:val="24"/>
          <w:szCs w:val="24"/>
        </w:rPr>
        <w:lastRenderedPageBreak/>
        <w:t>studentima biti dostupne, a kada se radi o studentima s nekim vrstama invaliditeta, prezentirane i u alternativnim formatima.</w:t>
      </w:r>
    </w:p>
    <w:p w:rsidR="00A2106B" w:rsidRPr="00ED3700" w:rsidRDefault="00A2106B" w:rsidP="001B6657">
      <w:pPr>
        <w:rPr>
          <w:rFonts w:asciiTheme="majorHAnsi" w:hAnsiTheme="majorHAnsi"/>
        </w:rPr>
      </w:pPr>
    </w:p>
    <w:p w:rsidR="00A2106B" w:rsidRPr="00ED3700" w:rsidRDefault="00A2106B" w:rsidP="00897A38">
      <w:pPr>
        <w:pStyle w:val="Heading3"/>
        <w:rPr>
          <w:rStyle w:val="BookTitle"/>
          <w:sz w:val="28"/>
          <w:szCs w:val="28"/>
        </w:rPr>
      </w:pPr>
      <w:r w:rsidRPr="00ED3700">
        <w:rPr>
          <w:rStyle w:val="BookTitle"/>
          <w:sz w:val="28"/>
          <w:szCs w:val="28"/>
        </w:rPr>
        <w:t>Cilj 3: Omogućiti jednake prilike svim studentima tijekom studiranja</w:t>
      </w:r>
    </w:p>
    <w:p w:rsidR="00A2106B" w:rsidRPr="00ED3700" w:rsidRDefault="00A2106B" w:rsidP="001B6657">
      <w:pPr>
        <w:rPr>
          <w:rFonts w:asciiTheme="majorHAnsi" w:hAnsiTheme="majorHAnsi"/>
        </w:rPr>
      </w:pPr>
    </w:p>
    <w:p w:rsidR="00D05236" w:rsidRPr="0003061F" w:rsidRDefault="00A2106B" w:rsidP="00D05236">
      <w:pPr>
        <w:rPr>
          <w:rFonts w:asciiTheme="majorHAnsi" w:eastAsia="Times New Roman" w:hAnsiTheme="majorHAnsi"/>
          <w:color w:val="0000FF" w:themeColor="hyperlink"/>
          <w:sz w:val="20"/>
          <w:szCs w:val="20"/>
          <w:u w:val="single"/>
          <w:lang w:eastAsia="hr-HR"/>
        </w:rPr>
      </w:pPr>
      <w:r w:rsidRPr="00ED3700">
        <w:rPr>
          <w:rFonts w:asciiTheme="majorHAnsi" w:hAnsiTheme="majorHAnsi" w:cstheme="minorHAnsi"/>
          <w:sz w:val="24"/>
          <w:szCs w:val="24"/>
        </w:rPr>
        <w:t>Kako bi se ostvarilo jedno od temeljnih načela Strategije obrazovanja, znanosti i tehnologije Republike Hrvatske – ono jednakosti obrazovnih mogućnosti za sve, koje je posebno naglašeno u cilju 6. dijela Strategije koje se bavi visokim obrazovanjem, nužno je djelovati vrlo rano  u sustavu studiranja i ukloniti prepreke s kojima se susreću studenti, a pogotovo pripadnici ranjivih skupina. Najveća stopa odustajanja od studija (</w:t>
      </w:r>
      <w:proofErr w:type="spellStart"/>
      <w:r w:rsidRPr="00ED3700">
        <w:rPr>
          <w:rFonts w:asciiTheme="majorHAnsi" w:hAnsiTheme="majorHAnsi" w:cstheme="minorHAnsi"/>
          <w:i/>
          <w:sz w:val="24"/>
          <w:szCs w:val="24"/>
        </w:rPr>
        <w:t>dropout</w:t>
      </w:r>
      <w:proofErr w:type="spellEnd"/>
      <w:r w:rsidRPr="00ED3700">
        <w:rPr>
          <w:rFonts w:asciiTheme="majorHAnsi" w:hAnsiTheme="majorHAnsi" w:cstheme="minorHAnsi"/>
          <w:sz w:val="24"/>
          <w:szCs w:val="24"/>
        </w:rPr>
        <w:t xml:space="preserve"> </w:t>
      </w:r>
      <w:r w:rsidRPr="00ED3700">
        <w:rPr>
          <w:rFonts w:asciiTheme="majorHAnsi" w:hAnsiTheme="majorHAnsi" w:cstheme="minorHAnsi"/>
          <w:i/>
          <w:sz w:val="24"/>
          <w:szCs w:val="24"/>
        </w:rPr>
        <w:t>rate</w:t>
      </w:r>
      <w:r w:rsidRPr="00ED3700">
        <w:rPr>
          <w:rFonts w:asciiTheme="majorHAnsi" w:hAnsiTheme="majorHAnsi" w:cstheme="minorHAnsi"/>
          <w:sz w:val="24"/>
          <w:szCs w:val="24"/>
        </w:rPr>
        <w:t>), kao i velik dio zaostajanja onih studenata koji ne odustanu od studija, događa se upravo na prvoj godini studija.</w:t>
      </w:r>
      <w:r w:rsidRPr="00D05236">
        <w:rPr>
          <w:rFonts w:asciiTheme="majorHAnsi" w:hAnsiTheme="majorHAnsi" w:cstheme="minorHAnsi"/>
          <w:sz w:val="20"/>
          <w:szCs w:val="20"/>
        </w:rPr>
        <w:t xml:space="preserve"> </w:t>
      </w:r>
      <w:r w:rsidR="00D05236" w:rsidRPr="00D05236">
        <w:rPr>
          <w:rFonts w:asciiTheme="majorHAnsi" w:hAnsiTheme="majorHAnsi" w:cstheme="minorHAnsi"/>
          <w:sz w:val="20"/>
          <w:szCs w:val="20"/>
        </w:rPr>
        <w:t>*</w:t>
      </w:r>
      <w:r w:rsidR="00D05236" w:rsidRPr="0003061F">
        <w:rPr>
          <w:rFonts w:asciiTheme="majorHAnsi" w:hAnsiTheme="majorHAnsi"/>
          <w:sz w:val="20"/>
          <w:szCs w:val="20"/>
        </w:rPr>
        <w:t xml:space="preserve"> </w:t>
      </w:r>
      <w:proofErr w:type="spellStart"/>
      <w:r w:rsidR="00D05236" w:rsidRPr="0003061F">
        <w:rPr>
          <w:rFonts w:asciiTheme="majorHAnsi" w:eastAsia="Times New Roman" w:hAnsiTheme="majorHAnsi"/>
          <w:sz w:val="20"/>
          <w:szCs w:val="20"/>
          <w:lang w:eastAsia="hr-HR"/>
        </w:rPr>
        <w:t>Farnell</w:t>
      </w:r>
      <w:proofErr w:type="spellEnd"/>
      <w:r w:rsidR="00D05236" w:rsidRPr="0003061F">
        <w:rPr>
          <w:rFonts w:asciiTheme="majorHAnsi" w:eastAsia="Times New Roman" w:hAnsiTheme="majorHAnsi"/>
          <w:sz w:val="20"/>
          <w:szCs w:val="20"/>
          <w:lang w:eastAsia="hr-HR"/>
        </w:rPr>
        <w:t xml:space="preserve">, T., </w:t>
      </w:r>
      <w:proofErr w:type="spellStart"/>
      <w:r w:rsidR="00D05236" w:rsidRPr="0003061F">
        <w:rPr>
          <w:rFonts w:asciiTheme="majorHAnsi" w:eastAsia="Times New Roman" w:hAnsiTheme="majorHAnsi"/>
          <w:sz w:val="20"/>
          <w:szCs w:val="20"/>
          <w:lang w:eastAsia="hr-HR"/>
        </w:rPr>
        <w:t>Doolan</w:t>
      </w:r>
      <w:proofErr w:type="spellEnd"/>
      <w:r w:rsidR="00D05236" w:rsidRPr="0003061F">
        <w:rPr>
          <w:rFonts w:asciiTheme="majorHAnsi" w:eastAsia="Times New Roman" w:hAnsiTheme="majorHAnsi"/>
          <w:sz w:val="20"/>
          <w:szCs w:val="20"/>
          <w:lang w:eastAsia="hr-HR"/>
        </w:rPr>
        <w:t xml:space="preserve">, K., </w:t>
      </w:r>
      <w:r w:rsidR="00D05236">
        <w:rPr>
          <w:rFonts w:asciiTheme="majorHAnsi" w:eastAsia="Times New Roman" w:hAnsiTheme="majorHAnsi"/>
          <w:sz w:val="20"/>
          <w:szCs w:val="20"/>
          <w:lang w:eastAsia="hr-HR"/>
        </w:rPr>
        <w:t>Matković, T. i Cvitan, M. (2014).</w:t>
      </w:r>
      <w:r w:rsidR="00D05236" w:rsidRPr="0003061F">
        <w:rPr>
          <w:rFonts w:asciiTheme="majorHAnsi" w:eastAsia="Times New Roman" w:hAnsiTheme="majorHAnsi"/>
          <w:sz w:val="20"/>
          <w:szCs w:val="20"/>
          <w:lang w:eastAsia="hr-HR"/>
        </w:rPr>
        <w:t xml:space="preserve"> </w:t>
      </w:r>
      <w:r w:rsidR="00D05236" w:rsidRPr="0003061F">
        <w:rPr>
          <w:rFonts w:asciiTheme="majorHAnsi" w:eastAsia="Times New Roman" w:hAnsiTheme="majorHAnsi"/>
          <w:i/>
          <w:sz w:val="20"/>
          <w:szCs w:val="20"/>
          <w:lang w:eastAsia="hr-HR"/>
        </w:rPr>
        <w:t xml:space="preserve">Socijalna </w:t>
      </w:r>
      <w:proofErr w:type="spellStart"/>
      <w:r w:rsidR="00D05236" w:rsidRPr="0003061F">
        <w:rPr>
          <w:rFonts w:asciiTheme="majorHAnsi" w:eastAsia="Times New Roman" w:hAnsiTheme="majorHAnsi"/>
          <w:i/>
          <w:sz w:val="20"/>
          <w:szCs w:val="20"/>
          <w:lang w:eastAsia="hr-HR"/>
        </w:rPr>
        <w:t>uključivost</w:t>
      </w:r>
      <w:proofErr w:type="spellEnd"/>
      <w:r w:rsidR="00D05236" w:rsidRPr="0003061F">
        <w:rPr>
          <w:rFonts w:asciiTheme="majorHAnsi" w:eastAsia="Times New Roman" w:hAnsiTheme="majorHAnsi"/>
          <w:i/>
          <w:sz w:val="20"/>
          <w:szCs w:val="20"/>
          <w:lang w:eastAsia="hr-HR"/>
        </w:rPr>
        <w:t xml:space="preserve"> visokog obrazovanja u Hrvatskoj: analiza stanja</w:t>
      </w:r>
      <w:r w:rsidR="00D05236">
        <w:rPr>
          <w:rFonts w:asciiTheme="majorHAnsi" w:eastAsia="Times New Roman" w:hAnsiTheme="majorHAnsi"/>
          <w:sz w:val="20"/>
          <w:szCs w:val="20"/>
          <w:lang w:eastAsia="hr-HR"/>
        </w:rPr>
        <w:t xml:space="preserve">. Zagreb: IRO. </w:t>
      </w:r>
      <w:r w:rsidR="00D05236" w:rsidRPr="0003061F">
        <w:rPr>
          <w:rFonts w:asciiTheme="majorHAnsi" w:eastAsia="Times New Roman" w:hAnsiTheme="majorHAnsi"/>
          <w:sz w:val="20"/>
          <w:szCs w:val="20"/>
          <w:lang w:eastAsia="hr-HR"/>
        </w:rPr>
        <w:t>(http://www.iro.hr/userdocs/File/Publikacije/Socijalna_ukljucivost_visokog_obrazovanja.pdf)</w:t>
      </w:r>
    </w:p>
    <w:p w:rsidR="00A2106B" w:rsidRPr="00ED3700" w:rsidRDefault="00DA1AE2" w:rsidP="00A2106B">
      <w:pPr>
        <w:jc w:val="both"/>
        <w:rPr>
          <w:rFonts w:asciiTheme="majorHAnsi" w:hAnsiTheme="majorHAnsi" w:cstheme="minorHAnsi"/>
          <w:sz w:val="24"/>
          <w:szCs w:val="24"/>
        </w:rPr>
      </w:pPr>
      <w:r>
        <w:rPr>
          <w:rFonts w:asciiTheme="majorHAnsi" w:hAnsiTheme="majorHAnsi" w:cstheme="minorHAnsi"/>
          <w:sz w:val="24"/>
          <w:szCs w:val="24"/>
        </w:rPr>
        <w:t>U tom kontekstu, u Nacionalnom planu se predlažu m</w:t>
      </w:r>
      <w:r w:rsidR="00A2106B" w:rsidRPr="00ED3700">
        <w:rPr>
          <w:rFonts w:asciiTheme="majorHAnsi" w:hAnsiTheme="majorHAnsi" w:cstheme="minorHAnsi"/>
          <w:sz w:val="24"/>
          <w:szCs w:val="24"/>
        </w:rPr>
        <w:t xml:space="preserve">jere </w:t>
      </w:r>
      <w:r w:rsidR="00056708">
        <w:rPr>
          <w:rFonts w:asciiTheme="majorHAnsi" w:hAnsiTheme="majorHAnsi" w:cstheme="minorHAnsi"/>
          <w:sz w:val="24"/>
          <w:szCs w:val="24"/>
        </w:rPr>
        <w:t xml:space="preserve">(3.1.) </w:t>
      </w:r>
      <w:r>
        <w:rPr>
          <w:rFonts w:asciiTheme="majorHAnsi" w:hAnsiTheme="majorHAnsi" w:cstheme="minorHAnsi"/>
          <w:sz w:val="24"/>
          <w:szCs w:val="24"/>
        </w:rPr>
        <w:t>kao što su</w:t>
      </w:r>
      <w:r w:rsidR="00C971CB">
        <w:rPr>
          <w:rFonts w:asciiTheme="majorHAnsi" w:hAnsiTheme="majorHAnsi" w:cstheme="minorHAnsi"/>
          <w:sz w:val="24"/>
          <w:szCs w:val="24"/>
        </w:rPr>
        <w:t xml:space="preserve"> uvođenje</w:t>
      </w:r>
      <w:r w:rsidR="00A2106B" w:rsidRPr="00ED3700">
        <w:rPr>
          <w:rFonts w:asciiTheme="majorHAnsi" w:hAnsiTheme="majorHAnsi" w:cstheme="minorHAnsi"/>
          <w:sz w:val="24"/>
          <w:szCs w:val="24"/>
        </w:rPr>
        <w:t xml:space="preserve"> program</w:t>
      </w:r>
      <w:r w:rsidR="00C971CB">
        <w:rPr>
          <w:rFonts w:asciiTheme="majorHAnsi" w:hAnsiTheme="majorHAnsi" w:cstheme="minorHAnsi"/>
          <w:sz w:val="24"/>
          <w:szCs w:val="24"/>
        </w:rPr>
        <w:t>a</w:t>
      </w:r>
      <w:r w:rsidR="00A2106B" w:rsidRPr="00ED3700">
        <w:rPr>
          <w:rFonts w:asciiTheme="majorHAnsi" w:hAnsiTheme="majorHAnsi" w:cstheme="minorHAnsi"/>
          <w:sz w:val="24"/>
          <w:szCs w:val="24"/>
        </w:rPr>
        <w:t xml:space="preserve"> nadoknade kompetencija, </w:t>
      </w:r>
      <w:r w:rsidR="003B04FD">
        <w:rPr>
          <w:rFonts w:asciiTheme="majorHAnsi" w:hAnsiTheme="majorHAnsi" w:cstheme="minorHAnsi"/>
          <w:sz w:val="24"/>
          <w:szCs w:val="24"/>
        </w:rPr>
        <w:t>unapređiva</w:t>
      </w:r>
      <w:r w:rsidR="00C971CB">
        <w:rPr>
          <w:rFonts w:asciiTheme="majorHAnsi" w:hAnsiTheme="majorHAnsi" w:cstheme="minorHAnsi"/>
          <w:sz w:val="24"/>
          <w:szCs w:val="24"/>
        </w:rPr>
        <w:t xml:space="preserve">nje </w:t>
      </w:r>
      <w:r w:rsidR="00A2106B" w:rsidRPr="00ED3700">
        <w:rPr>
          <w:rFonts w:asciiTheme="majorHAnsi" w:hAnsiTheme="majorHAnsi" w:cstheme="minorHAnsi"/>
          <w:sz w:val="24"/>
          <w:szCs w:val="24"/>
        </w:rPr>
        <w:t>sustav</w:t>
      </w:r>
      <w:r w:rsidR="00C971CB">
        <w:rPr>
          <w:rFonts w:asciiTheme="majorHAnsi" w:hAnsiTheme="majorHAnsi" w:cstheme="minorHAnsi"/>
          <w:sz w:val="24"/>
          <w:szCs w:val="24"/>
        </w:rPr>
        <w:t>a</w:t>
      </w:r>
      <w:r w:rsidR="00A2106B" w:rsidRPr="00ED3700">
        <w:rPr>
          <w:rFonts w:asciiTheme="majorHAnsi" w:hAnsiTheme="majorHAnsi" w:cstheme="minorHAnsi"/>
          <w:sz w:val="24"/>
          <w:szCs w:val="24"/>
        </w:rPr>
        <w:t xml:space="preserve"> prilagodbe za studente s invaliditetom</w:t>
      </w:r>
      <w:r w:rsidR="00C971CB">
        <w:rPr>
          <w:rFonts w:asciiTheme="majorHAnsi" w:hAnsiTheme="majorHAnsi" w:cstheme="minorHAnsi"/>
          <w:sz w:val="24"/>
          <w:szCs w:val="24"/>
        </w:rPr>
        <w:t xml:space="preserve"> te</w:t>
      </w:r>
      <w:r w:rsidR="00A2106B" w:rsidRPr="00ED3700">
        <w:rPr>
          <w:rFonts w:asciiTheme="majorHAnsi" w:hAnsiTheme="majorHAnsi" w:cstheme="minorHAnsi"/>
          <w:sz w:val="24"/>
          <w:szCs w:val="24"/>
        </w:rPr>
        <w:t xml:space="preserve"> revizija studijskih programa, odnosno raspodjele studentskog opterećenja kroz godine studija. Osim cilja 6. Strategije (u njenom dijelu o visokom obrazovanju), ove mjere oslanjaju se i na aktivnosti iz cilja 1.2. </w:t>
      </w:r>
      <w:r w:rsidR="00A2106B" w:rsidRPr="00056708">
        <w:rPr>
          <w:rFonts w:asciiTheme="majorHAnsi" w:hAnsiTheme="majorHAnsi" w:cstheme="minorHAnsi"/>
          <w:sz w:val="24"/>
          <w:szCs w:val="24"/>
        </w:rPr>
        <w:t>(„Prilagoditi sadržaje studijskih programa jasno definiranim ishodima učenja“).</w:t>
      </w:r>
    </w:p>
    <w:p w:rsidR="00313013" w:rsidRPr="00ED3700" w:rsidRDefault="00313013" w:rsidP="00A2106B">
      <w:pPr>
        <w:jc w:val="both"/>
        <w:rPr>
          <w:rFonts w:asciiTheme="majorHAnsi" w:hAnsiTheme="majorHAnsi" w:cstheme="minorHAnsi"/>
          <w:sz w:val="24"/>
          <w:szCs w:val="24"/>
        </w:rPr>
      </w:pPr>
    </w:p>
    <w:p w:rsidR="00D05236" w:rsidRPr="005E3DA1" w:rsidRDefault="00A2106B" w:rsidP="00D05236">
      <w:pPr>
        <w:rPr>
          <w:rFonts w:asciiTheme="majorHAnsi" w:hAnsiTheme="majorHAnsi"/>
          <w:sz w:val="20"/>
          <w:szCs w:val="20"/>
          <w:lang w:eastAsia="hr-HR"/>
        </w:rPr>
      </w:pPr>
      <w:r w:rsidRPr="00ED3700">
        <w:rPr>
          <w:rFonts w:asciiTheme="majorHAnsi" w:hAnsiTheme="majorHAnsi" w:cstheme="minorHAnsi"/>
          <w:sz w:val="24"/>
          <w:szCs w:val="24"/>
        </w:rPr>
        <w:t>Značajnu prepreku uspješnom studiranju pripadnika ranjivih skupina studenata predstavlja također i nedovoljno razvijen sustav studentskog savjetovanja</w:t>
      </w:r>
      <w:r w:rsidR="00D05236">
        <w:rPr>
          <w:rFonts w:asciiTheme="majorHAnsi" w:hAnsiTheme="majorHAnsi" w:cstheme="minorHAnsi"/>
          <w:sz w:val="24"/>
          <w:szCs w:val="24"/>
        </w:rPr>
        <w:t>(3.2.)</w:t>
      </w:r>
      <w:r w:rsidR="00D05236" w:rsidRPr="00ED3700">
        <w:rPr>
          <w:rFonts w:asciiTheme="majorHAnsi" w:hAnsiTheme="majorHAnsi" w:cstheme="minorHAnsi"/>
          <w:sz w:val="24"/>
          <w:szCs w:val="24"/>
        </w:rPr>
        <w:t xml:space="preserve">. </w:t>
      </w:r>
      <w:r w:rsidR="00D05236">
        <w:rPr>
          <w:rFonts w:asciiTheme="majorHAnsi" w:hAnsiTheme="majorHAnsi" w:cstheme="minorHAnsi"/>
          <w:sz w:val="24"/>
          <w:szCs w:val="24"/>
        </w:rPr>
        <w:t xml:space="preserve"> </w:t>
      </w:r>
      <w:r w:rsidR="00D05236" w:rsidRPr="00D05236">
        <w:rPr>
          <w:rFonts w:asciiTheme="majorHAnsi" w:hAnsiTheme="majorHAnsi" w:cstheme="minorHAnsi"/>
          <w:sz w:val="20"/>
          <w:szCs w:val="20"/>
        </w:rPr>
        <w:t>*</w:t>
      </w:r>
      <w:r w:rsidR="00D05236" w:rsidRPr="005E3DA1">
        <w:rPr>
          <w:rFonts w:asciiTheme="majorHAnsi" w:hAnsiTheme="majorHAnsi"/>
          <w:sz w:val="20"/>
          <w:szCs w:val="20"/>
        </w:rPr>
        <w:t xml:space="preserve"> </w:t>
      </w:r>
      <w:proofErr w:type="spellStart"/>
      <w:r w:rsidR="00D05236" w:rsidRPr="005E3DA1">
        <w:rPr>
          <w:rFonts w:asciiTheme="majorHAnsi" w:hAnsiTheme="majorHAnsi"/>
          <w:sz w:val="20"/>
          <w:szCs w:val="20"/>
          <w:lang w:eastAsia="hr-HR"/>
        </w:rPr>
        <w:t>Orr</w:t>
      </w:r>
      <w:proofErr w:type="spellEnd"/>
      <w:r w:rsidR="00D05236" w:rsidRPr="005E3DA1">
        <w:rPr>
          <w:rFonts w:asciiTheme="majorHAnsi" w:hAnsiTheme="majorHAnsi"/>
          <w:sz w:val="20"/>
          <w:szCs w:val="20"/>
          <w:lang w:eastAsia="hr-HR"/>
        </w:rPr>
        <w:t xml:space="preserve">, D. i </w:t>
      </w:r>
      <w:proofErr w:type="spellStart"/>
      <w:r w:rsidR="00D05236" w:rsidRPr="005E3DA1">
        <w:rPr>
          <w:rFonts w:asciiTheme="majorHAnsi" w:hAnsiTheme="majorHAnsi"/>
          <w:sz w:val="20"/>
          <w:szCs w:val="20"/>
          <w:lang w:eastAsia="hr-HR"/>
        </w:rPr>
        <w:t>Szabo</w:t>
      </w:r>
      <w:proofErr w:type="spellEnd"/>
      <w:r w:rsidR="00D05236" w:rsidRPr="005E3DA1">
        <w:rPr>
          <w:rFonts w:asciiTheme="majorHAnsi" w:hAnsiTheme="majorHAnsi"/>
          <w:sz w:val="20"/>
          <w:szCs w:val="20"/>
          <w:lang w:eastAsia="hr-HR"/>
        </w:rPr>
        <w:t xml:space="preserve">, M. (2015), </w:t>
      </w:r>
      <w:proofErr w:type="spellStart"/>
      <w:r w:rsidR="00D05236" w:rsidRPr="005E3DA1">
        <w:rPr>
          <w:rFonts w:asciiTheme="majorHAnsi" w:hAnsiTheme="majorHAnsi"/>
          <w:i/>
          <w:sz w:val="20"/>
          <w:szCs w:val="20"/>
          <w:lang w:eastAsia="hr-HR"/>
        </w:rPr>
        <w:t>Peer</w:t>
      </w:r>
      <w:proofErr w:type="spellEnd"/>
      <w:r w:rsidR="00D05236" w:rsidRPr="005E3DA1">
        <w:rPr>
          <w:rFonts w:asciiTheme="majorHAnsi" w:hAnsiTheme="majorHAnsi"/>
          <w:i/>
          <w:sz w:val="20"/>
          <w:szCs w:val="20"/>
          <w:lang w:eastAsia="hr-HR"/>
        </w:rPr>
        <w:t xml:space="preserve"> </w:t>
      </w:r>
      <w:proofErr w:type="spellStart"/>
      <w:r w:rsidR="00D05236" w:rsidRPr="005E3DA1">
        <w:rPr>
          <w:rFonts w:asciiTheme="majorHAnsi" w:hAnsiTheme="majorHAnsi"/>
          <w:i/>
          <w:sz w:val="20"/>
          <w:szCs w:val="20"/>
          <w:lang w:eastAsia="hr-HR"/>
        </w:rPr>
        <w:t>Learning</w:t>
      </w:r>
      <w:proofErr w:type="spellEnd"/>
      <w:r w:rsidR="00D05236" w:rsidRPr="005E3DA1">
        <w:rPr>
          <w:rFonts w:asciiTheme="majorHAnsi" w:hAnsiTheme="majorHAnsi"/>
          <w:i/>
          <w:sz w:val="20"/>
          <w:szCs w:val="20"/>
          <w:lang w:eastAsia="hr-HR"/>
        </w:rPr>
        <w:t xml:space="preserve"> for </w:t>
      </w:r>
      <w:proofErr w:type="spellStart"/>
      <w:r w:rsidR="00D05236" w:rsidRPr="005E3DA1">
        <w:rPr>
          <w:rFonts w:asciiTheme="majorHAnsi" w:hAnsiTheme="majorHAnsi"/>
          <w:i/>
          <w:sz w:val="20"/>
          <w:szCs w:val="20"/>
          <w:lang w:eastAsia="hr-HR"/>
        </w:rPr>
        <w:t>the</w:t>
      </w:r>
      <w:proofErr w:type="spellEnd"/>
      <w:r w:rsidR="00D05236" w:rsidRPr="005E3DA1">
        <w:rPr>
          <w:rFonts w:asciiTheme="majorHAnsi" w:hAnsiTheme="majorHAnsi"/>
          <w:i/>
          <w:sz w:val="20"/>
          <w:szCs w:val="20"/>
          <w:lang w:eastAsia="hr-HR"/>
        </w:rPr>
        <w:t xml:space="preserve"> </w:t>
      </w:r>
      <w:proofErr w:type="spellStart"/>
      <w:r w:rsidR="00D05236" w:rsidRPr="005E3DA1">
        <w:rPr>
          <w:rFonts w:asciiTheme="majorHAnsi" w:hAnsiTheme="majorHAnsi"/>
          <w:i/>
          <w:sz w:val="20"/>
          <w:szCs w:val="20"/>
          <w:lang w:eastAsia="hr-HR"/>
        </w:rPr>
        <w:t>Social</w:t>
      </w:r>
      <w:proofErr w:type="spellEnd"/>
      <w:r w:rsidR="00D05236" w:rsidRPr="005E3DA1">
        <w:rPr>
          <w:rFonts w:asciiTheme="majorHAnsi" w:hAnsiTheme="majorHAnsi"/>
          <w:i/>
          <w:sz w:val="20"/>
          <w:szCs w:val="20"/>
          <w:lang w:eastAsia="hr-HR"/>
        </w:rPr>
        <w:t xml:space="preserve"> </w:t>
      </w:r>
      <w:proofErr w:type="spellStart"/>
      <w:r w:rsidR="00D05236" w:rsidRPr="005E3DA1">
        <w:rPr>
          <w:rFonts w:asciiTheme="majorHAnsi" w:hAnsiTheme="majorHAnsi"/>
          <w:i/>
          <w:sz w:val="20"/>
          <w:szCs w:val="20"/>
          <w:lang w:eastAsia="hr-HR"/>
        </w:rPr>
        <w:t>Dimension</w:t>
      </w:r>
      <w:proofErr w:type="spellEnd"/>
      <w:r w:rsidR="00D05236" w:rsidRPr="005E3DA1">
        <w:rPr>
          <w:rFonts w:asciiTheme="majorHAnsi" w:hAnsiTheme="majorHAnsi"/>
          <w:i/>
          <w:sz w:val="20"/>
          <w:szCs w:val="20"/>
          <w:lang w:eastAsia="hr-HR"/>
        </w:rPr>
        <w:t xml:space="preserve">: </w:t>
      </w:r>
      <w:proofErr w:type="spellStart"/>
      <w:r w:rsidR="00D05236" w:rsidRPr="005E3DA1">
        <w:rPr>
          <w:rFonts w:asciiTheme="majorHAnsi" w:hAnsiTheme="majorHAnsi"/>
          <w:i/>
          <w:sz w:val="20"/>
          <w:szCs w:val="20"/>
          <w:lang w:eastAsia="hr-HR"/>
        </w:rPr>
        <w:t>Country</w:t>
      </w:r>
      <w:proofErr w:type="spellEnd"/>
      <w:r w:rsidR="00D05236" w:rsidRPr="005E3DA1">
        <w:rPr>
          <w:rFonts w:asciiTheme="majorHAnsi" w:hAnsiTheme="majorHAnsi"/>
          <w:i/>
          <w:sz w:val="20"/>
          <w:szCs w:val="20"/>
          <w:lang w:eastAsia="hr-HR"/>
        </w:rPr>
        <w:t xml:space="preserve"> </w:t>
      </w:r>
      <w:proofErr w:type="spellStart"/>
      <w:r w:rsidR="00D05236" w:rsidRPr="005E3DA1">
        <w:rPr>
          <w:rFonts w:asciiTheme="majorHAnsi" w:hAnsiTheme="majorHAnsi"/>
          <w:i/>
          <w:sz w:val="20"/>
          <w:szCs w:val="20"/>
          <w:lang w:eastAsia="hr-HR"/>
        </w:rPr>
        <w:t>Review</w:t>
      </w:r>
      <w:proofErr w:type="spellEnd"/>
      <w:r w:rsidR="00D05236" w:rsidRPr="005E3DA1">
        <w:rPr>
          <w:rFonts w:asciiTheme="majorHAnsi" w:hAnsiTheme="majorHAnsi"/>
          <w:i/>
          <w:sz w:val="20"/>
          <w:szCs w:val="20"/>
          <w:lang w:eastAsia="hr-HR"/>
        </w:rPr>
        <w:t xml:space="preserve"> </w:t>
      </w:r>
      <w:proofErr w:type="spellStart"/>
      <w:r w:rsidR="00D05236" w:rsidRPr="005E3DA1">
        <w:rPr>
          <w:rFonts w:asciiTheme="majorHAnsi" w:hAnsiTheme="majorHAnsi"/>
          <w:i/>
          <w:sz w:val="20"/>
          <w:szCs w:val="20"/>
          <w:lang w:eastAsia="hr-HR"/>
        </w:rPr>
        <w:t>in</w:t>
      </w:r>
      <w:proofErr w:type="spellEnd"/>
      <w:r w:rsidR="00D05236" w:rsidRPr="005E3DA1">
        <w:rPr>
          <w:rFonts w:asciiTheme="majorHAnsi" w:hAnsiTheme="majorHAnsi"/>
          <w:i/>
          <w:sz w:val="20"/>
          <w:szCs w:val="20"/>
          <w:lang w:eastAsia="hr-HR"/>
        </w:rPr>
        <w:t xml:space="preserve"> Croatia – </w:t>
      </w:r>
      <w:proofErr w:type="spellStart"/>
      <w:r w:rsidR="00D05236" w:rsidRPr="005E3DA1">
        <w:rPr>
          <w:rFonts w:asciiTheme="majorHAnsi" w:hAnsiTheme="majorHAnsi"/>
          <w:i/>
          <w:sz w:val="20"/>
          <w:szCs w:val="20"/>
          <w:lang w:eastAsia="hr-HR"/>
        </w:rPr>
        <w:t>Final</w:t>
      </w:r>
      <w:proofErr w:type="spellEnd"/>
      <w:r w:rsidR="00D05236" w:rsidRPr="005E3DA1">
        <w:rPr>
          <w:rFonts w:asciiTheme="majorHAnsi" w:hAnsiTheme="majorHAnsi"/>
          <w:i/>
          <w:sz w:val="20"/>
          <w:szCs w:val="20"/>
          <w:lang w:eastAsia="hr-HR"/>
        </w:rPr>
        <w:t xml:space="preserve"> </w:t>
      </w:r>
      <w:proofErr w:type="spellStart"/>
      <w:r w:rsidR="00D05236" w:rsidRPr="005E3DA1">
        <w:rPr>
          <w:rFonts w:asciiTheme="majorHAnsi" w:hAnsiTheme="majorHAnsi"/>
          <w:i/>
          <w:sz w:val="20"/>
          <w:szCs w:val="20"/>
          <w:lang w:eastAsia="hr-HR"/>
        </w:rPr>
        <w:t>Report</w:t>
      </w:r>
      <w:proofErr w:type="spellEnd"/>
      <w:r w:rsidR="00D05236" w:rsidRPr="005E3DA1">
        <w:rPr>
          <w:rFonts w:asciiTheme="majorHAnsi" w:hAnsiTheme="majorHAnsi"/>
          <w:sz w:val="20"/>
          <w:szCs w:val="20"/>
          <w:lang w:eastAsia="hr-HR"/>
        </w:rPr>
        <w:t xml:space="preserve"> (</w:t>
      </w:r>
      <w:hyperlink r:id="rId16" w:history="1">
        <w:r w:rsidR="00D05236" w:rsidRPr="005E3DA1">
          <w:rPr>
            <w:rStyle w:val="Hyperlink"/>
            <w:rFonts w:asciiTheme="majorHAnsi" w:hAnsiTheme="majorHAnsi"/>
            <w:sz w:val="20"/>
            <w:szCs w:val="20"/>
            <w:lang w:eastAsia="hr-HR"/>
          </w:rPr>
          <w:t>http://www.pl4sd.eu/images/Country_Reviews/CR_Final_Report_Croatia.pdf</w:t>
        </w:r>
      </w:hyperlink>
      <w:r w:rsidR="00D05236" w:rsidRPr="005E3DA1">
        <w:rPr>
          <w:rStyle w:val="Hyperlink"/>
          <w:rFonts w:asciiTheme="majorHAnsi" w:hAnsiTheme="majorHAnsi"/>
          <w:sz w:val="20"/>
          <w:szCs w:val="20"/>
          <w:lang w:eastAsia="hr-HR"/>
        </w:rPr>
        <w:t>)</w:t>
      </w:r>
    </w:p>
    <w:p w:rsidR="00A2106B" w:rsidRPr="00ED3700" w:rsidRDefault="00A2106B" w:rsidP="00A2106B">
      <w:pPr>
        <w:jc w:val="both"/>
        <w:rPr>
          <w:rFonts w:asciiTheme="majorHAnsi" w:hAnsiTheme="majorHAnsi" w:cstheme="minorHAnsi"/>
          <w:sz w:val="24"/>
          <w:szCs w:val="24"/>
        </w:rPr>
      </w:pPr>
      <w:r w:rsidRPr="00ED3700">
        <w:rPr>
          <w:rFonts w:asciiTheme="majorHAnsi" w:hAnsiTheme="majorHAnsi" w:cstheme="minorHAnsi"/>
          <w:sz w:val="24"/>
          <w:szCs w:val="24"/>
        </w:rPr>
        <w:t>Na visokim učilištima na kojima postoji ovakav sustav, još uvijek se radi uglavnom o isključivo psihološkom savjetovanju. Potrebno je stoga postojeći sustav savjetovanja razviti i proširiti kako bi uključivao i ostale vrste podrške za studente (</w:t>
      </w:r>
      <w:r w:rsidR="00056708">
        <w:rPr>
          <w:rFonts w:asciiTheme="majorHAnsi" w:hAnsiTheme="majorHAnsi" w:cstheme="minorHAnsi"/>
          <w:sz w:val="24"/>
          <w:szCs w:val="24"/>
        </w:rPr>
        <w:t>karijerno, financijsko,</w:t>
      </w:r>
      <w:r w:rsidRPr="00ED3700">
        <w:rPr>
          <w:rFonts w:asciiTheme="majorHAnsi" w:hAnsiTheme="majorHAnsi" w:cstheme="minorHAnsi"/>
          <w:sz w:val="24"/>
          <w:szCs w:val="24"/>
        </w:rPr>
        <w:t xml:space="preserve"> akademsko</w:t>
      </w:r>
      <w:r w:rsidR="005A61BB">
        <w:rPr>
          <w:rFonts w:asciiTheme="majorHAnsi" w:hAnsiTheme="majorHAnsi" w:cstheme="minorHAnsi"/>
          <w:sz w:val="24"/>
          <w:szCs w:val="24"/>
        </w:rPr>
        <w:t>, podrška studentima s invaliditetom</w:t>
      </w:r>
      <w:r w:rsidRPr="00ED3700">
        <w:rPr>
          <w:rFonts w:asciiTheme="majorHAnsi" w:hAnsiTheme="majorHAnsi" w:cstheme="minorHAnsi"/>
          <w:sz w:val="24"/>
          <w:szCs w:val="24"/>
        </w:rPr>
        <w:t>).</w:t>
      </w:r>
    </w:p>
    <w:p w:rsidR="00313013" w:rsidRPr="00ED3700" w:rsidRDefault="00313013" w:rsidP="00A2106B">
      <w:pPr>
        <w:jc w:val="both"/>
        <w:rPr>
          <w:rFonts w:asciiTheme="majorHAnsi" w:hAnsiTheme="majorHAnsi" w:cstheme="minorHAnsi"/>
          <w:sz w:val="24"/>
          <w:szCs w:val="24"/>
        </w:rPr>
      </w:pPr>
    </w:p>
    <w:p w:rsidR="00A2106B" w:rsidRPr="00853054" w:rsidRDefault="00A2106B" w:rsidP="00A2106B">
      <w:pPr>
        <w:jc w:val="both"/>
        <w:rPr>
          <w:rFonts w:asciiTheme="majorHAnsi" w:hAnsiTheme="majorHAnsi" w:cstheme="minorHAnsi"/>
          <w:sz w:val="24"/>
          <w:szCs w:val="24"/>
        </w:rPr>
      </w:pPr>
      <w:r w:rsidRPr="00ED3700">
        <w:rPr>
          <w:rFonts w:asciiTheme="majorHAnsi" w:hAnsiTheme="majorHAnsi" w:cstheme="minorHAnsi"/>
          <w:sz w:val="24"/>
          <w:szCs w:val="24"/>
        </w:rPr>
        <w:t xml:space="preserve">Još jedna značajka sustava visokog obrazovanja koja negativno utječe na sve studente, ali </w:t>
      </w:r>
      <w:r w:rsidR="00853054">
        <w:rPr>
          <w:rFonts w:asciiTheme="majorHAnsi" w:hAnsiTheme="majorHAnsi" w:cstheme="minorHAnsi"/>
          <w:sz w:val="24"/>
          <w:szCs w:val="24"/>
        </w:rPr>
        <w:t xml:space="preserve">je </w:t>
      </w:r>
      <w:r w:rsidRPr="00ED3700">
        <w:rPr>
          <w:rFonts w:asciiTheme="majorHAnsi" w:hAnsiTheme="majorHAnsi" w:cstheme="minorHAnsi"/>
          <w:sz w:val="24"/>
          <w:szCs w:val="24"/>
        </w:rPr>
        <w:t xml:space="preserve">pogotovo </w:t>
      </w:r>
      <w:r w:rsidR="00853054">
        <w:rPr>
          <w:rFonts w:asciiTheme="majorHAnsi" w:hAnsiTheme="majorHAnsi" w:cstheme="minorHAnsi"/>
          <w:sz w:val="24"/>
          <w:szCs w:val="24"/>
        </w:rPr>
        <w:t>problematična</w:t>
      </w:r>
      <w:r w:rsidRPr="00ED3700">
        <w:rPr>
          <w:rFonts w:asciiTheme="majorHAnsi" w:hAnsiTheme="majorHAnsi" w:cstheme="minorHAnsi"/>
          <w:sz w:val="24"/>
          <w:szCs w:val="24"/>
        </w:rPr>
        <w:t xml:space="preserve"> za pripadnike ranjivih skupina, jest nedovoljna fleksibilnost studijskih programa</w:t>
      </w:r>
      <w:r w:rsidR="00853054">
        <w:rPr>
          <w:rFonts w:asciiTheme="majorHAnsi" w:hAnsiTheme="majorHAnsi" w:cstheme="minorHAnsi"/>
          <w:sz w:val="24"/>
          <w:szCs w:val="24"/>
        </w:rPr>
        <w:t xml:space="preserve"> (3.3.)</w:t>
      </w:r>
      <w:r w:rsidRPr="00ED3700">
        <w:rPr>
          <w:rFonts w:asciiTheme="majorHAnsi" w:hAnsiTheme="majorHAnsi" w:cstheme="minorHAnsi"/>
          <w:sz w:val="24"/>
          <w:szCs w:val="24"/>
        </w:rPr>
        <w:t xml:space="preserve">. U ovom smislu, procedure </w:t>
      </w:r>
      <w:proofErr w:type="spellStart"/>
      <w:r w:rsidRPr="00ED3700">
        <w:rPr>
          <w:rFonts w:asciiTheme="majorHAnsi" w:hAnsiTheme="majorHAnsi" w:cstheme="minorHAnsi"/>
          <w:sz w:val="24"/>
          <w:szCs w:val="24"/>
        </w:rPr>
        <w:t>validiranja</w:t>
      </w:r>
      <w:proofErr w:type="spellEnd"/>
      <w:r w:rsidRPr="00ED3700">
        <w:rPr>
          <w:rFonts w:asciiTheme="majorHAnsi" w:hAnsiTheme="majorHAnsi" w:cstheme="minorHAnsi"/>
          <w:sz w:val="24"/>
          <w:szCs w:val="24"/>
        </w:rPr>
        <w:t xml:space="preserve"> </w:t>
      </w:r>
      <w:proofErr w:type="spellStart"/>
      <w:r w:rsidRPr="00ED3700">
        <w:rPr>
          <w:rFonts w:asciiTheme="majorHAnsi" w:hAnsiTheme="majorHAnsi" w:cstheme="minorHAnsi"/>
          <w:sz w:val="24"/>
          <w:szCs w:val="24"/>
        </w:rPr>
        <w:t>informalnog</w:t>
      </w:r>
      <w:proofErr w:type="spellEnd"/>
      <w:r w:rsidRPr="00ED3700">
        <w:rPr>
          <w:rFonts w:asciiTheme="majorHAnsi" w:hAnsiTheme="majorHAnsi" w:cstheme="minorHAnsi"/>
          <w:sz w:val="24"/>
          <w:szCs w:val="24"/>
        </w:rPr>
        <w:t xml:space="preserve"> i neformalnog učenja mogu značajno olakšati pristup i uspješan završetak studija, naročito onima koji su prethodno stupili u radni odnos ili drugi oblik stjecanja praktičnog iskustva prije početka studija, ili tijekom njegova trajanja</w:t>
      </w:r>
      <w:r w:rsidR="00836DFF">
        <w:rPr>
          <w:rFonts w:asciiTheme="majorHAnsi" w:hAnsiTheme="majorHAnsi" w:cstheme="minorHAnsi"/>
          <w:sz w:val="24"/>
          <w:szCs w:val="24"/>
        </w:rPr>
        <w:t xml:space="preserve">, </w:t>
      </w:r>
      <w:r w:rsidR="00836DFF" w:rsidRPr="002D3241">
        <w:rPr>
          <w:rFonts w:asciiTheme="majorHAnsi" w:hAnsiTheme="majorHAnsi" w:cstheme="minorHAnsi"/>
          <w:sz w:val="24"/>
          <w:szCs w:val="24"/>
        </w:rPr>
        <w:t>pri čemu bitnu konceptualnu podlogu predstavlja</w:t>
      </w:r>
      <w:r w:rsidRPr="002D3241">
        <w:rPr>
          <w:rFonts w:asciiTheme="majorHAnsi" w:hAnsiTheme="majorHAnsi" w:cstheme="minorHAnsi"/>
          <w:sz w:val="24"/>
          <w:szCs w:val="24"/>
        </w:rPr>
        <w:t xml:space="preserve"> </w:t>
      </w:r>
      <w:r w:rsidR="00836DFF" w:rsidRPr="002D3241">
        <w:rPr>
          <w:rFonts w:asciiTheme="majorHAnsi" w:hAnsiTheme="majorHAnsi" w:cstheme="minorHAnsi"/>
          <w:sz w:val="24"/>
          <w:szCs w:val="24"/>
        </w:rPr>
        <w:t xml:space="preserve">strateški dokument za razvoj sustava priznavanja </w:t>
      </w:r>
      <w:r w:rsidR="002D3241" w:rsidRPr="00363331">
        <w:rPr>
          <w:rFonts w:asciiTheme="majorHAnsi" w:hAnsiTheme="majorHAnsi" w:cstheme="minorHAnsi"/>
          <w:sz w:val="24"/>
          <w:szCs w:val="24"/>
        </w:rPr>
        <w:t>prethodnog</w:t>
      </w:r>
      <w:r w:rsidR="00836DFF" w:rsidRPr="002D3241">
        <w:rPr>
          <w:rFonts w:asciiTheme="majorHAnsi" w:hAnsiTheme="majorHAnsi" w:cstheme="minorHAnsi"/>
          <w:sz w:val="24"/>
          <w:szCs w:val="24"/>
        </w:rPr>
        <w:t xml:space="preserve"> učenja.</w:t>
      </w:r>
      <w:r w:rsidR="00836DFF">
        <w:rPr>
          <w:rFonts w:asciiTheme="majorHAnsi" w:hAnsiTheme="majorHAnsi" w:cstheme="minorHAnsi"/>
          <w:sz w:val="24"/>
          <w:szCs w:val="24"/>
        </w:rPr>
        <w:t xml:space="preserve"> </w:t>
      </w:r>
      <w:r w:rsidRPr="00ED3700">
        <w:rPr>
          <w:rFonts w:asciiTheme="majorHAnsi" w:hAnsiTheme="majorHAnsi" w:cstheme="minorHAnsi"/>
          <w:sz w:val="24"/>
          <w:szCs w:val="24"/>
        </w:rPr>
        <w:t xml:space="preserve">Navedeno se također oslanja i na opći cilj 2. Strategije </w:t>
      </w:r>
      <w:r w:rsidRPr="00853054">
        <w:rPr>
          <w:rFonts w:asciiTheme="majorHAnsi" w:hAnsiTheme="majorHAnsi" w:cstheme="minorHAnsi"/>
          <w:sz w:val="24"/>
          <w:szCs w:val="24"/>
        </w:rPr>
        <w:t xml:space="preserve">(„Razviti procese i sustav priznavanja neformalno i </w:t>
      </w:r>
      <w:proofErr w:type="spellStart"/>
      <w:r w:rsidRPr="00853054">
        <w:rPr>
          <w:rFonts w:asciiTheme="majorHAnsi" w:hAnsiTheme="majorHAnsi" w:cstheme="minorHAnsi"/>
          <w:sz w:val="24"/>
          <w:szCs w:val="24"/>
        </w:rPr>
        <w:t>informalno</w:t>
      </w:r>
      <w:proofErr w:type="spellEnd"/>
      <w:r w:rsidRPr="00853054">
        <w:rPr>
          <w:rFonts w:asciiTheme="majorHAnsi" w:hAnsiTheme="majorHAnsi" w:cstheme="minorHAnsi"/>
          <w:sz w:val="24"/>
          <w:szCs w:val="24"/>
        </w:rPr>
        <w:t xml:space="preserve"> stečenih znanja i vještina“).</w:t>
      </w:r>
      <w:r w:rsidR="00836DFF">
        <w:rPr>
          <w:rFonts w:asciiTheme="majorHAnsi" w:hAnsiTheme="majorHAnsi" w:cstheme="minorHAnsi"/>
          <w:sz w:val="24"/>
          <w:szCs w:val="24"/>
        </w:rPr>
        <w:t xml:space="preserve"> </w:t>
      </w:r>
      <w:r w:rsidRPr="00ED3700">
        <w:rPr>
          <w:rFonts w:asciiTheme="majorHAnsi" w:hAnsiTheme="majorHAnsi" w:cstheme="minorHAnsi"/>
          <w:sz w:val="24"/>
          <w:szCs w:val="24"/>
        </w:rPr>
        <w:t xml:space="preserve">Drugi vid </w:t>
      </w:r>
      <w:proofErr w:type="spellStart"/>
      <w:r w:rsidRPr="00ED3700">
        <w:rPr>
          <w:rFonts w:asciiTheme="majorHAnsi" w:hAnsiTheme="majorHAnsi" w:cstheme="minorHAnsi"/>
          <w:sz w:val="24"/>
          <w:szCs w:val="24"/>
        </w:rPr>
        <w:t>fleksibilizacije</w:t>
      </w:r>
      <w:proofErr w:type="spellEnd"/>
      <w:r w:rsidRPr="00ED3700">
        <w:rPr>
          <w:rFonts w:asciiTheme="majorHAnsi" w:hAnsiTheme="majorHAnsi" w:cstheme="minorHAnsi"/>
          <w:sz w:val="24"/>
          <w:szCs w:val="24"/>
        </w:rPr>
        <w:t xml:space="preserve"> studijskih programa jest u korištenim nastavnim metodama i metodama procjena znanja. Moguće je koristiti alate učenja na daljinu kako bi se povećala dostupnost za studente, a pogotovo one kojima je zbog životnih okolnosti stalna fizička prisutnost otežana ili onemogućena. Ova mjera oslanja se i na cilj 5.2. Strategije </w:t>
      </w:r>
      <w:r w:rsidRPr="00853054">
        <w:rPr>
          <w:rFonts w:asciiTheme="majorHAnsi" w:hAnsiTheme="majorHAnsi" w:cstheme="minorHAnsi"/>
          <w:sz w:val="24"/>
          <w:szCs w:val="24"/>
        </w:rPr>
        <w:t>(„Unaprijediti informacijsko-komunikacijsku infrastrukturu“).</w:t>
      </w:r>
    </w:p>
    <w:p w:rsidR="00313013" w:rsidRPr="00ED3700" w:rsidRDefault="00313013" w:rsidP="00A2106B">
      <w:pPr>
        <w:jc w:val="both"/>
        <w:rPr>
          <w:rFonts w:asciiTheme="majorHAnsi" w:hAnsiTheme="majorHAnsi" w:cstheme="minorHAnsi"/>
          <w:sz w:val="24"/>
          <w:szCs w:val="24"/>
        </w:rPr>
      </w:pPr>
    </w:p>
    <w:p w:rsidR="00A2106B" w:rsidRPr="00853054" w:rsidRDefault="00A2106B" w:rsidP="00A2106B">
      <w:pPr>
        <w:jc w:val="both"/>
        <w:rPr>
          <w:rFonts w:asciiTheme="majorHAnsi" w:hAnsiTheme="majorHAnsi" w:cstheme="minorHAnsi"/>
          <w:sz w:val="24"/>
          <w:szCs w:val="24"/>
        </w:rPr>
      </w:pPr>
      <w:r w:rsidRPr="00ED3700">
        <w:rPr>
          <w:rFonts w:asciiTheme="majorHAnsi" w:hAnsiTheme="majorHAnsi" w:cstheme="minorHAnsi"/>
          <w:sz w:val="24"/>
          <w:szCs w:val="24"/>
        </w:rPr>
        <w:t>Studentima pripadnicima ranjivih skupina potrebna je također i razvijenija podrška u učenju</w:t>
      </w:r>
      <w:r w:rsidR="00853054">
        <w:rPr>
          <w:rFonts w:asciiTheme="majorHAnsi" w:hAnsiTheme="majorHAnsi" w:cstheme="minorHAnsi"/>
          <w:sz w:val="24"/>
          <w:szCs w:val="24"/>
        </w:rPr>
        <w:t xml:space="preserve"> (3.4.)</w:t>
      </w:r>
      <w:r w:rsidRPr="00ED3700">
        <w:rPr>
          <w:rFonts w:asciiTheme="majorHAnsi" w:hAnsiTheme="majorHAnsi" w:cstheme="minorHAnsi"/>
          <w:sz w:val="24"/>
          <w:szCs w:val="24"/>
        </w:rPr>
        <w:t xml:space="preserve">. Predložene mjere u ovoj domeni jesu šira dostupnost resursa za učenje, prilagodba nastavnih materijala, te uspostava i razvoj sustava </w:t>
      </w:r>
      <w:proofErr w:type="spellStart"/>
      <w:r w:rsidRPr="00ED3700">
        <w:rPr>
          <w:rFonts w:asciiTheme="majorHAnsi" w:hAnsiTheme="majorHAnsi" w:cstheme="minorHAnsi"/>
          <w:sz w:val="24"/>
          <w:szCs w:val="24"/>
        </w:rPr>
        <w:t>mentoriranja</w:t>
      </w:r>
      <w:proofErr w:type="spellEnd"/>
      <w:r w:rsidRPr="00ED3700">
        <w:rPr>
          <w:rFonts w:asciiTheme="majorHAnsi" w:hAnsiTheme="majorHAnsi" w:cstheme="minorHAnsi"/>
          <w:sz w:val="24"/>
          <w:szCs w:val="24"/>
        </w:rPr>
        <w:t xml:space="preserve"> studenata. </w:t>
      </w:r>
      <w:r w:rsidRPr="00ED3700">
        <w:rPr>
          <w:rFonts w:asciiTheme="majorHAnsi" w:hAnsiTheme="majorHAnsi" w:cstheme="minorHAnsi"/>
          <w:sz w:val="24"/>
          <w:szCs w:val="24"/>
        </w:rPr>
        <w:lastRenderedPageBreak/>
        <w:t xml:space="preserve">Predložene mjere proizlaze također i iz mjere 1.2.3. cilja 1.2. Strategije </w:t>
      </w:r>
      <w:r w:rsidRPr="00853054">
        <w:rPr>
          <w:rFonts w:asciiTheme="majorHAnsi" w:hAnsiTheme="majorHAnsi" w:cstheme="minorHAnsi"/>
          <w:sz w:val="24"/>
          <w:szCs w:val="24"/>
        </w:rPr>
        <w:t>(„</w:t>
      </w:r>
      <w:r w:rsidRPr="00853054">
        <w:rPr>
          <w:rFonts w:asciiTheme="majorHAnsi" w:hAnsiTheme="majorHAnsi" w:cstheme="minorHAnsi"/>
          <w:sz w:val="24"/>
          <w:szCs w:val="24"/>
          <w:shd w:val="clear" w:color="auto" w:fill="FFFFFF"/>
        </w:rPr>
        <w:t>Osmisliti i uvesti mentorski sustav na sva visoka učilišta”).</w:t>
      </w:r>
    </w:p>
    <w:p w:rsidR="00313013" w:rsidRPr="00ED3700" w:rsidRDefault="00313013" w:rsidP="00A2106B">
      <w:pPr>
        <w:jc w:val="both"/>
        <w:rPr>
          <w:rFonts w:asciiTheme="majorHAnsi" w:hAnsiTheme="majorHAnsi" w:cstheme="minorHAnsi"/>
          <w:sz w:val="24"/>
          <w:szCs w:val="24"/>
        </w:rPr>
      </w:pPr>
    </w:p>
    <w:p w:rsidR="00A2106B" w:rsidRPr="009D4F1B" w:rsidRDefault="00A2106B" w:rsidP="00A2106B">
      <w:pPr>
        <w:jc w:val="both"/>
        <w:rPr>
          <w:rFonts w:asciiTheme="majorHAnsi" w:hAnsiTheme="majorHAnsi" w:cstheme="minorHAnsi"/>
          <w:sz w:val="24"/>
          <w:szCs w:val="24"/>
        </w:rPr>
      </w:pPr>
      <w:r w:rsidRPr="00ED3700">
        <w:rPr>
          <w:rFonts w:asciiTheme="majorHAnsi" w:hAnsiTheme="majorHAnsi" w:cstheme="minorHAnsi"/>
          <w:sz w:val="24"/>
          <w:szCs w:val="24"/>
        </w:rPr>
        <w:t>Temeljna pretpostavka dostupnosti i pristupačnosti visokog obrazovanja za ranjive skupine jesu kvalitetno osposobljeni i obrazovani nastavnici i nenastavno osoblje visokih učilišta</w:t>
      </w:r>
      <w:r w:rsidR="00853054">
        <w:rPr>
          <w:rFonts w:asciiTheme="majorHAnsi" w:hAnsiTheme="majorHAnsi" w:cstheme="minorHAnsi"/>
          <w:sz w:val="24"/>
          <w:szCs w:val="24"/>
        </w:rPr>
        <w:t xml:space="preserve"> (3.5.)</w:t>
      </w:r>
      <w:r w:rsidRPr="00ED3700">
        <w:rPr>
          <w:rFonts w:asciiTheme="majorHAnsi" w:hAnsiTheme="majorHAnsi" w:cstheme="minorHAnsi"/>
          <w:sz w:val="24"/>
          <w:szCs w:val="24"/>
        </w:rPr>
        <w:t xml:space="preserve">. Trenutno, čak i nastavnici koji su završili formalno obrazovanje u ovom području (nastavnički studiji) nisu kroz takav program prošli sadržajniju obuku o radu s ranjivim skupinama studenata. Mjere koje se predlažu jesu revizija studijskih programa koji pružaju nastavničke kompetencije i uspostava programa za usavršavanje nastavnika za rad s ranjivim skupinama, a oslanjaju se i na cilj 3. Strategije </w:t>
      </w:r>
      <w:r w:rsidRPr="009D4F1B">
        <w:rPr>
          <w:rFonts w:asciiTheme="majorHAnsi" w:hAnsiTheme="majorHAnsi" w:cstheme="minorHAnsi"/>
          <w:sz w:val="24"/>
          <w:szCs w:val="24"/>
        </w:rPr>
        <w:t>(„Osigurati kvalitetnu kadrovsku strukturu visokih</w:t>
      </w:r>
      <w:r w:rsidR="003B04FD">
        <w:rPr>
          <w:rFonts w:asciiTheme="majorHAnsi" w:hAnsiTheme="majorHAnsi" w:cstheme="minorHAnsi"/>
          <w:sz w:val="24"/>
          <w:szCs w:val="24"/>
        </w:rPr>
        <w:t xml:space="preserve"> učilišta kao osnovu za unapređiva</w:t>
      </w:r>
      <w:r w:rsidRPr="009D4F1B">
        <w:rPr>
          <w:rFonts w:asciiTheme="majorHAnsi" w:hAnsiTheme="majorHAnsi" w:cstheme="minorHAnsi"/>
          <w:sz w:val="24"/>
          <w:szCs w:val="24"/>
        </w:rPr>
        <w:t>nje kvalitete visokog obrazovanja“).</w:t>
      </w:r>
    </w:p>
    <w:p w:rsidR="00313013" w:rsidRPr="00ED3700" w:rsidRDefault="00313013" w:rsidP="00A2106B">
      <w:pPr>
        <w:jc w:val="both"/>
        <w:rPr>
          <w:rFonts w:asciiTheme="majorHAnsi" w:hAnsiTheme="majorHAnsi" w:cstheme="minorHAnsi"/>
          <w:sz w:val="24"/>
          <w:szCs w:val="24"/>
        </w:rPr>
      </w:pPr>
    </w:p>
    <w:p w:rsidR="00723980" w:rsidRPr="005E3DA1" w:rsidRDefault="00A2106B" w:rsidP="00723980">
      <w:pPr>
        <w:pStyle w:val="FootnoteText"/>
        <w:rPr>
          <w:rFonts w:asciiTheme="majorHAnsi" w:hAnsiTheme="majorHAnsi"/>
        </w:rPr>
      </w:pPr>
      <w:r w:rsidRPr="00ED3700">
        <w:rPr>
          <w:rFonts w:asciiTheme="majorHAnsi" w:hAnsiTheme="majorHAnsi" w:cstheme="minorHAnsi"/>
          <w:sz w:val="24"/>
          <w:szCs w:val="24"/>
        </w:rPr>
        <w:t>Naposljetku, iz perspektive socijalne dimenzije visokog obrazovanja problematično je i razdioba sustava visokog obrazovanja na redovne i izvanredne studije, odnosno studente</w:t>
      </w:r>
      <w:r w:rsidR="009D4F1B">
        <w:rPr>
          <w:rFonts w:asciiTheme="majorHAnsi" w:hAnsiTheme="majorHAnsi" w:cstheme="minorHAnsi"/>
          <w:sz w:val="24"/>
          <w:szCs w:val="24"/>
        </w:rPr>
        <w:t xml:space="preserve"> (3.6.)</w:t>
      </w:r>
      <w:r w:rsidRPr="00ED3700">
        <w:rPr>
          <w:rFonts w:asciiTheme="majorHAnsi" w:hAnsiTheme="majorHAnsi" w:cstheme="minorHAnsi"/>
          <w:sz w:val="24"/>
          <w:szCs w:val="24"/>
        </w:rPr>
        <w:t xml:space="preserve">. Izvanredni studenti izglednije će biti pripadnici ranjivih skupina, dok istovremeno imaju smanjen ili nikakav pristup instrumentima podrške studentima. </w:t>
      </w:r>
      <w:r w:rsidR="00723980" w:rsidRPr="00723980">
        <w:rPr>
          <w:rFonts w:asciiTheme="majorHAnsi" w:hAnsiTheme="majorHAnsi" w:cstheme="minorHAnsi"/>
        </w:rPr>
        <w:t>*</w:t>
      </w:r>
      <w:proofErr w:type="spellStart"/>
      <w:r w:rsidR="00723980" w:rsidRPr="005E3DA1">
        <w:rPr>
          <w:rFonts w:asciiTheme="majorHAnsi" w:hAnsiTheme="majorHAnsi"/>
        </w:rPr>
        <w:t>Šćukanec</w:t>
      </w:r>
      <w:proofErr w:type="spellEnd"/>
      <w:r w:rsidR="00723980" w:rsidRPr="005E3DA1">
        <w:rPr>
          <w:rFonts w:asciiTheme="majorHAnsi" w:hAnsiTheme="majorHAnsi"/>
        </w:rPr>
        <w:t xml:space="preserve">, N., Sinković, M., Bilić, R., </w:t>
      </w:r>
      <w:proofErr w:type="spellStart"/>
      <w:r w:rsidR="00723980" w:rsidRPr="005E3DA1">
        <w:rPr>
          <w:rFonts w:asciiTheme="majorHAnsi" w:hAnsiTheme="majorHAnsi"/>
        </w:rPr>
        <w:t>Doolan</w:t>
      </w:r>
      <w:proofErr w:type="spellEnd"/>
      <w:r w:rsidR="00723980" w:rsidRPr="005E3DA1">
        <w:rPr>
          <w:rFonts w:asciiTheme="majorHAnsi" w:hAnsiTheme="majorHAnsi"/>
        </w:rPr>
        <w:t xml:space="preserve">, K. i Cvitan, M. (2016). </w:t>
      </w:r>
      <w:r w:rsidR="00723980" w:rsidRPr="005E3DA1">
        <w:rPr>
          <w:rFonts w:asciiTheme="majorHAnsi" w:hAnsiTheme="majorHAnsi"/>
          <w:i/>
        </w:rPr>
        <w:t>Socijalni i ekonomski uvjeti studentskog života u Hrvatskoj: nacionalno izvješće istraživanja EUROSTUDENT V za Hrvatsku za 2014.</w:t>
      </w:r>
      <w:r w:rsidR="00723980" w:rsidRPr="005E3DA1">
        <w:rPr>
          <w:rFonts w:asciiTheme="majorHAnsi" w:hAnsiTheme="majorHAnsi"/>
        </w:rPr>
        <w:t xml:space="preserve">Zagreb: MZOS. </w:t>
      </w:r>
    </w:p>
    <w:p w:rsidR="00A2106B" w:rsidRPr="004D176E" w:rsidRDefault="00A2106B" w:rsidP="00A2106B">
      <w:pPr>
        <w:jc w:val="both"/>
        <w:rPr>
          <w:rFonts w:asciiTheme="majorHAnsi" w:hAnsiTheme="majorHAnsi" w:cstheme="minorHAnsi"/>
          <w:sz w:val="24"/>
          <w:szCs w:val="24"/>
        </w:rPr>
      </w:pPr>
      <w:r w:rsidRPr="00ED3700">
        <w:rPr>
          <w:rFonts w:asciiTheme="majorHAnsi" w:hAnsiTheme="majorHAnsi" w:cstheme="minorHAnsi"/>
          <w:sz w:val="24"/>
          <w:szCs w:val="24"/>
        </w:rPr>
        <w:t>Situaciju za ove studente pogoršava također i činjenica da, osim što svi plaćaju studij, većina ih nije u stalnom radnom odnosu na puno radno vrijeme. Predložene mjere</w:t>
      </w:r>
      <w:r w:rsidR="0044736A">
        <w:rPr>
          <w:rFonts w:asciiTheme="majorHAnsi" w:hAnsiTheme="majorHAnsi" w:cstheme="minorHAnsi"/>
          <w:sz w:val="24"/>
          <w:szCs w:val="24"/>
        </w:rPr>
        <w:t xml:space="preserve"> u ovom Nacionalnom planu za unapređivanje položaja izvanrednih studenata odnose se na</w:t>
      </w:r>
      <w:r w:rsidRPr="00ED3700">
        <w:rPr>
          <w:rFonts w:asciiTheme="majorHAnsi" w:hAnsiTheme="majorHAnsi" w:cstheme="minorHAnsi"/>
          <w:sz w:val="24"/>
          <w:szCs w:val="24"/>
        </w:rPr>
        <w:t xml:space="preserve"> ograničavanje školarina studenata izvanrednih studija, zakonsko reguliranje prava studenata izvanrednih studija, omogućavanje dijelu studenata izvanrednih studija pristup alatima za poboljšanje studentskog standarda. </w:t>
      </w:r>
      <w:r w:rsidRPr="004D176E">
        <w:rPr>
          <w:rFonts w:asciiTheme="majorHAnsi" w:hAnsiTheme="majorHAnsi" w:cstheme="minorHAnsi"/>
          <w:sz w:val="24"/>
          <w:szCs w:val="24"/>
        </w:rPr>
        <w:t>Ove mjere oslanjaju se na cilj 2.8. Strategije („redefinirati model studiranja s djelomičnim opterećenjem (izvanredni studiji)“).</w:t>
      </w:r>
    </w:p>
    <w:p w:rsidR="0061582F" w:rsidRPr="00ED3700" w:rsidRDefault="0061582F" w:rsidP="00A2106B">
      <w:pPr>
        <w:jc w:val="both"/>
        <w:rPr>
          <w:rFonts w:asciiTheme="majorHAnsi" w:hAnsiTheme="majorHAnsi" w:cstheme="minorHAnsi"/>
          <w:sz w:val="24"/>
          <w:szCs w:val="24"/>
        </w:rPr>
      </w:pPr>
    </w:p>
    <w:p w:rsidR="00AF2143" w:rsidRPr="00ED3700" w:rsidRDefault="00AF2143" w:rsidP="00897A38">
      <w:pPr>
        <w:pStyle w:val="Heading3"/>
        <w:rPr>
          <w:rStyle w:val="BookTitle"/>
          <w:sz w:val="28"/>
          <w:szCs w:val="28"/>
        </w:rPr>
      </w:pPr>
      <w:r w:rsidRPr="00ED3700">
        <w:rPr>
          <w:rStyle w:val="BookTitle"/>
          <w:sz w:val="28"/>
          <w:szCs w:val="28"/>
        </w:rPr>
        <w:t>Cilj 4: Podizanje stope završavanja i zapošljavanja podzastupljenih i ranjivih skupina nakon završetka studija</w:t>
      </w:r>
    </w:p>
    <w:p w:rsidR="0061582F" w:rsidRPr="00ED3700" w:rsidRDefault="0061582F" w:rsidP="00A2106B">
      <w:pPr>
        <w:jc w:val="both"/>
        <w:rPr>
          <w:rFonts w:asciiTheme="majorHAnsi" w:hAnsiTheme="majorHAnsi" w:cstheme="minorHAnsi"/>
          <w:sz w:val="24"/>
          <w:szCs w:val="24"/>
        </w:rPr>
      </w:pPr>
    </w:p>
    <w:p w:rsidR="00723980" w:rsidRPr="000A119E" w:rsidRDefault="00225857" w:rsidP="00723980">
      <w:pPr>
        <w:pStyle w:val="FootnoteText"/>
        <w:rPr>
          <w:rFonts w:asciiTheme="majorHAnsi" w:hAnsiTheme="majorHAnsi"/>
        </w:rPr>
      </w:pPr>
      <w:r w:rsidRPr="00ED3700">
        <w:rPr>
          <w:rFonts w:asciiTheme="majorHAnsi" w:hAnsiTheme="majorHAnsi" w:cs="Times New Roman"/>
          <w:sz w:val="24"/>
          <w:szCs w:val="24"/>
        </w:rPr>
        <w:t xml:space="preserve">Stopa nezaposlenih mladih ljudi u Hrvatskoj je među najvišima u EU što ima dugoročno iznimno loše posljedice za gospodarstvo, ali i društvene fenomene i osobne probleme nezaposlenih. Prema </w:t>
      </w:r>
      <w:proofErr w:type="spellStart"/>
      <w:r w:rsidRPr="00ED3700">
        <w:rPr>
          <w:rFonts w:asciiTheme="majorHAnsi" w:hAnsiTheme="majorHAnsi" w:cs="Times New Roman"/>
          <w:sz w:val="24"/>
          <w:szCs w:val="24"/>
        </w:rPr>
        <w:t>Eurostatu</w:t>
      </w:r>
      <w:proofErr w:type="spellEnd"/>
      <w:r>
        <w:rPr>
          <w:rFonts w:asciiTheme="majorHAnsi" w:hAnsiTheme="majorHAnsi" w:cs="Times New Roman"/>
          <w:sz w:val="24"/>
          <w:szCs w:val="24"/>
        </w:rPr>
        <w:t>,</w:t>
      </w:r>
      <w:r w:rsidR="00723980">
        <w:rPr>
          <w:rFonts w:asciiTheme="majorHAnsi" w:hAnsiTheme="majorHAnsi" w:cs="Times New Roman"/>
          <w:sz w:val="24"/>
          <w:szCs w:val="24"/>
        </w:rPr>
        <w:t xml:space="preserve"> *</w:t>
      </w:r>
      <w:r w:rsidR="00723980" w:rsidRPr="000A119E">
        <w:rPr>
          <w:rFonts w:asciiTheme="majorHAnsi" w:hAnsiTheme="majorHAnsi"/>
        </w:rPr>
        <w:t xml:space="preserve"> </w:t>
      </w:r>
      <w:proofErr w:type="spellStart"/>
      <w:r w:rsidR="00723980" w:rsidRPr="000A119E">
        <w:rPr>
          <w:rFonts w:asciiTheme="majorHAnsi" w:hAnsiTheme="majorHAnsi"/>
        </w:rPr>
        <w:t>Eurostat</w:t>
      </w:r>
      <w:proofErr w:type="spellEnd"/>
      <w:r w:rsidR="00723980" w:rsidRPr="000A119E">
        <w:rPr>
          <w:rFonts w:asciiTheme="majorHAnsi" w:hAnsiTheme="majorHAnsi"/>
        </w:rPr>
        <w:t xml:space="preserve"> </w:t>
      </w:r>
      <w:proofErr w:type="spellStart"/>
      <w:r w:rsidR="00723980" w:rsidRPr="000A119E">
        <w:rPr>
          <w:rFonts w:asciiTheme="majorHAnsi" w:hAnsiTheme="majorHAnsi"/>
        </w:rPr>
        <w:t>Employment</w:t>
      </w:r>
      <w:proofErr w:type="spellEnd"/>
      <w:r w:rsidR="00723980" w:rsidRPr="000A119E">
        <w:rPr>
          <w:rFonts w:asciiTheme="majorHAnsi" w:hAnsiTheme="majorHAnsi"/>
        </w:rPr>
        <w:t xml:space="preserve"> </w:t>
      </w:r>
      <w:proofErr w:type="spellStart"/>
      <w:r w:rsidR="00723980" w:rsidRPr="000A119E">
        <w:rPr>
          <w:rFonts w:asciiTheme="majorHAnsi" w:hAnsiTheme="majorHAnsi"/>
        </w:rPr>
        <w:t>Statistics</w:t>
      </w:r>
      <w:proofErr w:type="spellEnd"/>
      <w:r w:rsidR="00723980" w:rsidRPr="000A119E">
        <w:rPr>
          <w:rFonts w:asciiTheme="majorHAnsi" w:hAnsiTheme="majorHAnsi"/>
        </w:rPr>
        <w:t xml:space="preserve">: </w:t>
      </w:r>
      <w:hyperlink r:id="rId17" w:history="1">
        <w:r w:rsidR="00723980" w:rsidRPr="000A119E">
          <w:rPr>
            <w:rStyle w:val="Hyperlink"/>
            <w:rFonts w:asciiTheme="majorHAnsi" w:hAnsiTheme="majorHAnsi"/>
          </w:rPr>
          <w:t>http://ec.europa.eu/eurostat/statistics-explained/index.php/Employment_statistics</w:t>
        </w:r>
      </w:hyperlink>
    </w:p>
    <w:p w:rsidR="00723980" w:rsidRPr="000A119E" w:rsidRDefault="00225857" w:rsidP="00723980">
      <w:pPr>
        <w:jc w:val="both"/>
        <w:rPr>
          <w:rFonts w:asciiTheme="majorHAnsi" w:hAnsiTheme="majorHAnsi" w:cs="Times New Roman"/>
          <w:sz w:val="20"/>
          <w:szCs w:val="20"/>
        </w:rPr>
      </w:pPr>
      <w:r>
        <w:rPr>
          <w:rFonts w:asciiTheme="majorHAnsi" w:hAnsiTheme="majorHAnsi" w:cs="Times New Roman"/>
          <w:sz w:val="24"/>
          <w:szCs w:val="24"/>
        </w:rPr>
        <w:t>s</w:t>
      </w:r>
      <w:r w:rsidRPr="00ED3700">
        <w:rPr>
          <w:rFonts w:asciiTheme="majorHAnsi" w:hAnsiTheme="majorHAnsi" w:cs="Times New Roman"/>
          <w:sz w:val="24"/>
          <w:szCs w:val="24"/>
        </w:rPr>
        <w:t>topa anketne nezaposlenosti mladih u Grčkoj i Španjolskoj u 2014. godini bila je najviša u EU, dok je Hrvatska iste godine zauzela visoko treće mjesto unutar Europske unije sa stopom od 45,5%. Prosjek EU je bio 22,2%. Od tada na razini EU, a i u Hrvatskoj stopa nezaposlenih mladih pada, ali je u Hrvatskoj i dalje vrlo visoka. U 2015. godini prosječna je stopa nezaposlenosti među mladima u dobi od 15 do 24 godine u Europskoj uniji iznosila</w:t>
      </w:r>
      <w:r>
        <w:rPr>
          <w:rFonts w:asciiTheme="majorHAnsi" w:hAnsiTheme="majorHAnsi" w:cs="Times New Roman"/>
          <w:sz w:val="24"/>
          <w:szCs w:val="24"/>
        </w:rPr>
        <w:t xml:space="preserve"> 20,4%, u usporedbi s 22,2% </w:t>
      </w:r>
      <w:r w:rsidRPr="00ED3700">
        <w:rPr>
          <w:rFonts w:asciiTheme="majorHAnsi" w:hAnsiTheme="majorHAnsi" w:cs="Times New Roman"/>
          <w:sz w:val="24"/>
          <w:szCs w:val="24"/>
        </w:rPr>
        <w:t xml:space="preserve">godinu dana ranije.  U Hrvatskoj stopa nezaposlenosti mladih u 2015. godini iznosila je </w:t>
      </w:r>
      <w:r>
        <w:rPr>
          <w:rFonts w:asciiTheme="majorHAnsi" w:hAnsiTheme="majorHAnsi" w:cs="Times New Roman"/>
          <w:sz w:val="24"/>
          <w:szCs w:val="24"/>
        </w:rPr>
        <w:t>43%.</w:t>
      </w:r>
      <w:r w:rsidRPr="00905E8E">
        <w:rPr>
          <w:rFonts w:asciiTheme="majorHAnsi" w:hAnsiTheme="majorHAnsi" w:cs="Times New Roman"/>
          <w:sz w:val="24"/>
          <w:szCs w:val="24"/>
        </w:rPr>
        <w:t xml:space="preserve"> </w:t>
      </w:r>
      <w:r w:rsidRPr="00ED3700">
        <w:rPr>
          <w:rFonts w:asciiTheme="majorHAnsi" w:hAnsiTheme="majorHAnsi" w:cs="Times New Roman"/>
          <w:sz w:val="24"/>
          <w:szCs w:val="24"/>
        </w:rPr>
        <w:t>Stopa zaposlenosti osoba koje su završile tercijarn</w:t>
      </w:r>
      <w:r>
        <w:rPr>
          <w:rFonts w:asciiTheme="majorHAnsi" w:hAnsiTheme="majorHAnsi" w:cs="Times New Roman"/>
          <w:sz w:val="24"/>
          <w:szCs w:val="24"/>
        </w:rPr>
        <w:t xml:space="preserve">o </w:t>
      </w:r>
      <w:r w:rsidR="00C964ED">
        <w:rPr>
          <w:rFonts w:asciiTheme="majorHAnsi" w:hAnsiTheme="majorHAnsi" w:cs="Times New Roman"/>
          <w:sz w:val="24"/>
          <w:szCs w:val="24"/>
        </w:rPr>
        <w:t xml:space="preserve">obrazovanje </w:t>
      </w:r>
      <w:r>
        <w:rPr>
          <w:rFonts w:asciiTheme="majorHAnsi" w:hAnsiTheme="majorHAnsi" w:cs="Times New Roman"/>
          <w:sz w:val="24"/>
          <w:szCs w:val="24"/>
        </w:rPr>
        <w:t>iznosila je 2014. ukupno 83,7</w:t>
      </w:r>
      <w:r w:rsidRPr="00ED3700">
        <w:rPr>
          <w:rFonts w:asciiTheme="majorHAnsi" w:hAnsiTheme="majorHAnsi" w:cs="Times New Roman"/>
          <w:sz w:val="24"/>
          <w:szCs w:val="24"/>
        </w:rPr>
        <w:t>% u EU-28 dok je za Hrvatsku ta stopa 80,5%.</w:t>
      </w:r>
      <w:r w:rsidR="00723980">
        <w:rPr>
          <w:rFonts w:asciiTheme="majorHAnsi" w:hAnsiTheme="majorHAnsi" w:cs="Times New Roman"/>
          <w:sz w:val="24"/>
          <w:szCs w:val="24"/>
        </w:rPr>
        <w:t xml:space="preserve"> *</w:t>
      </w:r>
      <w:r w:rsidR="00723980">
        <w:rPr>
          <w:rFonts w:asciiTheme="majorHAnsi" w:hAnsiTheme="majorHAnsi"/>
          <w:sz w:val="20"/>
          <w:szCs w:val="20"/>
        </w:rPr>
        <w:t xml:space="preserve">Strategija </w:t>
      </w:r>
      <w:r w:rsidR="00723980">
        <w:rPr>
          <w:rFonts w:ascii="Cambria" w:hAnsi="Cambria"/>
          <w:color w:val="222222"/>
          <w:sz w:val="20"/>
          <w:szCs w:val="20"/>
        </w:rPr>
        <w:t xml:space="preserve">Europa 2020 - </w:t>
      </w:r>
      <w:r w:rsidR="00723980">
        <w:rPr>
          <w:rFonts w:ascii="Cambria" w:hAnsi="Cambria"/>
          <w:sz w:val="20"/>
          <w:szCs w:val="20"/>
        </w:rPr>
        <w:t>Europska strategija za pametan, održiv i uključiv rast (2010). Europska komisija</w:t>
      </w:r>
      <w:r w:rsidR="00723980">
        <w:rPr>
          <w:rFonts w:asciiTheme="majorHAnsi" w:hAnsiTheme="majorHAnsi" w:cs="Times New Roman"/>
          <w:sz w:val="20"/>
          <w:szCs w:val="20"/>
        </w:rPr>
        <w:t>. P</w:t>
      </w:r>
      <w:r w:rsidR="00723980" w:rsidRPr="000A119E">
        <w:rPr>
          <w:rFonts w:asciiTheme="majorHAnsi" w:hAnsiTheme="majorHAnsi" w:cs="Times New Roman"/>
          <w:sz w:val="20"/>
          <w:szCs w:val="20"/>
        </w:rPr>
        <w:t>osebno naglašava postizanje triju glavnih ciljeva do 2020.: 75 % zaposlenih osoba u dobi od 20 do 64 godine; stope prijevremenog napuštanja školovanja niže od 10 % te najmanje 40 % osoba u dobi od 30 do 34 godine sa završenim tercijarnim obrazovanjem; najmanje 20 milijuna manje osoba izloženih siromaštvu ili u opasnosti da budu izložene siromaštvu i socijalnoj isključenosti.</w:t>
      </w:r>
    </w:p>
    <w:p w:rsidR="00225857" w:rsidRPr="00ED3700" w:rsidRDefault="00225857" w:rsidP="00225857">
      <w:pPr>
        <w:jc w:val="both"/>
        <w:rPr>
          <w:rFonts w:asciiTheme="majorHAnsi" w:hAnsiTheme="majorHAnsi" w:cs="Times New Roman"/>
          <w:sz w:val="24"/>
          <w:szCs w:val="24"/>
        </w:rPr>
      </w:pPr>
    </w:p>
    <w:p w:rsidR="00225857" w:rsidRPr="00ED3700" w:rsidRDefault="00225857" w:rsidP="00225857">
      <w:pPr>
        <w:jc w:val="both"/>
        <w:rPr>
          <w:rFonts w:asciiTheme="majorHAnsi" w:hAnsiTheme="majorHAnsi" w:cs="Times New Roman"/>
          <w:sz w:val="24"/>
          <w:szCs w:val="24"/>
        </w:rPr>
      </w:pPr>
    </w:p>
    <w:p w:rsidR="00225857" w:rsidRPr="00ED3700" w:rsidRDefault="00225857" w:rsidP="00225857">
      <w:pPr>
        <w:jc w:val="both"/>
        <w:rPr>
          <w:rFonts w:asciiTheme="majorHAnsi" w:hAnsiTheme="majorHAnsi" w:cs="Times New Roman"/>
          <w:sz w:val="24"/>
          <w:szCs w:val="24"/>
        </w:rPr>
      </w:pPr>
      <w:r w:rsidRPr="00ED3700">
        <w:rPr>
          <w:rFonts w:asciiTheme="majorHAnsi" w:hAnsiTheme="majorHAnsi" w:cs="Times New Roman"/>
          <w:sz w:val="24"/>
          <w:szCs w:val="24"/>
        </w:rPr>
        <w:t xml:space="preserve">Europska komisija donijela je 18. travnja 2012. skup prijedloga </w:t>
      </w:r>
      <w:r w:rsidR="00C964ED">
        <w:rPr>
          <w:rFonts w:asciiTheme="majorHAnsi" w:hAnsiTheme="majorHAnsi" w:cs="Times New Roman"/>
          <w:sz w:val="24"/>
          <w:szCs w:val="24"/>
        </w:rPr>
        <w:t>i</w:t>
      </w:r>
      <w:r w:rsidR="00C964ED" w:rsidRPr="00ED3700">
        <w:rPr>
          <w:rFonts w:asciiTheme="majorHAnsi" w:hAnsiTheme="majorHAnsi" w:cs="Times New Roman"/>
          <w:sz w:val="24"/>
          <w:szCs w:val="24"/>
        </w:rPr>
        <w:t xml:space="preserve"> mjer</w:t>
      </w:r>
      <w:r w:rsidR="00C964ED">
        <w:rPr>
          <w:rFonts w:asciiTheme="majorHAnsi" w:hAnsiTheme="majorHAnsi" w:cs="Times New Roman"/>
          <w:sz w:val="24"/>
          <w:szCs w:val="24"/>
        </w:rPr>
        <w:t>a</w:t>
      </w:r>
      <w:r w:rsidR="00C964ED" w:rsidRPr="00ED3700">
        <w:rPr>
          <w:rFonts w:asciiTheme="majorHAnsi" w:hAnsiTheme="majorHAnsi" w:cs="Times New Roman"/>
          <w:sz w:val="24"/>
          <w:szCs w:val="24"/>
        </w:rPr>
        <w:t xml:space="preserve"> </w:t>
      </w:r>
      <w:r w:rsidRPr="00ED3700">
        <w:rPr>
          <w:rFonts w:asciiTheme="majorHAnsi" w:hAnsiTheme="majorHAnsi" w:cs="Times New Roman"/>
          <w:sz w:val="24"/>
          <w:szCs w:val="24"/>
        </w:rPr>
        <w:t>za poticanje zapošljavanja posebnim paketom mjera za zapošljavanje, koje Hrvatska također mora namjenski iskoristiti. U prosincu 2012., suočena s visokom i još uvijek rastućom nezaposlenošću mladih Europska komisija predložila je Paket za zapošljavanje mladih. Taj se paket nastavlja na mjere za mlade utvrđene u širem paketu za zapošljavanje i sastoji se od niza prijedloga, uključujući sljedeće:</w:t>
      </w:r>
    </w:p>
    <w:p w:rsidR="00225857" w:rsidRPr="00ED3700" w:rsidRDefault="00225857" w:rsidP="00225857">
      <w:pPr>
        <w:pStyle w:val="ListParagraph"/>
        <w:numPr>
          <w:ilvl w:val="0"/>
          <w:numId w:val="6"/>
        </w:numPr>
        <w:ind w:left="0" w:firstLine="0"/>
        <w:contextualSpacing w:val="0"/>
        <w:jc w:val="both"/>
        <w:rPr>
          <w:rFonts w:asciiTheme="majorHAnsi" w:hAnsiTheme="majorHAnsi" w:cs="Times New Roman"/>
          <w:sz w:val="24"/>
          <w:szCs w:val="24"/>
        </w:rPr>
      </w:pPr>
      <w:r w:rsidRPr="00ED3700">
        <w:rPr>
          <w:rFonts w:asciiTheme="majorHAnsi" w:hAnsiTheme="majorHAnsi" w:cs="Times New Roman"/>
          <w:sz w:val="24"/>
          <w:szCs w:val="24"/>
        </w:rPr>
        <w:t>sve bi mlade osobe u dobi do 25 godina trebale dobiti kvalitetnu ponudu za zaposlenje, daljnje obrazovanje, naukovanje ili praktičnu izobrazbu u razdoblju od četiri mjeseca od završetka formalnog obrazovanja ili prestanka radnog odnosa (jamstvo za mlade),</w:t>
      </w:r>
      <w:r w:rsidR="00723980">
        <w:rPr>
          <w:rFonts w:asciiTheme="majorHAnsi" w:hAnsiTheme="majorHAnsi" w:cs="Times New Roman"/>
          <w:sz w:val="24"/>
          <w:szCs w:val="24"/>
        </w:rPr>
        <w:t xml:space="preserve"> </w:t>
      </w:r>
      <w:r w:rsidR="00723980" w:rsidRPr="00723980">
        <w:rPr>
          <w:rFonts w:asciiTheme="majorHAnsi" w:hAnsiTheme="majorHAnsi" w:cs="Times New Roman"/>
          <w:sz w:val="20"/>
          <w:szCs w:val="20"/>
        </w:rPr>
        <w:t>*</w:t>
      </w:r>
      <w:r w:rsidR="00723980" w:rsidRPr="00723980">
        <w:rPr>
          <w:rFonts w:asciiTheme="majorHAnsi" w:hAnsiTheme="majorHAnsi"/>
          <w:sz w:val="20"/>
          <w:szCs w:val="20"/>
        </w:rPr>
        <w:t>Garancija za mlade. Ministarstvo rada i mirovinskog sustava (2014).</w:t>
      </w:r>
      <w:r w:rsidR="00723980" w:rsidRPr="00723980">
        <w:rPr>
          <w:rFonts w:asciiTheme="majorHAnsi" w:hAnsiTheme="majorHAnsi" w:cs="Times New Roman"/>
          <w:sz w:val="20"/>
          <w:szCs w:val="20"/>
        </w:rPr>
        <w:t xml:space="preserve"> </w:t>
      </w:r>
      <w:hyperlink r:id="rId18" w:history="1">
        <w:r w:rsidR="00723980" w:rsidRPr="00723980">
          <w:rPr>
            <w:rStyle w:val="Hyperlink"/>
            <w:rFonts w:asciiTheme="majorHAnsi" w:hAnsiTheme="majorHAnsi" w:cs="Times New Roman"/>
            <w:sz w:val="20"/>
            <w:szCs w:val="20"/>
          </w:rPr>
          <w:t>http://www.gzm.hr/</w:t>
        </w:r>
      </w:hyperlink>
    </w:p>
    <w:p w:rsidR="00225857" w:rsidRPr="00ED3700" w:rsidRDefault="00225857" w:rsidP="00225857">
      <w:pPr>
        <w:pStyle w:val="ListParagraph"/>
        <w:numPr>
          <w:ilvl w:val="0"/>
          <w:numId w:val="6"/>
        </w:numPr>
        <w:ind w:left="0" w:firstLine="0"/>
        <w:contextualSpacing w:val="0"/>
        <w:jc w:val="both"/>
        <w:rPr>
          <w:rFonts w:asciiTheme="majorHAnsi" w:hAnsiTheme="majorHAnsi" w:cs="Times New Roman"/>
          <w:sz w:val="24"/>
          <w:szCs w:val="24"/>
        </w:rPr>
      </w:pPr>
      <w:r w:rsidRPr="00ED3700">
        <w:rPr>
          <w:rFonts w:asciiTheme="majorHAnsi" w:hAnsiTheme="majorHAnsi" w:cs="Times New Roman"/>
          <w:sz w:val="24"/>
          <w:szCs w:val="24"/>
        </w:rPr>
        <w:t>savjetovanje europskih socijalnih partnera o okviru kvalitete za praktičnu izobrazbu kojim bi se mladima omogućilo stjecanje visokokvalitetnog radnog iskustva u sigurnim uvjetima,</w:t>
      </w:r>
    </w:p>
    <w:p w:rsidR="00225857" w:rsidRPr="00ED3700" w:rsidRDefault="00225857" w:rsidP="00225857">
      <w:pPr>
        <w:pStyle w:val="ListParagraph"/>
        <w:numPr>
          <w:ilvl w:val="0"/>
          <w:numId w:val="6"/>
        </w:numPr>
        <w:ind w:left="0" w:firstLine="0"/>
        <w:contextualSpacing w:val="0"/>
        <w:jc w:val="both"/>
        <w:rPr>
          <w:rFonts w:asciiTheme="majorHAnsi" w:hAnsiTheme="majorHAnsi" w:cs="Times New Roman"/>
          <w:sz w:val="24"/>
          <w:szCs w:val="24"/>
        </w:rPr>
      </w:pPr>
      <w:r w:rsidRPr="00ED3700">
        <w:rPr>
          <w:rFonts w:asciiTheme="majorHAnsi" w:hAnsiTheme="majorHAnsi" w:cs="Times New Roman"/>
          <w:sz w:val="24"/>
          <w:szCs w:val="24"/>
        </w:rPr>
        <w:t>Europski savez za naukovanje u svrhu poboljšanja kvalitete i ponude dostupnih naukovanja te utvrđivanje načina za smanjenje prepreka mobilnosti mladih.</w:t>
      </w:r>
    </w:p>
    <w:p w:rsidR="00225857" w:rsidRDefault="00225857" w:rsidP="00AF2143">
      <w:pPr>
        <w:jc w:val="both"/>
        <w:rPr>
          <w:rFonts w:asciiTheme="majorHAnsi" w:hAnsiTheme="majorHAnsi" w:cs="Times New Roman"/>
          <w:sz w:val="24"/>
          <w:szCs w:val="24"/>
        </w:rPr>
      </w:pPr>
    </w:p>
    <w:p w:rsidR="00836E25" w:rsidRPr="00ED3700" w:rsidRDefault="00225857" w:rsidP="00836E25">
      <w:pPr>
        <w:jc w:val="both"/>
        <w:rPr>
          <w:rFonts w:asciiTheme="majorHAnsi" w:hAnsiTheme="majorHAnsi" w:cs="Times New Roman"/>
          <w:sz w:val="24"/>
          <w:szCs w:val="24"/>
        </w:rPr>
      </w:pPr>
      <w:r>
        <w:rPr>
          <w:rFonts w:asciiTheme="majorHAnsi" w:hAnsiTheme="majorHAnsi" w:cs="Times New Roman"/>
          <w:sz w:val="24"/>
          <w:szCs w:val="24"/>
        </w:rPr>
        <w:t xml:space="preserve">U kontekstu zapošljavanja, u </w:t>
      </w:r>
      <w:r w:rsidR="00C964ED">
        <w:rPr>
          <w:rFonts w:asciiTheme="majorHAnsi" w:hAnsiTheme="majorHAnsi" w:cs="Times New Roman"/>
          <w:sz w:val="24"/>
          <w:szCs w:val="24"/>
        </w:rPr>
        <w:t xml:space="preserve">ovom </w:t>
      </w:r>
      <w:r>
        <w:rPr>
          <w:rFonts w:asciiTheme="majorHAnsi" w:hAnsiTheme="majorHAnsi" w:cs="Times New Roman"/>
          <w:sz w:val="24"/>
          <w:szCs w:val="24"/>
        </w:rPr>
        <w:t xml:space="preserve">Nacionalnom planu se predviđa podizanje suradnje visokih učilišta s poslodavcima na osiguravanju studentske prakse (4.1.), zatim se predlaže vrednovanje visokih učilišta iz pozicije potpore ranom razvoju karijere </w:t>
      </w:r>
      <w:proofErr w:type="spellStart"/>
      <w:r>
        <w:rPr>
          <w:rFonts w:asciiTheme="majorHAnsi" w:hAnsiTheme="majorHAnsi" w:cs="Times New Roman"/>
          <w:sz w:val="24"/>
          <w:szCs w:val="24"/>
        </w:rPr>
        <w:t>diplomanada</w:t>
      </w:r>
      <w:proofErr w:type="spellEnd"/>
      <w:r>
        <w:rPr>
          <w:rFonts w:asciiTheme="majorHAnsi" w:hAnsiTheme="majorHAnsi" w:cs="Times New Roman"/>
          <w:sz w:val="24"/>
          <w:szCs w:val="24"/>
        </w:rPr>
        <w:t xml:space="preserve"> temeljem jedinstvenog modela </w:t>
      </w:r>
      <w:r w:rsidRPr="002D3241">
        <w:rPr>
          <w:rFonts w:asciiTheme="majorHAnsi" w:hAnsiTheme="majorHAnsi" w:cs="Times New Roman"/>
          <w:sz w:val="24"/>
          <w:szCs w:val="24"/>
        </w:rPr>
        <w:t>zrelosti (4</w:t>
      </w:r>
      <w:r>
        <w:rPr>
          <w:rFonts w:asciiTheme="majorHAnsi" w:hAnsiTheme="majorHAnsi" w:cs="Times New Roman"/>
          <w:sz w:val="24"/>
          <w:szCs w:val="24"/>
        </w:rPr>
        <w:t>.3.), uključivanje visokih učilišta u posebne programe potpore zapošljavanju preko EU fondova (4.4.)</w:t>
      </w:r>
      <w:r w:rsidR="00836E25">
        <w:rPr>
          <w:rFonts w:asciiTheme="majorHAnsi" w:hAnsiTheme="majorHAnsi" w:cs="Times New Roman"/>
          <w:sz w:val="24"/>
          <w:szCs w:val="24"/>
        </w:rPr>
        <w:t xml:space="preserve">, praćenje i nagrađivanje putem programskih ugovora aktivnosti koje doprinose zapošljavanju </w:t>
      </w:r>
      <w:proofErr w:type="spellStart"/>
      <w:r w:rsidR="00836E25">
        <w:rPr>
          <w:rFonts w:asciiTheme="majorHAnsi" w:hAnsiTheme="majorHAnsi" w:cs="Times New Roman"/>
          <w:sz w:val="24"/>
          <w:szCs w:val="24"/>
        </w:rPr>
        <w:t>diplomanada</w:t>
      </w:r>
      <w:proofErr w:type="spellEnd"/>
      <w:r w:rsidR="00836E25">
        <w:rPr>
          <w:rFonts w:asciiTheme="majorHAnsi" w:hAnsiTheme="majorHAnsi" w:cs="Times New Roman"/>
          <w:sz w:val="24"/>
          <w:szCs w:val="24"/>
        </w:rPr>
        <w:t xml:space="preserve"> kao i praćenje zapošljavanja studenata u prva 4 mjeseca nakon diplome (4.6.). Neki od ovih </w:t>
      </w:r>
      <w:proofErr w:type="spellStart"/>
      <w:r w:rsidR="00836E25">
        <w:rPr>
          <w:rFonts w:asciiTheme="majorHAnsi" w:hAnsiTheme="majorHAnsi" w:cs="Times New Roman"/>
          <w:sz w:val="24"/>
          <w:szCs w:val="24"/>
        </w:rPr>
        <w:t>podciljeva</w:t>
      </w:r>
      <w:proofErr w:type="spellEnd"/>
      <w:r w:rsidR="00836E25">
        <w:rPr>
          <w:rFonts w:asciiTheme="majorHAnsi" w:hAnsiTheme="majorHAnsi" w:cs="Times New Roman"/>
          <w:sz w:val="24"/>
          <w:szCs w:val="24"/>
        </w:rPr>
        <w:t xml:space="preserve"> nadovezuju se na Strategiju znanosti, obrazovanja i tehnologije</w:t>
      </w:r>
      <w:r w:rsidR="00836E25" w:rsidRPr="00ED3700">
        <w:rPr>
          <w:rFonts w:asciiTheme="majorHAnsi" w:hAnsiTheme="majorHAnsi" w:cs="Times New Roman"/>
          <w:sz w:val="24"/>
          <w:szCs w:val="24"/>
        </w:rPr>
        <w:t xml:space="preserve"> u </w:t>
      </w:r>
      <w:r w:rsidR="00836E25">
        <w:rPr>
          <w:rFonts w:asciiTheme="majorHAnsi" w:hAnsiTheme="majorHAnsi" w:cs="Times New Roman"/>
          <w:sz w:val="24"/>
          <w:szCs w:val="24"/>
        </w:rPr>
        <w:t xml:space="preserve">čijem se </w:t>
      </w:r>
      <w:r w:rsidR="00836E25" w:rsidRPr="00ED3700">
        <w:rPr>
          <w:rFonts w:asciiTheme="majorHAnsi" w:hAnsiTheme="majorHAnsi" w:cs="Times New Roman"/>
          <w:sz w:val="24"/>
          <w:szCs w:val="24"/>
        </w:rPr>
        <w:t xml:space="preserve">uvodu navodi „...u dijelu se studijskih programa uočava nedostatak studentske prakse i terenske nastave. Kvalitetno izvođenje stručne prakse za mnoge je studije preduvjet stjecanja kompetencija pa time i preduvjet bolje </w:t>
      </w:r>
      <w:proofErr w:type="spellStart"/>
      <w:r w:rsidR="00836E25" w:rsidRPr="00ED3700">
        <w:rPr>
          <w:rFonts w:asciiTheme="majorHAnsi" w:hAnsiTheme="majorHAnsi" w:cs="Times New Roman"/>
          <w:sz w:val="24"/>
          <w:szCs w:val="24"/>
        </w:rPr>
        <w:t>zapošljivosti</w:t>
      </w:r>
      <w:proofErr w:type="spellEnd"/>
      <w:r w:rsidR="00836E25" w:rsidRPr="00ED3700">
        <w:rPr>
          <w:rFonts w:asciiTheme="majorHAnsi" w:hAnsiTheme="majorHAnsi" w:cs="Times New Roman"/>
          <w:sz w:val="24"/>
          <w:szCs w:val="24"/>
        </w:rPr>
        <w:t xml:space="preserve"> završenih studenata, odnosno njihove bolje pripremljenosti za zahtjeve budućih poslodavaca. Zbog toga je u okviru sektorskih interesnih mreža (vidi mjeru 4.2.4.) potrebno uspostaviti odgovarajuće modele organiziranja ovog oblika praktičnog dijela studija.“</w:t>
      </w:r>
    </w:p>
    <w:p w:rsidR="00225857" w:rsidRDefault="00225857" w:rsidP="00AF2143">
      <w:pPr>
        <w:jc w:val="both"/>
        <w:rPr>
          <w:rFonts w:asciiTheme="majorHAnsi" w:hAnsiTheme="majorHAnsi" w:cs="Times New Roman"/>
          <w:sz w:val="24"/>
          <w:szCs w:val="24"/>
        </w:rPr>
      </w:pPr>
    </w:p>
    <w:p w:rsidR="0061582F" w:rsidRDefault="0061582F" w:rsidP="00AF2143">
      <w:pPr>
        <w:jc w:val="both"/>
        <w:rPr>
          <w:rFonts w:asciiTheme="majorHAnsi" w:hAnsiTheme="majorHAnsi" w:cs="Times New Roman"/>
          <w:sz w:val="24"/>
          <w:szCs w:val="24"/>
        </w:rPr>
      </w:pPr>
      <w:r w:rsidRPr="00ED3700">
        <w:rPr>
          <w:rFonts w:asciiTheme="majorHAnsi" w:hAnsiTheme="majorHAnsi" w:cs="Times New Roman"/>
          <w:sz w:val="24"/>
          <w:szCs w:val="24"/>
        </w:rPr>
        <w:t xml:space="preserve">Vezano uz završnost u visokom obrazovanju Strategija znanosti, obrazovanja i tehnologije </w:t>
      </w:r>
      <w:r w:rsidR="00723980" w:rsidRPr="00723980">
        <w:rPr>
          <w:rFonts w:asciiTheme="majorHAnsi" w:hAnsiTheme="majorHAnsi" w:cs="Times New Roman"/>
          <w:sz w:val="20"/>
          <w:szCs w:val="20"/>
        </w:rPr>
        <w:t>*</w:t>
      </w:r>
      <w:hyperlink r:id="rId19" w:history="1">
        <w:r w:rsidR="00723980" w:rsidRPr="00723980">
          <w:rPr>
            <w:rStyle w:val="Hyperlink"/>
            <w:rFonts w:asciiTheme="majorHAnsi" w:hAnsiTheme="majorHAnsi" w:cs="Times New Roman"/>
            <w:sz w:val="20"/>
            <w:szCs w:val="20"/>
          </w:rPr>
          <w:t>http://novebojeznanja.hr/UserDocsImages//datoteke/3.1.pdf</w:t>
        </w:r>
      </w:hyperlink>
      <w:r w:rsidR="00723980">
        <w:rPr>
          <w:rStyle w:val="Hyperlink"/>
          <w:rFonts w:asciiTheme="majorHAnsi" w:hAnsiTheme="majorHAnsi" w:cs="Times New Roman"/>
        </w:rPr>
        <w:t xml:space="preserve"> </w:t>
      </w:r>
      <w:r w:rsidRPr="00ED3700">
        <w:rPr>
          <w:rFonts w:asciiTheme="majorHAnsi" w:hAnsiTheme="majorHAnsi" w:cs="Times New Roman"/>
          <w:sz w:val="24"/>
          <w:szCs w:val="24"/>
        </w:rPr>
        <w:t xml:space="preserve">u uvodom dijelu za VO navodi: „nužno je i povećanje učinkovitosti sustava koje vodi skraćivanju vremena studiranja i povećanju završnosti. Sve to može se postići samo povezivanjem napora i inicijativa na svim razinama koje vode pozitivnim pomacima u sustavu visokog obrazovanja, a time i pozitivnim trendovima u hrvatskom društvu.“ I dalje (str.4.) „Bolja učinkovitost podrazumijeva skraćivanje trajanja studija, povećavanje završnosti studiranja, smanjivanje upisnih kvota na studijima koji obrazuju velik broj studenata u strukama koje ne omogućavaju zapošljavanje, povećavanje kvota za studije u deficitarnim zanimanjima, omogućavanje </w:t>
      </w:r>
      <w:proofErr w:type="spellStart"/>
      <w:r w:rsidRPr="00ED3700">
        <w:rPr>
          <w:rFonts w:asciiTheme="majorHAnsi" w:hAnsiTheme="majorHAnsi" w:cs="Times New Roman"/>
          <w:sz w:val="24"/>
          <w:szCs w:val="24"/>
        </w:rPr>
        <w:t>zapošljivosti</w:t>
      </w:r>
      <w:proofErr w:type="spellEnd"/>
      <w:r w:rsidRPr="00ED3700">
        <w:rPr>
          <w:rFonts w:asciiTheme="majorHAnsi" w:hAnsiTheme="majorHAnsi" w:cs="Times New Roman"/>
          <w:sz w:val="24"/>
          <w:szCs w:val="24"/>
        </w:rPr>
        <w:t xml:space="preserve"> nakon stjecanja </w:t>
      </w:r>
      <w:proofErr w:type="spellStart"/>
      <w:r w:rsidRPr="00ED3700">
        <w:rPr>
          <w:rFonts w:asciiTheme="majorHAnsi" w:hAnsiTheme="majorHAnsi" w:cs="Times New Roman"/>
          <w:sz w:val="24"/>
          <w:szCs w:val="24"/>
        </w:rPr>
        <w:t>prvostupničke</w:t>
      </w:r>
      <w:proofErr w:type="spellEnd"/>
      <w:r w:rsidRPr="00ED3700">
        <w:rPr>
          <w:rFonts w:asciiTheme="majorHAnsi" w:hAnsiTheme="majorHAnsi" w:cs="Times New Roman"/>
          <w:sz w:val="24"/>
          <w:szCs w:val="24"/>
        </w:rPr>
        <w:t xml:space="preserve"> diplome i povećanje kvalitete visokog obrazovanja u svim područjima.“ Tako se navodi i zasebna</w:t>
      </w:r>
      <w:r w:rsidR="00694702" w:rsidRPr="00ED3700">
        <w:rPr>
          <w:rFonts w:asciiTheme="majorHAnsi" w:hAnsiTheme="majorHAnsi" w:cs="Times New Roman"/>
          <w:sz w:val="24"/>
          <w:szCs w:val="24"/>
        </w:rPr>
        <w:t xml:space="preserve"> mjera (</w:t>
      </w:r>
      <w:r w:rsidRPr="00ED3700">
        <w:rPr>
          <w:rFonts w:asciiTheme="majorHAnsi" w:hAnsiTheme="majorHAnsi" w:cs="Times New Roman"/>
          <w:sz w:val="24"/>
          <w:szCs w:val="24"/>
        </w:rPr>
        <w:t>1.2.6.</w:t>
      </w:r>
      <w:r w:rsidR="00694702" w:rsidRPr="00ED3700">
        <w:rPr>
          <w:rFonts w:asciiTheme="majorHAnsi" w:hAnsiTheme="majorHAnsi" w:cs="Times New Roman"/>
          <w:sz w:val="24"/>
          <w:szCs w:val="24"/>
        </w:rPr>
        <w:t>): p</w:t>
      </w:r>
      <w:r w:rsidRPr="00ED3700">
        <w:rPr>
          <w:rFonts w:asciiTheme="majorHAnsi" w:hAnsiTheme="majorHAnsi" w:cs="Times New Roman"/>
          <w:sz w:val="24"/>
          <w:szCs w:val="24"/>
        </w:rPr>
        <w:t>oticati završavanje studija u propisanom vremenu trajanja uz istodobno osiguravanje kvalitete i dostupnosti studij</w:t>
      </w:r>
      <w:r w:rsidR="005D7352">
        <w:rPr>
          <w:rFonts w:asciiTheme="majorHAnsi" w:hAnsiTheme="majorHAnsi" w:cs="Times New Roman"/>
          <w:sz w:val="24"/>
          <w:szCs w:val="24"/>
        </w:rPr>
        <w:t>a te postizanje ishoda učenja, a o</w:t>
      </w:r>
      <w:r w:rsidRPr="00ED3700">
        <w:rPr>
          <w:rFonts w:asciiTheme="majorHAnsi" w:hAnsiTheme="majorHAnsi" w:cs="Times New Roman"/>
          <w:sz w:val="24"/>
          <w:szCs w:val="24"/>
        </w:rPr>
        <w:t>vu mjeru uvrstiti i među ciljeve zadane programskim ugovo</w:t>
      </w:r>
      <w:r w:rsidR="00F52ACE" w:rsidRPr="00ED3700">
        <w:rPr>
          <w:rFonts w:asciiTheme="majorHAnsi" w:hAnsiTheme="majorHAnsi" w:cs="Times New Roman"/>
          <w:sz w:val="24"/>
          <w:szCs w:val="24"/>
        </w:rPr>
        <w:t xml:space="preserve">rima. </w:t>
      </w:r>
    </w:p>
    <w:p w:rsidR="00EC2CC9" w:rsidRDefault="00EC2CC9" w:rsidP="00AF2143">
      <w:pPr>
        <w:jc w:val="both"/>
        <w:rPr>
          <w:rFonts w:asciiTheme="majorHAnsi" w:hAnsiTheme="majorHAnsi" w:cs="Times New Roman"/>
          <w:sz w:val="24"/>
          <w:szCs w:val="24"/>
        </w:rPr>
      </w:pPr>
    </w:p>
    <w:p w:rsidR="00EC2CC9" w:rsidRDefault="00EC2CC9" w:rsidP="00AF2143">
      <w:pPr>
        <w:jc w:val="both"/>
        <w:rPr>
          <w:rFonts w:asciiTheme="majorHAnsi" w:hAnsiTheme="majorHAnsi" w:cs="Times New Roman"/>
          <w:sz w:val="24"/>
          <w:szCs w:val="24"/>
        </w:rPr>
      </w:pPr>
      <w:r>
        <w:rPr>
          <w:rFonts w:asciiTheme="majorHAnsi" w:hAnsiTheme="majorHAnsi" w:cs="Times New Roman"/>
          <w:sz w:val="24"/>
          <w:szCs w:val="24"/>
        </w:rPr>
        <w:lastRenderedPageBreak/>
        <w:t xml:space="preserve">Kako bi se podržalo studente iz ranjivih skupina da uspješno završe upisani studij, u Nacionalnom planu je predviđeno </w:t>
      </w:r>
      <w:r w:rsidR="00647584">
        <w:rPr>
          <w:rFonts w:asciiTheme="majorHAnsi" w:hAnsiTheme="majorHAnsi" w:cs="Times New Roman"/>
          <w:sz w:val="24"/>
          <w:szCs w:val="24"/>
        </w:rPr>
        <w:t>jačanje</w:t>
      </w:r>
      <w:r>
        <w:rPr>
          <w:rFonts w:asciiTheme="majorHAnsi" w:hAnsiTheme="majorHAnsi" w:cs="Times New Roman"/>
          <w:sz w:val="24"/>
          <w:szCs w:val="24"/>
        </w:rPr>
        <w:t xml:space="preserve"> centara za </w:t>
      </w:r>
      <w:r w:rsidR="00647584">
        <w:rPr>
          <w:rFonts w:asciiTheme="majorHAnsi" w:hAnsiTheme="majorHAnsi" w:cs="Times New Roman"/>
          <w:sz w:val="24"/>
          <w:szCs w:val="24"/>
        </w:rPr>
        <w:t>podršku</w:t>
      </w:r>
      <w:r>
        <w:rPr>
          <w:rFonts w:asciiTheme="majorHAnsi" w:hAnsiTheme="majorHAnsi" w:cs="Times New Roman"/>
          <w:sz w:val="24"/>
          <w:szCs w:val="24"/>
        </w:rPr>
        <w:t xml:space="preserve"> studentima</w:t>
      </w:r>
      <w:r w:rsidR="00647584">
        <w:rPr>
          <w:rFonts w:asciiTheme="majorHAnsi" w:hAnsiTheme="majorHAnsi" w:cs="Times New Roman"/>
          <w:sz w:val="24"/>
          <w:szCs w:val="24"/>
        </w:rPr>
        <w:t xml:space="preserve"> (4.2.). </w:t>
      </w:r>
    </w:p>
    <w:p w:rsidR="00990C4C" w:rsidRPr="00ED3700" w:rsidRDefault="00990C4C" w:rsidP="00AF2143">
      <w:pPr>
        <w:jc w:val="both"/>
        <w:rPr>
          <w:rFonts w:asciiTheme="majorHAnsi" w:hAnsiTheme="majorHAnsi" w:cs="Times New Roman"/>
          <w:b/>
          <w:sz w:val="24"/>
          <w:szCs w:val="24"/>
        </w:rPr>
      </w:pPr>
    </w:p>
    <w:p w:rsidR="00990C4C" w:rsidRDefault="00990C4C" w:rsidP="00897A38">
      <w:pPr>
        <w:pStyle w:val="Heading3"/>
        <w:rPr>
          <w:rStyle w:val="BookTitle"/>
          <w:sz w:val="28"/>
          <w:szCs w:val="28"/>
        </w:rPr>
      </w:pPr>
      <w:r w:rsidRPr="00ED3700">
        <w:rPr>
          <w:rStyle w:val="BookTitle"/>
          <w:sz w:val="28"/>
          <w:szCs w:val="28"/>
        </w:rPr>
        <w:t>Cilj 5: Unaprijediti sustav financijske pomoći pripadnicima podzastupljenih i ranjivih skupina</w:t>
      </w:r>
      <w:r w:rsidR="00EF11F0">
        <w:rPr>
          <w:rStyle w:val="BookTitle"/>
          <w:sz w:val="28"/>
          <w:szCs w:val="28"/>
        </w:rPr>
        <w:t xml:space="preserve"> </w:t>
      </w:r>
    </w:p>
    <w:p w:rsidR="00EF11F0" w:rsidRPr="00E81641" w:rsidRDefault="00EF11F0" w:rsidP="00EF11F0">
      <w:pPr>
        <w:pStyle w:val="FootnoteText"/>
        <w:rPr>
          <w:rFonts w:asciiTheme="majorHAnsi" w:hAnsiTheme="majorHAnsi"/>
          <w:lang w:val="it-IT"/>
        </w:rPr>
      </w:pPr>
      <w:r>
        <w:rPr>
          <w:rStyle w:val="FootnoteReference"/>
          <w:rFonts w:asciiTheme="majorHAnsi" w:hAnsiTheme="majorHAnsi"/>
        </w:rPr>
        <w:t>*</w:t>
      </w:r>
      <w:r w:rsidRPr="001950C5">
        <w:rPr>
          <w:rFonts w:asciiTheme="majorHAnsi" w:hAnsiTheme="majorHAnsi"/>
        </w:rPr>
        <w:t xml:space="preserve"> Popis literature na kojoj se temelje prijedlozi nalazi se na kraju dokumenta.</w:t>
      </w:r>
      <w:r w:rsidRPr="00E81641">
        <w:rPr>
          <w:rFonts w:asciiTheme="majorHAnsi" w:hAnsiTheme="majorHAnsi"/>
          <w:lang w:val="it-IT"/>
        </w:rPr>
        <w:t xml:space="preserve"> </w:t>
      </w:r>
    </w:p>
    <w:p w:rsidR="00EF11F0" w:rsidRPr="00EF11F0" w:rsidRDefault="00EF11F0" w:rsidP="00EF11F0"/>
    <w:p w:rsidR="00990C4C" w:rsidRPr="00ED3700" w:rsidRDefault="00990C4C" w:rsidP="00990C4C">
      <w:pPr>
        <w:contextualSpacing/>
        <w:jc w:val="both"/>
        <w:rPr>
          <w:rFonts w:asciiTheme="majorHAnsi" w:hAnsiTheme="majorHAnsi" w:cs="Times New Roman"/>
          <w:sz w:val="24"/>
          <w:szCs w:val="24"/>
        </w:rPr>
      </w:pPr>
      <w:r w:rsidRPr="00ED3700">
        <w:rPr>
          <w:rFonts w:asciiTheme="majorHAnsi" w:hAnsiTheme="majorHAnsi" w:cs="Times New Roman"/>
          <w:sz w:val="24"/>
          <w:szCs w:val="24"/>
        </w:rPr>
        <w:t xml:space="preserve">Razrada ovog cilja vođena je </w:t>
      </w:r>
      <w:r w:rsidRPr="009D1D71">
        <w:rPr>
          <w:rFonts w:asciiTheme="majorHAnsi" w:hAnsiTheme="majorHAnsi" w:cs="Times New Roman"/>
          <w:sz w:val="24"/>
          <w:szCs w:val="24"/>
        </w:rPr>
        <w:t>Strategijom znanosti, obrazovanja i tehnologije RH</w:t>
      </w:r>
      <w:r w:rsidRPr="00ED3700">
        <w:rPr>
          <w:rFonts w:asciiTheme="majorHAnsi" w:hAnsiTheme="majorHAnsi" w:cs="Times New Roman"/>
          <w:sz w:val="24"/>
          <w:szCs w:val="24"/>
        </w:rPr>
        <w:t xml:space="preserve"> (2014) u dijelu koji se odnosi na razvoj visokog obrazovanja. To se ponajprije odnosi na dva strateška cilja koja su navedena u području visokog obrazovanja: (a) osigurati učinkovit i razvojno poticajan sustav financiranja visokih učilišta (četvrti strateški cilj za visoko obrazovanje) i (b) unaprijediti studentski standard uz posebnu skrb za socijalnu dimenziju studiranja (šesti strateški cilj za visoko obrazovanje). Prijedlozi </w:t>
      </w:r>
      <w:proofErr w:type="spellStart"/>
      <w:r w:rsidRPr="00ED3700">
        <w:rPr>
          <w:rFonts w:asciiTheme="majorHAnsi" w:hAnsiTheme="majorHAnsi" w:cs="Times New Roman"/>
          <w:sz w:val="24"/>
          <w:szCs w:val="24"/>
        </w:rPr>
        <w:t>podciljeva</w:t>
      </w:r>
      <w:proofErr w:type="spellEnd"/>
      <w:r w:rsidRPr="00ED3700">
        <w:rPr>
          <w:rFonts w:asciiTheme="majorHAnsi" w:hAnsiTheme="majorHAnsi" w:cs="Times New Roman"/>
          <w:sz w:val="24"/>
          <w:szCs w:val="24"/>
        </w:rPr>
        <w:t xml:space="preserve">, aktivnosti i indikatora najvećim se dijelom temelje na istraživanjima, glavnim nalazima i preporukama koji su razvijeni unutar različitih međunarodnih projekata za razvoj visokog obrazovanja koji su bili financirani sredstvima EU. </w:t>
      </w:r>
    </w:p>
    <w:p w:rsidR="00990C4C" w:rsidRPr="00ED3700" w:rsidRDefault="00990C4C" w:rsidP="00990C4C">
      <w:pPr>
        <w:contextualSpacing/>
        <w:jc w:val="both"/>
        <w:rPr>
          <w:rFonts w:asciiTheme="majorHAnsi" w:hAnsiTheme="majorHAnsi" w:cs="Times New Roman"/>
          <w:b/>
          <w:sz w:val="24"/>
          <w:szCs w:val="24"/>
        </w:rPr>
      </w:pPr>
    </w:p>
    <w:p w:rsidR="00990C4C" w:rsidRPr="00ED3700" w:rsidRDefault="00990C4C" w:rsidP="00990C4C">
      <w:pPr>
        <w:contextualSpacing/>
        <w:jc w:val="both"/>
        <w:rPr>
          <w:rFonts w:asciiTheme="majorHAnsi" w:hAnsiTheme="majorHAnsi" w:cs="Times New Roman"/>
          <w:sz w:val="24"/>
          <w:szCs w:val="24"/>
        </w:rPr>
      </w:pPr>
      <w:r w:rsidRPr="00ED3700">
        <w:rPr>
          <w:rFonts w:asciiTheme="majorHAnsi" w:hAnsiTheme="majorHAnsi" w:cs="Times New Roman"/>
          <w:sz w:val="24"/>
          <w:szCs w:val="24"/>
        </w:rPr>
        <w:t xml:space="preserve">Projekt </w:t>
      </w:r>
      <w:r w:rsidRPr="009D1D71">
        <w:rPr>
          <w:rFonts w:asciiTheme="majorHAnsi" w:hAnsiTheme="majorHAnsi" w:cs="Times New Roman"/>
          <w:sz w:val="24"/>
          <w:szCs w:val="24"/>
        </w:rPr>
        <w:t>„ACCESS: Prema pravednom i transparentnom pristupu visokom obrazovanju u Hrvatskoj“</w:t>
      </w:r>
      <w:r w:rsidRPr="00ED3700">
        <w:rPr>
          <w:rFonts w:asciiTheme="majorHAnsi" w:hAnsiTheme="majorHAnsi" w:cs="Times New Roman"/>
          <w:sz w:val="24"/>
          <w:szCs w:val="24"/>
        </w:rPr>
        <w:t xml:space="preserve"> (financiran u okviru programa TEMPUS) poslužilo je kao temelj za izradu ovdje iznesenih preporuka za reformu financiranja javnih visokih učilišta i sustava financijskih potpora za studente (studentski standard). Ovaj projekt analizirao je prvi put utjecaj politika financiranja u Hrvatskoj i Europi na socijalnu dimenziju visokog obrazovanja. Konzorcij projekta okupio je, uz ostale, sva hrvatska visoka učilišta, Ministarstvo znanosti i obrazovanja RH, a projektom je upravljao Institut za razvoj obrazovanja (IRO) u razdoblju od 2010. do 2013. godine. Preporuke koje navodimo u ovom poglavlju proizlaze iz komparativnih analiza politika financiranja visokih učilišta i sustava financijske pomoći u šest europskih zemalja. Sve informacije o projektu, zajedno s izvješćima provedenih istraživanja i preporukama, dostupne su na internetskim stranicama </w:t>
      </w:r>
      <w:hyperlink r:id="rId20" w:history="1">
        <w:r w:rsidRPr="00ED3700">
          <w:rPr>
            <w:rStyle w:val="Hyperlink"/>
            <w:rFonts w:asciiTheme="majorHAnsi" w:hAnsiTheme="majorHAnsi" w:cs="Times New Roman"/>
            <w:sz w:val="24"/>
            <w:szCs w:val="24"/>
          </w:rPr>
          <w:t>www.iro.hr</w:t>
        </w:r>
      </w:hyperlink>
      <w:r w:rsidRPr="00ED3700">
        <w:rPr>
          <w:rFonts w:asciiTheme="majorHAnsi" w:hAnsiTheme="majorHAnsi" w:cs="Times New Roman"/>
          <w:sz w:val="24"/>
          <w:szCs w:val="24"/>
        </w:rPr>
        <w:t xml:space="preserve"> te u popisu literature. </w:t>
      </w:r>
    </w:p>
    <w:p w:rsidR="00990C4C" w:rsidRPr="00ED3700" w:rsidRDefault="00990C4C" w:rsidP="00990C4C">
      <w:pPr>
        <w:contextualSpacing/>
        <w:jc w:val="both"/>
        <w:rPr>
          <w:rFonts w:asciiTheme="majorHAnsi" w:hAnsiTheme="majorHAnsi" w:cs="Times New Roman"/>
          <w:sz w:val="24"/>
          <w:szCs w:val="24"/>
        </w:rPr>
      </w:pPr>
    </w:p>
    <w:p w:rsidR="00990C4C" w:rsidRPr="00ED3700" w:rsidRDefault="008B33A3" w:rsidP="00990C4C">
      <w:pPr>
        <w:contextualSpacing/>
        <w:jc w:val="both"/>
        <w:rPr>
          <w:rFonts w:asciiTheme="majorHAnsi" w:hAnsiTheme="majorHAnsi" w:cs="Times New Roman"/>
          <w:sz w:val="24"/>
          <w:szCs w:val="24"/>
        </w:rPr>
      </w:pPr>
      <w:r>
        <w:rPr>
          <w:rFonts w:asciiTheme="majorHAnsi" w:hAnsiTheme="majorHAnsi" w:cs="Times New Roman"/>
          <w:sz w:val="24"/>
          <w:szCs w:val="24"/>
        </w:rPr>
        <w:t>Uz to, p</w:t>
      </w:r>
      <w:r w:rsidR="00990C4C" w:rsidRPr="00ED3700">
        <w:rPr>
          <w:rFonts w:asciiTheme="majorHAnsi" w:hAnsiTheme="majorHAnsi" w:cs="Times New Roman"/>
          <w:sz w:val="24"/>
          <w:szCs w:val="24"/>
        </w:rPr>
        <w:t xml:space="preserve">rojekt </w:t>
      </w:r>
      <w:r w:rsidR="00990C4C" w:rsidRPr="009D1D71">
        <w:rPr>
          <w:rFonts w:asciiTheme="majorHAnsi" w:hAnsiTheme="majorHAnsi" w:cs="Times New Roman"/>
          <w:sz w:val="24"/>
          <w:szCs w:val="24"/>
        </w:rPr>
        <w:t xml:space="preserve">„PL4SD: </w:t>
      </w:r>
      <w:proofErr w:type="spellStart"/>
      <w:r w:rsidR="00990C4C" w:rsidRPr="009D1D71">
        <w:rPr>
          <w:rFonts w:asciiTheme="majorHAnsi" w:hAnsiTheme="majorHAnsi" w:cs="Times New Roman"/>
          <w:sz w:val="24"/>
          <w:szCs w:val="24"/>
        </w:rPr>
        <w:t>Peer</w:t>
      </w:r>
      <w:proofErr w:type="spellEnd"/>
      <w:r w:rsidR="00990C4C" w:rsidRPr="009D1D71">
        <w:rPr>
          <w:rFonts w:asciiTheme="majorHAnsi" w:hAnsiTheme="majorHAnsi" w:cs="Times New Roman"/>
          <w:sz w:val="24"/>
          <w:szCs w:val="24"/>
        </w:rPr>
        <w:t xml:space="preserve"> </w:t>
      </w:r>
      <w:proofErr w:type="spellStart"/>
      <w:r w:rsidR="00990C4C" w:rsidRPr="009D1D71">
        <w:rPr>
          <w:rFonts w:asciiTheme="majorHAnsi" w:hAnsiTheme="majorHAnsi" w:cs="Times New Roman"/>
          <w:sz w:val="24"/>
          <w:szCs w:val="24"/>
        </w:rPr>
        <w:t>Learning</w:t>
      </w:r>
      <w:proofErr w:type="spellEnd"/>
      <w:r w:rsidR="00990C4C" w:rsidRPr="009D1D71">
        <w:rPr>
          <w:rFonts w:asciiTheme="majorHAnsi" w:hAnsiTheme="majorHAnsi" w:cs="Times New Roman"/>
          <w:sz w:val="24"/>
          <w:szCs w:val="24"/>
        </w:rPr>
        <w:t xml:space="preserve"> for </w:t>
      </w:r>
      <w:proofErr w:type="spellStart"/>
      <w:r w:rsidR="00990C4C" w:rsidRPr="009D1D71">
        <w:rPr>
          <w:rFonts w:asciiTheme="majorHAnsi" w:hAnsiTheme="majorHAnsi" w:cs="Times New Roman"/>
          <w:sz w:val="24"/>
          <w:szCs w:val="24"/>
        </w:rPr>
        <w:t>the</w:t>
      </w:r>
      <w:proofErr w:type="spellEnd"/>
      <w:r w:rsidR="00990C4C" w:rsidRPr="009D1D71">
        <w:rPr>
          <w:rFonts w:asciiTheme="majorHAnsi" w:hAnsiTheme="majorHAnsi" w:cs="Times New Roman"/>
          <w:sz w:val="24"/>
          <w:szCs w:val="24"/>
        </w:rPr>
        <w:t xml:space="preserve"> </w:t>
      </w:r>
      <w:proofErr w:type="spellStart"/>
      <w:r w:rsidR="00990C4C" w:rsidRPr="009D1D71">
        <w:rPr>
          <w:rFonts w:asciiTheme="majorHAnsi" w:hAnsiTheme="majorHAnsi" w:cs="Times New Roman"/>
          <w:sz w:val="24"/>
          <w:szCs w:val="24"/>
        </w:rPr>
        <w:t>Social</w:t>
      </w:r>
      <w:proofErr w:type="spellEnd"/>
      <w:r w:rsidR="00990C4C" w:rsidRPr="009D1D71">
        <w:rPr>
          <w:rFonts w:asciiTheme="majorHAnsi" w:hAnsiTheme="majorHAnsi" w:cs="Times New Roman"/>
          <w:sz w:val="24"/>
          <w:szCs w:val="24"/>
        </w:rPr>
        <w:t xml:space="preserve"> </w:t>
      </w:r>
      <w:proofErr w:type="spellStart"/>
      <w:r w:rsidR="00990C4C" w:rsidRPr="009D1D71">
        <w:rPr>
          <w:rFonts w:asciiTheme="majorHAnsi" w:hAnsiTheme="majorHAnsi" w:cs="Times New Roman"/>
          <w:sz w:val="24"/>
          <w:szCs w:val="24"/>
        </w:rPr>
        <w:t>Dimension</w:t>
      </w:r>
      <w:proofErr w:type="spellEnd"/>
      <w:r w:rsidR="00990C4C" w:rsidRPr="009D1D71">
        <w:rPr>
          <w:rFonts w:asciiTheme="majorHAnsi" w:hAnsiTheme="majorHAnsi" w:cs="Times New Roman"/>
          <w:sz w:val="24"/>
          <w:szCs w:val="24"/>
        </w:rPr>
        <w:t xml:space="preserve">“ </w:t>
      </w:r>
      <w:r w:rsidR="00990C4C" w:rsidRPr="00ED3700">
        <w:rPr>
          <w:rFonts w:asciiTheme="majorHAnsi" w:hAnsiTheme="majorHAnsi" w:cs="Times New Roman"/>
          <w:sz w:val="24"/>
          <w:szCs w:val="24"/>
        </w:rPr>
        <w:t xml:space="preserve">kojim je upravljao Institute </w:t>
      </w:r>
      <w:proofErr w:type="spellStart"/>
      <w:r w:rsidR="00990C4C" w:rsidRPr="00ED3700">
        <w:rPr>
          <w:rFonts w:asciiTheme="majorHAnsi" w:hAnsiTheme="majorHAnsi" w:cs="Times New Roman"/>
          <w:sz w:val="24"/>
          <w:szCs w:val="24"/>
        </w:rPr>
        <w:t>of</w:t>
      </w:r>
      <w:proofErr w:type="spellEnd"/>
      <w:r w:rsidR="00990C4C" w:rsidRPr="00ED3700">
        <w:rPr>
          <w:rFonts w:asciiTheme="majorHAnsi" w:hAnsiTheme="majorHAnsi" w:cs="Times New Roman"/>
          <w:sz w:val="24"/>
          <w:szCs w:val="24"/>
        </w:rPr>
        <w:t xml:space="preserve"> Advanced </w:t>
      </w:r>
      <w:proofErr w:type="spellStart"/>
      <w:r w:rsidR="00990C4C" w:rsidRPr="00ED3700">
        <w:rPr>
          <w:rFonts w:asciiTheme="majorHAnsi" w:hAnsiTheme="majorHAnsi" w:cs="Times New Roman"/>
          <w:sz w:val="24"/>
          <w:szCs w:val="24"/>
        </w:rPr>
        <w:t>Studies</w:t>
      </w:r>
      <w:proofErr w:type="spellEnd"/>
      <w:r w:rsidR="00990C4C" w:rsidRPr="00ED3700">
        <w:rPr>
          <w:rFonts w:asciiTheme="majorHAnsi" w:hAnsiTheme="majorHAnsi" w:cs="Times New Roman"/>
          <w:sz w:val="24"/>
          <w:szCs w:val="24"/>
        </w:rPr>
        <w:t xml:space="preserve"> iz Beča u razdoblju od  2012. do 2015. imao je za cilj povećati transparentnost te sustavan i cjelovit pristup aktivnostima kojima zemlje članice Europskog prostora visokog obrazovanja (EHEA) unapređuju socijalnu dimenziju. U izradi ovih preporuka koristili smo bazu podataka ovog projekta koja je okupila velik broj mjera kojima se unapređuje socijalna dimenzija u zemljama EHEA i koja je dostupna na internetskim stranicama projekta </w:t>
      </w:r>
      <w:hyperlink r:id="rId21" w:history="1">
        <w:r w:rsidR="00990C4C" w:rsidRPr="00ED3700">
          <w:rPr>
            <w:rFonts w:asciiTheme="majorHAnsi" w:hAnsiTheme="majorHAnsi" w:cs="Times New Roman"/>
            <w:sz w:val="24"/>
            <w:szCs w:val="24"/>
          </w:rPr>
          <w:t>www.pl4sd.eu</w:t>
        </w:r>
      </w:hyperlink>
      <w:r w:rsidR="00990C4C" w:rsidRPr="00ED3700">
        <w:rPr>
          <w:rFonts w:asciiTheme="majorHAnsi" w:hAnsiTheme="majorHAnsi" w:cs="Times New Roman"/>
          <w:sz w:val="24"/>
          <w:szCs w:val="24"/>
        </w:rPr>
        <w:t>. Dodatno, koristili smo izvještaje o provedenom vanjskom neovisnom vrednovanju (</w:t>
      </w:r>
      <w:proofErr w:type="spellStart"/>
      <w:r w:rsidR="00990C4C" w:rsidRPr="00ED3700">
        <w:rPr>
          <w:rFonts w:asciiTheme="majorHAnsi" w:hAnsiTheme="majorHAnsi" w:cs="Times New Roman"/>
          <w:sz w:val="24"/>
          <w:szCs w:val="24"/>
        </w:rPr>
        <w:t>country</w:t>
      </w:r>
      <w:proofErr w:type="spellEnd"/>
      <w:r w:rsidR="00990C4C" w:rsidRPr="00ED3700">
        <w:rPr>
          <w:rFonts w:asciiTheme="majorHAnsi" w:hAnsiTheme="majorHAnsi" w:cs="Times New Roman"/>
          <w:sz w:val="24"/>
          <w:szCs w:val="24"/>
        </w:rPr>
        <w:t xml:space="preserve"> </w:t>
      </w:r>
      <w:proofErr w:type="spellStart"/>
      <w:r w:rsidR="00990C4C" w:rsidRPr="00ED3700">
        <w:rPr>
          <w:rFonts w:asciiTheme="majorHAnsi" w:hAnsiTheme="majorHAnsi" w:cs="Times New Roman"/>
          <w:sz w:val="24"/>
          <w:szCs w:val="24"/>
        </w:rPr>
        <w:t>review</w:t>
      </w:r>
      <w:proofErr w:type="spellEnd"/>
      <w:r w:rsidR="00990C4C" w:rsidRPr="00ED3700">
        <w:rPr>
          <w:rFonts w:asciiTheme="majorHAnsi" w:hAnsiTheme="majorHAnsi" w:cs="Times New Roman"/>
          <w:sz w:val="24"/>
          <w:szCs w:val="24"/>
        </w:rPr>
        <w:t xml:space="preserve">) politika i mjera kojima Hrvatska kao članica EHEA unapređuje socijalnu dimenziju. </w:t>
      </w:r>
    </w:p>
    <w:p w:rsidR="00990C4C" w:rsidRPr="00ED3700" w:rsidRDefault="00990C4C" w:rsidP="00990C4C">
      <w:pPr>
        <w:contextualSpacing/>
        <w:jc w:val="both"/>
        <w:rPr>
          <w:rFonts w:asciiTheme="majorHAnsi" w:hAnsiTheme="majorHAnsi" w:cs="Times New Roman"/>
          <w:sz w:val="24"/>
          <w:szCs w:val="24"/>
        </w:rPr>
      </w:pPr>
    </w:p>
    <w:p w:rsidR="00990C4C" w:rsidRPr="00ED3700" w:rsidRDefault="00F9083E" w:rsidP="00990C4C">
      <w:pPr>
        <w:contextualSpacing/>
        <w:jc w:val="both"/>
        <w:rPr>
          <w:rFonts w:asciiTheme="majorHAnsi" w:hAnsiTheme="majorHAnsi" w:cs="Times New Roman"/>
          <w:sz w:val="24"/>
          <w:szCs w:val="24"/>
        </w:rPr>
      </w:pPr>
      <w:r w:rsidRPr="00ED3700">
        <w:rPr>
          <w:rFonts w:asciiTheme="majorHAnsi" w:hAnsiTheme="majorHAnsi" w:cs="Times New Roman"/>
          <w:sz w:val="24"/>
          <w:szCs w:val="24"/>
        </w:rPr>
        <w:t>Naposljetku</w:t>
      </w:r>
      <w:r w:rsidR="00990C4C" w:rsidRPr="00ED3700">
        <w:rPr>
          <w:rFonts w:asciiTheme="majorHAnsi" w:hAnsiTheme="majorHAnsi" w:cs="Times New Roman"/>
          <w:sz w:val="24"/>
          <w:szCs w:val="24"/>
        </w:rPr>
        <w:t xml:space="preserve">, koristili smo se podacima i rezultatima </w:t>
      </w:r>
      <w:r w:rsidR="00990C4C" w:rsidRPr="003170ED">
        <w:rPr>
          <w:rFonts w:asciiTheme="majorHAnsi" w:hAnsiTheme="majorHAnsi" w:cs="Times New Roman"/>
          <w:sz w:val="24"/>
          <w:szCs w:val="24"/>
        </w:rPr>
        <w:t>istraživanja EUROSTUDENT</w:t>
      </w:r>
      <w:r w:rsidR="00990C4C" w:rsidRPr="00ED3700">
        <w:rPr>
          <w:rFonts w:asciiTheme="majorHAnsi" w:hAnsiTheme="majorHAnsi" w:cs="Times New Roman"/>
          <w:sz w:val="24"/>
          <w:szCs w:val="24"/>
        </w:rPr>
        <w:t xml:space="preserve">. Kako bi se politike za unapređivanje socijalne dimenzije visokog obrazovanja temeljile na podacima, pokrenuto je međunarodno istraživanje EUROSTUDENT koje se provodi u 30 od 47 zemalja EHEA. Cilj istraživanja je prikupiti podatke o demografskom profilu studentskog tijela, </w:t>
      </w:r>
      <w:proofErr w:type="spellStart"/>
      <w:r w:rsidR="00990C4C" w:rsidRPr="00ED3700">
        <w:rPr>
          <w:rFonts w:asciiTheme="majorHAnsi" w:hAnsiTheme="majorHAnsi" w:cs="Times New Roman"/>
          <w:sz w:val="24"/>
          <w:szCs w:val="24"/>
        </w:rPr>
        <w:t>socio</w:t>
      </w:r>
      <w:proofErr w:type="spellEnd"/>
      <w:r w:rsidR="00990C4C" w:rsidRPr="00ED3700">
        <w:rPr>
          <w:rFonts w:asciiTheme="majorHAnsi" w:hAnsiTheme="majorHAnsi" w:cs="Times New Roman"/>
          <w:sz w:val="24"/>
          <w:szCs w:val="24"/>
        </w:rPr>
        <w:t xml:space="preserve">-ekonomskom statusu studenata, troškovima koje studenti imaju za vrijeme studija, izvorima financiranja, zadovoljstvu studenata različitim aspektima studija, radu za vrijeme studija te o njihovim iskustvima i planovima za međunarodnu mobilnost. Hrvatska se prvi put uključila 2010. godine u istraživanje </w:t>
      </w:r>
      <w:r w:rsidR="00990C4C" w:rsidRPr="00ED3700">
        <w:rPr>
          <w:rFonts w:asciiTheme="majorHAnsi" w:hAnsiTheme="majorHAnsi" w:cs="Times New Roman"/>
          <w:sz w:val="24"/>
          <w:szCs w:val="24"/>
        </w:rPr>
        <w:lastRenderedPageBreak/>
        <w:t xml:space="preserve">EUROSTUDENT u njegovu četvrtom ciklusu te je zatim sudjelovala i u petom ciklusu istraživanja (EUROSTUDENT V) koje je provedeno 2014. godine u Hrvatskoj. </w:t>
      </w:r>
    </w:p>
    <w:p w:rsidR="00990C4C" w:rsidRPr="00ED3700" w:rsidRDefault="00990C4C" w:rsidP="00990C4C">
      <w:pPr>
        <w:contextualSpacing/>
        <w:jc w:val="both"/>
        <w:rPr>
          <w:rFonts w:asciiTheme="majorHAnsi" w:hAnsiTheme="majorHAnsi" w:cs="Times New Roman"/>
          <w:sz w:val="24"/>
          <w:szCs w:val="24"/>
        </w:rPr>
      </w:pPr>
    </w:p>
    <w:p w:rsidR="00990C4C" w:rsidRPr="00ED3700" w:rsidRDefault="00990C4C" w:rsidP="00990C4C">
      <w:pPr>
        <w:contextualSpacing/>
        <w:jc w:val="both"/>
        <w:rPr>
          <w:rFonts w:asciiTheme="majorHAnsi" w:hAnsiTheme="majorHAnsi" w:cs="Times New Roman"/>
          <w:sz w:val="24"/>
          <w:szCs w:val="24"/>
        </w:rPr>
      </w:pPr>
      <w:r w:rsidRPr="00ED3700">
        <w:rPr>
          <w:rFonts w:asciiTheme="majorHAnsi" w:hAnsiTheme="majorHAnsi" w:cs="Times New Roman"/>
          <w:sz w:val="24"/>
          <w:szCs w:val="24"/>
        </w:rPr>
        <w:t xml:space="preserve">Proučavanjem glavnih ishoda ovdje opisanih projekata zaključili smo da je važno financijsku pomoć iz javnih izvora za pripadnike podzastupljenih i ranjivih skupina temeljiti primarno na </w:t>
      </w:r>
      <w:r w:rsidRPr="003673D0">
        <w:rPr>
          <w:rFonts w:asciiTheme="majorHAnsi" w:hAnsiTheme="majorHAnsi" w:cs="Times New Roman"/>
          <w:sz w:val="24"/>
          <w:szCs w:val="24"/>
        </w:rPr>
        <w:t>izravnim oblicima pomoći u obliku stipendija</w:t>
      </w:r>
      <w:r w:rsidRPr="00ED3700">
        <w:rPr>
          <w:rFonts w:asciiTheme="majorHAnsi" w:hAnsiTheme="majorHAnsi" w:cs="Times New Roman"/>
          <w:sz w:val="24"/>
          <w:szCs w:val="24"/>
        </w:rPr>
        <w:t xml:space="preserve">, pomoć dodjeljivati primarno po kriteriju potrebe te prilagoditi mjesečni iznos stipendije stvarnim troškovima studiranja za  ranjive skupine. Ovakvom mjerom smanjila bi se potreba za plaćenim radom tih studenata, što bi im omogućilo da više vremena posvete studijskim obvezama. Potrebno je razmotriti mogućnost povećanja ukupno dostupnih javnih stipendija kao mehanizma izravne pomoći studentima s ciljem da se poveća udio studenata koji primaju stipendije. Kako bi se to ostvarilo, potrebno je razmotriti je li omjer javnih ulaganja u neizravne oblike pomoći studentima iz subvencija (koje su univerzalno dostupne svima) i u izravne oblike pomoći stipendijama (koje bi trebale biti namijenjene najpotrebitijima) u skladu s načelom pravednosti i efikasnosti. </w:t>
      </w:r>
    </w:p>
    <w:p w:rsidR="00990C4C" w:rsidRPr="00ED3700" w:rsidRDefault="00990C4C" w:rsidP="00990C4C">
      <w:pPr>
        <w:jc w:val="both"/>
        <w:rPr>
          <w:rFonts w:asciiTheme="majorHAnsi" w:hAnsiTheme="majorHAnsi" w:cs="Times New Roman"/>
          <w:sz w:val="24"/>
          <w:szCs w:val="24"/>
        </w:rPr>
      </w:pPr>
    </w:p>
    <w:p w:rsidR="00990C4C" w:rsidRPr="00ED3700" w:rsidRDefault="00990C4C" w:rsidP="00990C4C">
      <w:pPr>
        <w:jc w:val="both"/>
        <w:rPr>
          <w:rFonts w:asciiTheme="majorHAnsi" w:hAnsiTheme="majorHAnsi" w:cs="Times New Roman"/>
          <w:sz w:val="24"/>
          <w:szCs w:val="24"/>
        </w:rPr>
      </w:pPr>
      <w:r w:rsidRPr="00ED3700">
        <w:rPr>
          <w:rFonts w:asciiTheme="majorHAnsi" w:hAnsiTheme="majorHAnsi" w:cs="Times New Roman"/>
          <w:sz w:val="24"/>
          <w:szCs w:val="24"/>
        </w:rPr>
        <w:t xml:space="preserve">Smatramo također važnim istaknuti </w:t>
      </w:r>
      <w:proofErr w:type="spellStart"/>
      <w:r w:rsidRPr="00ED3700">
        <w:rPr>
          <w:rFonts w:asciiTheme="majorHAnsi" w:hAnsiTheme="majorHAnsi" w:cs="Times New Roman"/>
          <w:sz w:val="24"/>
          <w:szCs w:val="24"/>
        </w:rPr>
        <w:t>podcilj</w:t>
      </w:r>
      <w:proofErr w:type="spellEnd"/>
      <w:r w:rsidRPr="00ED3700">
        <w:rPr>
          <w:rFonts w:asciiTheme="majorHAnsi" w:hAnsiTheme="majorHAnsi" w:cs="Times New Roman"/>
          <w:sz w:val="24"/>
          <w:szCs w:val="24"/>
        </w:rPr>
        <w:t xml:space="preserve"> koji se odnosi na povećanje </w:t>
      </w:r>
      <w:r w:rsidRPr="003673D0">
        <w:rPr>
          <w:rFonts w:asciiTheme="majorHAnsi" w:hAnsiTheme="majorHAnsi" w:cs="Times New Roman"/>
          <w:sz w:val="24"/>
          <w:szCs w:val="24"/>
        </w:rPr>
        <w:t>dostupnosti smještaja u studentskim domovima</w:t>
      </w:r>
      <w:r w:rsidRPr="00ED3700">
        <w:rPr>
          <w:rFonts w:asciiTheme="majorHAnsi" w:hAnsiTheme="majorHAnsi" w:cs="Times New Roman"/>
          <w:sz w:val="24"/>
          <w:szCs w:val="24"/>
        </w:rPr>
        <w:t xml:space="preserve"> pod povoljnim financijskim uvjetima s ciljem postupnog približavanja skupini EUROSTUDENT zemalja u kojima je više od četvrtine studenata smješteno u studentskim domovima (Slovenija s 27%, Nizozemska s 29%, Finska s 32% te Slovačka s 36%). Kriterij potrebe trebalo bi uzimati kao glavni kriteriji za dobivanje smještaja u studentskom domu.</w:t>
      </w:r>
    </w:p>
    <w:p w:rsidR="00990C4C" w:rsidRPr="00ED3700" w:rsidRDefault="00990C4C" w:rsidP="00990C4C">
      <w:pPr>
        <w:jc w:val="both"/>
        <w:rPr>
          <w:rFonts w:asciiTheme="majorHAnsi" w:hAnsiTheme="majorHAnsi" w:cs="Times New Roman"/>
          <w:sz w:val="24"/>
          <w:szCs w:val="24"/>
        </w:rPr>
      </w:pPr>
    </w:p>
    <w:p w:rsidR="00990C4C" w:rsidRPr="00ED3700" w:rsidRDefault="00990C4C" w:rsidP="00990C4C">
      <w:pPr>
        <w:jc w:val="both"/>
        <w:rPr>
          <w:rFonts w:asciiTheme="majorHAnsi" w:hAnsiTheme="majorHAnsi" w:cs="Times New Roman"/>
          <w:sz w:val="24"/>
          <w:szCs w:val="24"/>
        </w:rPr>
      </w:pPr>
      <w:r w:rsidRPr="00ED3700">
        <w:rPr>
          <w:rFonts w:asciiTheme="majorHAnsi" w:hAnsiTheme="majorHAnsi" w:cs="Times New Roman"/>
          <w:sz w:val="24"/>
          <w:szCs w:val="24"/>
        </w:rPr>
        <w:t>Kako bi se stipendijama obuhvatio veći udio studenata od trenutnih 23% (</w:t>
      </w:r>
      <w:proofErr w:type="spellStart"/>
      <w:r w:rsidRPr="00ED3700">
        <w:rPr>
          <w:rFonts w:asciiTheme="majorHAnsi" w:hAnsiTheme="majorHAnsi" w:cs="Times New Roman"/>
          <w:sz w:val="24"/>
          <w:szCs w:val="24"/>
        </w:rPr>
        <w:t>Šćukanec</w:t>
      </w:r>
      <w:proofErr w:type="spellEnd"/>
      <w:r w:rsidRPr="00ED3700">
        <w:rPr>
          <w:rFonts w:asciiTheme="majorHAnsi" w:hAnsiTheme="majorHAnsi" w:cs="Times New Roman"/>
          <w:sz w:val="24"/>
          <w:szCs w:val="24"/>
        </w:rPr>
        <w:t xml:space="preserve"> i dr., 2016), predlažemo da se razrade mehanizmi koji bi </w:t>
      </w:r>
      <w:r w:rsidRPr="003673D0">
        <w:rPr>
          <w:rFonts w:asciiTheme="majorHAnsi" w:hAnsiTheme="majorHAnsi" w:cs="Times New Roman"/>
          <w:sz w:val="24"/>
          <w:szCs w:val="24"/>
        </w:rPr>
        <w:t>potaknuli tvrtke, zaklade i udruge na aktivnije uključivanje u stipendiranje studenata.</w:t>
      </w:r>
      <w:r w:rsidRPr="00ED3700">
        <w:rPr>
          <w:rFonts w:asciiTheme="majorHAnsi" w:hAnsiTheme="majorHAnsi" w:cs="Times New Roman"/>
          <w:sz w:val="24"/>
          <w:szCs w:val="24"/>
        </w:rPr>
        <w:t xml:space="preserve"> Prema nalazima istraživanja EUROSTUDENT V, stipendije koje dodjeljuju tvrtke, zaklade ili udruge u Hrvatskoj obuhvaćaju najmanji udio od 8% među promatranim izvorima stipendija.  </w:t>
      </w:r>
    </w:p>
    <w:p w:rsidR="0061582F" w:rsidRPr="00ED3700" w:rsidRDefault="0061582F" w:rsidP="00A2106B">
      <w:pPr>
        <w:jc w:val="both"/>
        <w:rPr>
          <w:rFonts w:asciiTheme="majorHAnsi" w:hAnsiTheme="majorHAnsi" w:cstheme="minorHAnsi"/>
          <w:sz w:val="24"/>
          <w:szCs w:val="24"/>
        </w:rPr>
      </w:pPr>
    </w:p>
    <w:p w:rsidR="009E24B8" w:rsidRPr="00ED3700" w:rsidRDefault="009E24B8" w:rsidP="00B90AC7">
      <w:pPr>
        <w:pStyle w:val="Heading3"/>
        <w:rPr>
          <w:rStyle w:val="BookTitle"/>
          <w:sz w:val="28"/>
          <w:szCs w:val="28"/>
        </w:rPr>
      </w:pPr>
      <w:r w:rsidRPr="00ED3700">
        <w:rPr>
          <w:rStyle w:val="BookTitle"/>
          <w:sz w:val="28"/>
          <w:szCs w:val="28"/>
        </w:rPr>
        <w:t>Cilj 6: sustav osiguravanja kvalitete uključuje standarde vezane za socijalnu dimenziju visokoga učilišta</w:t>
      </w:r>
    </w:p>
    <w:p w:rsidR="009E24B8" w:rsidRPr="00ED3700" w:rsidRDefault="009E24B8" w:rsidP="00CA5D18">
      <w:pPr>
        <w:rPr>
          <w:rStyle w:val="BookTitle"/>
          <w:sz w:val="28"/>
          <w:szCs w:val="28"/>
        </w:rPr>
      </w:pPr>
    </w:p>
    <w:p w:rsidR="00EF11F0" w:rsidRPr="004A17C2" w:rsidRDefault="009E24B8" w:rsidP="00EF11F0">
      <w:pPr>
        <w:rPr>
          <w:rFonts w:asciiTheme="majorHAnsi" w:hAnsiTheme="majorHAnsi" w:cs="Times New Roman"/>
          <w:sz w:val="20"/>
          <w:szCs w:val="20"/>
        </w:rPr>
      </w:pPr>
      <w:r w:rsidRPr="00ED3700">
        <w:rPr>
          <w:rFonts w:asciiTheme="majorHAnsi" w:hAnsiTheme="majorHAnsi" w:cs="Times New Roman"/>
          <w:sz w:val="24"/>
          <w:szCs w:val="24"/>
        </w:rPr>
        <w:t xml:space="preserve">Osiguravanje kvalitete može se promatrati kao podrška visokoobrazovnim institucijama u njihovoj prilagodbi novom okruženju i očekivanjima društva, osiguravajući pritom da kvalifikacije studenata i iskustvo studiranja ostanu prioriteti institucionalnih misija. Vanjsko vrednovanje institucija visokoga obrazovanja provodi se u </w:t>
      </w:r>
      <w:r w:rsidR="003B1495">
        <w:rPr>
          <w:rFonts w:asciiTheme="majorHAnsi" w:hAnsiTheme="majorHAnsi" w:cs="Times New Roman"/>
          <w:sz w:val="24"/>
          <w:szCs w:val="24"/>
        </w:rPr>
        <w:t xml:space="preserve">Hrvatskoj u </w:t>
      </w:r>
      <w:r w:rsidRPr="00ED3700">
        <w:rPr>
          <w:rFonts w:asciiTheme="majorHAnsi" w:hAnsiTheme="majorHAnsi" w:cs="Times New Roman"/>
          <w:sz w:val="24"/>
          <w:szCs w:val="24"/>
        </w:rPr>
        <w:t xml:space="preserve">skladu s Europskim standardima i smjernicama iz 2015. </w:t>
      </w:r>
      <w:r w:rsidR="00EF11F0" w:rsidRPr="00EF11F0">
        <w:rPr>
          <w:rFonts w:asciiTheme="majorHAnsi" w:hAnsiTheme="majorHAnsi" w:cs="Times New Roman"/>
          <w:sz w:val="20"/>
          <w:szCs w:val="20"/>
        </w:rPr>
        <w:t>*</w:t>
      </w:r>
      <w:r w:rsidR="00EF11F0" w:rsidRPr="004A17C2">
        <w:rPr>
          <w:rFonts w:asciiTheme="majorHAnsi" w:hAnsiTheme="majorHAnsi" w:cs="Times New Roman"/>
          <w:sz w:val="20"/>
          <w:szCs w:val="20"/>
        </w:rPr>
        <w:t xml:space="preserve">Europsko udruženje za osiguravanje kvalitete u visokom obrazovanju (European </w:t>
      </w:r>
      <w:proofErr w:type="spellStart"/>
      <w:r w:rsidR="00EF11F0" w:rsidRPr="004A17C2">
        <w:rPr>
          <w:rFonts w:asciiTheme="majorHAnsi" w:hAnsiTheme="majorHAnsi" w:cs="Times New Roman"/>
          <w:sz w:val="20"/>
          <w:szCs w:val="20"/>
        </w:rPr>
        <w:t>Association</w:t>
      </w:r>
      <w:proofErr w:type="spellEnd"/>
      <w:r w:rsidR="00EF11F0" w:rsidRPr="004A17C2">
        <w:rPr>
          <w:rFonts w:asciiTheme="majorHAnsi" w:hAnsiTheme="majorHAnsi" w:cs="Times New Roman"/>
          <w:sz w:val="20"/>
          <w:szCs w:val="20"/>
        </w:rPr>
        <w:t xml:space="preserve"> for </w:t>
      </w:r>
      <w:proofErr w:type="spellStart"/>
      <w:r w:rsidR="00EF11F0" w:rsidRPr="004A17C2">
        <w:rPr>
          <w:rFonts w:asciiTheme="majorHAnsi" w:hAnsiTheme="majorHAnsi" w:cs="Times New Roman"/>
          <w:sz w:val="20"/>
          <w:szCs w:val="20"/>
        </w:rPr>
        <w:t>Quality</w:t>
      </w:r>
      <w:proofErr w:type="spellEnd"/>
      <w:r w:rsidR="00EF11F0" w:rsidRPr="004A17C2">
        <w:rPr>
          <w:rFonts w:asciiTheme="majorHAnsi" w:hAnsiTheme="majorHAnsi" w:cs="Times New Roman"/>
          <w:sz w:val="20"/>
          <w:szCs w:val="20"/>
        </w:rPr>
        <w:t xml:space="preserve"> </w:t>
      </w:r>
      <w:proofErr w:type="spellStart"/>
      <w:r w:rsidR="00EF11F0" w:rsidRPr="004A17C2">
        <w:rPr>
          <w:rFonts w:asciiTheme="majorHAnsi" w:hAnsiTheme="majorHAnsi" w:cs="Times New Roman"/>
          <w:sz w:val="20"/>
          <w:szCs w:val="20"/>
        </w:rPr>
        <w:t>Assurance</w:t>
      </w:r>
      <w:proofErr w:type="spellEnd"/>
      <w:r w:rsidR="00EF11F0" w:rsidRPr="004A17C2">
        <w:rPr>
          <w:rFonts w:asciiTheme="majorHAnsi" w:hAnsiTheme="majorHAnsi" w:cs="Times New Roman"/>
          <w:sz w:val="20"/>
          <w:szCs w:val="20"/>
        </w:rPr>
        <w:t xml:space="preserve"> </w:t>
      </w:r>
      <w:proofErr w:type="spellStart"/>
      <w:r w:rsidR="00EF11F0" w:rsidRPr="004A17C2">
        <w:rPr>
          <w:rFonts w:asciiTheme="majorHAnsi" w:hAnsiTheme="majorHAnsi" w:cs="Times New Roman"/>
          <w:sz w:val="20"/>
          <w:szCs w:val="20"/>
        </w:rPr>
        <w:t>in</w:t>
      </w:r>
      <w:proofErr w:type="spellEnd"/>
      <w:r w:rsidR="00EF11F0" w:rsidRPr="004A17C2">
        <w:rPr>
          <w:rFonts w:asciiTheme="majorHAnsi" w:hAnsiTheme="majorHAnsi" w:cs="Times New Roman"/>
          <w:sz w:val="20"/>
          <w:szCs w:val="20"/>
        </w:rPr>
        <w:t xml:space="preserve"> </w:t>
      </w:r>
      <w:proofErr w:type="spellStart"/>
      <w:r w:rsidR="00EF11F0" w:rsidRPr="004A17C2">
        <w:rPr>
          <w:rFonts w:asciiTheme="majorHAnsi" w:hAnsiTheme="majorHAnsi" w:cs="Times New Roman"/>
          <w:sz w:val="20"/>
          <w:szCs w:val="20"/>
        </w:rPr>
        <w:t>Higher</w:t>
      </w:r>
      <w:proofErr w:type="spellEnd"/>
      <w:r w:rsidR="00EF11F0" w:rsidRPr="004A17C2">
        <w:rPr>
          <w:rFonts w:asciiTheme="majorHAnsi" w:hAnsiTheme="majorHAnsi" w:cs="Times New Roman"/>
          <w:sz w:val="20"/>
          <w:szCs w:val="20"/>
        </w:rPr>
        <w:t xml:space="preserve"> </w:t>
      </w:r>
      <w:proofErr w:type="spellStart"/>
      <w:r w:rsidR="00EF11F0" w:rsidRPr="004A17C2">
        <w:rPr>
          <w:rFonts w:asciiTheme="majorHAnsi" w:hAnsiTheme="majorHAnsi" w:cs="Times New Roman"/>
          <w:sz w:val="20"/>
          <w:szCs w:val="20"/>
        </w:rPr>
        <w:t>Education</w:t>
      </w:r>
      <w:proofErr w:type="spellEnd"/>
      <w:r w:rsidR="00EF11F0" w:rsidRPr="004A17C2">
        <w:rPr>
          <w:rFonts w:asciiTheme="majorHAnsi" w:hAnsiTheme="majorHAnsi" w:cs="Times New Roman"/>
          <w:sz w:val="20"/>
          <w:szCs w:val="20"/>
        </w:rPr>
        <w:t>, ENQA), Standardi i smjernice za osiguravanje kvalitete u europskom prostoru visokoga obrazovanja, ESG 2015</w:t>
      </w:r>
      <w:r w:rsidR="00EF11F0">
        <w:rPr>
          <w:rFonts w:asciiTheme="majorHAnsi" w:hAnsiTheme="majorHAnsi" w:cs="Times New Roman"/>
          <w:sz w:val="20"/>
          <w:szCs w:val="20"/>
        </w:rPr>
        <w:t xml:space="preserve">. </w:t>
      </w:r>
    </w:p>
    <w:p w:rsidR="009E24B8" w:rsidRPr="00ED3700" w:rsidRDefault="009E24B8" w:rsidP="00B92CEF">
      <w:pPr>
        <w:jc w:val="both"/>
        <w:rPr>
          <w:rFonts w:asciiTheme="majorHAnsi" w:hAnsiTheme="majorHAnsi" w:cs="Times New Roman"/>
          <w:sz w:val="24"/>
          <w:szCs w:val="24"/>
        </w:rPr>
      </w:pPr>
      <w:r w:rsidRPr="00ED3700">
        <w:rPr>
          <w:rFonts w:asciiTheme="majorHAnsi" w:hAnsiTheme="majorHAnsi" w:cs="Times New Roman"/>
          <w:sz w:val="24"/>
          <w:szCs w:val="24"/>
        </w:rPr>
        <w:t xml:space="preserve">koje su preoblikovane s naglaskom na studentu kao središnjem fokusu visokoga obrazovanja. Sukladno tome, u osiguravanju kvalitete posebna se pozornost posvećuje podršci, resursima, nastavnom procesu i učenju prilagođenim studentskim potrebama i mogućnostima. </w:t>
      </w:r>
    </w:p>
    <w:p w:rsidR="009E24B8" w:rsidRPr="00ED3700" w:rsidRDefault="009E24B8" w:rsidP="00B92CEF">
      <w:pPr>
        <w:jc w:val="both"/>
        <w:rPr>
          <w:rFonts w:asciiTheme="majorHAnsi" w:hAnsiTheme="majorHAnsi" w:cs="Times New Roman"/>
          <w:sz w:val="24"/>
          <w:szCs w:val="24"/>
        </w:rPr>
      </w:pPr>
    </w:p>
    <w:p w:rsidR="009E24B8" w:rsidRPr="00ED3700" w:rsidRDefault="009E24B8" w:rsidP="00B92CEF">
      <w:pPr>
        <w:jc w:val="both"/>
        <w:rPr>
          <w:rFonts w:asciiTheme="majorHAnsi" w:hAnsiTheme="majorHAnsi" w:cs="Times New Roman"/>
          <w:sz w:val="24"/>
          <w:szCs w:val="24"/>
        </w:rPr>
      </w:pPr>
      <w:r w:rsidRPr="00ED3700">
        <w:rPr>
          <w:rFonts w:asciiTheme="majorHAnsi" w:hAnsiTheme="majorHAnsi" w:cs="Times New Roman"/>
          <w:sz w:val="24"/>
          <w:szCs w:val="24"/>
        </w:rPr>
        <w:t>Sustav osiguravanja kvalitete visokoobrazovnih institucija, s obzirom na strateška opredjeljenja RH te europski okvir, trebao bi obuhvatiti i one procese koji vode ka većoj dostupnosti i boljoj prohodnosti visokoga obrazovanja za ranjive i podzastupljene studentske skupine.</w:t>
      </w:r>
      <w:r w:rsidR="003673D0">
        <w:rPr>
          <w:rFonts w:asciiTheme="majorHAnsi" w:hAnsiTheme="majorHAnsi" w:cs="Times New Roman"/>
          <w:sz w:val="24"/>
          <w:szCs w:val="24"/>
        </w:rPr>
        <w:t xml:space="preserve"> U tom kontekstu, u Nacionalnom planu se preporučuje ugrađivanje </w:t>
      </w:r>
      <w:r w:rsidR="003673D0">
        <w:rPr>
          <w:rFonts w:asciiTheme="majorHAnsi" w:hAnsiTheme="majorHAnsi" w:cs="Times New Roman"/>
          <w:sz w:val="24"/>
          <w:szCs w:val="24"/>
        </w:rPr>
        <w:lastRenderedPageBreak/>
        <w:t xml:space="preserve">indikatora vezanih za socijalnu dimenziju visokog obrazovanja u unutarnje sustave osiguravanja kvalitete (6.2.), kao i u vanjsku evaluaciju visokih učilišta (6.3.). Naposljetku, kako bi se unaprijedio proces upravljanja i donošenja politika veće dostupnosti visokog obrazovanja (6.1.) predlaže se izrada strateških dokumenata o unapređenju pristupačnosti visokog obrazovanja ranjivim i podzastupljenim skupinama, kao i procjena učinaka tih strategija. </w:t>
      </w:r>
    </w:p>
    <w:p w:rsidR="009E24B8" w:rsidRDefault="009E24B8" w:rsidP="009E24B8">
      <w:pPr>
        <w:rPr>
          <w:rStyle w:val="BookTitle"/>
          <w:rFonts w:asciiTheme="majorHAnsi" w:hAnsiTheme="majorHAnsi"/>
          <w:sz w:val="28"/>
          <w:szCs w:val="28"/>
        </w:rPr>
      </w:pPr>
    </w:p>
    <w:p w:rsidR="001950C5" w:rsidRDefault="001950C5" w:rsidP="00897A38">
      <w:pPr>
        <w:pStyle w:val="Heading2"/>
        <w:rPr>
          <w:rStyle w:val="BookTitle"/>
          <w:sz w:val="28"/>
          <w:szCs w:val="28"/>
        </w:rPr>
      </w:pPr>
      <w:r>
        <w:rPr>
          <w:rStyle w:val="BookTitle"/>
          <w:sz w:val="28"/>
          <w:szCs w:val="28"/>
        </w:rPr>
        <w:t>POPIS LITERATURE</w:t>
      </w:r>
    </w:p>
    <w:p w:rsidR="001950C5" w:rsidRDefault="001950C5" w:rsidP="009E24B8">
      <w:pPr>
        <w:rPr>
          <w:rStyle w:val="BookTitle"/>
          <w:rFonts w:asciiTheme="majorHAnsi" w:hAnsiTheme="majorHAnsi"/>
          <w:sz w:val="28"/>
          <w:szCs w:val="28"/>
        </w:rPr>
      </w:pPr>
    </w:p>
    <w:p w:rsidR="001950C5" w:rsidRPr="001950C5" w:rsidRDefault="001950C5" w:rsidP="001950C5">
      <w:pPr>
        <w:rPr>
          <w:rFonts w:asciiTheme="majorHAnsi" w:hAnsiTheme="majorHAnsi"/>
        </w:rPr>
      </w:pPr>
      <w:proofErr w:type="spellStart"/>
      <w:r w:rsidRPr="001950C5">
        <w:rPr>
          <w:rFonts w:asciiTheme="majorHAnsi" w:eastAsia="Times New Roman" w:hAnsiTheme="majorHAnsi"/>
          <w:lang w:eastAsia="hr-HR"/>
        </w:rPr>
        <w:t>Doolan</w:t>
      </w:r>
      <w:proofErr w:type="spellEnd"/>
      <w:r w:rsidRPr="001950C5">
        <w:rPr>
          <w:rFonts w:asciiTheme="majorHAnsi" w:eastAsia="Times New Roman" w:hAnsiTheme="majorHAnsi"/>
          <w:lang w:eastAsia="hr-HR"/>
        </w:rPr>
        <w:t>, K., Košutić, I. i Barada, V. (2014). Institucijski poticaji i prepreke za uspjeh u studiju: perspektiva studenata/</w:t>
      </w:r>
      <w:proofErr w:type="spellStart"/>
      <w:r w:rsidRPr="001950C5">
        <w:rPr>
          <w:rFonts w:asciiTheme="majorHAnsi" w:eastAsia="Times New Roman" w:hAnsiTheme="majorHAnsi"/>
          <w:lang w:eastAsia="hr-HR"/>
        </w:rPr>
        <w:t>ica</w:t>
      </w:r>
      <w:proofErr w:type="spellEnd"/>
      <w:r w:rsidRPr="001950C5">
        <w:rPr>
          <w:rFonts w:asciiTheme="majorHAnsi" w:eastAsia="Times New Roman" w:hAnsiTheme="majorHAnsi"/>
          <w:lang w:eastAsia="hr-HR"/>
        </w:rPr>
        <w:t xml:space="preserve"> (Izvješće o nalazima istraživanja). Zagreb: Institut za razvoj obrazovanja. Dostupno na: </w:t>
      </w:r>
      <w:hyperlink r:id="rId22" w:history="1">
        <w:r w:rsidRPr="001950C5">
          <w:rPr>
            <w:rStyle w:val="Hyperlink"/>
            <w:rFonts w:asciiTheme="majorHAnsi" w:hAnsiTheme="majorHAnsi" w:cs="Arial"/>
          </w:rPr>
          <w:t>http://www.iro.hr/hr/publikacije-i-resursi/institucijski-poticaji-i-prepreke-za-uspjeh-u-studiju-perspektiva-studenataica-izvjesce-o-nalazima-istrazivanja-2015/</w:t>
        </w:r>
      </w:hyperlink>
      <w:r w:rsidRPr="001950C5">
        <w:rPr>
          <w:rFonts w:asciiTheme="majorHAnsi" w:hAnsiTheme="majorHAnsi"/>
        </w:rPr>
        <w:t xml:space="preserve"> </w:t>
      </w:r>
    </w:p>
    <w:p w:rsidR="001950C5" w:rsidRPr="001950C5" w:rsidRDefault="001950C5" w:rsidP="001950C5">
      <w:pPr>
        <w:rPr>
          <w:rFonts w:asciiTheme="majorHAnsi" w:hAnsiTheme="majorHAnsi"/>
        </w:rPr>
      </w:pPr>
    </w:p>
    <w:p w:rsidR="001950C5" w:rsidRPr="001950C5" w:rsidRDefault="001950C5" w:rsidP="001950C5">
      <w:pPr>
        <w:rPr>
          <w:rFonts w:asciiTheme="majorHAnsi" w:eastAsia="Times New Roman" w:hAnsiTheme="majorHAnsi"/>
          <w:lang w:eastAsia="hr-HR"/>
        </w:rPr>
      </w:pPr>
      <w:proofErr w:type="spellStart"/>
      <w:r w:rsidRPr="001950C5">
        <w:rPr>
          <w:rFonts w:asciiTheme="majorHAnsi" w:eastAsia="Times New Roman" w:hAnsiTheme="majorHAnsi"/>
          <w:lang w:eastAsia="hr-HR"/>
        </w:rPr>
        <w:t>Doolan</w:t>
      </w:r>
      <w:proofErr w:type="spellEnd"/>
      <w:r w:rsidRPr="001950C5">
        <w:rPr>
          <w:rFonts w:asciiTheme="majorHAnsi" w:eastAsia="Times New Roman" w:hAnsiTheme="majorHAnsi"/>
          <w:lang w:eastAsia="hr-HR"/>
        </w:rPr>
        <w:t xml:space="preserve">, K., </w:t>
      </w:r>
      <w:proofErr w:type="spellStart"/>
      <w:r w:rsidRPr="001950C5">
        <w:rPr>
          <w:rFonts w:asciiTheme="majorHAnsi" w:eastAsia="Times New Roman" w:hAnsiTheme="majorHAnsi"/>
          <w:lang w:eastAsia="hr-HR"/>
        </w:rPr>
        <w:t>Farnell</w:t>
      </w:r>
      <w:proofErr w:type="spellEnd"/>
      <w:r w:rsidRPr="001950C5">
        <w:rPr>
          <w:rFonts w:asciiTheme="majorHAnsi" w:eastAsia="Times New Roman" w:hAnsiTheme="majorHAnsi"/>
          <w:lang w:eastAsia="hr-HR"/>
        </w:rPr>
        <w:t xml:space="preserve">, T., </w:t>
      </w:r>
      <w:proofErr w:type="spellStart"/>
      <w:r w:rsidRPr="001950C5">
        <w:rPr>
          <w:rFonts w:asciiTheme="majorHAnsi" w:eastAsia="Times New Roman" w:hAnsiTheme="majorHAnsi"/>
          <w:lang w:eastAsia="hr-HR"/>
        </w:rPr>
        <w:t>Šćukanec</w:t>
      </w:r>
      <w:proofErr w:type="spellEnd"/>
      <w:r w:rsidRPr="001950C5">
        <w:rPr>
          <w:rFonts w:asciiTheme="majorHAnsi" w:eastAsia="Times New Roman" w:hAnsiTheme="majorHAnsi"/>
          <w:lang w:eastAsia="hr-HR"/>
        </w:rPr>
        <w:t xml:space="preserve">, N. i File, J. (2016). Student </w:t>
      </w:r>
      <w:proofErr w:type="spellStart"/>
      <w:r w:rsidRPr="001950C5">
        <w:rPr>
          <w:rFonts w:asciiTheme="majorHAnsi" w:eastAsia="Times New Roman" w:hAnsiTheme="majorHAnsi"/>
          <w:lang w:eastAsia="hr-HR"/>
        </w:rPr>
        <w:t>Funding</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and</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the</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Social</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Dimension</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in</w:t>
      </w:r>
      <w:proofErr w:type="spellEnd"/>
      <w:r w:rsidRPr="001950C5">
        <w:rPr>
          <w:rFonts w:asciiTheme="majorHAnsi" w:eastAsia="Times New Roman" w:hAnsiTheme="majorHAnsi"/>
          <w:lang w:eastAsia="hr-HR"/>
        </w:rPr>
        <w:t xml:space="preserve"> Croatian </w:t>
      </w:r>
      <w:proofErr w:type="spellStart"/>
      <w:r w:rsidRPr="001950C5">
        <w:rPr>
          <w:rFonts w:asciiTheme="majorHAnsi" w:eastAsia="Times New Roman" w:hAnsiTheme="majorHAnsi"/>
          <w:lang w:eastAsia="hr-HR"/>
        </w:rPr>
        <w:t>Higher</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Education</w:t>
      </w:r>
      <w:proofErr w:type="spellEnd"/>
      <w:r w:rsidRPr="001950C5">
        <w:rPr>
          <w:rFonts w:asciiTheme="majorHAnsi" w:eastAsia="Times New Roman" w:hAnsiTheme="majorHAnsi"/>
          <w:lang w:eastAsia="hr-HR"/>
        </w:rPr>
        <w:t xml:space="preserve">. U </w:t>
      </w:r>
      <w:proofErr w:type="spellStart"/>
      <w:r w:rsidRPr="001950C5">
        <w:rPr>
          <w:rFonts w:asciiTheme="majorHAnsi" w:eastAsia="Times New Roman" w:hAnsiTheme="majorHAnsi"/>
          <w:lang w:eastAsia="hr-HR"/>
        </w:rPr>
        <w:t>Jongbloed</w:t>
      </w:r>
      <w:proofErr w:type="spellEnd"/>
      <w:r w:rsidRPr="001950C5">
        <w:rPr>
          <w:rFonts w:asciiTheme="majorHAnsi" w:eastAsia="Times New Roman" w:hAnsiTheme="majorHAnsi"/>
          <w:lang w:eastAsia="hr-HR"/>
        </w:rPr>
        <w:t xml:space="preserve">, B. i </w:t>
      </w:r>
      <w:proofErr w:type="spellStart"/>
      <w:r w:rsidRPr="001950C5">
        <w:rPr>
          <w:rFonts w:asciiTheme="majorHAnsi" w:eastAsia="Times New Roman" w:hAnsiTheme="majorHAnsi"/>
          <w:lang w:eastAsia="hr-HR"/>
        </w:rPr>
        <w:t>Vossensteyn</w:t>
      </w:r>
      <w:proofErr w:type="spellEnd"/>
      <w:r w:rsidRPr="001950C5">
        <w:rPr>
          <w:rFonts w:asciiTheme="majorHAnsi" w:eastAsia="Times New Roman" w:hAnsiTheme="majorHAnsi"/>
          <w:lang w:eastAsia="hr-HR"/>
        </w:rPr>
        <w:t>, H. (</w:t>
      </w:r>
      <w:proofErr w:type="spellStart"/>
      <w:r w:rsidRPr="001950C5">
        <w:rPr>
          <w:rFonts w:asciiTheme="majorHAnsi" w:eastAsia="Times New Roman" w:hAnsiTheme="majorHAnsi"/>
          <w:lang w:eastAsia="hr-HR"/>
        </w:rPr>
        <w:t>Ur</w:t>
      </w:r>
      <w:proofErr w:type="spellEnd"/>
      <w:r w:rsidRPr="001950C5">
        <w:rPr>
          <w:rFonts w:asciiTheme="majorHAnsi" w:eastAsia="Times New Roman" w:hAnsiTheme="majorHAnsi"/>
          <w:lang w:eastAsia="hr-HR"/>
        </w:rPr>
        <w:t xml:space="preserve">.). Access </w:t>
      </w:r>
      <w:proofErr w:type="spellStart"/>
      <w:r w:rsidRPr="001950C5">
        <w:rPr>
          <w:rFonts w:asciiTheme="majorHAnsi" w:eastAsia="Times New Roman" w:hAnsiTheme="majorHAnsi"/>
          <w:lang w:eastAsia="hr-HR"/>
        </w:rPr>
        <w:t>and</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Expansion</w:t>
      </w:r>
      <w:proofErr w:type="spellEnd"/>
      <w:r w:rsidRPr="001950C5">
        <w:rPr>
          <w:rFonts w:asciiTheme="majorHAnsi" w:eastAsia="Times New Roman" w:hAnsiTheme="majorHAnsi"/>
          <w:lang w:eastAsia="hr-HR"/>
        </w:rPr>
        <w:t xml:space="preserve"> Post-</w:t>
      </w:r>
      <w:proofErr w:type="spellStart"/>
      <w:r w:rsidRPr="001950C5">
        <w:rPr>
          <w:rFonts w:asciiTheme="majorHAnsi" w:eastAsia="Times New Roman" w:hAnsiTheme="majorHAnsi"/>
          <w:lang w:eastAsia="hr-HR"/>
        </w:rPr>
        <w:t>Massification</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Opportunities</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and</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Barriers</w:t>
      </w:r>
      <w:proofErr w:type="spellEnd"/>
      <w:r w:rsidRPr="001950C5">
        <w:rPr>
          <w:rFonts w:asciiTheme="majorHAnsi" w:eastAsia="Times New Roman" w:hAnsiTheme="majorHAnsi"/>
          <w:lang w:eastAsia="hr-HR"/>
        </w:rPr>
        <w:t xml:space="preserve"> to </w:t>
      </w:r>
      <w:proofErr w:type="spellStart"/>
      <w:r w:rsidRPr="001950C5">
        <w:rPr>
          <w:rFonts w:asciiTheme="majorHAnsi" w:eastAsia="Times New Roman" w:hAnsiTheme="majorHAnsi"/>
          <w:lang w:eastAsia="hr-HR"/>
        </w:rPr>
        <w:t>Further</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Growth</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in</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Higher</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Education</w:t>
      </w:r>
      <w:proofErr w:type="spellEnd"/>
      <w:r w:rsidRPr="001950C5">
        <w:rPr>
          <w:rFonts w:asciiTheme="majorHAnsi" w:eastAsia="Times New Roman" w:hAnsiTheme="majorHAnsi"/>
          <w:lang w:eastAsia="hr-HR"/>
        </w:rPr>
        <w:t xml:space="preserve"> </w:t>
      </w:r>
      <w:proofErr w:type="spellStart"/>
      <w:r w:rsidRPr="001950C5">
        <w:rPr>
          <w:rFonts w:asciiTheme="majorHAnsi" w:eastAsia="Times New Roman" w:hAnsiTheme="majorHAnsi"/>
          <w:lang w:eastAsia="hr-HR"/>
        </w:rPr>
        <w:t>Participation</w:t>
      </w:r>
      <w:proofErr w:type="spellEnd"/>
      <w:r w:rsidRPr="001950C5">
        <w:rPr>
          <w:rFonts w:asciiTheme="majorHAnsi" w:eastAsia="Times New Roman" w:hAnsiTheme="majorHAnsi"/>
          <w:lang w:eastAsia="hr-HR"/>
        </w:rPr>
        <w:t xml:space="preserve">. New York </w:t>
      </w:r>
      <w:proofErr w:type="spellStart"/>
      <w:r w:rsidRPr="001950C5">
        <w:rPr>
          <w:rFonts w:asciiTheme="majorHAnsi" w:eastAsia="Times New Roman" w:hAnsiTheme="majorHAnsi"/>
          <w:lang w:eastAsia="hr-HR"/>
        </w:rPr>
        <w:t>and</w:t>
      </w:r>
      <w:proofErr w:type="spellEnd"/>
      <w:r w:rsidRPr="001950C5">
        <w:rPr>
          <w:rFonts w:asciiTheme="majorHAnsi" w:eastAsia="Times New Roman" w:hAnsiTheme="majorHAnsi"/>
          <w:lang w:eastAsia="hr-HR"/>
        </w:rPr>
        <w:t xml:space="preserve"> London: </w:t>
      </w:r>
      <w:proofErr w:type="spellStart"/>
      <w:r w:rsidRPr="001950C5">
        <w:rPr>
          <w:rFonts w:asciiTheme="majorHAnsi" w:eastAsia="Times New Roman" w:hAnsiTheme="majorHAnsi"/>
          <w:lang w:eastAsia="hr-HR"/>
        </w:rPr>
        <w:t>Routledge</w:t>
      </w:r>
      <w:proofErr w:type="spellEnd"/>
      <w:r w:rsidRPr="001950C5">
        <w:rPr>
          <w:rFonts w:asciiTheme="majorHAnsi" w:eastAsia="Times New Roman" w:hAnsiTheme="majorHAnsi"/>
          <w:lang w:eastAsia="hr-HR"/>
        </w:rPr>
        <w:t>/Taylor &amp; Francis Group, str. 131-150.</w:t>
      </w:r>
    </w:p>
    <w:p w:rsidR="001950C5" w:rsidRPr="001950C5" w:rsidRDefault="001950C5" w:rsidP="001950C5">
      <w:pPr>
        <w:rPr>
          <w:rFonts w:asciiTheme="majorHAnsi" w:hAnsiTheme="majorHAnsi"/>
        </w:rPr>
      </w:pPr>
    </w:p>
    <w:p w:rsidR="001950C5" w:rsidRPr="001950C5" w:rsidRDefault="001950C5" w:rsidP="001950C5">
      <w:pPr>
        <w:rPr>
          <w:rFonts w:asciiTheme="majorHAnsi" w:eastAsia="Times New Roman" w:hAnsiTheme="majorHAnsi"/>
          <w:color w:val="0000FF" w:themeColor="hyperlink"/>
          <w:u w:val="single"/>
          <w:lang w:eastAsia="hr-HR"/>
        </w:rPr>
      </w:pPr>
      <w:proofErr w:type="spellStart"/>
      <w:r w:rsidRPr="001950C5">
        <w:rPr>
          <w:rFonts w:asciiTheme="majorHAnsi" w:eastAsia="Times New Roman" w:hAnsiTheme="majorHAnsi"/>
          <w:lang w:eastAsia="hr-HR"/>
        </w:rPr>
        <w:t>Farnell</w:t>
      </w:r>
      <w:proofErr w:type="spellEnd"/>
      <w:r w:rsidRPr="001950C5">
        <w:rPr>
          <w:rFonts w:asciiTheme="majorHAnsi" w:eastAsia="Times New Roman" w:hAnsiTheme="majorHAnsi"/>
          <w:lang w:eastAsia="hr-HR"/>
        </w:rPr>
        <w:t xml:space="preserve">, T., </w:t>
      </w:r>
      <w:proofErr w:type="spellStart"/>
      <w:r w:rsidRPr="001950C5">
        <w:rPr>
          <w:rFonts w:asciiTheme="majorHAnsi" w:eastAsia="Times New Roman" w:hAnsiTheme="majorHAnsi"/>
          <w:lang w:eastAsia="hr-HR"/>
        </w:rPr>
        <w:t>Doolan</w:t>
      </w:r>
      <w:proofErr w:type="spellEnd"/>
      <w:r w:rsidRPr="001950C5">
        <w:rPr>
          <w:rFonts w:asciiTheme="majorHAnsi" w:eastAsia="Times New Roman" w:hAnsiTheme="majorHAnsi"/>
          <w:lang w:eastAsia="hr-HR"/>
        </w:rPr>
        <w:t xml:space="preserve">, K., Matković, T. i Cvitan, M. (2011.). </w:t>
      </w:r>
      <w:r w:rsidRPr="001950C5">
        <w:rPr>
          <w:rFonts w:asciiTheme="majorHAnsi" w:eastAsia="Times New Roman" w:hAnsiTheme="majorHAnsi"/>
          <w:i/>
          <w:lang w:eastAsia="hr-HR"/>
        </w:rPr>
        <w:t>Socijalna i ekonomska slika studentskog života u Hrvatskoj: nacionalno izvješće istraživanja EUROSTUDENT za Hrvatsku</w:t>
      </w:r>
      <w:r w:rsidRPr="001950C5">
        <w:rPr>
          <w:rFonts w:asciiTheme="majorHAnsi" w:eastAsia="Times New Roman" w:hAnsiTheme="majorHAnsi"/>
          <w:lang w:eastAsia="hr-HR"/>
        </w:rPr>
        <w:t xml:space="preserve">. Zagreb: Institut za razvoj obrazovanja. Dostupno na: </w:t>
      </w:r>
      <w:hyperlink r:id="rId23" w:history="1">
        <w:r w:rsidRPr="001950C5">
          <w:rPr>
            <w:rFonts w:asciiTheme="majorHAnsi" w:eastAsia="Times New Roman" w:hAnsiTheme="majorHAnsi"/>
            <w:color w:val="0000FF" w:themeColor="hyperlink"/>
            <w:u w:val="single"/>
            <w:lang w:eastAsia="hr-HR"/>
          </w:rPr>
          <w:t>http://iro.hr/userdocs/File/ACCESS-glavni/1.%20EUROSTUDENT_Nacionalno_izvjesce_RH_2011.pdf</w:t>
        </w:r>
      </w:hyperlink>
    </w:p>
    <w:p w:rsidR="001950C5" w:rsidRPr="001950C5" w:rsidRDefault="001950C5" w:rsidP="001950C5">
      <w:pPr>
        <w:rPr>
          <w:rFonts w:asciiTheme="majorHAnsi" w:hAnsiTheme="majorHAnsi"/>
        </w:rPr>
      </w:pPr>
    </w:p>
    <w:p w:rsidR="001950C5" w:rsidRPr="001950C5" w:rsidRDefault="001950C5" w:rsidP="001950C5">
      <w:pPr>
        <w:rPr>
          <w:rFonts w:asciiTheme="majorHAnsi" w:hAnsiTheme="majorHAnsi"/>
          <w:lang w:eastAsia="hr-HR"/>
        </w:rPr>
      </w:pPr>
      <w:r w:rsidRPr="001950C5">
        <w:rPr>
          <w:rFonts w:asciiTheme="majorHAnsi" w:hAnsiTheme="majorHAnsi"/>
          <w:lang w:eastAsia="hr-HR"/>
        </w:rPr>
        <w:t xml:space="preserve">File, J., </w:t>
      </w:r>
      <w:proofErr w:type="spellStart"/>
      <w:r w:rsidRPr="001950C5">
        <w:rPr>
          <w:rFonts w:asciiTheme="majorHAnsi" w:hAnsiTheme="majorHAnsi"/>
          <w:lang w:eastAsia="hr-HR"/>
        </w:rPr>
        <w:t>Farnell</w:t>
      </w:r>
      <w:proofErr w:type="spellEnd"/>
      <w:r w:rsidRPr="001950C5">
        <w:rPr>
          <w:rFonts w:asciiTheme="majorHAnsi" w:hAnsiTheme="majorHAnsi"/>
          <w:lang w:eastAsia="hr-HR"/>
        </w:rPr>
        <w:t xml:space="preserve">, T., </w:t>
      </w:r>
      <w:proofErr w:type="spellStart"/>
      <w:r w:rsidRPr="001950C5">
        <w:rPr>
          <w:rFonts w:asciiTheme="majorHAnsi" w:hAnsiTheme="majorHAnsi"/>
          <w:lang w:eastAsia="hr-HR"/>
        </w:rPr>
        <w:t>Doolan</w:t>
      </w:r>
      <w:proofErr w:type="spellEnd"/>
      <w:r w:rsidRPr="001950C5">
        <w:rPr>
          <w:rFonts w:asciiTheme="majorHAnsi" w:hAnsiTheme="majorHAnsi"/>
          <w:lang w:eastAsia="hr-HR"/>
        </w:rPr>
        <w:t xml:space="preserve">, K., Lesjak, D. i </w:t>
      </w:r>
      <w:proofErr w:type="spellStart"/>
      <w:r w:rsidRPr="001950C5">
        <w:rPr>
          <w:rFonts w:asciiTheme="majorHAnsi" w:hAnsiTheme="majorHAnsi"/>
          <w:lang w:eastAsia="hr-HR"/>
        </w:rPr>
        <w:t>Šćukanec</w:t>
      </w:r>
      <w:proofErr w:type="spellEnd"/>
      <w:r w:rsidRPr="001950C5">
        <w:rPr>
          <w:rFonts w:asciiTheme="majorHAnsi" w:hAnsiTheme="majorHAnsi"/>
          <w:lang w:eastAsia="hr-HR"/>
        </w:rPr>
        <w:t xml:space="preserve">, N. (2013.). Financiranje visokog obrazovanja i socijalna dimenzija u Hrvatskoj: analiza i preporuke. Zagreb: Institut za razvoj obrazovanja. Dostupno na: </w:t>
      </w:r>
      <w:hyperlink r:id="rId24" w:history="1">
        <w:r w:rsidRPr="001950C5">
          <w:rPr>
            <w:rStyle w:val="Hyperlink"/>
            <w:rFonts w:asciiTheme="majorHAnsi" w:hAnsiTheme="majorHAnsi" w:cs="Arial"/>
            <w:lang w:eastAsia="hr-HR"/>
          </w:rPr>
          <w:t>http://www.iro.hr/hr/publikacije-i-resursi/financiranje-i-socijalna-dimenzija/</w:t>
        </w:r>
      </w:hyperlink>
      <w:r w:rsidRPr="001950C5">
        <w:rPr>
          <w:rFonts w:asciiTheme="majorHAnsi" w:hAnsiTheme="majorHAnsi"/>
          <w:lang w:eastAsia="hr-HR"/>
        </w:rPr>
        <w:t xml:space="preserve"> </w:t>
      </w:r>
    </w:p>
    <w:p w:rsidR="001950C5" w:rsidRPr="001950C5" w:rsidRDefault="001950C5" w:rsidP="001950C5">
      <w:pPr>
        <w:rPr>
          <w:rFonts w:asciiTheme="majorHAnsi" w:hAnsiTheme="majorHAnsi"/>
        </w:rPr>
      </w:pPr>
    </w:p>
    <w:p w:rsidR="001950C5" w:rsidRPr="001950C5" w:rsidRDefault="001950C5" w:rsidP="001950C5">
      <w:pPr>
        <w:rPr>
          <w:rFonts w:asciiTheme="majorHAnsi" w:hAnsiTheme="majorHAnsi"/>
          <w:lang w:val="de-DE"/>
        </w:rPr>
      </w:pPr>
      <w:proofErr w:type="spellStart"/>
      <w:r w:rsidRPr="001950C5">
        <w:rPr>
          <w:rFonts w:asciiTheme="majorHAnsi" w:hAnsiTheme="majorHAnsi"/>
        </w:rPr>
        <w:t>Hauschildt</w:t>
      </w:r>
      <w:proofErr w:type="spellEnd"/>
      <w:r w:rsidRPr="001950C5">
        <w:rPr>
          <w:rFonts w:asciiTheme="majorHAnsi" w:hAnsiTheme="majorHAnsi"/>
        </w:rPr>
        <w:t xml:space="preserve">, K., </w:t>
      </w:r>
      <w:proofErr w:type="spellStart"/>
      <w:r w:rsidRPr="001950C5">
        <w:rPr>
          <w:rFonts w:asciiTheme="majorHAnsi" w:hAnsiTheme="majorHAnsi"/>
        </w:rPr>
        <w:t>Gwosc</w:t>
      </w:r>
      <w:proofErr w:type="spellEnd"/>
      <w:r w:rsidRPr="001950C5">
        <w:rPr>
          <w:rFonts w:asciiTheme="majorHAnsi" w:hAnsiTheme="majorHAnsi"/>
        </w:rPr>
        <w:t xml:space="preserve">, C., </w:t>
      </w:r>
      <w:proofErr w:type="spellStart"/>
      <w:r w:rsidRPr="001950C5">
        <w:rPr>
          <w:rFonts w:asciiTheme="majorHAnsi" w:hAnsiTheme="majorHAnsi"/>
        </w:rPr>
        <w:t>Netz</w:t>
      </w:r>
      <w:proofErr w:type="spellEnd"/>
      <w:r w:rsidRPr="001950C5">
        <w:rPr>
          <w:rFonts w:asciiTheme="majorHAnsi" w:hAnsiTheme="majorHAnsi"/>
        </w:rPr>
        <w:t xml:space="preserve">, N., </w:t>
      </w:r>
      <w:proofErr w:type="spellStart"/>
      <w:r w:rsidRPr="001950C5">
        <w:rPr>
          <w:rFonts w:asciiTheme="majorHAnsi" w:hAnsiTheme="majorHAnsi"/>
        </w:rPr>
        <w:t>Mishra</w:t>
      </w:r>
      <w:proofErr w:type="spellEnd"/>
      <w:r w:rsidRPr="001950C5">
        <w:rPr>
          <w:rFonts w:asciiTheme="majorHAnsi" w:hAnsiTheme="majorHAnsi"/>
        </w:rPr>
        <w:t xml:space="preserve">, S. (2015). </w:t>
      </w:r>
      <w:r w:rsidRPr="001950C5">
        <w:rPr>
          <w:rFonts w:asciiTheme="majorHAnsi" w:hAnsiTheme="majorHAnsi"/>
          <w:i/>
          <w:lang w:val="en-GB"/>
        </w:rPr>
        <w:t xml:space="preserve">Social and Economic Conditions of Student Life in Europe: Synopsis of Indicators. </w:t>
      </w:r>
      <w:r w:rsidRPr="001950C5">
        <w:rPr>
          <w:rFonts w:asciiTheme="majorHAnsi" w:hAnsiTheme="majorHAnsi"/>
          <w:i/>
          <w:lang w:val="de-DE"/>
        </w:rPr>
        <w:t>Eurostudent V 2012-2015</w:t>
      </w:r>
      <w:r w:rsidRPr="001950C5">
        <w:rPr>
          <w:rFonts w:asciiTheme="majorHAnsi" w:hAnsiTheme="majorHAnsi"/>
          <w:lang w:val="de-DE"/>
        </w:rPr>
        <w:t>. Bielefeld: W. Bertelsmann Verlag.</w:t>
      </w:r>
    </w:p>
    <w:p w:rsidR="001950C5" w:rsidRPr="001950C5" w:rsidRDefault="001950C5" w:rsidP="001950C5">
      <w:pPr>
        <w:rPr>
          <w:rFonts w:asciiTheme="majorHAnsi" w:hAnsiTheme="majorHAnsi"/>
        </w:rPr>
      </w:pPr>
    </w:p>
    <w:p w:rsidR="001950C5" w:rsidRPr="001950C5" w:rsidRDefault="001950C5" w:rsidP="001950C5">
      <w:pPr>
        <w:rPr>
          <w:rFonts w:asciiTheme="majorHAnsi" w:hAnsiTheme="majorHAnsi"/>
        </w:rPr>
      </w:pPr>
      <w:proofErr w:type="spellStart"/>
      <w:r w:rsidRPr="001950C5">
        <w:rPr>
          <w:rFonts w:asciiTheme="majorHAnsi" w:hAnsiTheme="majorHAnsi"/>
          <w:lang w:eastAsia="hr-HR"/>
        </w:rPr>
        <w:t>Orr</w:t>
      </w:r>
      <w:proofErr w:type="spellEnd"/>
      <w:r w:rsidRPr="001950C5">
        <w:rPr>
          <w:rFonts w:asciiTheme="majorHAnsi" w:hAnsiTheme="majorHAnsi"/>
          <w:lang w:eastAsia="hr-HR"/>
        </w:rPr>
        <w:t xml:space="preserve">, D., </w:t>
      </w:r>
      <w:proofErr w:type="spellStart"/>
      <w:r w:rsidRPr="001950C5">
        <w:rPr>
          <w:rFonts w:asciiTheme="majorHAnsi" w:hAnsiTheme="majorHAnsi"/>
          <w:lang w:eastAsia="hr-HR"/>
        </w:rPr>
        <w:t>Gwosć</w:t>
      </w:r>
      <w:proofErr w:type="spellEnd"/>
      <w:r w:rsidRPr="001950C5">
        <w:rPr>
          <w:rFonts w:asciiTheme="majorHAnsi" w:hAnsiTheme="majorHAnsi"/>
          <w:lang w:eastAsia="hr-HR"/>
        </w:rPr>
        <w:t xml:space="preserve">, C. i </w:t>
      </w:r>
      <w:proofErr w:type="spellStart"/>
      <w:r w:rsidRPr="001950C5">
        <w:rPr>
          <w:rFonts w:asciiTheme="majorHAnsi" w:hAnsiTheme="majorHAnsi"/>
          <w:lang w:eastAsia="hr-HR"/>
        </w:rPr>
        <w:t>Netz</w:t>
      </w:r>
      <w:proofErr w:type="spellEnd"/>
      <w:r w:rsidRPr="001950C5">
        <w:rPr>
          <w:rFonts w:asciiTheme="majorHAnsi" w:hAnsiTheme="majorHAnsi"/>
          <w:lang w:eastAsia="hr-HR"/>
        </w:rPr>
        <w:t xml:space="preserve">, N. (2011). </w:t>
      </w:r>
      <w:proofErr w:type="spellStart"/>
      <w:r w:rsidRPr="001950C5">
        <w:rPr>
          <w:rFonts w:asciiTheme="majorHAnsi" w:hAnsiTheme="majorHAnsi"/>
          <w:lang w:eastAsia="hr-HR"/>
        </w:rPr>
        <w:t>Social</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and</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Economic</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Conditions</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of</w:t>
      </w:r>
      <w:proofErr w:type="spellEnd"/>
      <w:r w:rsidRPr="001950C5">
        <w:rPr>
          <w:rFonts w:asciiTheme="majorHAnsi" w:hAnsiTheme="majorHAnsi"/>
          <w:lang w:eastAsia="hr-HR"/>
        </w:rPr>
        <w:t xml:space="preserve"> Student Life </w:t>
      </w:r>
      <w:proofErr w:type="spellStart"/>
      <w:r w:rsidRPr="001950C5">
        <w:rPr>
          <w:rFonts w:asciiTheme="majorHAnsi" w:hAnsiTheme="majorHAnsi"/>
          <w:lang w:eastAsia="hr-HR"/>
        </w:rPr>
        <w:t>in</w:t>
      </w:r>
      <w:proofErr w:type="spellEnd"/>
      <w:r w:rsidRPr="001950C5">
        <w:rPr>
          <w:rFonts w:asciiTheme="majorHAnsi" w:hAnsiTheme="majorHAnsi"/>
          <w:lang w:eastAsia="hr-HR"/>
        </w:rPr>
        <w:t xml:space="preserve"> Europe. </w:t>
      </w:r>
      <w:proofErr w:type="spellStart"/>
      <w:r w:rsidRPr="001950C5">
        <w:rPr>
          <w:rFonts w:asciiTheme="majorHAnsi" w:hAnsiTheme="majorHAnsi"/>
          <w:lang w:eastAsia="hr-HR"/>
        </w:rPr>
        <w:t>Synopsis</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of</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indicators</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Final</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report</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Eurostudent</w:t>
      </w:r>
      <w:proofErr w:type="spellEnd"/>
      <w:r w:rsidRPr="001950C5">
        <w:rPr>
          <w:rFonts w:asciiTheme="majorHAnsi" w:hAnsiTheme="majorHAnsi"/>
          <w:lang w:eastAsia="hr-HR"/>
        </w:rPr>
        <w:t xml:space="preserve"> IV 2008 - 2011. </w:t>
      </w:r>
      <w:proofErr w:type="spellStart"/>
      <w:r w:rsidRPr="001950C5">
        <w:rPr>
          <w:rFonts w:asciiTheme="majorHAnsi" w:hAnsiTheme="majorHAnsi"/>
          <w:lang w:eastAsia="hr-HR"/>
        </w:rPr>
        <w:t>Bielefeld</w:t>
      </w:r>
      <w:proofErr w:type="spellEnd"/>
      <w:r w:rsidRPr="001950C5">
        <w:rPr>
          <w:rFonts w:asciiTheme="majorHAnsi" w:hAnsiTheme="majorHAnsi"/>
          <w:lang w:eastAsia="hr-HR"/>
        </w:rPr>
        <w:t xml:space="preserve">: W. </w:t>
      </w:r>
      <w:proofErr w:type="spellStart"/>
      <w:r w:rsidRPr="001950C5">
        <w:rPr>
          <w:rFonts w:asciiTheme="majorHAnsi" w:hAnsiTheme="majorHAnsi"/>
          <w:lang w:eastAsia="hr-HR"/>
        </w:rPr>
        <w:t>Bertelsmann</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Verlag</w:t>
      </w:r>
      <w:proofErr w:type="spellEnd"/>
      <w:r w:rsidRPr="001950C5">
        <w:rPr>
          <w:rFonts w:asciiTheme="majorHAnsi" w:hAnsiTheme="majorHAnsi"/>
          <w:lang w:eastAsia="hr-HR"/>
        </w:rPr>
        <w:t xml:space="preserve">. Dostupno na: </w:t>
      </w:r>
      <w:hyperlink r:id="rId25" w:history="1">
        <w:r w:rsidRPr="001950C5">
          <w:rPr>
            <w:rStyle w:val="Hyperlink"/>
            <w:rFonts w:asciiTheme="majorHAnsi" w:hAnsiTheme="majorHAnsi"/>
            <w:lang w:eastAsia="hr-HR"/>
          </w:rPr>
          <w:t>http://www.felvi.hu/pub_bin/dload/eurostudent/EUROSTUDENT_IV.pdf</w:t>
        </w:r>
      </w:hyperlink>
    </w:p>
    <w:p w:rsidR="001950C5" w:rsidRPr="001950C5" w:rsidRDefault="001950C5" w:rsidP="001950C5">
      <w:pPr>
        <w:rPr>
          <w:rFonts w:asciiTheme="majorHAnsi" w:hAnsiTheme="majorHAnsi"/>
          <w:lang w:eastAsia="hr-HR"/>
        </w:rPr>
      </w:pPr>
    </w:p>
    <w:p w:rsidR="001950C5" w:rsidRPr="001950C5" w:rsidRDefault="001950C5" w:rsidP="001950C5">
      <w:pPr>
        <w:rPr>
          <w:rFonts w:asciiTheme="majorHAnsi" w:hAnsiTheme="majorHAnsi"/>
          <w:lang w:eastAsia="hr-HR"/>
        </w:rPr>
      </w:pPr>
      <w:proofErr w:type="spellStart"/>
      <w:r w:rsidRPr="001950C5">
        <w:rPr>
          <w:rFonts w:asciiTheme="majorHAnsi" w:hAnsiTheme="majorHAnsi"/>
          <w:lang w:eastAsia="hr-HR"/>
        </w:rPr>
        <w:t>Orr</w:t>
      </w:r>
      <w:proofErr w:type="spellEnd"/>
      <w:r w:rsidRPr="001950C5">
        <w:rPr>
          <w:rFonts w:asciiTheme="majorHAnsi" w:hAnsiTheme="majorHAnsi"/>
          <w:lang w:eastAsia="hr-HR"/>
        </w:rPr>
        <w:t xml:space="preserve">, D., </w:t>
      </w:r>
      <w:proofErr w:type="spellStart"/>
      <w:r w:rsidRPr="001950C5">
        <w:rPr>
          <w:rFonts w:asciiTheme="majorHAnsi" w:hAnsiTheme="majorHAnsi"/>
          <w:lang w:eastAsia="hr-HR"/>
        </w:rPr>
        <w:t>Schnitzer</w:t>
      </w:r>
      <w:proofErr w:type="spellEnd"/>
      <w:r w:rsidRPr="001950C5">
        <w:rPr>
          <w:rFonts w:asciiTheme="majorHAnsi" w:hAnsiTheme="majorHAnsi"/>
          <w:lang w:eastAsia="hr-HR"/>
        </w:rPr>
        <w:t xml:space="preserve">, K. i </w:t>
      </w:r>
      <w:proofErr w:type="spellStart"/>
      <w:r w:rsidRPr="001950C5">
        <w:rPr>
          <w:rFonts w:asciiTheme="majorHAnsi" w:hAnsiTheme="majorHAnsi"/>
          <w:lang w:eastAsia="hr-HR"/>
        </w:rPr>
        <w:t>Frackmann</w:t>
      </w:r>
      <w:proofErr w:type="spellEnd"/>
      <w:r w:rsidRPr="001950C5">
        <w:rPr>
          <w:rFonts w:asciiTheme="majorHAnsi" w:hAnsiTheme="majorHAnsi"/>
          <w:lang w:eastAsia="hr-HR"/>
        </w:rPr>
        <w:t xml:space="preserve">, E. (2008). </w:t>
      </w:r>
      <w:proofErr w:type="spellStart"/>
      <w:r w:rsidRPr="001950C5">
        <w:rPr>
          <w:rFonts w:asciiTheme="majorHAnsi" w:hAnsiTheme="majorHAnsi"/>
          <w:lang w:eastAsia="hr-HR"/>
        </w:rPr>
        <w:t>Social</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and</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Economic</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Conditions</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of</w:t>
      </w:r>
      <w:proofErr w:type="spellEnd"/>
      <w:r w:rsidRPr="001950C5">
        <w:rPr>
          <w:rFonts w:asciiTheme="majorHAnsi" w:hAnsiTheme="majorHAnsi"/>
          <w:lang w:eastAsia="hr-HR"/>
        </w:rPr>
        <w:t xml:space="preserve"> Student Life </w:t>
      </w:r>
      <w:proofErr w:type="spellStart"/>
      <w:r w:rsidRPr="001950C5">
        <w:rPr>
          <w:rFonts w:asciiTheme="majorHAnsi" w:hAnsiTheme="majorHAnsi"/>
          <w:lang w:eastAsia="hr-HR"/>
        </w:rPr>
        <w:t>in</w:t>
      </w:r>
      <w:proofErr w:type="spellEnd"/>
      <w:r w:rsidRPr="001950C5">
        <w:rPr>
          <w:rFonts w:asciiTheme="majorHAnsi" w:hAnsiTheme="majorHAnsi"/>
          <w:lang w:eastAsia="hr-HR"/>
        </w:rPr>
        <w:t xml:space="preserve"> Europe. </w:t>
      </w:r>
      <w:proofErr w:type="spellStart"/>
      <w:r w:rsidRPr="001950C5">
        <w:rPr>
          <w:rFonts w:asciiTheme="majorHAnsi" w:hAnsiTheme="majorHAnsi"/>
          <w:lang w:eastAsia="hr-HR"/>
        </w:rPr>
        <w:t>Synopsis</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of</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indicators</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Final</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report</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Eurostudent</w:t>
      </w:r>
      <w:proofErr w:type="spellEnd"/>
      <w:r w:rsidRPr="001950C5">
        <w:rPr>
          <w:rFonts w:asciiTheme="majorHAnsi" w:hAnsiTheme="majorHAnsi"/>
          <w:lang w:eastAsia="hr-HR"/>
        </w:rPr>
        <w:t xml:space="preserve"> IV 2005–2008. </w:t>
      </w:r>
      <w:proofErr w:type="spellStart"/>
      <w:r w:rsidRPr="001950C5">
        <w:rPr>
          <w:rFonts w:asciiTheme="majorHAnsi" w:hAnsiTheme="majorHAnsi"/>
          <w:lang w:eastAsia="hr-HR"/>
        </w:rPr>
        <w:t>Bielefeld</w:t>
      </w:r>
      <w:proofErr w:type="spellEnd"/>
      <w:r w:rsidRPr="001950C5">
        <w:rPr>
          <w:rFonts w:asciiTheme="majorHAnsi" w:hAnsiTheme="majorHAnsi"/>
          <w:lang w:eastAsia="hr-HR"/>
        </w:rPr>
        <w:t xml:space="preserve">: W. </w:t>
      </w:r>
      <w:proofErr w:type="spellStart"/>
      <w:r w:rsidRPr="001950C5">
        <w:rPr>
          <w:rFonts w:asciiTheme="majorHAnsi" w:hAnsiTheme="majorHAnsi"/>
          <w:lang w:eastAsia="hr-HR"/>
        </w:rPr>
        <w:t>Bertelsmann</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Verlag</w:t>
      </w:r>
      <w:proofErr w:type="spellEnd"/>
      <w:r w:rsidRPr="001950C5">
        <w:rPr>
          <w:rFonts w:asciiTheme="majorHAnsi" w:hAnsiTheme="majorHAnsi"/>
          <w:lang w:eastAsia="hr-HR"/>
        </w:rPr>
        <w:t xml:space="preserve">. Dostupno na: </w:t>
      </w:r>
      <w:hyperlink r:id="rId26" w:history="1">
        <w:r w:rsidRPr="001950C5">
          <w:rPr>
            <w:rStyle w:val="Hyperlink"/>
            <w:rFonts w:asciiTheme="majorHAnsi" w:hAnsiTheme="majorHAnsi"/>
          </w:rPr>
          <w:t>http://www.eurostudent.eu/download_files/documents/Synopsis_of_Indicators_EIII.pdf</w:t>
        </w:r>
      </w:hyperlink>
      <w:r w:rsidRPr="001950C5">
        <w:rPr>
          <w:rFonts w:asciiTheme="majorHAnsi" w:hAnsiTheme="majorHAnsi"/>
        </w:rPr>
        <w:t xml:space="preserve"> </w:t>
      </w:r>
    </w:p>
    <w:p w:rsidR="001950C5" w:rsidRPr="001950C5" w:rsidRDefault="001950C5" w:rsidP="001950C5">
      <w:pPr>
        <w:rPr>
          <w:rFonts w:asciiTheme="majorHAnsi" w:hAnsiTheme="majorHAnsi"/>
          <w:lang w:eastAsia="hr-HR"/>
        </w:rPr>
      </w:pPr>
    </w:p>
    <w:p w:rsidR="001950C5" w:rsidRPr="001950C5" w:rsidRDefault="001950C5" w:rsidP="001950C5">
      <w:pPr>
        <w:rPr>
          <w:rFonts w:asciiTheme="majorHAnsi" w:hAnsiTheme="majorHAnsi"/>
          <w:lang w:eastAsia="hr-HR"/>
        </w:rPr>
      </w:pPr>
      <w:proofErr w:type="spellStart"/>
      <w:r w:rsidRPr="001950C5">
        <w:rPr>
          <w:rFonts w:asciiTheme="majorHAnsi" w:hAnsiTheme="majorHAnsi"/>
          <w:lang w:eastAsia="hr-HR"/>
        </w:rPr>
        <w:t>Orr</w:t>
      </w:r>
      <w:proofErr w:type="spellEnd"/>
      <w:r w:rsidRPr="001950C5">
        <w:rPr>
          <w:rFonts w:asciiTheme="majorHAnsi" w:hAnsiTheme="majorHAnsi"/>
          <w:lang w:eastAsia="hr-HR"/>
        </w:rPr>
        <w:t xml:space="preserve">, D. i </w:t>
      </w:r>
      <w:proofErr w:type="spellStart"/>
      <w:r w:rsidRPr="001950C5">
        <w:rPr>
          <w:rFonts w:asciiTheme="majorHAnsi" w:hAnsiTheme="majorHAnsi"/>
          <w:lang w:eastAsia="hr-HR"/>
        </w:rPr>
        <w:t>Szabo</w:t>
      </w:r>
      <w:proofErr w:type="spellEnd"/>
      <w:r w:rsidRPr="001950C5">
        <w:rPr>
          <w:rFonts w:asciiTheme="majorHAnsi" w:hAnsiTheme="majorHAnsi"/>
          <w:lang w:eastAsia="hr-HR"/>
        </w:rPr>
        <w:t xml:space="preserve">, M. (2015). </w:t>
      </w:r>
      <w:proofErr w:type="spellStart"/>
      <w:r w:rsidRPr="001950C5">
        <w:rPr>
          <w:rFonts w:asciiTheme="majorHAnsi" w:hAnsiTheme="majorHAnsi"/>
          <w:lang w:eastAsia="hr-HR"/>
        </w:rPr>
        <w:t>Peer</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Learning</w:t>
      </w:r>
      <w:proofErr w:type="spellEnd"/>
      <w:r w:rsidRPr="001950C5">
        <w:rPr>
          <w:rFonts w:asciiTheme="majorHAnsi" w:hAnsiTheme="majorHAnsi"/>
          <w:lang w:eastAsia="hr-HR"/>
        </w:rPr>
        <w:t xml:space="preserve"> for </w:t>
      </w:r>
      <w:proofErr w:type="spellStart"/>
      <w:r w:rsidRPr="001950C5">
        <w:rPr>
          <w:rFonts w:asciiTheme="majorHAnsi" w:hAnsiTheme="majorHAnsi"/>
          <w:lang w:eastAsia="hr-HR"/>
        </w:rPr>
        <w:t>the</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Social</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Dimension</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Country</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Review</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in</w:t>
      </w:r>
      <w:proofErr w:type="spellEnd"/>
      <w:r w:rsidRPr="001950C5">
        <w:rPr>
          <w:rFonts w:asciiTheme="majorHAnsi" w:hAnsiTheme="majorHAnsi"/>
          <w:lang w:eastAsia="hr-HR"/>
        </w:rPr>
        <w:t xml:space="preserve"> Croatia – </w:t>
      </w:r>
      <w:proofErr w:type="spellStart"/>
      <w:r w:rsidRPr="001950C5">
        <w:rPr>
          <w:rFonts w:asciiTheme="majorHAnsi" w:hAnsiTheme="majorHAnsi"/>
          <w:lang w:eastAsia="hr-HR"/>
        </w:rPr>
        <w:t>Final</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Report</w:t>
      </w:r>
      <w:proofErr w:type="spellEnd"/>
      <w:r w:rsidRPr="001950C5">
        <w:rPr>
          <w:rFonts w:asciiTheme="majorHAnsi" w:hAnsiTheme="majorHAnsi"/>
          <w:lang w:eastAsia="hr-HR"/>
        </w:rPr>
        <w:t xml:space="preserve">. </w:t>
      </w:r>
      <w:proofErr w:type="spellStart"/>
      <w:r w:rsidRPr="001950C5">
        <w:rPr>
          <w:rFonts w:asciiTheme="majorHAnsi" w:hAnsiTheme="majorHAnsi"/>
          <w:lang w:eastAsia="hr-HR"/>
        </w:rPr>
        <w:t>Vienna</w:t>
      </w:r>
      <w:proofErr w:type="spellEnd"/>
      <w:r w:rsidRPr="001950C5">
        <w:rPr>
          <w:rFonts w:asciiTheme="majorHAnsi" w:hAnsiTheme="majorHAnsi"/>
          <w:lang w:eastAsia="hr-HR"/>
        </w:rPr>
        <w:t xml:space="preserve">: Institute </w:t>
      </w:r>
      <w:proofErr w:type="spellStart"/>
      <w:r w:rsidRPr="001950C5">
        <w:rPr>
          <w:rFonts w:asciiTheme="majorHAnsi" w:hAnsiTheme="majorHAnsi"/>
          <w:lang w:eastAsia="hr-HR"/>
        </w:rPr>
        <w:t>of</w:t>
      </w:r>
      <w:proofErr w:type="spellEnd"/>
      <w:r w:rsidRPr="001950C5">
        <w:rPr>
          <w:rFonts w:asciiTheme="majorHAnsi" w:hAnsiTheme="majorHAnsi"/>
          <w:lang w:eastAsia="hr-HR"/>
        </w:rPr>
        <w:t xml:space="preserve"> Advanced </w:t>
      </w:r>
      <w:proofErr w:type="spellStart"/>
      <w:r w:rsidRPr="001950C5">
        <w:rPr>
          <w:rFonts w:asciiTheme="majorHAnsi" w:hAnsiTheme="majorHAnsi"/>
          <w:lang w:eastAsia="hr-HR"/>
        </w:rPr>
        <w:t>Studies</w:t>
      </w:r>
      <w:proofErr w:type="spellEnd"/>
      <w:r w:rsidRPr="001950C5">
        <w:rPr>
          <w:rFonts w:asciiTheme="majorHAnsi" w:hAnsiTheme="majorHAnsi"/>
          <w:lang w:eastAsia="hr-HR"/>
        </w:rPr>
        <w:t xml:space="preserve">. Dostupno na:  </w:t>
      </w:r>
      <w:hyperlink r:id="rId27" w:history="1">
        <w:r w:rsidRPr="001950C5">
          <w:rPr>
            <w:rStyle w:val="Hyperlink"/>
            <w:rFonts w:asciiTheme="majorHAnsi" w:hAnsiTheme="majorHAnsi"/>
            <w:lang w:eastAsia="hr-HR"/>
          </w:rPr>
          <w:t>http://www.pl4sd.eu/images/Country_Reviews/CR_Final_Report_Croatia.pdf</w:t>
        </w:r>
      </w:hyperlink>
    </w:p>
    <w:p w:rsidR="001950C5" w:rsidRPr="001950C5" w:rsidRDefault="001950C5" w:rsidP="001950C5">
      <w:pPr>
        <w:rPr>
          <w:rFonts w:asciiTheme="majorHAnsi" w:hAnsiTheme="majorHAnsi"/>
        </w:rPr>
      </w:pPr>
    </w:p>
    <w:p w:rsidR="001950C5" w:rsidRPr="001950C5" w:rsidRDefault="001950C5" w:rsidP="001950C5">
      <w:pPr>
        <w:rPr>
          <w:rFonts w:asciiTheme="majorHAnsi" w:hAnsiTheme="majorHAnsi"/>
          <w:lang w:eastAsia="hr-HR"/>
        </w:rPr>
      </w:pPr>
      <w:r w:rsidRPr="001950C5">
        <w:rPr>
          <w:rFonts w:asciiTheme="majorHAnsi" w:hAnsiTheme="majorHAnsi"/>
          <w:lang w:eastAsia="hr-HR"/>
        </w:rPr>
        <w:t xml:space="preserve">Strategija obrazovanja, znanosti i tehnologije RH [Strategija]. (2014.). Zagreb: Hrvatski sabor. </w:t>
      </w:r>
    </w:p>
    <w:p w:rsidR="001950C5" w:rsidRPr="001950C5" w:rsidRDefault="001950C5" w:rsidP="001950C5">
      <w:pPr>
        <w:rPr>
          <w:rFonts w:asciiTheme="majorHAnsi" w:hAnsiTheme="majorHAnsi"/>
        </w:rPr>
      </w:pPr>
    </w:p>
    <w:p w:rsidR="001950C5" w:rsidRPr="001950C5" w:rsidRDefault="001950C5" w:rsidP="001950C5">
      <w:pPr>
        <w:rPr>
          <w:rFonts w:asciiTheme="majorHAnsi" w:hAnsiTheme="majorHAnsi"/>
        </w:rPr>
      </w:pPr>
      <w:proofErr w:type="spellStart"/>
      <w:r w:rsidRPr="001950C5">
        <w:rPr>
          <w:rFonts w:asciiTheme="majorHAnsi" w:hAnsiTheme="majorHAnsi"/>
        </w:rPr>
        <w:t>Šćukanec</w:t>
      </w:r>
      <w:proofErr w:type="spellEnd"/>
      <w:r w:rsidRPr="001950C5">
        <w:rPr>
          <w:rFonts w:asciiTheme="majorHAnsi" w:hAnsiTheme="majorHAnsi"/>
        </w:rPr>
        <w:t xml:space="preserve">, N., </w:t>
      </w:r>
      <w:proofErr w:type="spellStart"/>
      <w:r w:rsidRPr="001950C5">
        <w:rPr>
          <w:rFonts w:asciiTheme="majorHAnsi" w:hAnsiTheme="majorHAnsi"/>
        </w:rPr>
        <w:t>Doolan</w:t>
      </w:r>
      <w:proofErr w:type="spellEnd"/>
      <w:r w:rsidRPr="001950C5">
        <w:rPr>
          <w:rFonts w:asciiTheme="majorHAnsi" w:hAnsiTheme="majorHAnsi"/>
        </w:rPr>
        <w:t xml:space="preserve">, K., Thomas, L., Košutić, I. i Barada, V. (2015.). Unapređivanje kvalitete u visokom obrazovanju kroz jačanje pravednosti i socijalne uključenosti. Zagreb: Institut za razvoj obrazovanja. Dostupno na: </w:t>
      </w:r>
      <w:hyperlink r:id="rId28" w:history="1">
        <w:r w:rsidRPr="001950C5">
          <w:rPr>
            <w:rStyle w:val="Hyperlink"/>
            <w:rFonts w:asciiTheme="majorHAnsi" w:hAnsiTheme="majorHAnsi" w:cs="Arial"/>
          </w:rPr>
          <w:t>http://www.iro.hr/hr/publikacije-i-resursi/unapredjivanje-kvalitete-u-visokom-obrazovanju-kroz-jacanje-pravednosti-i-socijalne-ukljucenosti-pregled-rezultata-projekta-equality-2015/</w:t>
        </w:r>
      </w:hyperlink>
      <w:r w:rsidRPr="001950C5">
        <w:rPr>
          <w:rFonts w:asciiTheme="majorHAnsi" w:hAnsiTheme="majorHAnsi"/>
        </w:rPr>
        <w:t xml:space="preserve"> </w:t>
      </w:r>
    </w:p>
    <w:p w:rsidR="001950C5" w:rsidRPr="001950C5" w:rsidRDefault="001950C5" w:rsidP="001950C5">
      <w:pPr>
        <w:rPr>
          <w:rFonts w:asciiTheme="majorHAnsi" w:hAnsiTheme="majorHAnsi"/>
        </w:rPr>
      </w:pPr>
    </w:p>
    <w:p w:rsidR="001950C5" w:rsidRPr="001950C5" w:rsidRDefault="001950C5" w:rsidP="001950C5">
      <w:pPr>
        <w:rPr>
          <w:rFonts w:asciiTheme="majorHAnsi" w:hAnsiTheme="majorHAnsi"/>
        </w:rPr>
      </w:pPr>
      <w:proofErr w:type="spellStart"/>
      <w:r w:rsidRPr="001950C5">
        <w:rPr>
          <w:rFonts w:asciiTheme="majorHAnsi" w:hAnsiTheme="majorHAnsi"/>
        </w:rPr>
        <w:lastRenderedPageBreak/>
        <w:t>Šćukanec</w:t>
      </w:r>
      <w:proofErr w:type="spellEnd"/>
      <w:r w:rsidRPr="001950C5">
        <w:rPr>
          <w:rFonts w:asciiTheme="majorHAnsi" w:hAnsiTheme="majorHAnsi"/>
        </w:rPr>
        <w:t>, N. (2015). Izvještaji o stanju pravednosti i socijalne uključenosti na Sveučilištu u Rijeci, Sveučilištu u Zadru i Veleučilištu „Marko Marulić“ u Kninu (Nalazi i preporuke projekta E-</w:t>
      </w:r>
      <w:proofErr w:type="spellStart"/>
      <w:r w:rsidRPr="001950C5">
        <w:rPr>
          <w:rFonts w:asciiTheme="majorHAnsi" w:hAnsiTheme="majorHAnsi"/>
        </w:rPr>
        <w:t>Quality</w:t>
      </w:r>
      <w:proofErr w:type="spellEnd"/>
      <w:r w:rsidRPr="001950C5">
        <w:rPr>
          <w:rFonts w:asciiTheme="majorHAnsi" w:hAnsiTheme="majorHAnsi"/>
        </w:rPr>
        <w:t xml:space="preserve">). Zagreb: Institut za razvoj obrazovanja. Dostupno na: </w:t>
      </w:r>
      <w:hyperlink r:id="rId29" w:history="1">
        <w:r w:rsidRPr="001950C5">
          <w:rPr>
            <w:rStyle w:val="Hyperlink"/>
            <w:rFonts w:asciiTheme="majorHAnsi" w:hAnsiTheme="majorHAnsi" w:cs="Arial"/>
          </w:rPr>
          <w:t>http://www.iro.hr/hr/publikacije-i-resursi/izvjestaji-o-stanju-pravednosti-i-socijalne-ukljucenosti-na-sveucilistu-u-rijeci-sveucilistu-u-zadru-i-veleucilistu-marko-marulic-u-kninu-nalazi-i-preporuke-projekta-equality-2015/</w:t>
        </w:r>
      </w:hyperlink>
      <w:r w:rsidRPr="001950C5">
        <w:rPr>
          <w:rFonts w:asciiTheme="majorHAnsi" w:hAnsiTheme="majorHAnsi"/>
        </w:rPr>
        <w:t xml:space="preserve"> </w:t>
      </w:r>
    </w:p>
    <w:p w:rsidR="001950C5" w:rsidRPr="001950C5" w:rsidRDefault="001950C5" w:rsidP="001950C5">
      <w:pPr>
        <w:rPr>
          <w:rFonts w:asciiTheme="majorHAnsi" w:hAnsiTheme="majorHAnsi"/>
        </w:rPr>
      </w:pPr>
    </w:p>
    <w:p w:rsidR="001950C5" w:rsidRPr="001950C5" w:rsidRDefault="001950C5" w:rsidP="001950C5">
      <w:pPr>
        <w:rPr>
          <w:rFonts w:asciiTheme="majorHAnsi" w:hAnsiTheme="majorHAnsi"/>
        </w:rPr>
      </w:pPr>
      <w:proofErr w:type="spellStart"/>
      <w:r w:rsidRPr="001950C5">
        <w:rPr>
          <w:rFonts w:asciiTheme="majorHAnsi" w:hAnsiTheme="majorHAnsi"/>
        </w:rPr>
        <w:t>Šćukanec</w:t>
      </w:r>
      <w:proofErr w:type="spellEnd"/>
      <w:r w:rsidRPr="001950C5">
        <w:rPr>
          <w:rFonts w:asciiTheme="majorHAnsi" w:hAnsiTheme="majorHAnsi"/>
        </w:rPr>
        <w:t xml:space="preserve">, N. (2015). Smjernice za jačanje pravednosti i socijalne uključenosti na visokim učilištima (Smjernice za visoka učilišta u Hrvatskoj). Zagreb: Institut za razvoj obrazovanja. Dostupno na: </w:t>
      </w:r>
      <w:hyperlink r:id="rId30" w:history="1">
        <w:r w:rsidRPr="001950C5">
          <w:rPr>
            <w:rStyle w:val="Hyperlink"/>
            <w:rFonts w:asciiTheme="majorHAnsi" w:hAnsiTheme="majorHAnsi" w:cs="Arial"/>
          </w:rPr>
          <w:t>http://www.iro.hr/hr/publikacije-i-resursi/smjernice-za-jacanje-pravednosti-i-socijalne-ukljucenosti-na-visokim-ucilistima/</w:t>
        </w:r>
      </w:hyperlink>
      <w:r w:rsidRPr="001950C5">
        <w:rPr>
          <w:rFonts w:asciiTheme="majorHAnsi" w:hAnsiTheme="majorHAnsi"/>
        </w:rPr>
        <w:t xml:space="preserve"> </w:t>
      </w:r>
    </w:p>
    <w:p w:rsidR="001950C5" w:rsidRPr="001950C5" w:rsidRDefault="001950C5" w:rsidP="001950C5">
      <w:pPr>
        <w:rPr>
          <w:rFonts w:asciiTheme="majorHAnsi" w:hAnsiTheme="majorHAnsi"/>
        </w:rPr>
      </w:pPr>
    </w:p>
    <w:p w:rsidR="001950C5" w:rsidRPr="001950C5" w:rsidRDefault="001950C5" w:rsidP="001950C5">
      <w:pPr>
        <w:rPr>
          <w:rFonts w:asciiTheme="majorHAnsi" w:hAnsiTheme="majorHAnsi"/>
        </w:rPr>
      </w:pPr>
      <w:proofErr w:type="spellStart"/>
      <w:r w:rsidRPr="001950C5">
        <w:rPr>
          <w:rFonts w:asciiTheme="majorHAnsi" w:hAnsiTheme="majorHAnsi"/>
        </w:rPr>
        <w:t>Šćukanec</w:t>
      </w:r>
      <w:proofErr w:type="spellEnd"/>
      <w:r w:rsidRPr="001950C5">
        <w:rPr>
          <w:rFonts w:asciiTheme="majorHAnsi" w:hAnsiTheme="majorHAnsi"/>
        </w:rPr>
        <w:t xml:space="preserve">, N., Sinković, M., Bilić, R., </w:t>
      </w:r>
      <w:proofErr w:type="spellStart"/>
      <w:r w:rsidRPr="001950C5">
        <w:rPr>
          <w:rFonts w:asciiTheme="majorHAnsi" w:hAnsiTheme="majorHAnsi"/>
        </w:rPr>
        <w:t>Doolan</w:t>
      </w:r>
      <w:proofErr w:type="spellEnd"/>
      <w:r w:rsidRPr="001950C5">
        <w:rPr>
          <w:rFonts w:asciiTheme="majorHAnsi" w:hAnsiTheme="majorHAnsi"/>
        </w:rPr>
        <w:t xml:space="preserve">, K. i Cvitan, M. (2016). Socijalni i ekonomski uvjeti studentskog života u Hrvatskoj: nacionalno izvješće istraživanja EUROSTUDENT V za Hrvatsku za 2014. Zagreb: Ministarstvo znanosti, obrazovanja i sporta RH. Dostupno na: </w:t>
      </w:r>
      <w:hyperlink r:id="rId31" w:history="1">
        <w:r w:rsidRPr="001950C5">
          <w:rPr>
            <w:rStyle w:val="Hyperlink"/>
            <w:rFonts w:asciiTheme="majorHAnsi" w:hAnsiTheme="majorHAnsi" w:cs="Arial"/>
          </w:rPr>
          <w:t>http://iro.hr/userdocs/File/EUROSTUDENT%20V_Nacionalno%20izvje%C5%A1%C4%87e%20istra%C5%BEivanja%20za%20Hrvatsku%20za%202014.%20godinu.pdf</w:t>
        </w:r>
      </w:hyperlink>
    </w:p>
    <w:p w:rsidR="001950C5" w:rsidRPr="001950C5" w:rsidRDefault="001950C5" w:rsidP="001950C5">
      <w:pPr>
        <w:rPr>
          <w:rFonts w:asciiTheme="majorHAnsi" w:hAnsiTheme="majorHAnsi"/>
        </w:rPr>
      </w:pPr>
    </w:p>
    <w:p w:rsidR="001950C5" w:rsidRPr="001950C5" w:rsidRDefault="001950C5" w:rsidP="001950C5">
      <w:pPr>
        <w:rPr>
          <w:rStyle w:val="BookTitle"/>
          <w:rFonts w:asciiTheme="majorHAnsi" w:hAnsiTheme="majorHAnsi"/>
          <w:sz w:val="28"/>
          <w:szCs w:val="28"/>
        </w:rPr>
      </w:pPr>
      <w:r w:rsidRPr="001950C5">
        <w:rPr>
          <w:rFonts w:asciiTheme="majorHAnsi" w:hAnsiTheme="majorHAnsi"/>
        </w:rPr>
        <w:t xml:space="preserve">Thomas, L. (2015). Oznaka kvalitete za unapređivanje pravednosti i socijalne uključenosti u visokom obrazovanju u Hrvatskoj (Preporuke i pregled međunarodne dobre prakse). Zagreb: Institut za razvoj obrazovanja. Dostupno na: </w:t>
      </w:r>
      <w:hyperlink r:id="rId32" w:history="1">
        <w:r w:rsidRPr="001950C5">
          <w:rPr>
            <w:rStyle w:val="Hyperlink"/>
            <w:rFonts w:asciiTheme="majorHAnsi" w:hAnsiTheme="majorHAnsi" w:cs="Arial"/>
          </w:rPr>
          <w:t>http://www.iro.hr/hr/publikacije-i-resursi/oznaka-kvalitete-za-unapredjivanje-pravednosti-i-socijalne-ukljucenosti-u-visokom-obrazovanju-u-hrvatskoj-preporuke-i-pregled-medjunarodne-dobre-prakse-2015/</w:t>
        </w:r>
      </w:hyperlink>
    </w:p>
    <w:p w:rsidR="00A2106B" w:rsidRPr="001950C5" w:rsidRDefault="00A2106B" w:rsidP="00A2106B">
      <w:pPr>
        <w:jc w:val="both"/>
        <w:rPr>
          <w:rFonts w:asciiTheme="majorHAnsi" w:hAnsiTheme="majorHAnsi"/>
          <w:sz w:val="24"/>
          <w:szCs w:val="24"/>
        </w:rPr>
      </w:pPr>
    </w:p>
    <w:p w:rsidR="000B3DDD" w:rsidRPr="00CA32BA" w:rsidRDefault="000B3DDD" w:rsidP="00A16ADF">
      <w:pPr>
        <w:rPr>
          <w:rFonts w:asciiTheme="majorHAnsi" w:eastAsiaTheme="majorEastAsia" w:hAnsiTheme="majorHAnsi" w:cstheme="majorBidi"/>
          <w:color w:val="17365D" w:themeColor="text2" w:themeShade="BF"/>
          <w:spacing w:val="5"/>
          <w:kern w:val="28"/>
          <w:sz w:val="52"/>
          <w:szCs w:val="52"/>
        </w:rPr>
      </w:pPr>
    </w:p>
    <w:sectPr w:rsidR="000B3DDD" w:rsidRPr="00CA32BA">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A14" w:rsidRDefault="000D1A14" w:rsidP="00CD439A">
      <w:r>
        <w:separator/>
      </w:r>
    </w:p>
  </w:endnote>
  <w:endnote w:type="continuationSeparator" w:id="0">
    <w:p w:rsidR="000D1A14" w:rsidRDefault="000D1A14" w:rsidP="00CD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865272"/>
      <w:docPartObj>
        <w:docPartGallery w:val="Page Numbers (Bottom of Page)"/>
        <w:docPartUnique/>
      </w:docPartObj>
    </w:sdtPr>
    <w:sdtEndPr>
      <w:rPr>
        <w:noProof/>
      </w:rPr>
    </w:sdtEndPr>
    <w:sdtContent>
      <w:p w:rsidR="00897A38" w:rsidRDefault="00897A38">
        <w:pPr>
          <w:pStyle w:val="Footer"/>
          <w:jc w:val="right"/>
        </w:pPr>
        <w:r>
          <w:fldChar w:fldCharType="begin"/>
        </w:r>
        <w:r>
          <w:instrText xml:space="preserve"> PAGE   \* MERGEFORMAT </w:instrText>
        </w:r>
        <w:r>
          <w:fldChar w:fldCharType="separate"/>
        </w:r>
        <w:r w:rsidR="00E34275">
          <w:rPr>
            <w:noProof/>
          </w:rPr>
          <w:t>1</w:t>
        </w:r>
        <w:r>
          <w:rPr>
            <w:noProof/>
          </w:rPr>
          <w:fldChar w:fldCharType="end"/>
        </w:r>
      </w:p>
    </w:sdtContent>
  </w:sdt>
  <w:p w:rsidR="00897A38" w:rsidRDefault="00897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A14" w:rsidRDefault="000D1A14" w:rsidP="00CD439A">
      <w:r>
        <w:separator/>
      </w:r>
    </w:p>
  </w:footnote>
  <w:footnote w:type="continuationSeparator" w:id="0">
    <w:p w:rsidR="000D1A14" w:rsidRDefault="000D1A14" w:rsidP="00CD4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FDB"/>
    <w:multiLevelType w:val="hybridMultilevel"/>
    <w:tmpl w:val="0B9A82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D8B3032"/>
    <w:multiLevelType w:val="hybridMultilevel"/>
    <w:tmpl w:val="7A2E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B4A08"/>
    <w:multiLevelType w:val="hybridMultilevel"/>
    <w:tmpl w:val="D470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A1BED"/>
    <w:multiLevelType w:val="hybridMultilevel"/>
    <w:tmpl w:val="84B0B794"/>
    <w:lvl w:ilvl="0" w:tplc="01B25AB0">
      <w:start w:val="1"/>
      <w:numFmt w:val="bullet"/>
      <w:lvlText w:val="-"/>
      <w:lvlJc w:val="left"/>
      <w:pPr>
        <w:ind w:left="580" w:hanging="360"/>
      </w:pPr>
      <w:rPr>
        <w:rFonts w:ascii="Arial" w:eastAsiaTheme="minorHAnsi" w:hAnsi="Arial" w:cs="Arial" w:hint="default"/>
      </w:rPr>
    </w:lvl>
    <w:lvl w:ilvl="1" w:tplc="041A0003" w:tentative="1">
      <w:start w:val="1"/>
      <w:numFmt w:val="bullet"/>
      <w:lvlText w:val="o"/>
      <w:lvlJc w:val="left"/>
      <w:pPr>
        <w:ind w:left="1300" w:hanging="360"/>
      </w:pPr>
      <w:rPr>
        <w:rFonts w:ascii="Courier New" w:hAnsi="Courier New" w:cs="Courier New" w:hint="default"/>
      </w:rPr>
    </w:lvl>
    <w:lvl w:ilvl="2" w:tplc="041A0005" w:tentative="1">
      <w:start w:val="1"/>
      <w:numFmt w:val="bullet"/>
      <w:lvlText w:val=""/>
      <w:lvlJc w:val="left"/>
      <w:pPr>
        <w:ind w:left="2020" w:hanging="360"/>
      </w:pPr>
      <w:rPr>
        <w:rFonts w:ascii="Wingdings" w:hAnsi="Wingdings" w:hint="default"/>
      </w:rPr>
    </w:lvl>
    <w:lvl w:ilvl="3" w:tplc="041A0001" w:tentative="1">
      <w:start w:val="1"/>
      <w:numFmt w:val="bullet"/>
      <w:lvlText w:val=""/>
      <w:lvlJc w:val="left"/>
      <w:pPr>
        <w:ind w:left="2740" w:hanging="360"/>
      </w:pPr>
      <w:rPr>
        <w:rFonts w:ascii="Symbol" w:hAnsi="Symbol" w:hint="default"/>
      </w:rPr>
    </w:lvl>
    <w:lvl w:ilvl="4" w:tplc="041A0003" w:tentative="1">
      <w:start w:val="1"/>
      <w:numFmt w:val="bullet"/>
      <w:lvlText w:val="o"/>
      <w:lvlJc w:val="left"/>
      <w:pPr>
        <w:ind w:left="3460" w:hanging="360"/>
      </w:pPr>
      <w:rPr>
        <w:rFonts w:ascii="Courier New" w:hAnsi="Courier New" w:cs="Courier New" w:hint="default"/>
      </w:rPr>
    </w:lvl>
    <w:lvl w:ilvl="5" w:tplc="041A0005" w:tentative="1">
      <w:start w:val="1"/>
      <w:numFmt w:val="bullet"/>
      <w:lvlText w:val=""/>
      <w:lvlJc w:val="left"/>
      <w:pPr>
        <w:ind w:left="4180" w:hanging="360"/>
      </w:pPr>
      <w:rPr>
        <w:rFonts w:ascii="Wingdings" w:hAnsi="Wingdings" w:hint="default"/>
      </w:rPr>
    </w:lvl>
    <w:lvl w:ilvl="6" w:tplc="041A0001" w:tentative="1">
      <w:start w:val="1"/>
      <w:numFmt w:val="bullet"/>
      <w:lvlText w:val=""/>
      <w:lvlJc w:val="left"/>
      <w:pPr>
        <w:ind w:left="4900" w:hanging="360"/>
      </w:pPr>
      <w:rPr>
        <w:rFonts w:ascii="Symbol" w:hAnsi="Symbol" w:hint="default"/>
      </w:rPr>
    </w:lvl>
    <w:lvl w:ilvl="7" w:tplc="041A0003" w:tentative="1">
      <w:start w:val="1"/>
      <w:numFmt w:val="bullet"/>
      <w:lvlText w:val="o"/>
      <w:lvlJc w:val="left"/>
      <w:pPr>
        <w:ind w:left="5620" w:hanging="360"/>
      </w:pPr>
      <w:rPr>
        <w:rFonts w:ascii="Courier New" w:hAnsi="Courier New" w:cs="Courier New" w:hint="default"/>
      </w:rPr>
    </w:lvl>
    <w:lvl w:ilvl="8" w:tplc="041A0005" w:tentative="1">
      <w:start w:val="1"/>
      <w:numFmt w:val="bullet"/>
      <w:lvlText w:val=""/>
      <w:lvlJc w:val="left"/>
      <w:pPr>
        <w:ind w:left="6340" w:hanging="360"/>
      </w:pPr>
      <w:rPr>
        <w:rFonts w:ascii="Wingdings" w:hAnsi="Wingdings" w:hint="default"/>
      </w:rPr>
    </w:lvl>
  </w:abstractNum>
  <w:abstractNum w:abstractNumId="4">
    <w:nsid w:val="33D528A0"/>
    <w:multiLevelType w:val="hybridMultilevel"/>
    <w:tmpl w:val="6C4AC7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36763D1"/>
    <w:multiLevelType w:val="hybridMultilevel"/>
    <w:tmpl w:val="E7D0C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ECD21CE"/>
    <w:multiLevelType w:val="hybridMultilevel"/>
    <w:tmpl w:val="706C4330"/>
    <w:lvl w:ilvl="0" w:tplc="A9F49F4A">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E6860F1"/>
    <w:multiLevelType w:val="hybridMultilevel"/>
    <w:tmpl w:val="6DA6F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A4B5E88"/>
    <w:multiLevelType w:val="hybridMultilevel"/>
    <w:tmpl w:val="3CE4664C"/>
    <w:lvl w:ilvl="0" w:tplc="62EA352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83"/>
    <w:rsid w:val="00000E6D"/>
    <w:rsid w:val="0000282B"/>
    <w:rsid w:val="00007224"/>
    <w:rsid w:val="00010678"/>
    <w:rsid w:val="000108B1"/>
    <w:rsid w:val="00012517"/>
    <w:rsid w:val="000207BD"/>
    <w:rsid w:val="0002347E"/>
    <w:rsid w:val="000254E7"/>
    <w:rsid w:val="0003061F"/>
    <w:rsid w:val="00034C55"/>
    <w:rsid w:val="00035230"/>
    <w:rsid w:val="00035FCA"/>
    <w:rsid w:val="00041942"/>
    <w:rsid w:val="00042AB4"/>
    <w:rsid w:val="00045B4B"/>
    <w:rsid w:val="00056708"/>
    <w:rsid w:val="000620A5"/>
    <w:rsid w:val="000628B1"/>
    <w:rsid w:val="000630BF"/>
    <w:rsid w:val="00065AF9"/>
    <w:rsid w:val="0006772B"/>
    <w:rsid w:val="00070C00"/>
    <w:rsid w:val="00072AF0"/>
    <w:rsid w:val="00077183"/>
    <w:rsid w:val="00077C23"/>
    <w:rsid w:val="00081520"/>
    <w:rsid w:val="00081A3C"/>
    <w:rsid w:val="000961B1"/>
    <w:rsid w:val="000A119E"/>
    <w:rsid w:val="000A25D5"/>
    <w:rsid w:val="000B11CA"/>
    <w:rsid w:val="000B15F0"/>
    <w:rsid w:val="000B3DDD"/>
    <w:rsid w:val="000B57D2"/>
    <w:rsid w:val="000C0D74"/>
    <w:rsid w:val="000C45C8"/>
    <w:rsid w:val="000C70BE"/>
    <w:rsid w:val="000D12F9"/>
    <w:rsid w:val="000D1A14"/>
    <w:rsid w:val="000D2F79"/>
    <w:rsid w:val="000E1265"/>
    <w:rsid w:val="000E4BAA"/>
    <w:rsid w:val="000E73E8"/>
    <w:rsid w:val="000F0E86"/>
    <w:rsid w:val="000F3A53"/>
    <w:rsid w:val="000F3EB5"/>
    <w:rsid w:val="000F4864"/>
    <w:rsid w:val="000F7E62"/>
    <w:rsid w:val="00101230"/>
    <w:rsid w:val="001073C1"/>
    <w:rsid w:val="001136F3"/>
    <w:rsid w:val="001171AF"/>
    <w:rsid w:val="00127BC2"/>
    <w:rsid w:val="001301CE"/>
    <w:rsid w:val="001301E8"/>
    <w:rsid w:val="00133B76"/>
    <w:rsid w:val="00133C24"/>
    <w:rsid w:val="00143181"/>
    <w:rsid w:val="001520BE"/>
    <w:rsid w:val="001524CF"/>
    <w:rsid w:val="0015493D"/>
    <w:rsid w:val="00156DDB"/>
    <w:rsid w:val="00157CB7"/>
    <w:rsid w:val="0016317B"/>
    <w:rsid w:val="00164372"/>
    <w:rsid w:val="001645D8"/>
    <w:rsid w:val="001679A8"/>
    <w:rsid w:val="00171196"/>
    <w:rsid w:val="00172582"/>
    <w:rsid w:val="00172FD1"/>
    <w:rsid w:val="00173BD8"/>
    <w:rsid w:val="00175A1C"/>
    <w:rsid w:val="00176741"/>
    <w:rsid w:val="001776AD"/>
    <w:rsid w:val="001800EF"/>
    <w:rsid w:val="00183364"/>
    <w:rsid w:val="00186A95"/>
    <w:rsid w:val="001950C5"/>
    <w:rsid w:val="001B219B"/>
    <w:rsid w:val="001B22BD"/>
    <w:rsid w:val="001B5BAC"/>
    <w:rsid w:val="001B6657"/>
    <w:rsid w:val="001C08BD"/>
    <w:rsid w:val="001C0AF2"/>
    <w:rsid w:val="001C11FF"/>
    <w:rsid w:val="001C215C"/>
    <w:rsid w:val="001C2E3A"/>
    <w:rsid w:val="001C32F3"/>
    <w:rsid w:val="001C4EC3"/>
    <w:rsid w:val="001D0CD7"/>
    <w:rsid w:val="001D1077"/>
    <w:rsid w:val="001D2920"/>
    <w:rsid w:val="001D7A0A"/>
    <w:rsid w:val="001E4F37"/>
    <w:rsid w:val="001E635E"/>
    <w:rsid w:val="001F0B64"/>
    <w:rsid w:val="001F1144"/>
    <w:rsid w:val="001F2775"/>
    <w:rsid w:val="001F3266"/>
    <w:rsid w:val="001F32CA"/>
    <w:rsid w:val="001F768F"/>
    <w:rsid w:val="0020032D"/>
    <w:rsid w:val="00200A34"/>
    <w:rsid w:val="00200E00"/>
    <w:rsid w:val="002031F1"/>
    <w:rsid w:val="00206388"/>
    <w:rsid w:val="00213CFD"/>
    <w:rsid w:val="00213FDB"/>
    <w:rsid w:val="00214EB6"/>
    <w:rsid w:val="0022086C"/>
    <w:rsid w:val="00220C14"/>
    <w:rsid w:val="00224539"/>
    <w:rsid w:val="00225857"/>
    <w:rsid w:val="002264C3"/>
    <w:rsid w:val="002310C9"/>
    <w:rsid w:val="002317C6"/>
    <w:rsid w:val="00234934"/>
    <w:rsid w:val="00234B14"/>
    <w:rsid w:val="00236541"/>
    <w:rsid w:val="00242F54"/>
    <w:rsid w:val="0024411F"/>
    <w:rsid w:val="002443B5"/>
    <w:rsid w:val="00244F22"/>
    <w:rsid w:val="0024596E"/>
    <w:rsid w:val="00246A03"/>
    <w:rsid w:val="002516A9"/>
    <w:rsid w:val="0025237F"/>
    <w:rsid w:val="002536D2"/>
    <w:rsid w:val="00253B6B"/>
    <w:rsid w:val="00256BDB"/>
    <w:rsid w:val="0026005F"/>
    <w:rsid w:val="0026485E"/>
    <w:rsid w:val="00270ACE"/>
    <w:rsid w:val="002723FC"/>
    <w:rsid w:val="00274709"/>
    <w:rsid w:val="002753B7"/>
    <w:rsid w:val="00276859"/>
    <w:rsid w:val="00280EB3"/>
    <w:rsid w:val="00282873"/>
    <w:rsid w:val="00283010"/>
    <w:rsid w:val="002919BB"/>
    <w:rsid w:val="00293DA1"/>
    <w:rsid w:val="002962AE"/>
    <w:rsid w:val="002979B1"/>
    <w:rsid w:val="00297B90"/>
    <w:rsid w:val="002A0B25"/>
    <w:rsid w:val="002A28C3"/>
    <w:rsid w:val="002A3921"/>
    <w:rsid w:val="002A65B3"/>
    <w:rsid w:val="002B39F6"/>
    <w:rsid w:val="002C217A"/>
    <w:rsid w:val="002D2D5B"/>
    <w:rsid w:val="002D3241"/>
    <w:rsid w:val="002D42D4"/>
    <w:rsid w:val="002D42DE"/>
    <w:rsid w:val="002E089A"/>
    <w:rsid w:val="002E092D"/>
    <w:rsid w:val="002E3489"/>
    <w:rsid w:val="002E49F0"/>
    <w:rsid w:val="002E5C2D"/>
    <w:rsid w:val="002F11D7"/>
    <w:rsid w:val="002F1460"/>
    <w:rsid w:val="002F1E46"/>
    <w:rsid w:val="002F253D"/>
    <w:rsid w:val="002F3D2D"/>
    <w:rsid w:val="002F7C25"/>
    <w:rsid w:val="00303E7D"/>
    <w:rsid w:val="0030400B"/>
    <w:rsid w:val="0030562F"/>
    <w:rsid w:val="00313013"/>
    <w:rsid w:val="00314380"/>
    <w:rsid w:val="00314E29"/>
    <w:rsid w:val="00315031"/>
    <w:rsid w:val="00315204"/>
    <w:rsid w:val="0031607C"/>
    <w:rsid w:val="00316207"/>
    <w:rsid w:val="003170ED"/>
    <w:rsid w:val="0031711C"/>
    <w:rsid w:val="00321A05"/>
    <w:rsid w:val="0032488A"/>
    <w:rsid w:val="0032732D"/>
    <w:rsid w:val="00341064"/>
    <w:rsid w:val="00341423"/>
    <w:rsid w:val="00342AEE"/>
    <w:rsid w:val="00343F71"/>
    <w:rsid w:val="00344063"/>
    <w:rsid w:val="00346E98"/>
    <w:rsid w:val="0034781C"/>
    <w:rsid w:val="003478AA"/>
    <w:rsid w:val="00347D4B"/>
    <w:rsid w:val="003512B2"/>
    <w:rsid w:val="0035367B"/>
    <w:rsid w:val="0035436D"/>
    <w:rsid w:val="00355DA5"/>
    <w:rsid w:val="0035756E"/>
    <w:rsid w:val="00361D79"/>
    <w:rsid w:val="00362856"/>
    <w:rsid w:val="00363331"/>
    <w:rsid w:val="003634C9"/>
    <w:rsid w:val="003642C0"/>
    <w:rsid w:val="0036462E"/>
    <w:rsid w:val="003673D0"/>
    <w:rsid w:val="0037614E"/>
    <w:rsid w:val="00377205"/>
    <w:rsid w:val="0038677D"/>
    <w:rsid w:val="00392124"/>
    <w:rsid w:val="003925C8"/>
    <w:rsid w:val="00393D8C"/>
    <w:rsid w:val="00393E8E"/>
    <w:rsid w:val="0039561F"/>
    <w:rsid w:val="00396881"/>
    <w:rsid w:val="00396A26"/>
    <w:rsid w:val="003A1E72"/>
    <w:rsid w:val="003A3989"/>
    <w:rsid w:val="003B00F6"/>
    <w:rsid w:val="003B04FD"/>
    <w:rsid w:val="003B0AA1"/>
    <w:rsid w:val="003B1495"/>
    <w:rsid w:val="003B28B3"/>
    <w:rsid w:val="003B5306"/>
    <w:rsid w:val="003C3278"/>
    <w:rsid w:val="003C3A0D"/>
    <w:rsid w:val="003C4967"/>
    <w:rsid w:val="003C6024"/>
    <w:rsid w:val="003C620D"/>
    <w:rsid w:val="003D2346"/>
    <w:rsid w:val="003E0721"/>
    <w:rsid w:val="003E0D0D"/>
    <w:rsid w:val="003E0EEB"/>
    <w:rsid w:val="003E5F6E"/>
    <w:rsid w:val="003E6CAE"/>
    <w:rsid w:val="003F0B74"/>
    <w:rsid w:val="003F4CBE"/>
    <w:rsid w:val="0040065B"/>
    <w:rsid w:val="00400E12"/>
    <w:rsid w:val="004132EC"/>
    <w:rsid w:val="00413EB5"/>
    <w:rsid w:val="004140E8"/>
    <w:rsid w:val="00414797"/>
    <w:rsid w:val="004161DF"/>
    <w:rsid w:val="0042200A"/>
    <w:rsid w:val="00422B25"/>
    <w:rsid w:val="00423A6E"/>
    <w:rsid w:val="00425AA6"/>
    <w:rsid w:val="004272DD"/>
    <w:rsid w:val="004272EE"/>
    <w:rsid w:val="004307CA"/>
    <w:rsid w:val="0043712F"/>
    <w:rsid w:val="00443307"/>
    <w:rsid w:val="0044689C"/>
    <w:rsid w:val="0044736A"/>
    <w:rsid w:val="004507D7"/>
    <w:rsid w:val="004573F4"/>
    <w:rsid w:val="00460FB8"/>
    <w:rsid w:val="0046128A"/>
    <w:rsid w:val="004613F1"/>
    <w:rsid w:val="0046685B"/>
    <w:rsid w:val="0047286A"/>
    <w:rsid w:val="004729A0"/>
    <w:rsid w:val="00474A30"/>
    <w:rsid w:val="00474D74"/>
    <w:rsid w:val="00483ED6"/>
    <w:rsid w:val="00485507"/>
    <w:rsid w:val="0049186B"/>
    <w:rsid w:val="004920AF"/>
    <w:rsid w:val="004A17C2"/>
    <w:rsid w:val="004A74C9"/>
    <w:rsid w:val="004B06D8"/>
    <w:rsid w:val="004B1B4D"/>
    <w:rsid w:val="004B5598"/>
    <w:rsid w:val="004B6081"/>
    <w:rsid w:val="004B7FFC"/>
    <w:rsid w:val="004C38AF"/>
    <w:rsid w:val="004C41DE"/>
    <w:rsid w:val="004C6365"/>
    <w:rsid w:val="004C65F6"/>
    <w:rsid w:val="004D176E"/>
    <w:rsid w:val="004D1F45"/>
    <w:rsid w:val="004D223B"/>
    <w:rsid w:val="004D371B"/>
    <w:rsid w:val="004D37B6"/>
    <w:rsid w:val="004D3857"/>
    <w:rsid w:val="004D51AA"/>
    <w:rsid w:val="004D773C"/>
    <w:rsid w:val="004E041D"/>
    <w:rsid w:val="004E1E96"/>
    <w:rsid w:val="004E1F59"/>
    <w:rsid w:val="004E20B3"/>
    <w:rsid w:val="004E3E14"/>
    <w:rsid w:val="004E5510"/>
    <w:rsid w:val="004F00D3"/>
    <w:rsid w:val="004F4D80"/>
    <w:rsid w:val="004F611D"/>
    <w:rsid w:val="004F697F"/>
    <w:rsid w:val="004F7D77"/>
    <w:rsid w:val="005136F0"/>
    <w:rsid w:val="00515C39"/>
    <w:rsid w:val="00517509"/>
    <w:rsid w:val="00523749"/>
    <w:rsid w:val="00532322"/>
    <w:rsid w:val="005404E7"/>
    <w:rsid w:val="00553FBA"/>
    <w:rsid w:val="00553FF4"/>
    <w:rsid w:val="0055531C"/>
    <w:rsid w:val="005562B3"/>
    <w:rsid w:val="00564BA0"/>
    <w:rsid w:val="005671F4"/>
    <w:rsid w:val="00573768"/>
    <w:rsid w:val="00577195"/>
    <w:rsid w:val="005776B5"/>
    <w:rsid w:val="00583381"/>
    <w:rsid w:val="005847EB"/>
    <w:rsid w:val="005853A6"/>
    <w:rsid w:val="00586A20"/>
    <w:rsid w:val="005944AC"/>
    <w:rsid w:val="00594E72"/>
    <w:rsid w:val="005959D9"/>
    <w:rsid w:val="005A1F20"/>
    <w:rsid w:val="005A61BB"/>
    <w:rsid w:val="005B4CE2"/>
    <w:rsid w:val="005C02A3"/>
    <w:rsid w:val="005C21F8"/>
    <w:rsid w:val="005C7DB4"/>
    <w:rsid w:val="005D2E91"/>
    <w:rsid w:val="005D7352"/>
    <w:rsid w:val="005E3DA1"/>
    <w:rsid w:val="005F1461"/>
    <w:rsid w:val="005F315A"/>
    <w:rsid w:val="005F7270"/>
    <w:rsid w:val="005F7B11"/>
    <w:rsid w:val="00603986"/>
    <w:rsid w:val="00603AB2"/>
    <w:rsid w:val="00611439"/>
    <w:rsid w:val="0061582F"/>
    <w:rsid w:val="00621F27"/>
    <w:rsid w:val="006242F4"/>
    <w:rsid w:val="00630B09"/>
    <w:rsid w:val="00630C00"/>
    <w:rsid w:val="00631922"/>
    <w:rsid w:val="00632FCF"/>
    <w:rsid w:val="00634238"/>
    <w:rsid w:val="0063534F"/>
    <w:rsid w:val="00635E7C"/>
    <w:rsid w:val="00635ED5"/>
    <w:rsid w:val="00636CF1"/>
    <w:rsid w:val="00640239"/>
    <w:rsid w:val="006448E1"/>
    <w:rsid w:val="00647584"/>
    <w:rsid w:val="00650A92"/>
    <w:rsid w:val="0065148B"/>
    <w:rsid w:val="00653F41"/>
    <w:rsid w:val="00655701"/>
    <w:rsid w:val="00655922"/>
    <w:rsid w:val="00663A13"/>
    <w:rsid w:val="006645C7"/>
    <w:rsid w:val="0066545C"/>
    <w:rsid w:val="00666EC0"/>
    <w:rsid w:val="006676A7"/>
    <w:rsid w:val="00667FAD"/>
    <w:rsid w:val="00671545"/>
    <w:rsid w:val="0067380B"/>
    <w:rsid w:val="0067488B"/>
    <w:rsid w:val="006753E9"/>
    <w:rsid w:val="006759C5"/>
    <w:rsid w:val="00675F49"/>
    <w:rsid w:val="00677B10"/>
    <w:rsid w:val="00677CC5"/>
    <w:rsid w:val="006831C2"/>
    <w:rsid w:val="0068370B"/>
    <w:rsid w:val="00683A43"/>
    <w:rsid w:val="00684D88"/>
    <w:rsid w:val="006876A3"/>
    <w:rsid w:val="0069094D"/>
    <w:rsid w:val="0069175C"/>
    <w:rsid w:val="00693CE3"/>
    <w:rsid w:val="00694702"/>
    <w:rsid w:val="00695F67"/>
    <w:rsid w:val="006A0851"/>
    <w:rsid w:val="006A15DA"/>
    <w:rsid w:val="006B20E8"/>
    <w:rsid w:val="006B2467"/>
    <w:rsid w:val="006B406A"/>
    <w:rsid w:val="006B593C"/>
    <w:rsid w:val="006C0E9D"/>
    <w:rsid w:val="006C311A"/>
    <w:rsid w:val="006C3F5E"/>
    <w:rsid w:val="006C7A42"/>
    <w:rsid w:val="006C7D14"/>
    <w:rsid w:val="006D427F"/>
    <w:rsid w:val="006E413A"/>
    <w:rsid w:val="006F07FE"/>
    <w:rsid w:val="006F085D"/>
    <w:rsid w:val="006F0A19"/>
    <w:rsid w:val="006F0B11"/>
    <w:rsid w:val="006F1590"/>
    <w:rsid w:val="006F4E50"/>
    <w:rsid w:val="006F53FE"/>
    <w:rsid w:val="006F5FFC"/>
    <w:rsid w:val="00702F8C"/>
    <w:rsid w:val="00704295"/>
    <w:rsid w:val="0070534E"/>
    <w:rsid w:val="00707148"/>
    <w:rsid w:val="00713985"/>
    <w:rsid w:val="0072065E"/>
    <w:rsid w:val="007225B2"/>
    <w:rsid w:val="007231D8"/>
    <w:rsid w:val="00723980"/>
    <w:rsid w:val="00723A66"/>
    <w:rsid w:val="00724166"/>
    <w:rsid w:val="00730754"/>
    <w:rsid w:val="00734F85"/>
    <w:rsid w:val="00736CFE"/>
    <w:rsid w:val="00742858"/>
    <w:rsid w:val="00742ED3"/>
    <w:rsid w:val="00744132"/>
    <w:rsid w:val="007444FB"/>
    <w:rsid w:val="00744E68"/>
    <w:rsid w:val="007451DD"/>
    <w:rsid w:val="00745AD7"/>
    <w:rsid w:val="00746CCA"/>
    <w:rsid w:val="00747432"/>
    <w:rsid w:val="0075293A"/>
    <w:rsid w:val="0075498F"/>
    <w:rsid w:val="00755ACC"/>
    <w:rsid w:val="007575C5"/>
    <w:rsid w:val="007606B3"/>
    <w:rsid w:val="00763BC2"/>
    <w:rsid w:val="007646BE"/>
    <w:rsid w:val="00764C8D"/>
    <w:rsid w:val="00766544"/>
    <w:rsid w:val="00770564"/>
    <w:rsid w:val="0077312A"/>
    <w:rsid w:val="00774CF5"/>
    <w:rsid w:val="007750A5"/>
    <w:rsid w:val="00775A22"/>
    <w:rsid w:val="007813F4"/>
    <w:rsid w:val="00784E07"/>
    <w:rsid w:val="00790742"/>
    <w:rsid w:val="00792A14"/>
    <w:rsid w:val="00792D69"/>
    <w:rsid w:val="007A5B22"/>
    <w:rsid w:val="007A6E1D"/>
    <w:rsid w:val="007B2098"/>
    <w:rsid w:val="007B4A49"/>
    <w:rsid w:val="007B5C5B"/>
    <w:rsid w:val="007C0F9A"/>
    <w:rsid w:val="007E1ECB"/>
    <w:rsid w:val="007E37AA"/>
    <w:rsid w:val="007E3C5B"/>
    <w:rsid w:val="007E4FD0"/>
    <w:rsid w:val="007E66AB"/>
    <w:rsid w:val="007E6A3A"/>
    <w:rsid w:val="007E6B27"/>
    <w:rsid w:val="007E6FFD"/>
    <w:rsid w:val="007F09EE"/>
    <w:rsid w:val="007F0E7D"/>
    <w:rsid w:val="007F5395"/>
    <w:rsid w:val="007F55F4"/>
    <w:rsid w:val="0080068E"/>
    <w:rsid w:val="00815886"/>
    <w:rsid w:val="00815F6E"/>
    <w:rsid w:val="00816801"/>
    <w:rsid w:val="00817B81"/>
    <w:rsid w:val="00817CBE"/>
    <w:rsid w:val="00822AD4"/>
    <w:rsid w:val="00824C6C"/>
    <w:rsid w:val="00824E97"/>
    <w:rsid w:val="00826D21"/>
    <w:rsid w:val="00830A4F"/>
    <w:rsid w:val="008335C9"/>
    <w:rsid w:val="00833977"/>
    <w:rsid w:val="00836187"/>
    <w:rsid w:val="00836DFF"/>
    <w:rsid w:val="00836E25"/>
    <w:rsid w:val="00841675"/>
    <w:rsid w:val="008420A6"/>
    <w:rsid w:val="00845A19"/>
    <w:rsid w:val="00846834"/>
    <w:rsid w:val="00846F6A"/>
    <w:rsid w:val="008470A3"/>
    <w:rsid w:val="00850AD4"/>
    <w:rsid w:val="00852114"/>
    <w:rsid w:val="00853054"/>
    <w:rsid w:val="00853A74"/>
    <w:rsid w:val="00860EA4"/>
    <w:rsid w:val="008612B6"/>
    <w:rsid w:val="00863ED1"/>
    <w:rsid w:val="008654D3"/>
    <w:rsid w:val="00870627"/>
    <w:rsid w:val="00874CF7"/>
    <w:rsid w:val="00876249"/>
    <w:rsid w:val="0088043E"/>
    <w:rsid w:val="00884F5B"/>
    <w:rsid w:val="00885C92"/>
    <w:rsid w:val="0088630F"/>
    <w:rsid w:val="00886A9E"/>
    <w:rsid w:val="0089053C"/>
    <w:rsid w:val="008922D7"/>
    <w:rsid w:val="00892939"/>
    <w:rsid w:val="00896176"/>
    <w:rsid w:val="00897A38"/>
    <w:rsid w:val="008A1A84"/>
    <w:rsid w:val="008A4075"/>
    <w:rsid w:val="008A686F"/>
    <w:rsid w:val="008B0DA4"/>
    <w:rsid w:val="008B33A3"/>
    <w:rsid w:val="008B3AE1"/>
    <w:rsid w:val="008B47C4"/>
    <w:rsid w:val="008B5121"/>
    <w:rsid w:val="008B5324"/>
    <w:rsid w:val="008B5960"/>
    <w:rsid w:val="008C0257"/>
    <w:rsid w:val="008C2715"/>
    <w:rsid w:val="008C298E"/>
    <w:rsid w:val="008C2BB4"/>
    <w:rsid w:val="008C3153"/>
    <w:rsid w:val="008C35CD"/>
    <w:rsid w:val="008C5429"/>
    <w:rsid w:val="008D023C"/>
    <w:rsid w:val="008D2C85"/>
    <w:rsid w:val="008D6B90"/>
    <w:rsid w:val="008D7253"/>
    <w:rsid w:val="008D7488"/>
    <w:rsid w:val="008D7AE4"/>
    <w:rsid w:val="008E585C"/>
    <w:rsid w:val="008E75A3"/>
    <w:rsid w:val="008E7ED3"/>
    <w:rsid w:val="008F468A"/>
    <w:rsid w:val="00901B06"/>
    <w:rsid w:val="00901C83"/>
    <w:rsid w:val="00905AAC"/>
    <w:rsid w:val="00905E8E"/>
    <w:rsid w:val="0091156B"/>
    <w:rsid w:val="00915200"/>
    <w:rsid w:val="009231E7"/>
    <w:rsid w:val="00924103"/>
    <w:rsid w:val="00926F4E"/>
    <w:rsid w:val="00930CA8"/>
    <w:rsid w:val="00932DF9"/>
    <w:rsid w:val="0093328C"/>
    <w:rsid w:val="009336B2"/>
    <w:rsid w:val="00935330"/>
    <w:rsid w:val="0093633C"/>
    <w:rsid w:val="00936EDC"/>
    <w:rsid w:val="00937DF9"/>
    <w:rsid w:val="00940FA0"/>
    <w:rsid w:val="009430A2"/>
    <w:rsid w:val="00943710"/>
    <w:rsid w:val="00943E0A"/>
    <w:rsid w:val="0094403F"/>
    <w:rsid w:val="009455A9"/>
    <w:rsid w:val="009465EF"/>
    <w:rsid w:val="00951532"/>
    <w:rsid w:val="00952FC2"/>
    <w:rsid w:val="0095568E"/>
    <w:rsid w:val="00962DD4"/>
    <w:rsid w:val="00963F55"/>
    <w:rsid w:val="0097302F"/>
    <w:rsid w:val="009742E5"/>
    <w:rsid w:val="009747CA"/>
    <w:rsid w:val="00975569"/>
    <w:rsid w:val="00980E78"/>
    <w:rsid w:val="009859A9"/>
    <w:rsid w:val="009863D8"/>
    <w:rsid w:val="00990C4C"/>
    <w:rsid w:val="00997535"/>
    <w:rsid w:val="009A2F24"/>
    <w:rsid w:val="009A3D09"/>
    <w:rsid w:val="009A4842"/>
    <w:rsid w:val="009A66EB"/>
    <w:rsid w:val="009A790A"/>
    <w:rsid w:val="009B11E9"/>
    <w:rsid w:val="009B2BD9"/>
    <w:rsid w:val="009B57A1"/>
    <w:rsid w:val="009C0755"/>
    <w:rsid w:val="009C3BAA"/>
    <w:rsid w:val="009C715C"/>
    <w:rsid w:val="009C7C59"/>
    <w:rsid w:val="009D003C"/>
    <w:rsid w:val="009D1D71"/>
    <w:rsid w:val="009D25E3"/>
    <w:rsid w:val="009D2710"/>
    <w:rsid w:val="009D4CFC"/>
    <w:rsid w:val="009D4F1B"/>
    <w:rsid w:val="009D69F9"/>
    <w:rsid w:val="009D7B4C"/>
    <w:rsid w:val="009E1028"/>
    <w:rsid w:val="009E24B8"/>
    <w:rsid w:val="009E269A"/>
    <w:rsid w:val="009E2A77"/>
    <w:rsid w:val="009E3D98"/>
    <w:rsid w:val="009E5628"/>
    <w:rsid w:val="009E7FE0"/>
    <w:rsid w:val="009F23AC"/>
    <w:rsid w:val="009F351B"/>
    <w:rsid w:val="00A01ED0"/>
    <w:rsid w:val="00A02A8E"/>
    <w:rsid w:val="00A03D6E"/>
    <w:rsid w:val="00A07029"/>
    <w:rsid w:val="00A11574"/>
    <w:rsid w:val="00A1189E"/>
    <w:rsid w:val="00A16ADF"/>
    <w:rsid w:val="00A20AC0"/>
    <w:rsid w:val="00A2106B"/>
    <w:rsid w:val="00A23EBA"/>
    <w:rsid w:val="00A241D5"/>
    <w:rsid w:val="00A2500D"/>
    <w:rsid w:val="00A26501"/>
    <w:rsid w:val="00A27FD7"/>
    <w:rsid w:val="00A40C0A"/>
    <w:rsid w:val="00A4136E"/>
    <w:rsid w:val="00A52760"/>
    <w:rsid w:val="00A55DD2"/>
    <w:rsid w:val="00A56E99"/>
    <w:rsid w:val="00A63635"/>
    <w:rsid w:val="00A65065"/>
    <w:rsid w:val="00A65E07"/>
    <w:rsid w:val="00A67629"/>
    <w:rsid w:val="00A70DB2"/>
    <w:rsid w:val="00A8565D"/>
    <w:rsid w:val="00A94307"/>
    <w:rsid w:val="00AA283B"/>
    <w:rsid w:val="00AA2EC6"/>
    <w:rsid w:val="00AA6F43"/>
    <w:rsid w:val="00AB115B"/>
    <w:rsid w:val="00AB1A8D"/>
    <w:rsid w:val="00AB2C45"/>
    <w:rsid w:val="00AB3A51"/>
    <w:rsid w:val="00AB4C9F"/>
    <w:rsid w:val="00AC0B85"/>
    <w:rsid w:val="00AC0DA3"/>
    <w:rsid w:val="00AC1B37"/>
    <w:rsid w:val="00AC5772"/>
    <w:rsid w:val="00AC6291"/>
    <w:rsid w:val="00AD1050"/>
    <w:rsid w:val="00AD5015"/>
    <w:rsid w:val="00AD5479"/>
    <w:rsid w:val="00AD7558"/>
    <w:rsid w:val="00AE02DF"/>
    <w:rsid w:val="00AE2B9F"/>
    <w:rsid w:val="00AE6913"/>
    <w:rsid w:val="00AE6D0F"/>
    <w:rsid w:val="00AF2143"/>
    <w:rsid w:val="00AF308B"/>
    <w:rsid w:val="00AF6379"/>
    <w:rsid w:val="00B015CE"/>
    <w:rsid w:val="00B0243A"/>
    <w:rsid w:val="00B02CC2"/>
    <w:rsid w:val="00B0422E"/>
    <w:rsid w:val="00B04CAF"/>
    <w:rsid w:val="00B0769E"/>
    <w:rsid w:val="00B112D3"/>
    <w:rsid w:val="00B148B2"/>
    <w:rsid w:val="00B16ADF"/>
    <w:rsid w:val="00B2718A"/>
    <w:rsid w:val="00B36F27"/>
    <w:rsid w:val="00B41E55"/>
    <w:rsid w:val="00B42083"/>
    <w:rsid w:val="00B432B5"/>
    <w:rsid w:val="00B446C0"/>
    <w:rsid w:val="00B4739F"/>
    <w:rsid w:val="00B50990"/>
    <w:rsid w:val="00B52F6C"/>
    <w:rsid w:val="00B611F0"/>
    <w:rsid w:val="00B618AD"/>
    <w:rsid w:val="00B62371"/>
    <w:rsid w:val="00B641EC"/>
    <w:rsid w:val="00B6639A"/>
    <w:rsid w:val="00B6697A"/>
    <w:rsid w:val="00B714AD"/>
    <w:rsid w:val="00B762BB"/>
    <w:rsid w:val="00B773D6"/>
    <w:rsid w:val="00B77DD3"/>
    <w:rsid w:val="00B77F6C"/>
    <w:rsid w:val="00B823D7"/>
    <w:rsid w:val="00B82648"/>
    <w:rsid w:val="00B84EE8"/>
    <w:rsid w:val="00B86F27"/>
    <w:rsid w:val="00B90AC7"/>
    <w:rsid w:val="00B92CEF"/>
    <w:rsid w:val="00B93442"/>
    <w:rsid w:val="00BA0985"/>
    <w:rsid w:val="00BA2FDE"/>
    <w:rsid w:val="00BA6BDA"/>
    <w:rsid w:val="00BB043E"/>
    <w:rsid w:val="00BB2088"/>
    <w:rsid w:val="00BB22E8"/>
    <w:rsid w:val="00BB48D1"/>
    <w:rsid w:val="00BB629F"/>
    <w:rsid w:val="00BB6A99"/>
    <w:rsid w:val="00BD08C0"/>
    <w:rsid w:val="00BD24BF"/>
    <w:rsid w:val="00BD6D7E"/>
    <w:rsid w:val="00BE3FCC"/>
    <w:rsid w:val="00BE67CF"/>
    <w:rsid w:val="00BE73CA"/>
    <w:rsid w:val="00BE7435"/>
    <w:rsid w:val="00BF4C70"/>
    <w:rsid w:val="00BF7AAF"/>
    <w:rsid w:val="00C01321"/>
    <w:rsid w:val="00C01366"/>
    <w:rsid w:val="00C01F27"/>
    <w:rsid w:val="00C03573"/>
    <w:rsid w:val="00C04C77"/>
    <w:rsid w:val="00C0729A"/>
    <w:rsid w:val="00C1486F"/>
    <w:rsid w:val="00C2014F"/>
    <w:rsid w:val="00C244C2"/>
    <w:rsid w:val="00C25DCB"/>
    <w:rsid w:val="00C2760B"/>
    <w:rsid w:val="00C309AD"/>
    <w:rsid w:val="00C41C6D"/>
    <w:rsid w:val="00C42615"/>
    <w:rsid w:val="00C51613"/>
    <w:rsid w:val="00C52A16"/>
    <w:rsid w:val="00C56021"/>
    <w:rsid w:val="00C6109A"/>
    <w:rsid w:val="00C62E9B"/>
    <w:rsid w:val="00C77F93"/>
    <w:rsid w:val="00C828CA"/>
    <w:rsid w:val="00C8405F"/>
    <w:rsid w:val="00C9581B"/>
    <w:rsid w:val="00C964ED"/>
    <w:rsid w:val="00C971CB"/>
    <w:rsid w:val="00CA32BA"/>
    <w:rsid w:val="00CA5D18"/>
    <w:rsid w:val="00CB0169"/>
    <w:rsid w:val="00CB1F6D"/>
    <w:rsid w:val="00CB2273"/>
    <w:rsid w:val="00CB5892"/>
    <w:rsid w:val="00CC11E0"/>
    <w:rsid w:val="00CC4A85"/>
    <w:rsid w:val="00CD439A"/>
    <w:rsid w:val="00CD4539"/>
    <w:rsid w:val="00CD5B00"/>
    <w:rsid w:val="00CE79CB"/>
    <w:rsid w:val="00CF59CB"/>
    <w:rsid w:val="00CF7A75"/>
    <w:rsid w:val="00D00410"/>
    <w:rsid w:val="00D05236"/>
    <w:rsid w:val="00D06C29"/>
    <w:rsid w:val="00D11362"/>
    <w:rsid w:val="00D119F8"/>
    <w:rsid w:val="00D11A05"/>
    <w:rsid w:val="00D14A09"/>
    <w:rsid w:val="00D2113B"/>
    <w:rsid w:val="00D2179D"/>
    <w:rsid w:val="00D279CB"/>
    <w:rsid w:val="00D279FA"/>
    <w:rsid w:val="00D314CC"/>
    <w:rsid w:val="00D33079"/>
    <w:rsid w:val="00D3345F"/>
    <w:rsid w:val="00D3640E"/>
    <w:rsid w:val="00D373B0"/>
    <w:rsid w:val="00D4099A"/>
    <w:rsid w:val="00D41215"/>
    <w:rsid w:val="00D42C71"/>
    <w:rsid w:val="00D45010"/>
    <w:rsid w:val="00D467ED"/>
    <w:rsid w:val="00D469F1"/>
    <w:rsid w:val="00D474C0"/>
    <w:rsid w:val="00D47533"/>
    <w:rsid w:val="00D5245F"/>
    <w:rsid w:val="00D52AFF"/>
    <w:rsid w:val="00D53A07"/>
    <w:rsid w:val="00D55B70"/>
    <w:rsid w:val="00D57280"/>
    <w:rsid w:val="00D643F3"/>
    <w:rsid w:val="00D72B75"/>
    <w:rsid w:val="00D73DBD"/>
    <w:rsid w:val="00D80AF0"/>
    <w:rsid w:val="00D80FC7"/>
    <w:rsid w:val="00D82849"/>
    <w:rsid w:val="00D84894"/>
    <w:rsid w:val="00D84A4C"/>
    <w:rsid w:val="00D85096"/>
    <w:rsid w:val="00D911D7"/>
    <w:rsid w:val="00D92017"/>
    <w:rsid w:val="00D944E4"/>
    <w:rsid w:val="00DA1AE2"/>
    <w:rsid w:val="00DA5558"/>
    <w:rsid w:val="00DA72AC"/>
    <w:rsid w:val="00DB1C02"/>
    <w:rsid w:val="00DB48C8"/>
    <w:rsid w:val="00DB5C1B"/>
    <w:rsid w:val="00DB612D"/>
    <w:rsid w:val="00DC2308"/>
    <w:rsid w:val="00DC5FFF"/>
    <w:rsid w:val="00DD0BA4"/>
    <w:rsid w:val="00DD0CC1"/>
    <w:rsid w:val="00DD12F5"/>
    <w:rsid w:val="00DD64E3"/>
    <w:rsid w:val="00DD6895"/>
    <w:rsid w:val="00E02ECC"/>
    <w:rsid w:val="00E124F5"/>
    <w:rsid w:val="00E12EC6"/>
    <w:rsid w:val="00E22E38"/>
    <w:rsid w:val="00E2447D"/>
    <w:rsid w:val="00E25FC0"/>
    <w:rsid w:val="00E26771"/>
    <w:rsid w:val="00E33669"/>
    <w:rsid w:val="00E34275"/>
    <w:rsid w:val="00E35BAD"/>
    <w:rsid w:val="00E36FD6"/>
    <w:rsid w:val="00E42EF3"/>
    <w:rsid w:val="00E45208"/>
    <w:rsid w:val="00E4532B"/>
    <w:rsid w:val="00E45EA5"/>
    <w:rsid w:val="00E463EA"/>
    <w:rsid w:val="00E536ED"/>
    <w:rsid w:val="00E53D63"/>
    <w:rsid w:val="00E53FB6"/>
    <w:rsid w:val="00E54EE4"/>
    <w:rsid w:val="00E55DDD"/>
    <w:rsid w:val="00E607F4"/>
    <w:rsid w:val="00E6179B"/>
    <w:rsid w:val="00E65095"/>
    <w:rsid w:val="00E678CE"/>
    <w:rsid w:val="00E722A2"/>
    <w:rsid w:val="00E75873"/>
    <w:rsid w:val="00E7684F"/>
    <w:rsid w:val="00E76DCE"/>
    <w:rsid w:val="00E80603"/>
    <w:rsid w:val="00E81641"/>
    <w:rsid w:val="00E81E37"/>
    <w:rsid w:val="00E821DF"/>
    <w:rsid w:val="00E85792"/>
    <w:rsid w:val="00E86166"/>
    <w:rsid w:val="00E94443"/>
    <w:rsid w:val="00EA2F64"/>
    <w:rsid w:val="00EA3D3D"/>
    <w:rsid w:val="00EA3FC8"/>
    <w:rsid w:val="00EA4228"/>
    <w:rsid w:val="00EA5F70"/>
    <w:rsid w:val="00EA617A"/>
    <w:rsid w:val="00EB2084"/>
    <w:rsid w:val="00EB5CED"/>
    <w:rsid w:val="00EB6E91"/>
    <w:rsid w:val="00EB701B"/>
    <w:rsid w:val="00EB7320"/>
    <w:rsid w:val="00EC2CC9"/>
    <w:rsid w:val="00EC2F99"/>
    <w:rsid w:val="00EC4462"/>
    <w:rsid w:val="00EC4872"/>
    <w:rsid w:val="00ED3700"/>
    <w:rsid w:val="00ED71FA"/>
    <w:rsid w:val="00EE30BA"/>
    <w:rsid w:val="00EE4C58"/>
    <w:rsid w:val="00EE64EB"/>
    <w:rsid w:val="00EF11F0"/>
    <w:rsid w:val="00EF35CD"/>
    <w:rsid w:val="00EF4189"/>
    <w:rsid w:val="00F01CCE"/>
    <w:rsid w:val="00F06442"/>
    <w:rsid w:val="00F11F44"/>
    <w:rsid w:val="00F12BA6"/>
    <w:rsid w:val="00F13ACF"/>
    <w:rsid w:val="00F20980"/>
    <w:rsid w:val="00F20A4A"/>
    <w:rsid w:val="00F25681"/>
    <w:rsid w:val="00F312E6"/>
    <w:rsid w:val="00F43302"/>
    <w:rsid w:val="00F446EE"/>
    <w:rsid w:val="00F51D81"/>
    <w:rsid w:val="00F52ACE"/>
    <w:rsid w:val="00F60674"/>
    <w:rsid w:val="00F67F86"/>
    <w:rsid w:val="00F7160E"/>
    <w:rsid w:val="00F71972"/>
    <w:rsid w:val="00F727C2"/>
    <w:rsid w:val="00F82E78"/>
    <w:rsid w:val="00F835B4"/>
    <w:rsid w:val="00F83DBA"/>
    <w:rsid w:val="00F852EE"/>
    <w:rsid w:val="00F9083E"/>
    <w:rsid w:val="00F90D16"/>
    <w:rsid w:val="00F954F6"/>
    <w:rsid w:val="00FA0DFC"/>
    <w:rsid w:val="00FA151B"/>
    <w:rsid w:val="00FA285C"/>
    <w:rsid w:val="00FA4B67"/>
    <w:rsid w:val="00FA610C"/>
    <w:rsid w:val="00FA6EE6"/>
    <w:rsid w:val="00FA7812"/>
    <w:rsid w:val="00FB0417"/>
    <w:rsid w:val="00FC3CA7"/>
    <w:rsid w:val="00FD21D2"/>
    <w:rsid w:val="00FD4C76"/>
    <w:rsid w:val="00FD749A"/>
    <w:rsid w:val="00FE09F6"/>
    <w:rsid w:val="00FE4FAF"/>
    <w:rsid w:val="00FF67E9"/>
    <w:rsid w:val="00FF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88DE8F-2A72-4CC9-BD33-525C8848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1C32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7A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7A3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204"/>
    <w:pPr>
      <w:ind w:left="720"/>
      <w:contextualSpacing/>
    </w:pPr>
  </w:style>
  <w:style w:type="table" w:styleId="TableGrid">
    <w:name w:val="Table Grid"/>
    <w:basedOn w:val="TableNormal"/>
    <w:uiPriority w:val="59"/>
    <w:rsid w:val="00CD439A"/>
    <w:rPr>
      <w:rFonts w:eastAsiaTheme="minorEastAsia"/>
      <w:lang w:val="hr-HR"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D439A"/>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CD439A"/>
    <w:rPr>
      <w:rFonts w:eastAsiaTheme="minorEastAsia"/>
      <w:sz w:val="20"/>
      <w:szCs w:val="20"/>
      <w:lang w:val="hr-HR" w:eastAsia="zh-CN"/>
    </w:rPr>
  </w:style>
  <w:style w:type="character" w:styleId="FootnoteReference">
    <w:name w:val="footnote reference"/>
    <w:basedOn w:val="DefaultParagraphFont"/>
    <w:uiPriority w:val="99"/>
    <w:semiHidden/>
    <w:unhideWhenUsed/>
    <w:rsid w:val="00CD439A"/>
    <w:rPr>
      <w:vertAlign w:val="superscript"/>
    </w:rPr>
  </w:style>
  <w:style w:type="character" w:styleId="Hyperlink">
    <w:name w:val="Hyperlink"/>
    <w:basedOn w:val="DefaultParagraphFont"/>
    <w:uiPriority w:val="99"/>
    <w:unhideWhenUsed/>
    <w:rsid w:val="00CD439A"/>
    <w:rPr>
      <w:color w:val="0000FF" w:themeColor="hyperlink"/>
      <w:u w:val="single"/>
    </w:rPr>
  </w:style>
  <w:style w:type="table" w:styleId="LightList-Accent3">
    <w:name w:val="Light List Accent 3"/>
    <w:basedOn w:val="TableNormal"/>
    <w:uiPriority w:val="61"/>
    <w:rsid w:val="00DC2308"/>
    <w:rPr>
      <w:lang w:val="hr-H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GridTable4-Accent61">
    <w:name w:val="Grid Table 4 - Accent 61"/>
    <w:basedOn w:val="TableNormal"/>
    <w:uiPriority w:val="49"/>
    <w:rsid w:val="000B3DDD"/>
    <w:rPr>
      <w:lang w:val="hr-HR"/>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1Char">
    <w:name w:val="Heading 1 Char"/>
    <w:basedOn w:val="DefaultParagraphFont"/>
    <w:link w:val="Heading1"/>
    <w:uiPriority w:val="9"/>
    <w:rsid w:val="001C32F3"/>
    <w:rPr>
      <w:rFonts w:asciiTheme="majorHAnsi" w:eastAsiaTheme="majorEastAsia" w:hAnsiTheme="majorHAnsi" w:cstheme="majorBidi"/>
      <w:b/>
      <w:bCs/>
      <w:color w:val="365F91" w:themeColor="accent1" w:themeShade="BF"/>
      <w:sz w:val="28"/>
      <w:szCs w:val="28"/>
      <w:lang w:val="hr-HR"/>
    </w:rPr>
  </w:style>
  <w:style w:type="paragraph" w:styleId="Header">
    <w:name w:val="header"/>
    <w:basedOn w:val="Normal"/>
    <w:link w:val="HeaderChar"/>
    <w:uiPriority w:val="99"/>
    <w:unhideWhenUsed/>
    <w:rsid w:val="00677CC5"/>
    <w:pPr>
      <w:tabs>
        <w:tab w:val="center" w:pos="4536"/>
        <w:tab w:val="right" w:pos="9072"/>
      </w:tabs>
    </w:pPr>
  </w:style>
  <w:style w:type="character" w:customStyle="1" w:styleId="HeaderChar">
    <w:name w:val="Header Char"/>
    <w:basedOn w:val="DefaultParagraphFont"/>
    <w:link w:val="Header"/>
    <w:uiPriority w:val="99"/>
    <w:rsid w:val="00677CC5"/>
    <w:rPr>
      <w:lang w:val="hr-HR"/>
    </w:rPr>
  </w:style>
  <w:style w:type="paragraph" w:styleId="Footer">
    <w:name w:val="footer"/>
    <w:basedOn w:val="Normal"/>
    <w:link w:val="FooterChar"/>
    <w:uiPriority w:val="99"/>
    <w:unhideWhenUsed/>
    <w:rsid w:val="00677CC5"/>
    <w:pPr>
      <w:tabs>
        <w:tab w:val="center" w:pos="4536"/>
        <w:tab w:val="right" w:pos="9072"/>
      </w:tabs>
    </w:pPr>
  </w:style>
  <w:style w:type="character" w:customStyle="1" w:styleId="FooterChar">
    <w:name w:val="Footer Char"/>
    <w:basedOn w:val="DefaultParagraphFont"/>
    <w:link w:val="Footer"/>
    <w:uiPriority w:val="99"/>
    <w:rsid w:val="00677CC5"/>
    <w:rPr>
      <w:lang w:val="hr-HR"/>
    </w:rPr>
  </w:style>
  <w:style w:type="paragraph" w:styleId="TOCHeading">
    <w:name w:val="TOC Heading"/>
    <w:basedOn w:val="Heading1"/>
    <w:next w:val="Normal"/>
    <w:uiPriority w:val="39"/>
    <w:unhideWhenUsed/>
    <w:qFormat/>
    <w:rsid w:val="00B0422E"/>
    <w:pPr>
      <w:spacing w:line="276" w:lineRule="auto"/>
      <w:outlineLvl w:val="9"/>
    </w:pPr>
    <w:rPr>
      <w:lang w:val="en-US" w:eastAsia="ja-JP"/>
    </w:rPr>
  </w:style>
  <w:style w:type="paragraph" w:styleId="TOC1">
    <w:name w:val="toc 1"/>
    <w:basedOn w:val="Normal"/>
    <w:next w:val="Normal"/>
    <w:autoRedefine/>
    <w:uiPriority w:val="39"/>
    <w:unhideWhenUsed/>
    <w:rsid w:val="00B0422E"/>
    <w:pPr>
      <w:spacing w:after="100"/>
    </w:pPr>
  </w:style>
  <w:style w:type="paragraph" w:styleId="BalloonText">
    <w:name w:val="Balloon Text"/>
    <w:basedOn w:val="Normal"/>
    <w:link w:val="BalloonTextChar"/>
    <w:uiPriority w:val="99"/>
    <w:semiHidden/>
    <w:unhideWhenUsed/>
    <w:rsid w:val="00B0422E"/>
    <w:rPr>
      <w:rFonts w:ascii="Tahoma" w:hAnsi="Tahoma" w:cs="Tahoma"/>
      <w:sz w:val="16"/>
      <w:szCs w:val="16"/>
    </w:rPr>
  </w:style>
  <w:style w:type="character" w:customStyle="1" w:styleId="BalloonTextChar">
    <w:name w:val="Balloon Text Char"/>
    <w:basedOn w:val="DefaultParagraphFont"/>
    <w:link w:val="BalloonText"/>
    <w:uiPriority w:val="99"/>
    <w:semiHidden/>
    <w:rsid w:val="00B0422E"/>
    <w:rPr>
      <w:rFonts w:ascii="Tahoma" w:hAnsi="Tahoma" w:cs="Tahoma"/>
      <w:sz w:val="16"/>
      <w:szCs w:val="16"/>
      <w:lang w:val="hr-HR"/>
    </w:rPr>
  </w:style>
  <w:style w:type="character" w:styleId="CommentReference">
    <w:name w:val="annotation reference"/>
    <w:basedOn w:val="DefaultParagraphFont"/>
    <w:uiPriority w:val="99"/>
    <w:semiHidden/>
    <w:unhideWhenUsed/>
    <w:rsid w:val="00B112D3"/>
    <w:rPr>
      <w:sz w:val="16"/>
      <w:szCs w:val="16"/>
    </w:rPr>
  </w:style>
  <w:style w:type="paragraph" w:styleId="CommentText">
    <w:name w:val="annotation text"/>
    <w:basedOn w:val="Normal"/>
    <w:link w:val="CommentTextChar"/>
    <w:uiPriority w:val="99"/>
    <w:semiHidden/>
    <w:unhideWhenUsed/>
    <w:rsid w:val="00B112D3"/>
    <w:rPr>
      <w:sz w:val="20"/>
      <w:szCs w:val="20"/>
    </w:rPr>
  </w:style>
  <w:style w:type="character" w:customStyle="1" w:styleId="CommentTextChar">
    <w:name w:val="Comment Text Char"/>
    <w:basedOn w:val="DefaultParagraphFont"/>
    <w:link w:val="CommentText"/>
    <w:uiPriority w:val="99"/>
    <w:semiHidden/>
    <w:rsid w:val="00B112D3"/>
    <w:rPr>
      <w:sz w:val="20"/>
      <w:szCs w:val="20"/>
      <w:lang w:val="hr-HR"/>
    </w:rPr>
  </w:style>
  <w:style w:type="paragraph" w:styleId="CommentSubject">
    <w:name w:val="annotation subject"/>
    <w:basedOn w:val="CommentText"/>
    <w:next w:val="CommentText"/>
    <w:link w:val="CommentSubjectChar"/>
    <w:uiPriority w:val="99"/>
    <w:semiHidden/>
    <w:unhideWhenUsed/>
    <w:rsid w:val="00B112D3"/>
    <w:rPr>
      <w:b/>
      <w:bCs/>
    </w:rPr>
  </w:style>
  <w:style w:type="character" w:customStyle="1" w:styleId="CommentSubjectChar">
    <w:name w:val="Comment Subject Char"/>
    <w:basedOn w:val="CommentTextChar"/>
    <w:link w:val="CommentSubject"/>
    <w:uiPriority w:val="99"/>
    <w:semiHidden/>
    <w:rsid w:val="00B112D3"/>
    <w:rPr>
      <w:b/>
      <w:bCs/>
      <w:sz w:val="20"/>
      <w:szCs w:val="20"/>
      <w:lang w:val="hr-HR"/>
    </w:rPr>
  </w:style>
  <w:style w:type="table" w:customStyle="1" w:styleId="Tablicareetke4-isticanje61">
    <w:name w:val="Tablica rešetke 4 - isticanje 61"/>
    <w:basedOn w:val="TableNormal"/>
    <w:uiPriority w:val="49"/>
    <w:rsid w:val="001B5BAC"/>
    <w:rPr>
      <w:lang w:val="hr-HR"/>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10">
    <w:name w:val="Grid Table 4 - Accent 61"/>
    <w:basedOn w:val="TableNormal"/>
    <w:uiPriority w:val="49"/>
    <w:rsid w:val="00A16ADF"/>
    <w:rPr>
      <w:lang w:val="hr-HR"/>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itle">
    <w:name w:val="Title"/>
    <w:basedOn w:val="Normal"/>
    <w:next w:val="Normal"/>
    <w:link w:val="TitleChar"/>
    <w:uiPriority w:val="10"/>
    <w:qFormat/>
    <w:rsid w:val="00792D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2D69"/>
    <w:rPr>
      <w:rFonts w:asciiTheme="majorHAnsi" w:eastAsiaTheme="majorEastAsia" w:hAnsiTheme="majorHAnsi" w:cstheme="majorBidi"/>
      <w:color w:val="17365D" w:themeColor="text2" w:themeShade="BF"/>
      <w:spacing w:val="5"/>
      <w:kern w:val="28"/>
      <w:sz w:val="52"/>
      <w:szCs w:val="52"/>
      <w:lang w:val="hr-HR"/>
    </w:rPr>
  </w:style>
  <w:style w:type="character" w:styleId="BookTitle">
    <w:name w:val="Book Title"/>
    <w:basedOn w:val="DefaultParagraphFont"/>
    <w:uiPriority w:val="33"/>
    <w:qFormat/>
    <w:rsid w:val="00962DD4"/>
    <w:rPr>
      <w:b/>
      <w:bCs/>
      <w:smallCaps/>
      <w:spacing w:val="5"/>
    </w:rPr>
  </w:style>
  <w:style w:type="character" w:customStyle="1" w:styleId="Heading2Char">
    <w:name w:val="Heading 2 Char"/>
    <w:basedOn w:val="DefaultParagraphFont"/>
    <w:link w:val="Heading2"/>
    <w:uiPriority w:val="9"/>
    <w:rsid w:val="00897A38"/>
    <w:rPr>
      <w:rFonts w:asciiTheme="majorHAnsi" w:eastAsiaTheme="majorEastAsia" w:hAnsiTheme="majorHAnsi" w:cstheme="majorBidi"/>
      <w:b/>
      <w:bCs/>
      <w:color w:val="4F81BD" w:themeColor="accent1"/>
      <w:sz w:val="26"/>
      <w:szCs w:val="26"/>
      <w:lang w:val="hr-HR"/>
    </w:rPr>
  </w:style>
  <w:style w:type="character" w:customStyle="1" w:styleId="Heading3Char">
    <w:name w:val="Heading 3 Char"/>
    <w:basedOn w:val="DefaultParagraphFont"/>
    <w:link w:val="Heading3"/>
    <w:uiPriority w:val="9"/>
    <w:rsid w:val="00897A38"/>
    <w:rPr>
      <w:rFonts w:asciiTheme="majorHAnsi" w:eastAsiaTheme="majorEastAsia" w:hAnsiTheme="majorHAnsi" w:cstheme="majorBidi"/>
      <w:b/>
      <w:bCs/>
      <w:color w:val="4F81BD" w:themeColor="accent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980570">
      <w:bodyDiv w:val="1"/>
      <w:marLeft w:val="0"/>
      <w:marRight w:val="0"/>
      <w:marTop w:val="0"/>
      <w:marBottom w:val="0"/>
      <w:divBdr>
        <w:top w:val="none" w:sz="0" w:space="0" w:color="auto"/>
        <w:left w:val="none" w:sz="0" w:space="0" w:color="auto"/>
        <w:bottom w:val="none" w:sz="0" w:space="0" w:color="auto"/>
        <w:right w:val="none" w:sz="0" w:space="0" w:color="auto"/>
      </w:divBdr>
    </w:div>
    <w:div w:id="170085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ebojeznanja.hr/strategija/visoko-obrazovanje/12" TargetMode="External"/><Relationship Id="rId13" Type="http://schemas.openxmlformats.org/officeDocument/2006/relationships/hyperlink" Target="http://www.cisok.hr/" TargetMode="External"/><Relationship Id="rId18" Type="http://schemas.openxmlformats.org/officeDocument/2006/relationships/hyperlink" Target="http://www.gzm.hr/" TargetMode="External"/><Relationship Id="rId26" Type="http://schemas.openxmlformats.org/officeDocument/2006/relationships/hyperlink" Target="http://www.eurostudent.eu/download_files/documents/Synopsis_of_Indicators_EIII.pdf" TargetMode="External"/><Relationship Id="rId3" Type="http://schemas.openxmlformats.org/officeDocument/2006/relationships/styles" Target="styles.xml"/><Relationship Id="rId21" Type="http://schemas.openxmlformats.org/officeDocument/2006/relationships/hyperlink" Target="http://www.pl4sd.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zz.hr/" TargetMode="External"/><Relationship Id="rId17" Type="http://schemas.openxmlformats.org/officeDocument/2006/relationships/hyperlink" Target="http://ec.europa.eu/eurostat/statistics-explained/index.php/Employment_statistics" TargetMode="External"/><Relationship Id="rId25" Type="http://schemas.openxmlformats.org/officeDocument/2006/relationships/hyperlink" Target="http://www.felvi.hu/pub_bin/dload/eurostudent/EUROSTUDENT_IV.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4sd.eu/images/Country_Reviews/CR_Final_Report_Croatia.pdf" TargetMode="External"/><Relationship Id="rId20" Type="http://schemas.openxmlformats.org/officeDocument/2006/relationships/hyperlink" Target="http://www.iro.hr" TargetMode="External"/><Relationship Id="rId29" Type="http://schemas.openxmlformats.org/officeDocument/2006/relationships/hyperlink" Target="http://www.iro.hr/hr/publikacije-i-resursi/izvjestaji-o-stanju-pravednosti-i-socijalne-ukljucenosti-na-sveucilistu-u-rijeci-sveucilistu-u-zadru-i-veleucilistu-marko-marulic-u-kninu-nalazi-i-preporuke-projekta-equality-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bilnost.hr/hr/sadrzaj/programi/obrazovanje-i-osposobljavanje/programi-mreze-inicijative-u-podrucju-obrazovanja-i-osposobljavanja/euroguidance/" TargetMode="External"/><Relationship Id="rId24" Type="http://schemas.openxmlformats.org/officeDocument/2006/relationships/hyperlink" Target="http://www.iro.hr/hr/publikacije-i-resursi/financiranje-i-socijalna-dimenzija/" TargetMode="External"/><Relationship Id="rId32" Type="http://schemas.openxmlformats.org/officeDocument/2006/relationships/hyperlink" Target="http://www.iro.hr/hr/publikacije-i-resursi/oznaka-kvalitete-za-unapredjivanje-pravednosti-i-socijalne-ukljucenosti-u-visokom-obrazovanju-u-hrvatskoj-preporuke-i-pregled-medjunarodne-dobre-prakse-2015/" TargetMode="External"/><Relationship Id="rId5" Type="http://schemas.openxmlformats.org/officeDocument/2006/relationships/webSettings" Target="webSettings.xml"/><Relationship Id="rId15" Type="http://schemas.openxmlformats.org/officeDocument/2006/relationships/hyperlink" Target="http://www.iro.hr/hr/" TargetMode="External"/><Relationship Id="rId23" Type="http://schemas.openxmlformats.org/officeDocument/2006/relationships/hyperlink" Target="http://iro.hr/userdocs/File/ACCESS-glavni/1.%20EUROSTUDENT_Nacionalno_izvjesce_RH_2011.pdf" TargetMode="External"/><Relationship Id="rId28" Type="http://schemas.openxmlformats.org/officeDocument/2006/relationships/hyperlink" Target="http://www.iro.hr/hr/publikacije-i-resursi/unapredjivanje-kvalitete-u-visokom-obrazovanju-kroz-jacanje-pravednosti-i-socijalne-ukljucenosti-pregled-rezultata-projekta-equality-2015/" TargetMode="External"/><Relationship Id="rId10" Type="http://schemas.openxmlformats.org/officeDocument/2006/relationships/hyperlink" Target="http://www.strukturnifondovi.hr/op-ucinkoviti-ljudski-potencijali-2014-2020-780" TargetMode="External"/><Relationship Id="rId19" Type="http://schemas.openxmlformats.org/officeDocument/2006/relationships/hyperlink" Target="http://novebojeznanja.hr/UserDocsImages//datoteke/3.1.pdf" TargetMode="External"/><Relationship Id="rId31" Type="http://schemas.openxmlformats.org/officeDocument/2006/relationships/hyperlink" Target="http://iro.hr/userdocs/File/EUROSTUDENT%20V_Nacionalno%20izvje%C5%A1%C4%87e%20istra%C5%BEivanja%20za%20Hrvatsku%20za%202014.%20godinu.pdf" TargetMode="External"/><Relationship Id="rId4" Type="http://schemas.openxmlformats.org/officeDocument/2006/relationships/settings" Target="settings.xml"/><Relationship Id="rId9" Type="http://schemas.openxmlformats.org/officeDocument/2006/relationships/hyperlink" Target="https://vlada.gov.hr/UserDocsImages/Sjednice/2015/238%20sjednica%20Vlade/238%20-%204.pdf" TargetMode="External"/><Relationship Id="rId14" Type="http://schemas.openxmlformats.org/officeDocument/2006/relationships/hyperlink" Target="https://www.upisi.hr/upisi/" TargetMode="External"/><Relationship Id="rId22" Type="http://schemas.openxmlformats.org/officeDocument/2006/relationships/hyperlink" Target="http://www.iro.hr/hr/publikacije-i-resursi/institucijski-poticaji-i-prepreke-za-uspjeh-u-studiju-perspektiva-studenataica-izvjesce-o-nalazima-istrazivanja-2015/" TargetMode="External"/><Relationship Id="rId27" Type="http://schemas.openxmlformats.org/officeDocument/2006/relationships/hyperlink" Target="http://www.pl4sd.eu/images/Country_Reviews/CR_Final_Report_Croatia.pdf" TargetMode="External"/><Relationship Id="rId30" Type="http://schemas.openxmlformats.org/officeDocument/2006/relationships/hyperlink" Target="http://www.iro.hr/hr/publikacije-i-resursi/smjernice-za-jacanje-pravednosti-i-socijalne-ukljucenosti-na-visokim-ucilistim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B2099-CA72-49D6-A22A-8478D661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10870</Words>
  <Characters>61963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72688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Alen Čuljak</cp:lastModifiedBy>
  <cp:revision>8</cp:revision>
  <dcterms:created xsi:type="dcterms:W3CDTF">2017-07-27T09:58:00Z</dcterms:created>
  <dcterms:modified xsi:type="dcterms:W3CDTF">2017-07-27T10:53:00Z</dcterms:modified>
</cp:coreProperties>
</file>