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394F5" w14:textId="77777777" w:rsidR="001F2119" w:rsidRDefault="001F2119" w:rsidP="001F2119">
      <w:pPr>
        <w:pStyle w:val="Title"/>
      </w:pPr>
    </w:p>
    <w:p w14:paraId="1D463440" w14:textId="77777777" w:rsidR="001F2119" w:rsidRDefault="001F2119" w:rsidP="001F2119">
      <w:pPr>
        <w:pStyle w:val="Title"/>
      </w:pPr>
    </w:p>
    <w:p w14:paraId="5164DFB4" w14:textId="77777777" w:rsidR="006667D2" w:rsidRDefault="006667D2" w:rsidP="001F2119">
      <w:pPr>
        <w:pStyle w:val="Title"/>
      </w:pPr>
      <w:r w:rsidRPr="001F2119">
        <w:t>Prijedlog ključnih elemenata Poziva na dostavu projektnih prijedloga</w:t>
      </w:r>
    </w:p>
    <w:p w14:paraId="501DCB76" w14:textId="77777777" w:rsidR="001F2119" w:rsidRPr="001F2119" w:rsidRDefault="001F2119" w:rsidP="001F2119">
      <w:pPr>
        <w:pStyle w:val="Title"/>
        <w:rPr>
          <w:sz w:val="6"/>
        </w:rPr>
      </w:pPr>
    </w:p>
    <w:p w14:paraId="7377AB85" w14:textId="222DD77F" w:rsidR="003521EE" w:rsidRPr="001F2119" w:rsidRDefault="006667D2" w:rsidP="001F2119">
      <w:pPr>
        <w:pStyle w:val="Title"/>
        <w:rPr>
          <w:rFonts w:eastAsia="Times New Roman"/>
          <w:b/>
          <w:bCs/>
          <w:lang w:val="en-US" w:eastAsia="ar-SA"/>
        </w:rPr>
      </w:pPr>
      <w:r w:rsidRPr="001F2119">
        <w:rPr>
          <w:b/>
        </w:rPr>
        <w:t>„</w:t>
      </w:r>
      <w:r w:rsidR="0006624E" w:rsidRPr="0006624E">
        <w:rPr>
          <w:b/>
        </w:rPr>
        <w:t>Razvoj, unapređenje i provedba stručne prakse u visokom obrazovanju</w:t>
      </w:r>
      <w:r w:rsidR="0006624E">
        <w:rPr>
          <w:b/>
        </w:rPr>
        <w:t>“</w:t>
      </w:r>
    </w:p>
    <w:p w14:paraId="50FC0307" w14:textId="77777777" w:rsidR="003521EE" w:rsidRPr="00BE0BF9" w:rsidRDefault="003521EE" w:rsidP="006667D2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2CE245B0" w14:textId="77777777" w:rsidR="00F53F09" w:rsidRDefault="00BF18E3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  <w:r w:rsidRPr="00BE0BF9"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  <w:t xml:space="preserve"> </w:t>
      </w:r>
    </w:p>
    <w:p w14:paraId="0ECA595E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03D32286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55E02B12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13E13AD1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429A1F45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2DAE6E83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17D26644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7DAA0DE6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7FE43087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7026B489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17E8D19A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59BDAEBA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5CE4EEBC" w14:textId="77777777" w:rsidR="00F53F09" w:rsidRDefault="00F53F09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7A85F81B" w14:textId="77777777" w:rsidR="00F53F09" w:rsidRDefault="00F53F09" w:rsidP="00F53F09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  <w:sectPr w:rsidR="00F53F09" w:rsidSect="00A226E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397" w:gutter="0"/>
          <w:cols w:space="708"/>
          <w:docGrid w:linePitch="360"/>
        </w:sectPr>
      </w:pPr>
      <w:r w:rsidRPr="00F42BB1">
        <w:rPr>
          <w:rFonts w:ascii="Times New Roman" w:hAnsi="Times New Roman" w:cs="Times New Roman"/>
          <w:color w:val="000000"/>
          <w:sz w:val="23"/>
          <w:szCs w:val="23"/>
        </w:rPr>
        <w:t>Izrazi koji se koriste u ovome sažetku, a koji imaju rodno značenje, bez obzira na to jesu li korišteni u muškome ili ženskome rodu, obuhvaćaju na jednak način i muški i ženski rod.</w:t>
      </w:r>
      <w:r w:rsidRPr="008F74E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E0BF9"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  <w:br w:type="page"/>
      </w:r>
    </w:p>
    <w:p w14:paraId="6272527A" w14:textId="77777777" w:rsidR="0003776A" w:rsidRPr="006667D2" w:rsidRDefault="006C570B" w:rsidP="00857513">
      <w:pPr>
        <w:pStyle w:val="Heading1"/>
        <w:rPr>
          <w:rStyle w:val="hps"/>
        </w:rPr>
      </w:pPr>
      <w:r w:rsidRPr="006667D2">
        <w:rPr>
          <w:rStyle w:val="hps"/>
        </w:rPr>
        <w:lastRenderedPageBreak/>
        <w:t>Temelji i opće odredbe</w:t>
      </w:r>
    </w:p>
    <w:p w14:paraId="5A6AECBE" w14:textId="6EB805D5" w:rsidR="004B7535" w:rsidRDefault="006C570B" w:rsidP="00826C2D">
      <w:pPr>
        <w:pStyle w:val="Heading2"/>
        <w:rPr>
          <w:rStyle w:val="hps"/>
        </w:rPr>
      </w:pPr>
      <w:r w:rsidRPr="00A91A56">
        <w:rPr>
          <w:rStyle w:val="hps"/>
        </w:rPr>
        <w:t>Svrha Poziva</w:t>
      </w:r>
    </w:p>
    <w:p w14:paraId="6CF3055A" w14:textId="5D537050" w:rsidR="0011610C" w:rsidRPr="00DC5493" w:rsidRDefault="0011610C" w:rsidP="0011610C">
      <w:pPr>
        <w:pStyle w:val="NoSpacing"/>
        <w:jc w:val="both"/>
        <w:rPr>
          <w:rFonts w:ascii="Lucida Sans Unicode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U sklopu mjera za provedbu </w:t>
      </w:r>
      <w:hyperlink r:id="rId12" w:history="1">
        <w:r w:rsidRPr="00DC5493">
          <w:rPr>
            <w:rStyle w:val="Hyperlink"/>
            <w:rFonts w:ascii="Lucida Sans Unicode" w:hAnsi="Lucida Sans Unicode" w:cs="Lucida Sans Unicode"/>
            <w:sz w:val="20"/>
            <w:szCs w:val="20"/>
            <w:lang w:eastAsia="ar-SA"/>
          </w:rPr>
          <w:t>Strategije obrazovanja, znanosti i tehnologije</w:t>
        </w:r>
      </w:hyperlink>
      <w:r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 (NN 124/14),</w:t>
      </w:r>
      <w:r w:rsidR="000F1EFA"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  </w:t>
      </w:r>
      <w:r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posebna važnost pridružena je stjecanju znanja i vještina kroz rad (work-based learning), na svim razinama obrazovanja. Kako je navedeno u poglavlju Cjeloživotno učenje, koje je poglavlje transverzalnog karaktera te obuhvaća ciljeve i mjere koje su zajedničke za sve razine obrazovanja, „iskustva iz industrijski razvijenih zemalja pokazuju da veća uključenost u radne procese tijekom obrazovanja podiže razinu zapošljivosti polaznika i povećava brzinu prilagodbe poslovima na radnom mjestu“. </w:t>
      </w:r>
      <w:r w:rsidR="008A0435"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 </w:t>
      </w:r>
    </w:p>
    <w:p w14:paraId="26F94A31" w14:textId="77777777" w:rsidR="000F1EFA" w:rsidRPr="00DC5493" w:rsidRDefault="000F1EFA" w:rsidP="0011610C">
      <w:pPr>
        <w:pStyle w:val="NoSpacing"/>
        <w:jc w:val="both"/>
        <w:rPr>
          <w:rFonts w:ascii="Lucida Sans Unicode" w:hAnsi="Lucida Sans Unicode" w:cs="Lucida Sans Unicode"/>
          <w:sz w:val="20"/>
          <w:szCs w:val="20"/>
          <w:lang w:eastAsia="ar-SA"/>
        </w:rPr>
      </w:pPr>
    </w:p>
    <w:p w14:paraId="5F5B3788" w14:textId="58C6E11D" w:rsidR="0011610C" w:rsidRPr="00DC5493" w:rsidRDefault="00CB0DAF" w:rsidP="0011610C">
      <w:pPr>
        <w:pStyle w:val="NoSpacing"/>
        <w:jc w:val="both"/>
        <w:rPr>
          <w:rFonts w:ascii="Lucida Sans Unicode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 </w:t>
      </w:r>
      <w:hyperlink r:id="rId13" w:history="1">
        <w:r w:rsidR="0011610C" w:rsidRPr="00DC5493">
          <w:rPr>
            <w:rStyle w:val="Hyperlink"/>
            <w:rFonts w:ascii="Lucida Sans Unicode" w:hAnsi="Lucida Sans Unicode" w:cs="Lucida Sans Unicode"/>
            <w:sz w:val="20"/>
            <w:szCs w:val="20"/>
            <w:lang w:eastAsia="ar-SA"/>
          </w:rPr>
          <w:t>Operativni program Učinkoviti ljudski potencijali</w:t>
        </w:r>
      </w:hyperlink>
      <w:r w:rsidR="0011610C"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 za ostvarivanje specifičnog cilja 10</w:t>
      </w:r>
      <w:r w:rsidR="0072161A" w:rsidRPr="00DC5493">
        <w:rPr>
          <w:rFonts w:ascii="Lucida Sans Unicode" w:hAnsi="Lucida Sans Unicode" w:cs="Lucida Sans Unicode"/>
          <w:sz w:val="20"/>
          <w:szCs w:val="20"/>
          <w:lang w:eastAsia="ar-SA"/>
        </w:rPr>
        <w:t>.</w:t>
      </w:r>
      <w:r w:rsidR="0011610C" w:rsidRPr="00DC5493">
        <w:rPr>
          <w:rFonts w:ascii="Lucida Sans Unicode" w:hAnsi="Lucida Sans Unicode" w:cs="Lucida Sans Unicode"/>
          <w:sz w:val="20"/>
          <w:szCs w:val="20"/>
          <w:lang w:eastAsia="ar-SA"/>
        </w:rPr>
        <w:t>ii</w:t>
      </w:r>
      <w:r w:rsidR="0072161A" w:rsidRPr="00DC5493">
        <w:rPr>
          <w:rFonts w:ascii="Lucida Sans Unicode" w:hAnsi="Lucida Sans Unicode" w:cs="Lucida Sans Unicode"/>
          <w:sz w:val="20"/>
          <w:szCs w:val="20"/>
          <w:lang w:eastAsia="ar-SA"/>
        </w:rPr>
        <w:t>.</w:t>
      </w:r>
      <w:r w:rsidR="0011610C" w:rsidRPr="00DC5493">
        <w:rPr>
          <w:rFonts w:ascii="Lucida Sans Unicode" w:hAnsi="Lucida Sans Unicode" w:cs="Lucida Sans Unicode"/>
          <w:sz w:val="20"/>
          <w:szCs w:val="20"/>
          <w:lang w:eastAsia="ar-SA"/>
        </w:rPr>
        <w:t>1 „Poboljšanje kvalitete, relevantnosti i učinkovitosti programa u visokom obrazovanju“ unutar investicijskog prioriteta 10</w:t>
      </w:r>
      <w:r w:rsidR="0072161A" w:rsidRPr="00DC5493">
        <w:rPr>
          <w:rFonts w:ascii="Lucida Sans Unicode" w:hAnsi="Lucida Sans Unicode" w:cs="Lucida Sans Unicode"/>
          <w:sz w:val="20"/>
          <w:szCs w:val="20"/>
          <w:lang w:eastAsia="ar-SA"/>
        </w:rPr>
        <w:t>.</w:t>
      </w:r>
      <w:r w:rsidR="0011610C"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ii </w:t>
      </w:r>
      <w:r w:rsidR="0072161A" w:rsidRPr="00DC5493">
        <w:rPr>
          <w:rFonts w:ascii="Lucida Sans Unicode" w:hAnsi="Lucida Sans Unicode" w:cs="Lucida Sans Unicode"/>
          <w:sz w:val="20"/>
          <w:szCs w:val="20"/>
          <w:lang w:eastAsia="ar-SA"/>
        </w:rPr>
        <w:t>„</w:t>
      </w:r>
      <w:r w:rsidR="0011610C" w:rsidRPr="00DC5493">
        <w:rPr>
          <w:rFonts w:ascii="Lucida Sans Unicode" w:hAnsi="Lucida Sans Unicode" w:cs="Lucida Sans Unicode"/>
          <w:sz w:val="20"/>
          <w:szCs w:val="20"/>
          <w:lang w:eastAsia="ar-SA"/>
        </w:rPr>
        <w:t xml:space="preserve">Poboljšanje kvalitete i učinkovitosti tercijarnog i ekvivalentnog obrazovanja te pristupa njemu radi povećanja sudjelovanja u njemu i njegova stjecanja, posebno za skupine u nepovoljnom položaju“ prepoznaje nedostatnost poticaja prema poslodavcima da studentima nude stažiranje te prema visokim učilištima prema uvođenju strukturiranog radnog iskustva i stručne prakse. Mogućnost stručne prakse prije diplomiranja povećat će kvalitetu programa, potaknuti partnerstva između poslodavaca i visokih učilišta te povećati zapošljivost studenata.  </w:t>
      </w:r>
    </w:p>
    <w:p w14:paraId="496E4D9F" w14:textId="77777777" w:rsidR="0011610C" w:rsidRPr="00DC5493" w:rsidRDefault="0011610C" w:rsidP="0011610C">
      <w:pPr>
        <w:pStyle w:val="NoSpacing"/>
        <w:rPr>
          <w:rFonts w:ascii="Lucida Sans Unicode" w:hAnsi="Lucida Sans Unicode" w:cs="Lucida Sans Unicode"/>
          <w:sz w:val="20"/>
          <w:szCs w:val="20"/>
          <w:lang w:eastAsia="ar-SA"/>
        </w:rPr>
      </w:pPr>
    </w:p>
    <w:p w14:paraId="27A4B836" w14:textId="64C46771" w:rsidR="0011610C" w:rsidRPr="00DC5493" w:rsidRDefault="0011610C" w:rsidP="0011610C">
      <w:pPr>
        <w:pStyle w:val="NoSpacing"/>
        <w:jc w:val="both"/>
        <w:rPr>
          <w:rFonts w:ascii="Lucida Sans Unicode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hAnsi="Lucida Sans Unicode" w:cs="Lucida Sans Unicode"/>
          <w:sz w:val="20"/>
          <w:szCs w:val="20"/>
          <w:lang w:eastAsia="ar-SA"/>
        </w:rPr>
        <w:t>Stoga će se sredstva ove operacije koristiti za provedbu učenja kroz rad kao sastavnih dijelova studijskih programa kroz strukturiranu suradnju visokih učilišta i poslodavaca kako bi se osigurala stručna praksa temeljena na ishodima učenja i uz razvijene postupke osi</w:t>
      </w:r>
      <w:r w:rsidR="000F1EFA" w:rsidRPr="00DC5493">
        <w:rPr>
          <w:rFonts w:ascii="Lucida Sans Unicode" w:hAnsi="Lucida Sans Unicode" w:cs="Lucida Sans Unicode"/>
          <w:sz w:val="20"/>
          <w:szCs w:val="20"/>
          <w:lang w:eastAsia="ar-SA"/>
        </w:rPr>
        <w:t>guravanja kvalitete.</w:t>
      </w:r>
    </w:p>
    <w:p w14:paraId="3F45C593" w14:textId="77777777" w:rsidR="0011610C" w:rsidRPr="00DC5493" w:rsidRDefault="0011610C" w:rsidP="0011610C">
      <w:pPr>
        <w:pStyle w:val="NoSpacing"/>
        <w:jc w:val="both"/>
        <w:rPr>
          <w:rFonts w:ascii="Lucida Sans Unicode" w:hAnsi="Lucida Sans Unicode" w:cs="Lucida Sans Unicode"/>
          <w:sz w:val="20"/>
          <w:szCs w:val="20"/>
          <w:lang w:eastAsia="ar-SA"/>
        </w:rPr>
      </w:pPr>
    </w:p>
    <w:p w14:paraId="17D479D2" w14:textId="1D51D198" w:rsidR="004B7535" w:rsidRPr="00DC5493" w:rsidRDefault="0011610C" w:rsidP="004E1701">
      <w:pPr>
        <w:pStyle w:val="NoSpacing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O</w:t>
      </w:r>
      <w:r w:rsidR="00826C2D"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peracija 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je </w:t>
      </w:r>
      <w:r w:rsidR="00826C2D"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osmišljena na temelju provedenih analiza te rasprava s dionicima, a s konačnim ciljem unapređenja kvalitete i zastupljenosti stručne prakse koja se odvija u sklopu studijskih programa, što je utvrđeno kao nedostatak visokog obrazovanja. Teorijska podloga na kojoj se temelji ova operacija sastoji se u ideji da se učenjem kroz rad, prije svega, omogućava studentima produbiti i proširiti stečene kompetencije te razviti odgovarajuće vještine koje doprinose boljem snalaženju u radnom okruženju, većoj samostalnosti i lakšem pronalasku zaposlenja. Projektima u sklopu ove operacije financirat će se provedba onih aktivnosti koje su prepoznate kao ključne za ostvarivanje specifičnog cilja unapređenja kvalitete i povećanja zastupljenosti stručne prakse kao i doprinos ostvarenju općeg cilja povećanja zapošljivosti završenih studenata. Kako bi se unaprijedila stručna praksa kao dio učenja kroz rad, stručna praksa treba biti opisana ishodima učenja ali i postupcima za vrednovanje stečenih ishoda učenja.</w:t>
      </w:r>
    </w:p>
    <w:p w14:paraId="6908AE52" w14:textId="77777777" w:rsidR="00E814D9" w:rsidRPr="00DC5493" w:rsidRDefault="00E814D9" w:rsidP="00E814D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DC5493">
        <w:rPr>
          <w:rFonts w:ascii="Lucida Sans Unicode" w:hAnsi="Lucida Sans Unicode" w:cs="Lucida Sans Unicode"/>
          <w:sz w:val="20"/>
          <w:szCs w:val="20"/>
        </w:rPr>
        <w:t xml:space="preserve">Jednako se tako kvaliteta stažiranja i pripravništva može unaprijediti izradom ishoda učenja i postupaka za vrednovanje stečenih ishoda učenja. Ovom operacijom omogućuju se aktivnosti koje podržavaju razvoj i unaprjeđenje sustava mentorstva i stručne prakse, stručnih ekskurzija </w:t>
      </w:r>
      <w:r w:rsidRPr="00DC5493">
        <w:rPr>
          <w:rFonts w:ascii="Lucida Sans Unicode" w:hAnsi="Lucida Sans Unicode" w:cs="Lucida Sans Unicode"/>
          <w:sz w:val="20"/>
          <w:szCs w:val="20"/>
        </w:rPr>
        <w:lastRenderedPageBreak/>
        <w:t>i terenske nastave kao dijela studijskog programa i učenja kroz rad. Provedba zajedničkih istraživačkih projekata studenata i nastavnika također može pridonijeti stjecanju ishoda učenja predviđenih studijskim programom. Uključivanje mentora iz svijeta rada i gospodarstva kao gostujućih predavača u izvedbu studijskog programa povećava relevantnost nastavne djelatnosti. Gospodarstvo treba biti partner i u izradi završnih i diplomskih radova. Mentore iz svijeta rada i gospodarstva potrebno je uključiti  u izvedbu studijskih programa kao gostujuće predavače. Ispitivanje kompetencija alumnija ali i anketiranje poslodavaca i alumnija nužno je kako bismo dobili informacije o tržištu rada. Opremanje laboratorija, vježbaonica i radionica nužno je kako bi bili usklađeni s trendovima tehnološkog razvoja kako bili opremljeni suvremenom opremom koja će studentima omogućiti razvijanje i stjecanje  kompetencija aktualno potrebnih na tržištu rada. Naposljetku sudjelovanje studenata i nastavnika na znanstvenim i stručnim skupovima u Republici Hrvatskoj i u inozemstvu pridonijet će kako relevantnoj i kvalitetnoj nastavnoj djelatnosti, tako i širenju perspektiva studenata. Isto tako potreban je razvoj i provedba programa, seminara i radionica za stjecanje upravljačkih i poduzetničkih kompetencija studenata.</w:t>
      </w:r>
    </w:p>
    <w:p w14:paraId="71650763" w14:textId="2939EEA4" w:rsidR="00826C2D" w:rsidRPr="00DC5493" w:rsidRDefault="00826C2D" w:rsidP="0067251C">
      <w:pPr>
        <w:pStyle w:val="NoSpacing"/>
        <w:spacing w:before="240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Kako bi se došlo do potrebnih podataka i preporuka za kvalitetnu pripremu ove operacije, </w:t>
      </w:r>
      <w:r w:rsidR="00071E92"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Ministarstvo znanosti i obrazovanja, je naručilo izradu „Studije o stručnoj praksi u visokom obrazovanju“  koja predstavlja analizu zastupljenosti i kvalitete stručne prakse i drugih oblika učenja kroz rad u studijskim programima koji se izvode na visokim učilištima u Republici Hrvatskoj. Uz detaljnu analizu postojećeg stanja, Studija sadrži i preporuke Ministarstvu za povećanje zastupljenosti i unapređenje kvalitete stručne prakse. Preporuke su izrađene na temelju identificiranih problema i potreba u visokom obrazovanju.</w:t>
      </w:r>
    </w:p>
    <w:p w14:paraId="3D4E5A33" w14:textId="1412FDED" w:rsidR="004E1701" w:rsidRPr="00DC5493" w:rsidRDefault="004E1701" w:rsidP="0067251C">
      <w:pPr>
        <w:pStyle w:val="NoSpacing"/>
        <w:spacing w:before="240"/>
        <w:jc w:val="both"/>
        <w:rPr>
          <w:rFonts w:ascii="Lucida Sans Unicode" w:eastAsia="Times New Roman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Iz prikupljenih podataka vidljiva je zastupljenost stručne prakse koja je najviša kod integriranih preddiplomskih i diplomskih studija, odnosno preddiplomskih stručnih studija.</w:t>
      </w:r>
      <w:r w:rsidR="0067251C"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 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Najmanje je zastupljena u slučaju preddiplomskih sveučilišnih studija.</w:t>
      </w:r>
      <w:r w:rsidRPr="00DC5493">
        <w:rPr>
          <w:rFonts w:ascii="Lucida Sans Unicode" w:hAnsi="Lucida Sans Unicode" w:cs="Lucida Sans Unicode"/>
          <w:sz w:val="20"/>
          <w:szCs w:val="20"/>
        </w:rPr>
        <w:t xml:space="preserve"> Zaključno, 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zastupljenost stručne prakse u programima na sveučilištima je oko 50 </w:t>
      </w:r>
      <w:r w:rsidR="0067251C"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%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, a na veleučilištima i visokom školama oko 77 </w:t>
      </w:r>
      <w:r w:rsidR="0067251C"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%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.</w:t>
      </w:r>
    </w:p>
    <w:p w14:paraId="01E72DD3" w14:textId="77777777" w:rsidR="004E1701" w:rsidRPr="00DC5493" w:rsidRDefault="004E1701" w:rsidP="0067251C">
      <w:pPr>
        <w:pStyle w:val="NoSpacing"/>
        <w:spacing w:before="240"/>
        <w:jc w:val="both"/>
        <w:rPr>
          <w:rFonts w:ascii="Lucida Sans Unicode" w:eastAsia="Times New Roman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Kad je riječ o osnivačima, podatci upućuju na zaključak da je općenito na stručnim programima i javnih i privatnih visokih učilišta udio programa sa stručnom praksom znatno veći nego na sveučilišnim programima. Također je udio studenata koji pohađaju programe stručne prakse  veći u slučaju privatnih nego u slučaju javnih osnivača.</w:t>
      </w:r>
    </w:p>
    <w:p w14:paraId="1C1B71A9" w14:textId="755D0550" w:rsidR="0067251C" w:rsidRPr="00DC5493" w:rsidRDefault="004E1701" w:rsidP="0067251C">
      <w:pPr>
        <w:pStyle w:val="NoSpacing"/>
        <w:spacing w:before="240"/>
        <w:jc w:val="both"/>
        <w:rPr>
          <w:rFonts w:ascii="Lucida Sans Unicode" w:eastAsia="Times New Roman" w:hAnsi="Lucida Sans Unicode" w:cs="Lucida Sans Unicode"/>
          <w:b/>
          <w:sz w:val="20"/>
          <w:szCs w:val="20"/>
          <w:lang w:eastAsia="zh-CN"/>
        </w:rPr>
      </w:pP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Također, stručna praksa na sveučilišnim programima (i prema udjelu programa prema udjelu studenata) najviše je zastupljena u području biomedicine i zdravstva, odnosno biotehničkih znanosti. Najmanje je pak zastupljena u području humanističkih znanosti.</w:t>
      </w:r>
      <w:r w:rsidRPr="00DC549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Nadalje, podatci pokazuju da programi u okviru integriranih preddiplomskih i diplomskih sveučilišnih studija u najvećoj mjeri imaju definirane ishode učenja za stručnu praksu (91 %), dok istodobno preddiplomski sveučilišni programi imaju najrjeđe definirane ishode (72 % programa).</w:t>
      </w:r>
      <w:r w:rsidRPr="00DC5493">
        <w:rPr>
          <w:rFonts w:ascii="Lucida Sans Unicode" w:eastAsia="Times New Roman" w:hAnsi="Lucida Sans Unicode" w:cs="Lucida Sans Unicode"/>
          <w:b/>
          <w:sz w:val="20"/>
          <w:szCs w:val="20"/>
          <w:lang w:eastAsia="zh-CN"/>
        </w:rPr>
        <w:t xml:space="preserve"> </w:t>
      </w:r>
    </w:p>
    <w:p w14:paraId="38598431" w14:textId="63E41C7C" w:rsidR="004E1701" w:rsidRPr="00DC5493" w:rsidRDefault="004E1701" w:rsidP="0067251C">
      <w:pPr>
        <w:pStyle w:val="NoSpacing"/>
        <w:spacing w:before="240"/>
        <w:jc w:val="both"/>
        <w:rPr>
          <w:rFonts w:ascii="Lucida Sans Unicode" w:eastAsia="Times New Roman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eastAsia="Times New Roman" w:hAnsi="Lucida Sans Unicode" w:cs="Lucida Sans Unicode"/>
          <w:b/>
          <w:sz w:val="20"/>
          <w:szCs w:val="20"/>
          <w:lang w:eastAsia="ar-SA"/>
        </w:rPr>
        <w:lastRenderedPageBreak/>
        <w:t>Rezultati analize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 pokazuju da je „stručna praksa u okviru visokog obrazovanja poželjna za sve dionike procesa. 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u w:val="single"/>
          <w:lang w:eastAsia="ar-SA"/>
        </w:rPr>
        <w:t>Studenti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 putem stručne prakse razvijaju vještine koje im mogu pomoći pri ulasku u svijet rada. Osim prilike da testiraju stečena teoretska znanja, višestruka stručna praksa omogućava istraživanje različitih putova razvoja karijere. Prednosti za 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u w:val="single"/>
          <w:lang w:eastAsia="ar-SA"/>
        </w:rPr>
        <w:t>poslodavce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 mogu se naći u s jedne strane u određenom doprinosu raspoloživoj radnoj snazi u proizvodnom procesu. Međutim, važnije od toga je da zaposlenici-mentori kroz sustav mentorstva imaju mogućnost revidiranja vlastitih znanja. Naime, praksa vrlo često pokazuje da proces stjecanja novih znanja nije jednosmjeran, već dvosmjeran. Interakcija između studenata i mentora, u poticajnom okruženju, može stvoriti nove vrijednosti za poduzetnika i za društvo. 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u w:val="single"/>
          <w:lang w:eastAsia="ar-SA"/>
        </w:rPr>
        <w:t>Visoka učilišta</w:t>
      </w: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 sudjelovanjem u stručnoj praksi ne samo da omogućavaju svojim polaznicima da stječu vrlo važna znanja, već i kroz suradnju s poslovnom zajednicom omogućavaju diseminaciju znanja. Suradnja s poslodavcima koja počinje sa stručnom praksom može prerasti kroz zajedničke projekte u značajnije (inovativne) aktivnosti.“ Nadalje, u Studiji se navodi da „istraživanja pokazuju da Hrvatska u segmentu suradnje između znanstvene i poslovne zajednice zaostaje za razvijenijim gospodarstvima. Poticanje stvaranja veza kroz stručnu praksu može predstavljati pozitivan korak.“</w:t>
      </w:r>
    </w:p>
    <w:p w14:paraId="7E44C014" w14:textId="0CEBE34D" w:rsidR="004E1701" w:rsidRPr="00DC5493" w:rsidRDefault="00222125" w:rsidP="0067251C">
      <w:pPr>
        <w:pStyle w:val="NoSpacing"/>
        <w:spacing w:before="240"/>
        <w:jc w:val="both"/>
        <w:rPr>
          <w:rFonts w:ascii="Lucida Sans Unicode" w:eastAsia="Times New Roman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Rezultati analize, zaključci do kojih je analiza dovela te preporuke za povećanje zastupljenosti i unapređenje kvalitete stručne prakse, predstavljeni su na Okruglom stolu „Učenje kroz rad u visokom obrazovanju (stručna praksa i stažiranje kao dio studijskog programa“ u sklopu konferencije Nacionalnog vijeća za razvoj ljudskih potencijala </w:t>
      </w:r>
      <w:hyperlink r:id="rId14" w:history="1">
        <w:r w:rsidRPr="00DC5493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ar-SA"/>
          </w:rPr>
          <w:t>„HKO kvalifikacije – za tržište, društvo ili pojedinca“</w:t>
        </w:r>
      </w:hyperlink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 xml:space="preserve"> održane 27.-28. listopada 2016. godine.</w:t>
      </w:r>
    </w:p>
    <w:p w14:paraId="2E89C77D" w14:textId="77777777" w:rsidR="004E1701" w:rsidRPr="00DC5493" w:rsidRDefault="004E1701" w:rsidP="0067251C">
      <w:pPr>
        <w:pStyle w:val="NoSpacing"/>
        <w:jc w:val="both"/>
        <w:rPr>
          <w:rFonts w:ascii="Lucida Sans Unicode" w:eastAsia="Times New Roman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eastAsia="Times New Roman" w:hAnsi="Lucida Sans Unicode" w:cs="Lucida Sans Unicode"/>
          <w:sz w:val="20"/>
          <w:szCs w:val="20"/>
          <w:lang w:eastAsia="ar-SA"/>
        </w:rPr>
        <w:t> </w:t>
      </w:r>
    </w:p>
    <w:p w14:paraId="62421FA7" w14:textId="47A712E3" w:rsidR="0011610C" w:rsidRPr="00DC5493" w:rsidRDefault="00CB0DAF" w:rsidP="0011610C">
      <w:pPr>
        <w:pStyle w:val="NoSpacing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Zaključci s O</w:t>
      </w:r>
      <w:r w:rsidR="0011610C"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kruglog stola na kojem su sudjelovali predstavnici poslodavaca i visokih učilišta koja imaju stručnu praksu u sklopu svojih studijskih programa, donijeli su dodatne uvide u probleme i prepreke te ideje i preporuke za razvoj i unapređenje stručne prakse na visokim učilištima u Republici Hrvatskoj, među kojima su za ovu operaciju značajne sljedeće:</w:t>
      </w:r>
    </w:p>
    <w:p w14:paraId="1DC53F62" w14:textId="77777777" w:rsidR="0011610C" w:rsidRPr="00DC5493" w:rsidRDefault="0011610C" w:rsidP="0067251C">
      <w:pPr>
        <w:pStyle w:val="NoSpacing"/>
        <w:ind w:left="426" w:hanging="142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-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  <w:t>Osim teorijskog znanja, poslodavci od zaposlenika očekuju razvijene praktične vještine i snalaženje u novim situacijama;</w:t>
      </w:r>
    </w:p>
    <w:p w14:paraId="331D5F41" w14:textId="77777777" w:rsidR="0011610C" w:rsidRPr="00DC5493" w:rsidRDefault="0011610C" w:rsidP="0067251C">
      <w:pPr>
        <w:pStyle w:val="NoSpacing"/>
        <w:ind w:left="426" w:hanging="142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-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  <w:t>Primjeri dobre prakse na visokim učilištima u kojima je praksa obvezni kolegij pokazuju da se 70 % studenata zapošljava u tvrtkama u kojima su obavljali stručnu praksu;</w:t>
      </w:r>
    </w:p>
    <w:p w14:paraId="08DC137D" w14:textId="77777777" w:rsidR="0011610C" w:rsidRPr="00DC5493" w:rsidRDefault="0011610C" w:rsidP="0067251C">
      <w:pPr>
        <w:pStyle w:val="NoSpacing"/>
        <w:ind w:left="426" w:hanging="142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-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  <w:t>Kao problem se ističe nedovoljan broj kompetentnih mentora koji mogu odvojiti vrijeme za rad sa studentima, zaštita na radu, zaštita podataka, naknade;</w:t>
      </w:r>
    </w:p>
    <w:p w14:paraId="7DE451D6" w14:textId="77777777" w:rsidR="0011610C" w:rsidRPr="00DC5493" w:rsidRDefault="0011610C" w:rsidP="0067251C">
      <w:pPr>
        <w:pStyle w:val="NoSpacing"/>
        <w:ind w:left="426" w:hanging="142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-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  <w:t>Predlaže se da visoka učilišta uspostave centre za razvoj karijere koji bi se bavili, između ostaloga i organizacijom i osiguravanjem provedbe stručne prakse te vođenjem  evidencija relevantnih poslodavaca;</w:t>
      </w:r>
    </w:p>
    <w:p w14:paraId="3B247E1F" w14:textId="1FACCB00" w:rsidR="0011610C" w:rsidRPr="00DC5493" w:rsidRDefault="0011610C" w:rsidP="0067251C">
      <w:pPr>
        <w:pStyle w:val="NoSpacing"/>
        <w:ind w:left="426" w:hanging="142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-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</w:r>
      <w:r w:rsidR="0067251C"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otrebno je ustanoviti sustav  edukacija te praćenja i vrednovanja rada mentora;</w:t>
      </w:r>
    </w:p>
    <w:p w14:paraId="02073D03" w14:textId="77777777" w:rsidR="0011610C" w:rsidRPr="00DC5493" w:rsidRDefault="0011610C" w:rsidP="0067251C">
      <w:pPr>
        <w:pStyle w:val="NoSpacing"/>
        <w:ind w:left="426" w:hanging="142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-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  <w:t>Predlaže se visokim učilištima izraditi jednostavne web aplikacije kako bi se mali poslodavci jednostavno mogli registrirati kao ponuđači stručne prakse;</w:t>
      </w:r>
    </w:p>
    <w:p w14:paraId="2CE5D16A" w14:textId="6ABC5615" w:rsidR="004E1701" w:rsidRPr="00DC5493" w:rsidRDefault="0011610C" w:rsidP="0067251C">
      <w:pPr>
        <w:pStyle w:val="NoSpacing"/>
        <w:ind w:left="426" w:hanging="142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-</w:t>
      </w:r>
      <w:r w:rsidRPr="00DC549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  <w:t>Osigurati poticaje i nagrade za mentore koji rade sa studentima u poduzećima.</w:t>
      </w:r>
    </w:p>
    <w:p w14:paraId="4D522842" w14:textId="2CA10B16" w:rsidR="004B7535" w:rsidRDefault="0011610C" w:rsidP="0011610C">
      <w:pPr>
        <w:tabs>
          <w:tab w:val="left" w:pos="709"/>
          <w:tab w:val="center" w:pos="4320"/>
          <w:tab w:val="right" w:pos="8640"/>
        </w:tabs>
        <w:spacing w:before="240" w:after="0"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U skladu s navedenim strateškim odrednicama, cilj ove operacije je potaknuti, razviti i unaprijediti stručnu praksu i praktičnu nastavu kao sastavni dio studijskih programa, odnosno,  </w:t>
      </w:r>
      <w:r w:rsidRPr="00DC5493"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lastRenderedPageBreak/>
        <w:t>u najširem smislu, stjecanje znanja i vještina učenjem kroz rad (</w:t>
      </w:r>
      <w:r w:rsidRPr="00DC5493">
        <w:rPr>
          <w:rFonts w:ascii="Lucida Sans Unicode" w:eastAsia="Times New Roman" w:hAnsi="Lucida Sans Unicode" w:cs="Lucida Sans Unicode"/>
          <w:bCs/>
          <w:i/>
          <w:sz w:val="20"/>
          <w:szCs w:val="20"/>
          <w:lang w:eastAsia="ar-SA"/>
        </w:rPr>
        <w:t>work-based learning</w:t>
      </w:r>
      <w:r w:rsidRPr="00DC5493"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). Učenje kroz rad se ovdje odnosi na svaki oblik stjecanja kompetencija koje se odvija na radnom mjestu ili pokušalištu, u vježbaonici ili laboratoriju, a sastavni je dio studijskog programa.</w:t>
      </w:r>
    </w:p>
    <w:p w14:paraId="549F3723" w14:textId="77777777" w:rsidR="007E2115" w:rsidRPr="00DC5493" w:rsidRDefault="007E2115" w:rsidP="0011610C">
      <w:pPr>
        <w:tabs>
          <w:tab w:val="left" w:pos="709"/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6E18F8B5" w14:textId="77777777" w:rsidR="007459B1" w:rsidRPr="006667D2" w:rsidRDefault="007459B1" w:rsidP="00A91A56">
      <w:pPr>
        <w:pStyle w:val="Heading2"/>
        <w:rPr>
          <w:rStyle w:val="hps"/>
        </w:rPr>
      </w:pPr>
      <w:r w:rsidRPr="006667D2">
        <w:rPr>
          <w:rStyle w:val="hps"/>
        </w:rPr>
        <w:t>Ciljevi poziva</w:t>
      </w:r>
    </w:p>
    <w:p w14:paraId="38F15546" w14:textId="2B45272C" w:rsidR="00FC10E8" w:rsidRPr="00390B14" w:rsidRDefault="0003776A" w:rsidP="00FC10E8">
      <w:pPr>
        <w:tabs>
          <w:tab w:val="center" w:pos="4320"/>
          <w:tab w:val="right" w:pos="8640"/>
        </w:tabs>
        <w:spacing w:before="360"/>
        <w:jc w:val="both"/>
        <w:rPr>
          <w:rFonts w:ascii="Lucida Sans Unicode" w:hAnsi="Lucida Sans Unicode" w:cs="Lucida Sans Unicode"/>
          <w:bCs/>
          <w:sz w:val="20"/>
          <w:szCs w:val="20"/>
          <w:lang w:eastAsia="ar-SA"/>
        </w:rPr>
      </w:pPr>
      <w:r w:rsidRPr="00390B14">
        <w:rPr>
          <w:rStyle w:val="hps"/>
          <w:rFonts w:ascii="Lucida Sans Unicode" w:eastAsia="Times New Roman" w:hAnsi="Lucida Sans Unicode" w:cs="Lucida Sans Unicode"/>
          <w:b/>
          <w:bCs/>
          <w:sz w:val="20"/>
          <w:szCs w:val="20"/>
          <w:lang w:eastAsia="ar-SA"/>
        </w:rPr>
        <w:t>Opći cilj</w:t>
      </w:r>
      <w:r w:rsidRPr="00390B1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: </w:t>
      </w:r>
      <w:r w:rsidR="00FC10E8" w:rsidRPr="00390B14">
        <w:rPr>
          <w:rFonts w:ascii="Lucida Sans Unicode" w:hAnsi="Lucida Sans Unicode" w:cs="Lucida Sans Unicode"/>
          <w:bCs/>
          <w:sz w:val="20"/>
          <w:szCs w:val="20"/>
          <w:lang w:eastAsia="ar-SA"/>
        </w:rPr>
        <w:t>Povećanje zapošljivosti studenata omogućavanjem stjecanja praktičnih vještina za rad</w:t>
      </w:r>
      <w:r w:rsidR="00DD2AE5" w:rsidRPr="00390B14">
        <w:rPr>
          <w:rFonts w:ascii="Lucida Sans Unicode" w:hAnsi="Lucida Sans Unicode" w:cs="Lucida Sans Unicode"/>
          <w:bCs/>
          <w:sz w:val="20"/>
          <w:szCs w:val="20"/>
          <w:lang w:eastAsia="ar-SA"/>
        </w:rPr>
        <w:t>.</w:t>
      </w:r>
    </w:p>
    <w:p w14:paraId="5131FBE1" w14:textId="77777777" w:rsidR="0003776A" w:rsidRDefault="0003776A" w:rsidP="008D1CDE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BE0BF9">
        <w:rPr>
          <w:rStyle w:val="hps"/>
          <w:rFonts w:ascii="Lucida Sans Unicode" w:eastAsia="Times New Roman" w:hAnsi="Lucida Sans Unicode" w:cs="Lucida Sans Unicode"/>
          <w:b/>
          <w:bCs/>
          <w:sz w:val="20"/>
          <w:szCs w:val="20"/>
          <w:lang w:eastAsia="ar-SA"/>
        </w:rPr>
        <w:t>Specifični ciljevi operacije</w:t>
      </w:r>
      <w:r w:rsidRPr="00BE0BF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: </w:t>
      </w:r>
    </w:p>
    <w:p w14:paraId="55DBEA9E" w14:textId="7063446E" w:rsidR="00FC10E8" w:rsidRPr="00FC10E8" w:rsidRDefault="00FC10E8" w:rsidP="00FC10E8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1.</w:t>
      </w:r>
      <w:r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</w: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</w:t>
      </w:r>
      <w:r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Unapređenje kvalitete stručne prakse kao obveznog ili izbornog dijela studijskog programa kroz razvoj modela učenja kroz rad (wor</w:t>
      </w:r>
      <w:r w:rsidR="00DD2AE5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k based learning).</w:t>
      </w:r>
    </w:p>
    <w:p w14:paraId="33050081" w14:textId="16FC9C87" w:rsidR="00FC10E8" w:rsidRDefault="00FC10E8" w:rsidP="00FC10E8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2.</w:t>
      </w:r>
      <w:r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</w: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</w:t>
      </w:r>
      <w:r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Povećanje zastupljenosti stručne prakse kao obveznog ili izbornog dijela studijskog programa omogućavanjem stjecanja radnog iskustva studentima</w:t>
      </w:r>
      <w:r w:rsidR="00DD2AE5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.</w:t>
      </w:r>
    </w:p>
    <w:p w14:paraId="41CEEDC1" w14:textId="77777777" w:rsidR="00DD2AE5" w:rsidRPr="00BE0BF9" w:rsidRDefault="00DD2AE5" w:rsidP="00FC10E8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1ECB0F1F" w14:textId="77777777" w:rsidR="002D72D7" w:rsidRPr="001F2119" w:rsidRDefault="002D72D7" w:rsidP="00A91A56">
      <w:pPr>
        <w:pStyle w:val="Heading2"/>
        <w:rPr>
          <w:rStyle w:val="hps"/>
        </w:rPr>
      </w:pPr>
      <w:r w:rsidRPr="001F2119">
        <w:rPr>
          <w:rStyle w:val="hps"/>
        </w:rPr>
        <w:t>Ciljne skupine</w:t>
      </w:r>
    </w:p>
    <w:p w14:paraId="75A06414" w14:textId="2E84E225" w:rsidR="00D104BD" w:rsidRDefault="008F77EC" w:rsidP="00FC10E8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Ciljne skupine </w:t>
      </w:r>
      <w:r w:rsidR="00D104BD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u okviru ovog Poziva su: n</w:t>
      </w:r>
      <w:r w:rsidR="00FC10E8"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astavno </w:t>
      </w:r>
      <w:r w:rsidR="00FC10E8"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i nenastavno osoblje na visokim učilištima, studenti preddiplomskih, diplomskih te integriranih preddiplomskih i diplomskih studija</w:t>
      </w:r>
      <w:r w:rsid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.</w:t>
      </w:r>
      <w:r w:rsidR="00FC10E8" w:rsidRPr="00FC10E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</w:t>
      </w:r>
    </w:p>
    <w:p w14:paraId="2D317DCA" w14:textId="77777777" w:rsidR="00D104BD" w:rsidRDefault="00D104BD" w:rsidP="00D104BD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Korisnici će biti obvezni osigurati dokaze o pripadnosti ciljnim skupinama:</w:t>
      </w:r>
    </w:p>
    <w:p w14:paraId="5EB36E98" w14:textId="0DF0D0DD" w:rsidR="00D104BD" w:rsidRDefault="00D104BD" w:rsidP="00D104BD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za nastavno i nenastavno osoblje na visokim učilištima:</w:t>
      </w:r>
    </w:p>
    <w:p w14:paraId="24A6B09C" w14:textId="0B94B7ED" w:rsidR="00D104BD" w:rsidRDefault="00D104BD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Izjava institucije o ciljnoj skupini (temeljem evidencije o os</w:t>
      </w:r>
      <w:r w:rsidR="000D69D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obnim podacima zaposlenika koje </w:t>
      </w: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vodi visoko učilište i </w:t>
      </w: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evidencije </w:t>
      </w: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zbirke podataka </w:t>
      </w: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- </w:t>
      </w: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zaposlenika</w:t>
      </w:r>
      <w:r>
        <w:rPr>
          <w:rStyle w:val="FootnoteReference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footnoteReference w:id="1"/>
      </w: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koju vodi nadležno Ministarstvo</w:t>
      </w:r>
      <w:r w:rsidR="000274F6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)</w:t>
      </w:r>
    </w:p>
    <w:p w14:paraId="480626D9" w14:textId="2618E3F0" w:rsidR="00BD6076" w:rsidRPr="000B7424" w:rsidRDefault="00BD6076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ili</w:t>
      </w:r>
    </w:p>
    <w:p w14:paraId="29D22006" w14:textId="02E5E56E" w:rsidR="00D104BD" w:rsidRDefault="00D104BD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Ugovor o radu/</w:t>
      </w:r>
      <w:r w:rsidR="000274F6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druge vrste ugovora/d</w:t>
      </w:r>
      <w:r w:rsidR="00BD6076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odatak ili rješenje o rasporedu na radno mjesto</w:t>
      </w:r>
    </w:p>
    <w:p w14:paraId="7D23475D" w14:textId="77777777" w:rsidR="00D104BD" w:rsidRDefault="00D104BD" w:rsidP="00D104BD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za studente:</w:t>
      </w:r>
    </w:p>
    <w:p w14:paraId="4D75BC09" w14:textId="77777777" w:rsidR="00D104BD" w:rsidRDefault="00D104BD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Izjava institucije o ciljnoj skupini (temeljem evidencije studenata koje vodi visoko učilište ) </w:t>
      </w:r>
    </w:p>
    <w:p w14:paraId="5F3844A2" w14:textId="0CADD4B2" w:rsidR="000274F6" w:rsidRPr="000B7424" w:rsidRDefault="000274F6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ili</w:t>
      </w:r>
    </w:p>
    <w:p w14:paraId="6332B122" w14:textId="77777777" w:rsidR="000274F6" w:rsidRDefault="00D104BD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Preslika </w:t>
      </w:r>
      <w:r w:rsidR="000274F6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indeksa (prve dvije stranice gdje se nalaze osobni podaci i stranice gdje se navodi zadnji upisani semestar)</w:t>
      </w:r>
    </w:p>
    <w:p w14:paraId="3DE2073D" w14:textId="5B4BCA3B" w:rsidR="000274F6" w:rsidRDefault="0062477D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i</w:t>
      </w:r>
      <w:r w:rsidR="000274F6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li</w:t>
      </w:r>
    </w:p>
    <w:p w14:paraId="667700E1" w14:textId="77777777" w:rsidR="000274F6" w:rsidRDefault="000274F6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Preslika studentske iskaznice (baza ISAK – Informacijski sustav akademskih kartica)</w:t>
      </w:r>
    </w:p>
    <w:p w14:paraId="34643C88" w14:textId="071265DE" w:rsidR="000274F6" w:rsidRDefault="0062477D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i</w:t>
      </w:r>
      <w:r w:rsidR="000274F6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li</w:t>
      </w:r>
    </w:p>
    <w:p w14:paraId="38BB8BD9" w14:textId="396F5BCA" w:rsidR="00D104BD" w:rsidRDefault="000274F6" w:rsidP="00D104BD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lastRenderedPageBreak/>
        <w:t>Potvrda iz sustava ISSP (Informacijski sustav studentskih prava)</w:t>
      </w:r>
      <w:r w:rsidR="00D104BD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br w:type="page"/>
      </w:r>
    </w:p>
    <w:p w14:paraId="4DB43010" w14:textId="77777777" w:rsidR="00B61188" w:rsidRPr="000D69D4" w:rsidRDefault="00B61188" w:rsidP="00C76F75">
      <w:pPr>
        <w:pStyle w:val="Heading2"/>
        <w:rPr>
          <w:rStyle w:val="hps"/>
        </w:rPr>
      </w:pPr>
      <w:r w:rsidRPr="000D69D4">
        <w:rPr>
          <w:rStyle w:val="hps"/>
        </w:rPr>
        <w:lastRenderedPageBreak/>
        <w:t>Pokazatelji</w:t>
      </w:r>
    </w:p>
    <w:p w14:paraId="14A4AF0E" w14:textId="77777777" w:rsidR="006C570B" w:rsidRPr="006C570B" w:rsidRDefault="006C570B" w:rsidP="006C570B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6C570B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Projektni prijedlozi moraju pridonijeti ispunjavanju ciljeva ovog Poziva, kao i uspješnosti provedbe cjelokupnog Operativnog programa, mjereno sljedećim pokazateljima provedbe:</w:t>
      </w:r>
    </w:p>
    <w:p w14:paraId="0CDC6C61" w14:textId="77777777" w:rsidR="00346D6D" w:rsidRDefault="00346D6D" w:rsidP="00346D6D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4502"/>
      </w:tblGrid>
      <w:tr w:rsidR="0087377B" w:rsidRPr="0087377B" w14:paraId="72211F5B" w14:textId="77777777" w:rsidTr="005E4C24">
        <w:tc>
          <w:tcPr>
            <w:tcW w:w="1384" w:type="dxa"/>
            <w:vAlign w:val="center"/>
          </w:tcPr>
          <w:p w14:paraId="7F3672DE" w14:textId="77777777" w:rsidR="00B61188" w:rsidRPr="0087377B" w:rsidRDefault="0087377B" w:rsidP="00346D6D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 w:rsidRPr="0087377B">
              <w:rPr>
                <w:rFonts w:ascii="Lucida Sans Unicode" w:hAnsi="Lucida Sans Unicode" w:cs="Lucida Sans Unicode"/>
                <w:b/>
                <w:lang w:val="hr-HR"/>
              </w:rPr>
              <w:t>Šifra pokazatelja iz OP-a</w:t>
            </w:r>
          </w:p>
        </w:tc>
        <w:tc>
          <w:tcPr>
            <w:tcW w:w="3402" w:type="dxa"/>
            <w:vAlign w:val="center"/>
          </w:tcPr>
          <w:p w14:paraId="66E1A03D" w14:textId="77777777" w:rsidR="00B61188" w:rsidRPr="0087377B" w:rsidRDefault="00B61188" w:rsidP="00AE2FF3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 w:rsidRPr="0087377B">
              <w:rPr>
                <w:rFonts w:ascii="Lucida Sans Unicode" w:hAnsi="Lucida Sans Unicode" w:cs="Lucida Sans Unicode"/>
                <w:b/>
                <w:lang w:val="hr-HR"/>
              </w:rPr>
              <w:t>Naziv pokazatelja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78CD2C15" w14:textId="77777777" w:rsidR="00B61188" w:rsidRPr="0087377B" w:rsidRDefault="00B61188" w:rsidP="00AE2FF3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 w:rsidRPr="0087377B">
              <w:rPr>
                <w:rFonts w:ascii="Lucida Sans Unicode" w:hAnsi="Lucida Sans Unicode" w:cs="Lucida Sans Unicode"/>
                <w:b/>
                <w:lang w:val="hr-HR"/>
              </w:rPr>
              <w:t>Opis pokazatelja</w:t>
            </w:r>
          </w:p>
        </w:tc>
      </w:tr>
      <w:tr w:rsidR="0087377B" w:rsidRPr="0087377B" w14:paraId="6D1A80F5" w14:textId="77777777" w:rsidTr="005E4C24">
        <w:trPr>
          <w:trHeight w:val="584"/>
        </w:trPr>
        <w:tc>
          <w:tcPr>
            <w:tcW w:w="1384" w:type="dxa"/>
            <w:vAlign w:val="center"/>
          </w:tcPr>
          <w:p w14:paraId="184C7C1E" w14:textId="547CD453" w:rsidR="00B61188" w:rsidRPr="0087377B" w:rsidRDefault="00AE2FF3" w:rsidP="00C53D16">
            <w:pPr>
              <w:jc w:val="center"/>
              <w:rPr>
                <w:rFonts w:ascii="Lucida Sans Unicode" w:hAnsi="Lucida Sans Unicode" w:cs="Lucida Sans Unicode"/>
                <w:highlight w:val="lightGray"/>
                <w:lang w:val="hr-HR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SO 30</w:t>
            </w:r>
            <w:r w:rsidR="00C53D16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1</w:t>
            </w:r>
          </w:p>
        </w:tc>
        <w:tc>
          <w:tcPr>
            <w:tcW w:w="3402" w:type="dxa"/>
            <w:vAlign w:val="center"/>
          </w:tcPr>
          <w:p w14:paraId="49424E55" w14:textId="07E71E7B" w:rsidR="00B61188" w:rsidRPr="0087377B" w:rsidRDefault="00C53D16" w:rsidP="00AE2FF3">
            <w:pPr>
              <w:rPr>
                <w:rFonts w:ascii="Lucida Sans Unicode" w:hAnsi="Lucida Sans Unicode" w:cs="Lucida Sans Unicode"/>
                <w:noProof/>
                <w:lang w:val="hr-HR" w:bidi="hr-HR"/>
              </w:rPr>
            </w:pPr>
            <w:r w:rsidRPr="00C53D16">
              <w:rPr>
                <w:rFonts w:ascii="Lucida Sans Unicode" w:hAnsi="Lucida Sans Unicode" w:cs="Lucida Sans Unicode"/>
                <w:noProof/>
                <w:lang w:val="hr-HR" w:bidi="hr-HR"/>
              </w:rPr>
              <w:t>Broj studenata koji su sudjelovali u programima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0FC3FF01" w14:textId="04809974" w:rsidR="00D33A7F" w:rsidRPr="0087377B" w:rsidRDefault="003529A6" w:rsidP="0062477D">
            <w:pPr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 xml:space="preserve">Broj studenata u projektnim aktivnostima, koji su </w:t>
            </w:r>
            <w:r w:rsidRPr="000D69D4">
              <w:rPr>
                <w:rFonts w:ascii="Lucida Sans Unicode" w:hAnsi="Lucida Sans Unicode" w:cs="Lucida Sans Unicode"/>
              </w:rPr>
              <w:t>sudjelovali</w:t>
            </w:r>
            <w:r w:rsidR="005C3382" w:rsidRPr="000D69D4">
              <w:rPr>
                <w:rFonts w:ascii="Lucida Sans Unicode" w:hAnsi="Lucida Sans Unicode" w:cs="Lucida Sans Unicode"/>
              </w:rPr>
              <w:t xml:space="preserve"> </w:t>
            </w:r>
            <w:r w:rsidR="00F653C9" w:rsidRPr="000D69D4">
              <w:rPr>
                <w:rFonts w:ascii="Lucida Sans Unicode" w:hAnsi="Lucida Sans Unicode" w:cs="Lucida Sans Unicode"/>
              </w:rPr>
              <w:t xml:space="preserve">u stručnoj praksi </w:t>
            </w:r>
            <w:r w:rsidR="0062477D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>
              <w:rPr>
                <w:rFonts w:ascii="Lucida Sans Unicode" w:hAnsi="Lucida Sans Unicode" w:cs="Lucida Sans Unicode"/>
                <w:lang w:val="hr-HR"/>
              </w:rPr>
              <w:t xml:space="preserve"> </w:t>
            </w:r>
          </w:p>
        </w:tc>
      </w:tr>
      <w:tr w:rsidR="00AE2FF3" w:rsidRPr="0087377B" w14:paraId="64636A69" w14:textId="77777777" w:rsidTr="005E4C24">
        <w:trPr>
          <w:trHeight w:val="584"/>
        </w:trPr>
        <w:tc>
          <w:tcPr>
            <w:tcW w:w="1384" w:type="dxa"/>
            <w:vAlign w:val="center"/>
          </w:tcPr>
          <w:p w14:paraId="2CD22EAA" w14:textId="77777777" w:rsidR="00AE2FF3" w:rsidRPr="0087377B" w:rsidRDefault="00AE2FF3" w:rsidP="00AE2FF3">
            <w:pPr>
              <w:jc w:val="center"/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CO 11</w:t>
            </w:r>
          </w:p>
        </w:tc>
        <w:tc>
          <w:tcPr>
            <w:tcW w:w="3402" w:type="dxa"/>
            <w:vAlign w:val="center"/>
          </w:tcPr>
          <w:p w14:paraId="16550CBF" w14:textId="77777777" w:rsidR="00AE2FF3" w:rsidRPr="0087377B" w:rsidRDefault="00AE2FF3" w:rsidP="00AE2FF3">
            <w:pPr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Sudionici s tercijarnim obrazovanjem (ISCED od 5 do 8)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57D6BED2" w14:textId="7581D400" w:rsidR="00AE2FF3" w:rsidRPr="00CC621A" w:rsidRDefault="00346D6D" w:rsidP="00DD2AE5">
            <w:pPr>
              <w:rPr>
                <w:rFonts w:ascii="Lucida Sans Unicode" w:hAnsi="Lucida Sans Unicode" w:cs="Lucida Sans Unicode"/>
                <w:lang w:val="hr-HR"/>
              </w:rPr>
            </w:pPr>
            <w:r w:rsidRPr="00CC621A">
              <w:rPr>
                <w:rFonts w:ascii="Lucida Sans Unicode" w:hAnsi="Lucida Sans Unicode" w:cs="Lucida Sans Unicode"/>
                <w:lang w:val="hr-HR"/>
              </w:rPr>
              <w:t xml:space="preserve">Broj sudionika s tercijarnim obrazovanjem </w:t>
            </w:r>
            <w:r w:rsidR="00CC621A">
              <w:rPr>
                <w:rFonts w:ascii="Lucida Sans Unicode" w:hAnsi="Lucida Sans Unicode" w:cs="Lucida Sans Unicode"/>
                <w:lang w:val="hr-HR"/>
              </w:rPr>
              <w:t xml:space="preserve"> koji imaju razinu </w:t>
            </w:r>
            <w:r w:rsidRPr="00CC621A">
              <w:rPr>
                <w:rFonts w:ascii="Lucida Sans Unicode" w:hAnsi="Lucida Sans Unicode" w:cs="Lucida Sans Unicode"/>
                <w:lang w:val="hr-HR"/>
              </w:rPr>
              <w:t xml:space="preserve"> ISCED 5-8</w:t>
            </w:r>
            <w:r w:rsidR="00CC621A">
              <w:rPr>
                <w:rFonts w:ascii="Lucida Sans Unicode" w:hAnsi="Lucida Sans Unicode" w:cs="Lucida Sans Unicode"/>
                <w:lang w:val="hr-HR"/>
              </w:rPr>
              <w:t>;</w:t>
            </w:r>
            <w:r w:rsidRPr="00CC621A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="00CC621A">
              <w:rPr>
                <w:rFonts w:ascii="Lucida Sans Unicode" w:hAnsi="Lucida Sans Unicode" w:cs="Lucida Sans Unicode"/>
                <w:lang w:val="hr-HR"/>
              </w:rPr>
              <w:t xml:space="preserve"> nastavno ili nenastavno osoblje te studenti</w:t>
            </w:r>
            <w:r w:rsidR="00DD2AE5">
              <w:rPr>
                <w:rFonts w:ascii="Lucida Sans Unicode" w:hAnsi="Lucida Sans Unicode" w:cs="Lucida Sans Unicode"/>
                <w:lang w:val="hr-HR"/>
              </w:rPr>
              <w:t>, koji imaju razinu obrazovanja ISCED 5-8, a sudjelovat će u projektnim aktivnostima</w:t>
            </w:r>
          </w:p>
        </w:tc>
      </w:tr>
      <w:tr w:rsidR="00AE2FF3" w:rsidRPr="0087377B" w14:paraId="0BD1CEAE" w14:textId="77777777" w:rsidTr="005E4C24">
        <w:trPr>
          <w:trHeight w:val="584"/>
        </w:trPr>
        <w:tc>
          <w:tcPr>
            <w:tcW w:w="1384" w:type="dxa"/>
            <w:vAlign w:val="center"/>
          </w:tcPr>
          <w:p w14:paraId="54F61C1B" w14:textId="77777777" w:rsidR="00AE2FF3" w:rsidRPr="0087377B" w:rsidRDefault="00346D6D" w:rsidP="00AE2FF3">
            <w:pPr>
              <w:jc w:val="center"/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SO 30</w:t>
            </w:r>
            <w:r w:rsidR="00AE2FF3"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9</w:t>
            </w:r>
          </w:p>
        </w:tc>
        <w:tc>
          <w:tcPr>
            <w:tcW w:w="3402" w:type="dxa"/>
            <w:vAlign w:val="center"/>
          </w:tcPr>
          <w:p w14:paraId="00A1091C" w14:textId="77777777" w:rsidR="00AE2FF3" w:rsidRPr="0087377B" w:rsidRDefault="00AE2FF3" w:rsidP="00AE2FF3">
            <w:pPr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Sudionici s predtercijarnim obrazovanjem (ISCED 1-4)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3CE72DB8" w14:textId="305AAE24" w:rsidR="00AE2FF3" w:rsidRPr="000D69D4" w:rsidRDefault="00346D6D" w:rsidP="000D69D4">
            <w:pPr>
              <w:rPr>
                <w:rFonts w:ascii="Lucida Sans Unicode" w:hAnsi="Lucida Sans Unicode" w:cs="Lucida Sans Unicode"/>
                <w:lang w:val="hr-HR"/>
              </w:rPr>
            </w:pPr>
            <w:r w:rsidRPr="000D69D4">
              <w:rPr>
                <w:rFonts w:ascii="Lucida Sans Unicode" w:hAnsi="Lucida Sans Unicode" w:cs="Lucida Sans Unicode"/>
                <w:lang w:val="hr-HR"/>
              </w:rPr>
              <w:t xml:space="preserve">Broj sudionika s </w:t>
            </w:r>
            <w:r w:rsidR="00DD2AE5" w:rsidRPr="000D69D4">
              <w:rPr>
                <w:rFonts w:ascii="Lucida Sans Unicode" w:hAnsi="Lucida Sans Unicode" w:cs="Lucida Sans Unicode"/>
                <w:lang w:val="hr-HR"/>
              </w:rPr>
              <w:t>pred</w:t>
            </w:r>
            <w:r w:rsidRPr="000D69D4">
              <w:rPr>
                <w:rFonts w:ascii="Lucida Sans Unicode" w:hAnsi="Lucida Sans Unicode" w:cs="Lucida Sans Unicode"/>
                <w:lang w:val="hr-HR"/>
              </w:rPr>
              <w:t xml:space="preserve">tercijarnim obrazovanjem </w:t>
            </w:r>
            <w:r w:rsidR="00DD2AE5" w:rsidRPr="000D69D4">
              <w:rPr>
                <w:rFonts w:ascii="Lucida Sans Unicode" w:hAnsi="Lucida Sans Unicode" w:cs="Lucida Sans Unicode"/>
                <w:lang w:val="hr-HR"/>
              </w:rPr>
              <w:t xml:space="preserve">koji imaju razinu </w:t>
            </w:r>
            <w:r w:rsidRPr="000D69D4">
              <w:rPr>
                <w:rFonts w:ascii="Lucida Sans Unicode" w:hAnsi="Lucida Sans Unicode" w:cs="Lucida Sans Unicode"/>
                <w:lang w:val="hr-HR"/>
              </w:rPr>
              <w:t>ISCED 1-4</w:t>
            </w:r>
            <w:r w:rsidR="00DD2AE5" w:rsidRPr="000D69D4">
              <w:rPr>
                <w:rFonts w:ascii="Lucida Sans Unicode" w:hAnsi="Lucida Sans Unicode" w:cs="Lucida Sans Unicode"/>
                <w:lang w:val="hr-HR"/>
              </w:rPr>
              <w:t>; primjerice studenti preddiplomskih i diplomskih studija koji sudjeluju u projektnim aktivnostima, nenastavno osoblje koje ima razinu obrazovanja ISCED 1-4</w:t>
            </w:r>
          </w:p>
        </w:tc>
      </w:tr>
      <w:tr w:rsidR="00C53D16" w:rsidRPr="0087377B" w14:paraId="24943221" w14:textId="77777777" w:rsidTr="005E4C24">
        <w:trPr>
          <w:trHeight w:val="584"/>
        </w:trPr>
        <w:tc>
          <w:tcPr>
            <w:tcW w:w="1384" w:type="dxa"/>
            <w:vAlign w:val="center"/>
          </w:tcPr>
          <w:p w14:paraId="0D94C768" w14:textId="4FB5884C" w:rsidR="00C53D16" w:rsidRPr="0087377B" w:rsidRDefault="00C53D16" w:rsidP="00C53D16">
            <w:pPr>
              <w:jc w:val="center"/>
              <w:rPr>
                <w:rStyle w:val="hps"/>
                <w:rFonts w:ascii="Lucida Sans Unicode" w:hAnsi="Lucida Sans Unicode" w:cs="Lucida Sans Unicode"/>
                <w:bCs/>
                <w:lang w:eastAsia="ar-SA"/>
              </w:rPr>
            </w:pPr>
            <w:r>
              <w:rPr>
                <w:rStyle w:val="hps"/>
                <w:rFonts w:ascii="Lucida Sans Unicode" w:hAnsi="Lucida Sans Unicode" w:cs="Lucida Sans Unicode"/>
                <w:bCs/>
                <w:lang w:eastAsia="ar-SA"/>
              </w:rPr>
              <w:t>SR 303</w:t>
            </w:r>
          </w:p>
        </w:tc>
        <w:tc>
          <w:tcPr>
            <w:tcW w:w="3402" w:type="dxa"/>
            <w:vAlign w:val="center"/>
          </w:tcPr>
          <w:p w14:paraId="1FB2A678" w14:textId="544FA948" w:rsidR="00C53D16" w:rsidRPr="000D69D4" w:rsidRDefault="00C53D16" w:rsidP="00AE2FF3">
            <w:pPr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0D69D4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Broj studenata koji koriste studentske usluge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23A8FA39" w14:textId="40FFEDA6" w:rsidR="00C53D16" w:rsidRPr="000D69D4" w:rsidRDefault="00AD5C6E" w:rsidP="00AD5C6E">
            <w:pPr>
              <w:rPr>
                <w:rFonts w:ascii="Lucida Sans Unicode" w:hAnsi="Lucida Sans Unicode" w:cs="Lucida Sans Unicode"/>
                <w:lang w:val="hr-HR"/>
              </w:rPr>
            </w:pPr>
            <w:r w:rsidRPr="000D69D4">
              <w:rPr>
                <w:rFonts w:ascii="Lucida Sans Unicode" w:hAnsi="Lucida Sans Unicode" w:cs="Lucida Sans Unicode"/>
                <w:lang w:val="hr-HR"/>
              </w:rPr>
              <w:t>Broj studenata koji su koristili usluge podrške za studente kroz projektne aktivnosti</w:t>
            </w:r>
          </w:p>
        </w:tc>
      </w:tr>
    </w:tbl>
    <w:p w14:paraId="0AF29832" w14:textId="77777777" w:rsidR="0095779D" w:rsidRPr="00AE2FF3" w:rsidRDefault="00B61188" w:rsidP="001A2FA5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AE2FF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 </w:t>
      </w:r>
      <w:r w:rsidR="00AE2FF3" w:rsidRPr="00AE2FF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                          </w:t>
      </w:r>
    </w:p>
    <w:p w14:paraId="17C5655F" w14:textId="77777777" w:rsidR="00133E07" w:rsidRPr="001F2119" w:rsidRDefault="00C4107D" w:rsidP="00A91A56">
      <w:pPr>
        <w:pStyle w:val="Heading2"/>
        <w:rPr>
          <w:rStyle w:val="hps"/>
        </w:rPr>
      </w:pPr>
      <w:r w:rsidRPr="001F2119">
        <w:rPr>
          <w:rStyle w:val="hps"/>
        </w:rPr>
        <w:t>T</w:t>
      </w:r>
      <w:r w:rsidR="00133E07" w:rsidRPr="001F2119">
        <w:rPr>
          <w:rStyle w:val="hps"/>
        </w:rPr>
        <w:t>rajanje projekta</w:t>
      </w:r>
    </w:p>
    <w:p w14:paraId="0ACEB1A0" w14:textId="77777777" w:rsidR="00133E07" w:rsidRDefault="00133E07" w:rsidP="00133E07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3680FEDF" w14:textId="77777777" w:rsidR="00AE2FF3" w:rsidRDefault="0095779D" w:rsidP="00133E0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133E07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Predviđeno trajanje projekata je 24-36 mjeseci.</w:t>
      </w:r>
    </w:p>
    <w:p w14:paraId="2177DC22" w14:textId="77777777" w:rsidR="006667D2" w:rsidRDefault="006667D2" w:rsidP="00133E0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0E44C3F8" w14:textId="35D19F12" w:rsidR="006667D2" w:rsidRDefault="006667D2" w:rsidP="00A91A56">
      <w:pPr>
        <w:pStyle w:val="Heading2"/>
        <w:rPr>
          <w:rStyle w:val="hps"/>
          <w:bCs w:val="0"/>
        </w:rPr>
      </w:pPr>
      <w:r>
        <w:rPr>
          <w:rStyle w:val="hps"/>
          <w:bCs w:val="0"/>
        </w:rPr>
        <w:t>Lokacija projekta</w:t>
      </w:r>
    </w:p>
    <w:p w14:paraId="7733876D" w14:textId="66BB3A33" w:rsidR="001F2119" w:rsidRPr="00DC5493" w:rsidRDefault="001F2119" w:rsidP="001F2119">
      <w:pPr>
        <w:rPr>
          <w:rFonts w:ascii="Lucida Sans Unicode" w:hAnsi="Lucida Sans Unicode" w:cs="Lucida Sans Unicode"/>
          <w:sz w:val="20"/>
          <w:szCs w:val="20"/>
          <w:lang w:eastAsia="ar-SA"/>
        </w:rPr>
      </w:pPr>
      <w:r w:rsidRPr="00DC5493">
        <w:rPr>
          <w:rFonts w:ascii="Lucida Sans Unicode" w:hAnsi="Lucida Sans Unicode" w:cs="Lucida Sans Unicode"/>
          <w:sz w:val="20"/>
          <w:szCs w:val="20"/>
          <w:lang w:eastAsia="ar-SA"/>
        </w:rPr>
        <w:t>Projektne aktivnosti se moraju provoditi u Republici Hrvatskoj</w:t>
      </w:r>
      <w:r w:rsidR="000D69D4" w:rsidRPr="00DC5493">
        <w:rPr>
          <w:rFonts w:ascii="Lucida Sans Unicode" w:hAnsi="Lucida Sans Unicode" w:cs="Lucida Sans Unicode"/>
          <w:sz w:val="20"/>
          <w:szCs w:val="20"/>
          <w:lang w:eastAsia="ar-SA"/>
        </w:rPr>
        <w:t>.</w:t>
      </w:r>
      <w:r w:rsidR="00476302" w:rsidRPr="00DC5493">
        <w:rPr>
          <w:rStyle w:val="FootnoteReference"/>
          <w:rFonts w:ascii="Lucida Sans Unicode" w:hAnsi="Lucida Sans Unicode" w:cs="Lucida Sans Unicode"/>
          <w:sz w:val="20"/>
          <w:szCs w:val="20"/>
          <w:lang w:eastAsia="ar-SA"/>
        </w:rPr>
        <w:t xml:space="preserve"> </w:t>
      </w:r>
      <w:r w:rsidR="00476302" w:rsidRPr="00DC5493">
        <w:rPr>
          <w:rFonts w:ascii="Lucida Sans Unicode" w:hAnsi="Lucida Sans Unicode" w:cs="Lucida Sans Unicode"/>
          <w:sz w:val="20"/>
          <w:szCs w:val="20"/>
        </w:rPr>
        <w:t>Pojedine aktivnosti (npr. seminari, radionice,</w:t>
      </w:r>
      <w:r w:rsidR="00FD329C" w:rsidRPr="00DC5493">
        <w:rPr>
          <w:rFonts w:ascii="Lucida Sans Unicode" w:hAnsi="Lucida Sans Unicode" w:cs="Lucida Sans Unicode"/>
          <w:sz w:val="20"/>
          <w:szCs w:val="20"/>
        </w:rPr>
        <w:t xml:space="preserve"> stručna praksa,</w:t>
      </w:r>
      <w:r w:rsidR="00476302" w:rsidRPr="00DC5493">
        <w:rPr>
          <w:rFonts w:ascii="Lucida Sans Unicode" w:hAnsi="Lucida Sans Unicode" w:cs="Lucida Sans Unicode"/>
          <w:sz w:val="20"/>
          <w:szCs w:val="20"/>
        </w:rPr>
        <w:t xml:space="preserve"> znanstveni i stručni skupovi) moguće je organizirati izvan teritorija Republike Hrvatske ako je to opravdano i nužno za postizanje ciljeva projekta</w:t>
      </w:r>
      <w:r w:rsidR="00DC5493">
        <w:rPr>
          <w:rFonts w:ascii="Lucida Sans Unicode" w:hAnsi="Lucida Sans Unicode" w:cs="Lucida Sans Unicode"/>
          <w:sz w:val="20"/>
          <w:szCs w:val="20"/>
        </w:rPr>
        <w:t>.</w:t>
      </w:r>
    </w:p>
    <w:p w14:paraId="4BF82264" w14:textId="77777777" w:rsidR="005E4C24" w:rsidRPr="00DC5493" w:rsidRDefault="005E4C24" w:rsidP="00133E0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0DBE9040" w14:textId="32E984C2" w:rsidR="007459B1" w:rsidRPr="001F2119" w:rsidRDefault="00C4107D" w:rsidP="00857513">
      <w:pPr>
        <w:pStyle w:val="Heading1"/>
        <w:rPr>
          <w:rStyle w:val="hps"/>
        </w:rPr>
      </w:pPr>
      <w:r w:rsidRPr="001F2119">
        <w:rPr>
          <w:rStyle w:val="hps"/>
        </w:rPr>
        <w:lastRenderedPageBreak/>
        <w:t>Financijsk</w:t>
      </w:r>
      <w:r w:rsidR="00CE1F00" w:rsidRPr="001F2119">
        <w:rPr>
          <w:rStyle w:val="hps"/>
        </w:rPr>
        <w:t>a alokacija i iznos bespovratnih sredstava</w:t>
      </w:r>
    </w:p>
    <w:p w14:paraId="62B0958E" w14:textId="77777777" w:rsidR="00CE1F00" w:rsidRPr="00CE1F00" w:rsidRDefault="00CE1F00" w:rsidP="00A91A56">
      <w:pPr>
        <w:pStyle w:val="Heading2"/>
      </w:pPr>
      <w:r w:rsidRPr="00CE1F00">
        <w:t>Ukupna raspoloživa sredstva</w:t>
      </w:r>
    </w:p>
    <w:p w14:paraId="2B664C2B" w14:textId="2D015045" w:rsidR="005E3E28" w:rsidRDefault="005E3E28" w:rsidP="008D1CDE">
      <w:p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E3E28">
        <w:rPr>
          <w:rFonts w:ascii="Lucida Sans Unicode" w:hAnsi="Lucida Sans Unicode" w:cs="Lucida Sans Unicode"/>
          <w:b/>
          <w:sz w:val="20"/>
          <w:szCs w:val="20"/>
        </w:rPr>
        <w:t>Ukupni iznos operacije</w:t>
      </w:r>
      <w:r>
        <w:rPr>
          <w:rFonts w:ascii="Lucida Sans Unicode" w:hAnsi="Lucida Sans Unicode" w:cs="Lucida Sans Unicode"/>
          <w:sz w:val="20"/>
          <w:szCs w:val="20"/>
        </w:rPr>
        <w:t xml:space="preserve">: </w:t>
      </w:r>
      <w:r w:rsidR="00251D24">
        <w:rPr>
          <w:rFonts w:ascii="Lucida Sans Unicode" w:hAnsi="Lucida Sans Unicode" w:cs="Lucida Sans Unicode"/>
          <w:sz w:val="20"/>
          <w:szCs w:val="20"/>
        </w:rPr>
        <w:t>100</w:t>
      </w:r>
      <w:r w:rsidR="00FC10E8" w:rsidRPr="00FC10E8">
        <w:rPr>
          <w:rFonts w:ascii="Lucida Sans Unicode" w:hAnsi="Lucida Sans Unicode" w:cs="Lucida Sans Unicode"/>
          <w:sz w:val="20"/>
          <w:szCs w:val="20"/>
        </w:rPr>
        <w:t>.000.000,00 KN</w:t>
      </w:r>
    </w:p>
    <w:p w14:paraId="0E84D076" w14:textId="1B0E0797" w:rsidR="005E3E28" w:rsidRDefault="005E3E28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ESF sufinanciranje (85%): </w:t>
      </w:r>
      <w:r w:rsidR="00251D24">
        <w:rPr>
          <w:rFonts w:ascii="Lucida Sans Unicode" w:hAnsi="Lucida Sans Unicode" w:cs="Lucida Sans Unicode"/>
          <w:sz w:val="20"/>
          <w:szCs w:val="20"/>
        </w:rPr>
        <w:t>85.000.000,00</w:t>
      </w:r>
      <w:r w:rsidRPr="005E3E28">
        <w:rPr>
          <w:rFonts w:ascii="Lucida Sans Unicode" w:hAnsi="Lucida Sans Unicode" w:cs="Lucida Sans Unicode"/>
          <w:sz w:val="20"/>
          <w:szCs w:val="20"/>
        </w:rPr>
        <w:t xml:space="preserve"> KN</w:t>
      </w:r>
    </w:p>
    <w:p w14:paraId="183DF33F" w14:textId="7A76495F" w:rsidR="005E3E28" w:rsidRDefault="005E3E28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Nacionalno sufinanciranje (15%): </w:t>
      </w:r>
      <w:r w:rsidR="00251D24">
        <w:rPr>
          <w:rFonts w:ascii="Lucida Sans Unicode" w:hAnsi="Lucida Sans Unicode" w:cs="Lucida Sans Unicode"/>
          <w:sz w:val="20"/>
          <w:szCs w:val="20"/>
        </w:rPr>
        <w:t>15.000.000,00</w:t>
      </w:r>
      <w:r w:rsidRPr="005E3E28">
        <w:rPr>
          <w:rFonts w:ascii="Lucida Sans Unicode" w:hAnsi="Lucida Sans Unicode" w:cs="Lucida Sans Unicode"/>
          <w:sz w:val="20"/>
          <w:szCs w:val="20"/>
        </w:rPr>
        <w:t xml:space="preserve"> KN</w:t>
      </w:r>
    </w:p>
    <w:p w14:paraId="27DACD81" w14:textId="77777777" w:rsidR="00145722" w:rsidRDefault="00145722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1BA96A17" w14:textId="77777777" w:rsidR="005E3E28" w:rsidRPr="00CE1F00" w:rsidRDefault="005E3E28" w:rsidP="00A91A56">
      <w:pPr>
        <w:pStyle w:val="Heading2"/>
      </w:pPr>
      <w:r w:rsidRPr="00CE1F00">
        <w:t xml:space="preserve">Raspoloživa sredstva po prijavitelju </w:t>
      </w:r>
    </w:p>
    <w:p w14:paraId="4D57C2A8" w14:textId="6E7A7435" w:rsidR="005E3E28" w:rsidRDefault="005E3E28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E3E28">
        <w:rPr>
          <w:rFonts w:ascii="Lucida Sans Unicode" w:hAnsi="Lucida Sans Unicode" w:cs="Lucida Sans Unicode"/>
          <w:sz w:val="20"/>
          <w:szCs w:val="20"/>
        </w:rPr>
        <w:t>Minimalni iznos: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51D24">
        <w:rPr>
          <w:rFonts w:ascii="Lucida Sans Unicode" w:hAnsi="Lucida Sans Unicode" w:cs="Lucida Sans Unicode"/>
          <w:sz w:val="20"/>
          <w:szCs w:val="20"/>
        </w:rPr>
        <w:t>1.0</w:t>
      </w:r>
      <w:r>
        <w:rPr>
          <w:rFonts w:ascii="Lucida Sans Unicode" w:hAnsi="Lucida Sans Unicode" w:cs="Lucida Sans Unicode"/>
          <w:sz w:val="20"/>
          <w:szCs w:val="20"/>
        </w:rPr>
        <w:t>00.000,00 KN</w:t>
      </w:r>
    </w:p>
    <w:p w14:paraId="3AD379C1" w14:textId="3D0A151E" w:rsidR="005E3E28" w:rsidRDefault="005E3E28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Maksimalni iznos: </w:t>
      </w:r>
      <w:r w:rsidR="00251D24">
        <w:rPr>
          <w:rFonts w:ascii="Lucida Sans Unicode" w:hAnsi="Lucida Sans Unicode" w:cs="Lucida Sans Unicode"/>
          <w:sz w:val="20"/>
          <w:szCs w:val="20"/>
        </w:rPr>
        <w:t>4</w:t>
      </w:r>
      <w:r>
        <w:rPr>
          <w:rFonts w:ascii="Lucida Sans Unicode" w:hAnsi="Lucida Sans Unicode" w:cs="Lucida Sans Unicode"/>
          <w:sz w:val="20"/>
          <w:szCs w:val="20"/>
        </w:rPr>
        <w:t>.000.000,00 KN</w:t>
      </w:r>
    </w:p>
    <w:p w14:paraId="357D6D67" w14:textId="77777777" w:rsidR="00145722" w:rsidRDefault="00145722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5DF2A8F8" w14:textId="77777777" w:rsidR="00463E16" w:rsidRPr="001F2119" w:rsidRDefault="00463E16" w:rsidP="00A91A56">
      <w:pPr>
        <w:pStyle w:val="Heading2"/>
        <w:rPr>
          <w:rStyle w:val="hps"/>
        </w:rPr>
      </w:pPr>
      <w:r w:rsidRPr="001F2119">
        <w:rPr>
          <w:rStyle w:val="hps"/>
        </w:rPr>
        <w:t>Predviđeni intenzitet potpore</w:t>
      </w:r>
    </w:p>
    <w:p w14:paraId="4149135A" w14:textId="77777777" w:rsidR="00463E16" w:rsidRPr="00DC5493" w:rsidRDefault="00AE0191" w:rsidP="008D1CDE">
      <w:pPr>
        <w:spacing w:before="240" w:after="0"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DC5493"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Projekti se mogu financirati u iznosu do 100% prihvatljivih troškova. Sufinanciranje projekta u sklopu ovog Poziva nije obvezno.</w:t>
      </w:r>
    </w:p>
    <w:p w14:paraId="55D2244D" w14:textId="77777777" w:rsidR="000D69D4" w:rsidRPr="00DC5493" w:rsidRDefault="000D69D4" w:rsidP="00145722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429C6673" w14:textId="77777777" w:rsidR="00145722" w:rsidRPr="00DC5493" w:rsidRDefault="00145722" w:rsidP="00145722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DC5493">
        <w:rPr>
          <w:rFonts w:ascii="Lucida Sans Unicode" w:hAnsi="Lucida Sans Unicode" w:cs="Lucida Sans Unicode"/>
          <w:sz w:val="20"/>
          <w:szCs w:val="20"/>
        </w:rPr>
        <w:t>U ovom pozivu na dostavu projektnih prijedloga Ministarstvo znanosti i obrazovanja osigurava Korisnicima isplatu predujma u najvišem iznosu od 10% bespovratnih sredstava.</w:t>
      </w:r>
    </w:p>
    <w:p w14:paraId="05132977" w14:textId="77777777" w:rsidR="00145722" w:rsidRPr="00DC5493" w:rsidRDefault="00145722" w:rsidP="00145722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4B2A6BFC" w14:textId="77777777" w:rsidR="00145722" w:rsidRPr="00DC5493" w:rsidRDefault="00145722" w:rsidP="00145722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DC5493">
        <w:rPr>
          <w:rFonts w:ascii="Lucida Sans Unicode" w:hAnsi="Lucida Sans Unicode" w:cs="Lucida Sans Unicode"/>
          <w:sz w:val="20"/>
          <w:szCs w:val="20"/>
        </w:rPr>
        <w:t>Proračunski i izvan proračunski korisnici državnog proračuna kao i proračunski korisnici treće razine sukladno Podacima iz registra proračunskih i izvanproračunskih korisnika za 2017. godinu (Narodne novine br. 51/17) i podacima s mrežne stranice Ministarstva financija potrebna sredstva za provedbu projekta osiguravaju u sklopu državnog proračuna slijedeći odredbe Zakona o proračunu, Zakona o izvršenju proračuna i Upute za izradu prijedloga državnog proračuna Republike Hrvatske Ministarstva financija za razdoblje planiranja od tri godine (2017.-2019.). Takvim korisnicima ne isplaćuje se predujam.</w:t>
      </w:r>
    </w:p>
    <w:p w14:paraId="3D8A51B4" w14:textId="273250E2" w:rsidR="004037CD" w:rsidRPr="004037CD" w:rsidRDefault="004037CD" w:rsidP="00857513">
      <w:pPr>
        <w:pStyle w:val="Heading1"/>
      </w:pPr>
      <w:r w:rsidRPr="004037CD">
        <w:t>Prihvatljivi prijavitelji</w:t>
      </w:r>
      <w:r w:rsidR="00294FAB">
        <w:t>/partneri</w:t>
      </w:r>
    </w:p>
    <w:p w14:paraId="7E6D3357" w14:textId="1D0B441A" w:rsidR="004037CD" w:rsidRDefault="004037CD" w:rsidP="008D1CDE">
      <w:p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Prihvatljivi prijavitelji u okviru ovog Poziva su</w:t>
      </w:r>
      <w:r w:rsidR="00381654">
        <w:rPr>
          <w:rFonts w:ascii="Lucida Sans Unicode" w:hAnsi="Lucida Sans Unicode" w:cs="Lucida Sans Unicode"/>
          <w:sz w:val="20"/>
          <w:szCs w:val="20"/>
        </w:rPr>
        <w:t>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51D24" w:rsidRPr="00251D24">
        <w:rPr>
          <w:rFonts w:ascii="Lucida Sans Unicode" w:hAnsi="Lucida Sans Unicode" w:cs="Lucida Sans Unicode"/>
          <w:sz w:val="20"/>
          <w:szCs w:val="20"/>
        </w:rPr>
        <w:t>javna i privatna visoka učilišta upisana u Upisnik visokih učilišta u nadležnosti Ministarstva znanosti i obrazovanja Republike Hrvatske  prema Zakonu o izmjenama i dopunama Zakona o znanstvenoj djelatnosti i visokom obrazovanju (NN 123/03, 198/03, 105/04, 174/04, 02/07, 46/07, 45/09, 63/11, 94/13, 139/13, 101/14, 60/15).</w:t>
      </w:r>
      <w:r w:rsidR="00145722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35390">
        <w:rPr>
          <w:rStyle w:val="FootnoteReference"/>
          <w:rFonts w:ascii="Lucida Sans Unicode" w:hAnsi="Lucida Sans Unicode" w:cs="Lucida Sans Unicode"/>
          <w:sz w:val="20"/>
          <w:szCs w:val="20"/>
        </w:rPr>
        <w:t xml:space="preserve"> </w:t>
      </w:r>
    </w:p>
    <w:p w14:paraId="3E577F5A" w14:textId="7D32A113" w:rsidR="00074629" w:rsidRDefault="00074629" w:rsidP="00074629">
      <w:p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72161A">
        <w:rPr>
          <w:rFonts w:ascii="Lucida Sans Unicode" w:hAnsi="Lucida Sans Unicode" w:cs="Lucida Sans Unicode"/>
          <w:sz w:val="20"/>
          <w:szCs w:val="20"/>
        </w:rPr>
        <w:t xml:space="preserve">Partnerstvo na projektu </w:t>
      </w:r>
      <w:r w:rsidR="000D69D4" w:rsidRPr="000D69D4">
        <w:rPr>
          <w:rFonts w:ascii="Lucida Sans Unicode" w:hAnsi="Lucida Sans Unicode" w:cs="Lucida Sans Unicode"/>
          <w:b/>
          <w:sz w:val="20"/>
          <w:szCs w:val="20"/>
        </w:rPr>
        <w:t>nije</w:t>
      </w:r>
      <w:r w:rsidR="000D69D4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D9036B">
        <w:rPr>
          <w:rFonts w:ascii="Lucida Sans Unicode" w:hAnsi="Lucida Sans Unicode" w:cs="Lucida Sans Unicode"/>
          <w:b/>
          <w:sz w:val="20"/>
          <w:szCs w:val="20"/>
        </w:rPr>
        <w:t>obvezno</w:t>
      </w:r>
      <w:r w:rsidRPr="0072161A">
        <w:rPr>
          <w:rFonts w:ascii="Lucida Sans Unicode" w:hAnsi="Lucida Sans Unicode" w:cs="Lucida Sans Unicode"/>
          <w:sz w:val="20"/>
          <w:szCs w:val="20"/>
        </w:rPr>
        <w:t>.</w:t>
      </w:r>
    </w:p>
    <w:p w14:paraId="7B13187F" w14:textId="77777777" w:rsidR="007E2115" w:rsidRDefault="007E2115" w:rsidP="005514B4">
      <w:p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5A29FA64" w14:textId="77777777" w:rsidR="00D9036B" w:rsidRDefault="00294FAB" w:rsidP="005514B4">
      <w:p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Prihvatljivi partneri u okviru ovog Poziva su</w:t>
      </w:r>
      <w:r w:rsidR="00381654">
        <w:rPr>
          <w:rFonts w:ascii="Lucida Sans Unicode" w:hAnsi="Lucida Sans Unicode" w:cs="Lucida Sans Unicode"/>
          <w:sz w:val="20"/>
          <w:szCs w:val="20"/>
        </w:rPr>
        <w:t>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09DC1B44" w14:textId="77777777" w:rsidR="00D9036B" w:rsidRDefault="00251D24" w:rsidP="00D9036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D9036B">
        <w:rPr>
          <w:rFonts w:ascii="Lucida Sans Unicode" w:hAnsi="Lucida Sans Unicode" w:cs="Lucida Sans Unicode"/>
          <w:sz w:val="20"/>
          <w:szCs w:val="20"/>
        </w:rPr>
        <w:lastRenderedPageBreak/>
        <w:t>javna i privatna visoka učilišta upisana u Upisnik visokih učilišta u nadležnosti Ministarstva znanosti i obrazovanja Republike Hrvatske  prema Zakonu o izmjenama i dopunama Zakona o znanstvenoj djelatnosti i visokom obrazovanju (NN 123/03, 198/03, 105/04, 174/04, 02/07, 46/07, 45/09, 63/11, 94/13, 139/13, 101/14, 60/15)</w:t>
      </w:r>
    </w:p>
    <w:p w14:paraId="207CE0A1" w14:textId="54404EB8" w:rsidR="005514B4" w:rsidRPr="00D9036B" w:rsidRDefault="005514B4" w:rsidP="00D9036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D9036B">
        <w:rPr>
          <w:rFonts w:ascii="Lucida Sans Unicode" w:hAnsi="Lucida Sans Unicode" w:cs="Lucida Sans Unicode"/>
          <w:sz w:val="20"/>
          <w:szCs w:val="20"/>
        </w:rPr>
        <w:t>sve pravne osobe</w:t>
      </w:r>
      <w:r w:rsidR="009D5509" w:rsidRPr="00D9036B">
        <w:rPr>
          <w:rFonts w:ascii="Lucida Sans Unicode" w:hAnsi="Lucida Sans Unicode" w:cs="Lucida Sans Unicode"/>
          <w:sz w:val="20"/>
          <w:szCs w:val="20"/>
        </w:rPr>
        <w:t xml:space="preserve"> upisane u </w:t>
      </w:r>
      <w:r w:rsidR="00D9036B">
        <w:rPr>
          <w:rFonts w:ascii="Lucida Sans Unicode" w:hAnsi="Lucida Sans Unicode" w:cs="Lucida Sans Unicode"/>
          <w:sz w:val="20"/>
          <w:szCs w:val="20"/>
        </w:rPr>
        <w:t xml:space="preserve"> odgovarajući </w:t>
      </w:r>
      <w:r w:rsidR="009D5509" w:rsidRPr="00D9036B">
        <w:rPr>
          <w:rFonts w:ascii="Lucida Sans Unicode" w:hAnsi="Lucida Sans Unicode" w:cs="Lucida Sans Unicode"/>
          <w:sz w:val="20"/>
          <w:szCs w:val="20"/>
        </w:rPr>
        <w:t>registar</w:t>
      </w:r>
      <w:r w:rsidRPr="00D9036B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61B99C2E" w14:textId="77777777" w:rsidR="004037CD" w:rsidRDefault="004037CD" w:rsidP="00857513">
      <w:pPr>
        <w:pStyle w:val="Heading1"/>
      </w:pPr>
      <w:r w:rsidRPr="004037CD">
        <w:t>Prihvatljiv</w:t>
      </w:r>
      <w:r w:rsidR="00294FAB">
        <w:t>e aktivnosti</w:t>
      </w:r>
    </w:p>
    <w:p w14:paraId="28A96C20" w14:textId="77777777" w:rsidR="00294FAB" w:rsidRPr="00294FAB" w:rsidRDefault="00294FAB" w:rsidP="008D1CDE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 w:rsidRPr="00294FAB">
        <w:rPr>
          <w:rFonts w:ascii="Lucida Sans Unicode" w:hAnsi="Lucida Sans Unicode" w:cs="Lucida Sans Unicode"/>
          <w:b/>
          <w:i/>
          <w:sz w:val="20"/>
          <w:szCs w:val="20"/>
        </w:rPr>
        <w:t>Element 1. Upravljanje projektom i administracija</w:t>
      </w:r>
    </w:p>
    <w:p w14:paraId="5DE8B38E" w14:textId="0D79EE59" w:rsidR="00820983" w:rsidRDefault="00820983" w:rsidP="003636A9">
      <w:pPr>
        <w:pStyle w:val="ListParagraph"/>
        <w:spacing w:before="240" w:after="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1.1. </w:t>
      </w:r>
      <w:r w:rsidR="003636A9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="00DC5493">
        <w:rPr>
          <w:rFonts w:ascii="Lucida Sans Unicode" w:hAnsi="Lucida Sans Unicode" w:cs="Lucida Sans Unicode"/>
          <w:sz w:val="20"/>
          <w:szCs w:val="20"/>
        </w:rPr>
        <w:t>u</w:t>
      </w:r>
      <w:r w:rsidR="00294FAB" w:rsidRPr="00294FAB">
        <w:rPr>
          <w:rFonts w:ascii="Lucida Sans Unicode" w:hAnsi="Lucida Sans Unicode" w:cs="Lucida Sans Unicode"/>
          <w:sz w:val="20"/>
          <w:szCs w:val="20"/>
        </w:rPr>
        <w:t xml:space="preserve">pravljanje projektom </w:t>
      </w:r>
    </w:p>
    <w:p w14:paraId="7995E6DE" w14:textId="7ADF2B96" w:rsidR="00820983" w:rsidRDefault="00820983" w:rsidP="003636A9">
      <w:pPr>
        <w:pStyle w:val="ListParagraph"/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1.2. </w:t>
      </w:r>
      <w:r w:rsidR="003636A9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="00DC5493">
        <w:rPr>
          <w:rFonts w:ascii="Lucida Sans Unicode" w:hAnsi="Lucida Sans Unicode" w:cs="Lucida Sans Unicode"/>
          <w:sz w:val="20"/>
          <w:szCs w:val="20"/>
        </w:rPr>
        <w:t>p</w:t>
      </w:r>
      <w:r w:rsidR="00294FAB" w:rsidRPr="00294FAB">
        <w:rPr>
          <w:rFonts w:ascii="Lucida Sans Unicode" w:hAnsi="Lucida Sans Unicode" w:cs="Lucida Sans Unicode"/>
          <w:sz w:val="20"/>
          <w:szCs w:val="20"/>
        </w:rPr>
        <w:t xml:space="preserve">raćenje provedbe </w:t>
      </w:r>
    </w:p>
    <w:p w14:paraId="06A5D22F" w14:textId="007EAE25" w:rsidR="00294FAB" w:rsidRPr="00294FAB" w:rsidRDefault="00820983" w:rsidP="003636A9">
      <w:pPr>
        <w:pStyle w:val="ListParagraph"/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1.3. </w:t>
      </w:r>
      <w:r w:rsidR="003636A9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="00DC5493">
        <w:rPr>
          <w:rFonts w:ascii="Lucida Sans Unicode" w:hAnsi="Lucida Sans Unicode" w:cs="Lucida Sans Unicode"/>
          <w:sz w:val="20"/>
          <w:szCs w:val="20"/>
        </w:rPr>
        <w:t>i</w:t>
      </w:r>
      <w:r w:rsidR="00294FAB" w:rsidRPr="00294FAB">
        <w:rPr>
          <w:rFonts w:ascii="Lucida Sans Unicode" w:hAnsi="Lucida Sans Unicode" w:cs="Lucida Sans Unicode"/>
          <w:sz w:val="20"/>
          <w:szCs w:val="20"/>
        </w:rPr>
        <w:t>zvještavanje o provedbi</w:t>
      </w:r>
      <w:r w:rsidR="00DC5493">
        <w:rPr>
          <w:rFonts w:ascii="Lucida Sans Unicode" w:hAnsi="Lucida Sans Unicode" w:cs="Lucida Sans Unicode"/>
          <w:sz w:val="20"/>
          <w:szCs w:val="20"/>
        </w:rPr>
        <w:t>.</w:t>
      </w:r>
    </w:p>
    <w:p w14:paraId="227CFE49" w14:textId="6449EE60" w:rsidR="00294FAB" w:rsidRPr="00294FAB" w:rsidRDefault="00294FAB" w:rsidP="008D1CDE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 w:rsidRPr="00294FAB">
        <w:rPr>
          <w:rFonts w:ascii="Lucida Sans Unicode" w:hAnsi="Lucida Sans Unicode" w:cs="Lucida Sans Unicode"/>
          <w:b/>
          <w:i/>
          <w:sz w:val="20"/>
          <w:szCs w:val="20"/>
        </w:rPr>
        <w:t xml:space="preserve">Element 2. </w:t>
      </w:r>
      <w:r w:rsidR="00251D24" w:rsidRPr="00251D24">
        <w:rPr>
          <w:rFonts w:ascii="Lucida Sans Unicode" w:hAnsi="Lucida Sans Unicode" w:cs="Lucida Sans Unicode"/>
          <w:b/>
          <w:i/>
          <w:sz w:val="20"/>
          <w:szCs w:val="20"/>
        </w:rPr>
        <w:t>. Unapređenje postojećih i razvoj novih modela provedbe stručne prakse u visokom obrazovanju</w:t>
      </w:r>
    </w:p>
    <w:p w14:paraId="2547FB9C" w14:textId="6EBA4D6C" w:rsidR="00251D24" w:rsidRPr="00251D24" w:rsidRDefault="00DC5493" w:rsidP="003636A9">
      <w:pPr>
        <w:pStyle w:val="ListParagraph"/>
        <w:spacing w:before="240" w:after="240" w:line="240" w:lineRule="auto"/>
        <w:ind w:left="1418" w:hanging="709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2.1.</w:t>
      </w:r>
      <w:r>
        <w:rPr>
          <w:rFonts w:ascii="Lucida Sans Unicode" w:hAnsi="Lucida Sans Unicode" w:cs="Lucida Sans Unicode"/>
          <w:sz w:val="20"/>
          <w:szCs w:val="20"/>
        </w:rPr>
        <w:tab/>
        <w:t>u</w:t>
      </w:r>
      <w:r w:rsidR="00251D24" w:rsidRPr="00251D24">
        <w:rPr>
          <w:rFonts w:ascii="Lucida Sans Unicode" w:hAnsi="Lucida Sans Unicode" w:cs="Lucida Sans Unicode"/>
          <w:sz w:val="20"/>
          <w:szCs w:val="20"/>
        </w:rPr>
        <w:t>napređenje stručne prakse kroz izradu ishoda učenja i postupaka za vre</w:t>
      </w:r>
      <w:r>
        <w:rPr>
          <w:rFonts w:ascii="Lucida Sans Unicode" w:hAnsi="Lucida Sans Unicode" w:cs="Lucida Sans Unicode"/>
          <w:sz w:val="20"/>
          <w:szCs w:val="20"/>
        </w:rPr>
        <w:t>dnovanje stečenih ishoda učenja</w:t>
      </w:r>
    </w:p>
    <w:p w14:paraId="558C5DBF" w14:textId="5E29F675" w:rsidR="00251D24" w:rsidRPr="00251D24" w:rsidRDefault="00251D24" w:rsidP="003636A9">
      <w:pPr>
        <w:pStyle w:val="ListParagraph"/>
        <w:spacing w:before="240" w:after="24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2.2.</w:t>
      </w:r>
      <w:r w:rsidRPr="00251D24">
        <w:rPr>
          <w:rFonts w:ascii="Lucida Sans Unicode" w:hAnsi="Lucida Sans Unicode" w:cs="Lucida Sans Unicode"/>
          <w:sz w:val="20"/>
          <w:szCs w:val="20"/>
        </w:rPr>
        <w:tab/>
      </w:r>
      <w:r w:rsidR="00DC5493">
        <w:rPr>
          <w:rFonts w:ascii="Lucida Sans Unicode" w:hAnsi="Lucida Sans Unicode" w:cs="Lucida Sans Unicode"/>
          <w:sz w:val="20"/>
          <w:szCs w:val="20"/>
        </w:rPr>
        <w:t>u</w:t>
      </w:r>
      <w:r w:rsidRPr="00251D24">
        <w:rPr>
          <w:rFonts w:ascii="Lucida Sans Unicode" w:hAnsi="Lucida Sans Unicode" w:cs="Lucida Sans Unicode"/>
          <w:sz w:val="20"/>
          <w:szCs w:val="20"/>
        </w:rPr>
        <w:t>naprjeđenje kvalitete stažiranja kroz izradu programa stažiranja razrađenih kroz ishode učenja i postupke za vrednovanje stečenih ishoda učenja</w:t>
      </w:r>
    </w:p>
    <w:p w14:paraId="04F54C92" w14:textId="04D797E7" w:rsidR="00251D24" w:rsidRPr="00251D24" w:rsidRDefault="00251D24" w:rsidP="003636A9">
      <w:pPr>
        <w:pStyle w:val="ListParagraph"/>
        <w:spacing w:before="240" w:after="24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2.3.</w:t>
      </w:r>
      <w:r w:rsidRPr="00251D24">
        <w:rPr>
          <w:rFonts w:ascii="Lucida Sans Unicode" w:hAnsi="Lucida Sans Unicode" w:cs="Lucida Sans Unicode"/>
          <w:sz w:val="20"/>
          <w:szCs w:val="20"/>
        </w:rPr>
        <w:tab/>
      </w:r>
      <w:r w:rsidR="00DC5493">
        <w:rPr>
          <w:rFonts w:ascii="Lucida Sans Unicode" w:hAnsi="Lucida Sans Unicode" w:cs="Lucida Sans Unicode"/>
          <w:sz w:val="20"/>
          <w:szCs w:val="20"/>
        </w:rPr>
        <w:t>r</w:t>
      </w:r>
      <w:r w:rsidRPr="00251D24">
        <w:rPr>
          <w:rFonts w:ascii="Lucida Sans Unicode" w:hAnsi="Lucida Sans Unicode" w:cs="Lucida Sans Unicode"/>
          <w:sz w:val="20"/>
          <w:szCs w:val="20"/>
        </w:rPr>
        <w:t>azvoj i unaprjeđenje sustava mentorstva i stručne prakse, stručnih ekskurzija i terenske nastave kao dijela studijskog programa i učenja kroz rad</w:t>
      </w:r>
    </w:p>
    <w:p w14:paraId="51872AE5" w14:textId="232CA3B1" w:rsidR="00251D24" w:rsidRPr="00251D24" w:rsidRDefault="00251D24" w:rsidP="003636A9">
      <w:pPr>
        <w:pStyle w:val="ListParagraph"/>
        <w:spacing w:before="240" w:after="24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2.4.</w:t>
      </w:r>
      <w:r w:rsidRPr="00251D24">
        <w:rPr>
          <w:rFonts w:ascii="Lucida Sans Unicode" w:hAnsi="Lucida Sans Unicode" w:cs="Lucida Sans Unicode"/>
          <w:sz w:val="20"/>
          <w:szCs w:val="20"/>
        </w:rPr>
        <w:tab/>
      </w:r>
      <w:r w:rsidR="00DC5493">
        <w:rPr>
          <w:rFonts w:ascii="Lucida Sans Unicode" w:hAnsi="Lucida Sans Unicode" w:cs="Lucida Sans Unicode"/>
          <w:sz w:val="20"/>
          <w:szCs w:val="20"/>
        </w:rPr>
        <w:t>p</w:t>
      </w:r>
      <w:r w:rsidRPr="00251D24">
        <w:rPr>
          <w:rFonts w:ascii="Lucida Sans Unicode" w:hAnsi="Lucida Sans Unicode" w:cs="Lucida Sans Unicode"/>
          <w:sz w:val="20"/>
          <w:szCs w:val="20"/>
        </w:rPr>
        <w:t>rovedba zajedničkih istraživačkih projekata studenata, mentora i nastavnika povezanih sa stjecanjem ishoda učenja predviđenih studijskim programom</w:t>
      </w:r>
    </w:p>
    <w:p w14:paraId="49857353" w14:textId="7CE9B571" w:rsidR="00251D24" w:rsidRPr="00251D24" w:rsidRDefault="00251D24" w:rsidP="003636A9">
      <w:pPr>
        <w:pStyle w:val="ListParagraph"/>
        <w:spacing w:before="240" w:after="24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2.5.</w:t>
      </w:r>
      <w:r w:rsidRPr="00251D24">
        <w:rPr>
          <w:rFonts w:ascii="Lucida Sans Unicode" w:hAnsi="Lucida Sans Unicode" w:cs="Lucida Sans Unicode"/>
          <w:sz w:val="20"/>
          <w:szCs w:val="20"/>
        </w:rPr>
        <w:tab/>
      </w:r>
      <w:r w:rsidR="00DC5493">
        <w:rPr>
          <w:rFonts w:ascii="Lucida Sans Unicode" w:hAnsi="Lucida Sans Unicode" w:cs="Lucida Sans Unicode"/>
          <w:sz w:val="20"/>
          <w:szCs w:val="20"/>
        </w:rPr>
        <w:t>u</w:t>
      </w:r>
      <w:r w:rsidRPr="00251D24">
        <w:rPr>
          <w:rFonts w:ascii="Lucida Sans Unicode" w:hAnsi="Lucida Sans Unicode" w:cs="Lucida Sans Unicode"/>
          <w:sz w:val="20"/>
          <w:szCs w:val="20"/>
        </w:rPr>
        <w:t xml:space="preserve">ključivanje mentora iz svijeta rada i gospodarstva kao gostujućih predavača u izvedbu studijskog programa </w:t>
      </w:r>
    </w:p>
    <w:p w14:paraId="1FA612B8" w14:textId="77777777" w:rsidR="00251D24" w:rsidRPr="00251D24" w:rsidRDefault="00251D24" w:rsidP="00251D24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2.6.</w:t>
      </w:r>
      <w:r w:rsidRPr="00251D24">
        <w:rPr>
          <w:rFonts w:ascii="Lucida Sans Unicode" w:hAnsi="Lucida Sans Unicode" w:cs="Lucida Sans Unicode"/>
          <w:sz w:val="20"/>
          <w:szCs w:val="20"/>
        </w:rPr>
        <w:tab/>
        <w:t>izrada završnih i diplomskih radova u suradnji s gospodarstvom</w:t>
      </w:r>
    </w:p>
    <w:p w14:paraId="4128CEF9" w14:textId="77777777" w:rsidR="00251D24" w:rsidRPr="00251D24" w:rsidRDefault="00251D24" w:rsidP="003636A9">
      <w:pPr>
        <w:pStyle w:val="ListParagraph"/>
        <w:spacing w:before="240" w:after="240" w:line="240" w:lineRule="auto"/>
        <w:ind w:left="1418" w:hanging="709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2.7.</w:t>
      </w:r>
      <w:r w:rsidRPr="00251D24">
        <w:rPr>
          <w:rFonts w:ascii="Lucida Sans Unicode" w:hAnsi="Lucida Sans Unicode" w:cs="Lucida Sans Unicode"/>
          <w:sz w:val="20"/>
          <w:szCs w:val="20"/>
        </w:rPr>
        <w:tab/>
        <w:t>izrada priručnika i ostalih materijala povezanih sa razvojem i provedbom stručne prakse</w:t>
      </w:r>
    </w:p>
    <w:p w14:paraId="5598EDCA" w14:textId="77777777" w:rsidR="00251D24" w:rsidRPr="00251D24" w:rsidRDefault="00251D24" w:rsidP="00251D24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2.8.</w:t>
      </w:r>
      <w:r w:rsidRPr="00251D24">
        <w:rPr>
          <w:rFonts w:ascii="Lucida Sans Unicode" w:hAnsi="Lucida Sans Unicode" w:cs="Lucida Sans Unicode"/>
          <w:sz w:val="20"/>
          <w:szCs w:val="20"/>
        </w:rPr>
        <w:tab/>
        <w:t>praćenje i analize zapošljivosti diplomiranih (alumnija)</w:t>
      </w:r>
    </w:p>
    <w:p w14:paraId="66E73539" w14:textId="17D839A7" w:rsidR="00251D24" w:rsidRPr="00251D24" w:rsidRDefault="00251D24" w:rsidP="003636A9">
      <w:pPr>
        <w:pStyle w:val="ListParagraph"/>
        <w:spacing w:before="240" w:after="24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2.9.</w:t>
      </w:r>
      <w:r w:rsidRPr="00251D24">
        <w:rPr>
          <w:rFonts w:ascii="Lucida Sans Unicode" w:hAnsi="Lucida Sans Unicode" w:cs="Lucida Sans Unicode"/>
          <w:sz w:val="20"/>
          <w:szCs w:val="20"/>
        </w:rPr>
        <w:tab/>
        <w:t xml:space="preserve">anketiranje poslodavaca i alumnija o temama povezanima s unapređenjem </w:t>
      </w:r>
      <w:r w:rsidR="003636A9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Pr="00251D24">
        <w:rPr>
          <w:rFonts w:ascii="Lucida Sans Unicode" w:hAnsi="Lucida Sans Unicode" w:cs="Lucida Sans Unicode"/>
          <w:sz w:val="20"/>
          <w:szCs w:val="20"/>
        </w:rPr>
        <w:t>kvalitete studijskih programa (i stručne prakse)</w:t>
      </w:r>
    </w:p>
    <w:p w14:paraId="4EF1B98D" w14:textId="7DFF07C2" w:rsidR="00251D24" w:rsidRPr="00251D24" w:rsidRDefault="00251D24" w:rsidP="00251D24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2.10.</w:t>
      </w:r>
      <w:r w:rsidRPr="00251D24">
        <w:rPr>
          <w:rFonts w:ascii="Lucida Sans Unicode" w:hAnsi="Lucida Sans Unicode" w:cs="Lucida Sans Unicode"/>
          <w:sz w:val="20"/>
          <w:szCs w:val="20"/>
        </w:rPr>
        <w:tab/>
        <w:t xml:space="preserve">provedba </w:t>
      </w:r>
      <w:r w:rsidRPr="00251D24">
        <w:rPr>
          <w:rFonts w:ascii="Lucida Sans Unicode" w:hAnsi="Lucida Sans Unicode" w:cs="Lucida Sans Unicode"/>
          <w:sz w:val="20"/>
          <w:szCs w:val="20"/>
        </w:rPr>
        <w:t xml:space="preserve">evaluacije </w:t>
      </w:r>
      <w:r w:rsidR="00A35390">
        <w:rPr>
          <w:rFonts w:ascii="Lucida Sans Unicode" w:hAnsi="Lucida Sans Unicode" w:cs="Lucida Sans Unicode"/>
          <w:sz w:val="20"/>
          <w:szCs w:val="20"/>
        </w:rPr>
        <w:t xml:space="preserve">postojeće </w:t>
      </w:r>
      <w:r w:rsidRPr="00251D24">
        <w:rPr>
          <w:rFonts w:ascii="Lucida Sans Unicode" w:hAnsi="Lucida Sans Unicode" w:cs="Lucida Sans Unicode"/>
          <w:sz w:val="20"/>
          <w:szCs w:val="20"/>
        </w:rPr>
        <w:t>stručne prakse</w:t>
      </w:r>
    </w:p>
    <w:p w14:paraId="2A683B01" w14:textId="77777777" w:rsidR="00251D24" w:rsidRPr="00251D24" w:rsidRDefault="00251D24" w:rsidP="00251D24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2.11.</w:t>
      </w:r>
      <w:r w:rsidRPr="00251D24">
        <w:rPr>
          <w:rFonts w:ascii="Lucida Sans Unicode" w:hAnsi="Lucida Sans Unicode" w:cs="Lucida Sans Unicode"/>
          <w:sz w:val="20"/>
          <w:szCs w:val="20"/>
        </w:rPr>
        <w:tab/>
        <w:t>opremanje laboratorija, vježbaonica i radionica</w:t>
      </w:r>
    </w:p>
    <w:p w14:paraId="7BAC5499" w14:textId="5EA50C45" w:rsidR="00251D24" w:rsidRPr="00251D24" w:rsidRDefault="00251D24" w:rsidP="003636A9">
      <w:pPr>
        <w:pStyle w:val="ListParagraph"/>
        <w:spacing w:before="240" w:after="24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 w:rsidRPr="00251D24">
        <w:rPr>
          <w:rFonts w:ascii="Lucida Sans Unicode" w:hAnsi="Lucida Sans Unicode" w:cs="Lucida Sans Unicode"/>
          <w:sz w:val="20"/>
          <w:szCs w:val="20"/>
        </w:rPr>
        <w:t>2.12.</w:t>
      </w:r>
      <w:r w:rsidRPr="00251D24">
        <w:rPr>
          <w:rFonts w:ascii="Lucida Sans Unicode" w:hAnsi="Lucida Sans Unicode" w:cs="Lucida Sans Unicode"/>
          <w:sz w:val="20"/>
          <w:szCs w:val="20"/>
        </w:rPr>
        <w:tab/>
        <w:t>sudjelovanje studenata i nastavnika na znanstvenim i stručnim skupovima u Republici Hrvatskoj i u inozemstvu</w:t>
      </w:r>
      <w:r w:rsidR="00DC5493">
        <w:rPr>
          <w:rFonts w:ascii="Lucida Sans Unicode" w:hAnsi="Lucida Sans Unicode" w:cs="Lucida Sans Unicode"/>
          <w:sz w:val="20"/>
          <w:szCs w:val="20"/>
        </w:rPr>
        <w:t>.</w:t>
      </w:r>
    </w:p>
    <w:p w14:paraId="1D367D7A" w14:textId="77777777" w:rsidR="00251D24" w:rsidRPr="00251D24" w:rsidRDefault="00251D24" w:rsidP="00251D24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52463DA" w14:textId="1B81A540" w:rsidR="001C4817" w:rsidRPr="001C4817" w:rsidRDefault="001D338F" w:rsidP="003636A9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Aktivnosti unutar Elementa 2</w:t>
      </w:r>
      <w:r w:rsidR="001C4817" w:rsidRPr="001C4817">
        <w:rPr>
          <w:rFonts w:ascii="Lucida Sans Unicode" w:hAnsi="Lucida Sans Unicode" w:cs="Lucida Sans Unicode"/>
          <w:sz w:val="20"/>
          <w:szCs w:val="20"/>
        </w:rPr>
        <w:t xml:space="preserve"> trebaju biti izrađene uz korištenje metodologije i alata Hrvatskog kvalifikacijskog okvira.</w:t>
      </w:r>
    </w:p>
    <w:p w14:paraId="51CCD1D6" w14:textId="77777777" w:rsidR="001C4817" w:rsidRDefault="001C4817" w:rsidP="00251D24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BFD9D21" w14:textId="77777777" w:rsidR="003636A9" w:rsidRPr="00251D24" w:rsidRDefault="003636A9" w:rsidP="00251D24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7E9F21D3" w14:textId="77777777" w:rsidR="001C4817" w:rsidRDefault="00554921" w:rsidP="001C4817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lastRenderedPageBreak/>
        <w:t>Element 3.</w:t>
      </w:r>
      <w:r w:rsidR="007C53BA">
        <w:rPr>
          <w:rFonts w:ascii="Lucida Sans Unicode" w:hAnsi="Lucida Sans Unicode" w:cs="Lucida Sans Unicode"/>
          <w:b/>
          <w:i/>
          <w:sz w:val="20"/>
          <w:szCs w:val="20"/>
        </w:rPr>
        <w:t xml:space="preserve"> </w:t>
      </w:r>
      <w:r w:rsidR="001C4817" w:rsidRPr="001C4817">
        <w:rPr>
          <w:rFonts w:ascii="Lucida Sans Unicode" w:hAnsi="Lucida Sans Unicode" w:cs="Lucida Sans Unicode"/>
          <w:b/>
          <w:i/>
          <w:sz w:val="20"/>
          <w:szCs w:val="20"/>
        </w:rPr>
        <w:t>Provedba stručne prakse</w:t>
      </w:r>
      <w:r w:rsidR="001C4817">
        <w:rPr>
          <w:rFonts w:ascii="Lucida Sans Unicode" w:hAnsi="Lucida Sans Unicode" w:cs="Lucida Sans Unicode"/>
          <w:b/>
          <w:i/>
          <w:sz w:val="20"/>
          <w:szCs w:val="20"/>
        </w:rPr>
        <w:t xml:space="preserve"> </w:t>
      </w:r>
    </w:p>
    <w:p w14:paraId="52DD483A" w14:textId="17B50B6D" w:rsidR="001C4817" w:rsidRPr="001C4817" w:rsidRDefault="001C4817" w:rsidP="003636A9">
      <w:pPr>
        <w:pStyle w:val="ListParagraph"/>
        <w:spacing w:before="240" w:after="24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 w:rsidRPr="001C4817">
        <w:rPr>
          <w:rFonts w:ascii="Lucida Sans Unicode" w:hAnsi="Lucida Sans Unicode" w:cs="Lucida Sans Unicode"/>
          <w:sz w:val="20"/>
          <w:szCs w:val="20"/>
        </w:rPr>
        <w:t>3.1.</w:t>
      </w:r>
      <w:r w:rsidRPr="001C4817">
        <w:rPr>
          <w:rFonts w:ascii="Lucida Sans Unicode" w:hAnsi="Lucida Sans Unicode" w:cs="Lucida Sans Unicode"/>
          <w:sz w:val="20"/>
          <w:szCs w:val="20"/>
        </w:rPr>
        <w:tab/>
      </w:r>
      <w:r w:rsidR="00DC5493">
        <w:rPr>
          <w:rFonts w:ascii="Lucida Sans Unicode" w:hAnsi="Lucida Sans Unicode" w:cs="Lucida Sans Unicode"/>
          <w:sz w:val="20"/>
          <w:szCs w:val="20"/>
        </w:rPr>
        <w:t>u</w:t>
      </w:r>
      <w:r w:rsidRPr="001C4817">
        <w:rPr>
          <w:rFonts w:ascii="Lucida Sans Unicode" w:hAnsi="Lucida Sans Unicode" w:cs="Lucida Sans Unicode"/>
          <w:sz w:val="20"/>
          <w:szCs w:val="20"/>
        </w:rPr>
        <w:t>spostava i/ili unapređenje rada centara za razvoj karijere na visokim učilištima u provedbi aktivnosti, između ostaloga, organizacije i osiguravanja provedbe stručne prakse,</w:t>
      </w:r>
      <w:bookmarkStart w:id="0" w:name="_GoBack"/>
      <w:bookmarkEnd w:id="0"/>
      <w:r w:rsidRPr="001C4817">
        <w:rPr>
          <w:rFonts w:ascii="Lucida Sans Unicode" w:hAnsi="Lucida Sans Unicode" w:cs="Lucida Sans Unicode"/>
          <w:sz w:val="20"/>
          <w:szCs w:val="20"/>
        </w:rPr>
        <w:t xml:space="preserve"> razvijanja i upravljanja informatičkim alatima (web aplikacijama) za registraciju poslodavaca, vođenja evidencija relevantnih poslodavaca, organiziranja različitih događanja za privlačenje poslodavaca, povezivanja sa studentima, praćenja završenih studenata, istraživanja i ispitivanja poslodavaca i alumnija </w:t>
      </w:r>
    </w:p>
    <w:p w14:paraId="04A71759" w14:textId="405325C5" w:rsidR="00A35390" w:rsidRDefault="001C4817" w:rsidP="003636A9">
      <w:pPr>
        <w:pStyle w:val="ListParagraph"/>
        <w:spacing w:before="240" w:after="240" w:line="240" w:lineRule="auto"/>
        <w:ind w:left="1418" w:hanging="698"/>
        <w:jc w:val="both"/>
        <w:rPr>
          <w:rFonts w:ascii="Lucida Sans Unicode" w:hAnsi="Lucida Sans Unicode" w:cs="Lucida Sans Unicode"/>
          <w:sz w:val="20"/>
          <w:szCs w:val="20"/>
        </w:rPr>
      </w:pPr>
      <w:r w:rsidRPr="001C4817">
        <w:rPr>
          <w:rFonts w:ascii="Lucida Sans Unicode" w:hAnsi="Lucida Sans Unicode" w:cs="Lucida Sans Unicode"/>
          <w:sz w:val="20"/>
          <w:szCs w:val="20"/>
        </w:rPr>
        <w:t>3.2.</w:t>
      </w:r>
      <w:r w:rsidRPr="001C4817">
        <w:rPr>
          <w:rFonts w:ascii="Lucida Sans Unicode" w:hAnsi="Lucida Sans Unicode" w:cs="Lucida Sans Unicode"/>
          <w:sz w:val="20"/>
          <w:szCs w:val="20"/>
        </w:rPr>
        <w:tab/>
      </w:r>
      <w:r w:rsidR="00DC5493">
        <w:rPr>
          <w:rFonts w:ascii="Lucida Sans Unicode" w:hAnsi="Lucida Sans Unicode" w:cs="Lucida Sans Unicode"/>
          <w:sz w:val="20"/>
          <w:szCs w:val="20"/>
        </w:rPr>
        <w:t>p</w:t>
      </w:r>
      <w:r w:rsidRPr="001C4817">
        <w:rPr>
          <w:rFonts w:ascii="Lucida Sans Unicode" w:hAnsi="Lucida Sans Unicode" w:cs="Lucida Sans Unicode"/>
          <w:sz w:val="20"/>
          <w:szCs w:val="20"/>
        </w:rPr>
        <w:t xml:space="preserve">oticaji za uključivanje poslodavaca u programe stručne prakse - edukacija, praćenje rada, vrednovanje </w:t>
      </w:r>
    </w:p>
    <w:p w14:paraId="0E28C665" w14:textId="443C400C" w:rsidR="001C4817" w:rsidRPr="001C4817" w:rsidRDefault="00A35390" w:rsidP="001C4817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3.3.     </w:t>
      </w:r>
      <w:r w:rsidR="00DC5493">
        <w:rPr>
          <w:rFonts w:ascii="Lucida Sans Unicode" w:hAnsi="Lucida Sans Unicode" w:cs="Lucida Sans Unicode"/>
          <w:sz w:val="20"/>
          <w:szCs w:val="20"/>
        </w:rPr>
        <w:t>o</w:t>
      </w:r>
      <w:r w:rsidR="001C4817" w:rsidRPr="001C4817">
        <w:rPr>
          <w:rFonts w:ascii="Lucida Sans Unicode" w:hAnsi="Lucida Sans Unicode" w:cs="Lucida Sans Unicode"/>
          <w:sz w:val="20"/>
          <w:szCs w:val="20"/>
        </w:rPr>
        <w:t xml:space="preserve">rganizacija stručne prakse za studente unutar i izvan mjesta stanovanja. </w:t>
      </w:r>
    </w:p>
    <w:p w14:paraId="4D4FC4B1" w14:textId="77777777" w:rsidR="001C4817" w:rsidRPr="001C4817" w:rsidRDefault="001C4817" w:rsidP="001C4817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8399664" w14:textId="2E6882C2" w:rsidR="001C4817" w:rsidRPr="001C4817" w:rsidRDefault="00820983" w:rsidP="001C4817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  <w:u w:val="single"/>
        </w:rPr>
        <w:t>A</w:t>
      </w:r>
      <w:r w:rsidR="001C4817" w:rsidRPr="003636A9">
        <w:rPr>
          <w:rFonts w:ascii="Lucida Sans Unicode" w:hAnsi="Lucida Sans Unicode" w:cs="Lucida Sans Unicode"/>
          <w:sz w:val="20"/>
          <w:szCs w:val="20"/>
          <w:u w:val="single"/>
        </w:rPr>
        <w:t xml:space="preserve">ktivnost </w:t>
      </w:r>
      <w:r>
        <w:rPr>
          <w:rFonts w:ascii="Lucida Sans Unicode" w:hAnsi="Lucida Sans Unicode" w:cs="Lucida Sans Unicode"/>
          <w:sz w:val="20"/>
          <w:szCs w:val="20"/>
          <w:u w:val="single"/>
        </w:rPr>
        <w:t xml:space="preserve">3.1. </w:t>
      </w:r>
      <w:r w:rsidR="001C4817" w:rsidRPr="003636A9">
        <w:rPr>
          <w:rFonts w:ascii="Lucida Sans Unicode" w:hAnsi="Lucida Sans Unicode" w:cs="Lucida Sans Unicode"/>
          <w:sz w:val="20"/>
          <w:szCs w:val="20"/>
          <w:u w:val="single"/>
        </w:rPr>
        <w:t xml:space="preserve">unutar Elementa 3. je </w:t>
      </w:r>
      <w:r w:rsidR="001C4817" w:rsidRPr="003636A9">
        <w:rPr>
          <w:rFonts w:ascii="Lucida Sans Unicode" w:hAnsi="Lucida Sans Unicode" w:cs="Lucida Sans Unicode"/>
          <w:b/>
          <w:sz w:val="20"/>
          <w:szCs w:val="20"/>
          <w:u w:val="single"/>
        </w:rPr>
        <w:t>obvezna</w:t>
      </w:r>
      <w:r w:rsidR="001C4817" w:rsidRPr="001C4817">
        <w:rPr>
          <w:rFonts w:ascii="Lucida Sans Unicode" w:hAnsi="Lucida Sans Unicode" w:cs="Lucida Sans Unicode"/>
          <w:sz w:val="20"/>
          <w:szCs w:val="20"/>
        </w:rPr>
        <w:t xml:space="preserve"> jer doprinosi ostvarenju indikatora „broj studenata koji koriste studentske usluge“.</w:t>
      </w:r>
    </w:p>
    <w:p w14:paraId="244B36DF" w14:textId="77777777" w:rsidR="001C4817" w:rsidRPr="001C4817" w:rsidRDefault="001C4817" w:rsidP="001C4817">
      <w:pPr>
        <w:pStyle w:val="ListParagraph"/>
        <w:spacing w:before="240" w:after="24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7085FFD" w14:textId="4AC54DF1" w:rsidR="00B94CEE" w:rsidRPr="00B94CEE" w:rsidRDefault="00AE09D3" w:rsidP="001C4817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Element 4.</w:t>
      </w:r>
      <w:r w:rsidRPr="00554921">
        <w:rPr>
          <w:rFonts w:ascii="Lucida Sans Unicode" w:hAnsi="Lucida Sans Unicode" w:cs="Lucida Sans Unicode"/>
          <w:b/>
          <w:i/>
          <w:sz w:val="20"/>
          <w:szCs w:val="20"/>
        </w:rPr>
        <w:t xml:space="preserve"> </w:t>
      </w:r>
      <w:r w:rsidR="001C4817" w:rsidRPr="001C4817">
        <w:rPr>
          <w:rFonts w:ascii="Lucida Sans Unicode" w:hAnsi="Lucida Sans Unicode" w:cs="Lucida Sans Unicode"/>
          <w:b/>
          <w:i/>
          <w:sz w:val="20"/>
          <w:szCs w:val="20"/>
        </w:rPr>
        <w:t xml:space="preserve">Promidžba i vidljivost </w:t>
      </w:r>
    </w:p>
    <w:p w14:paraId="3E3A1304" w14:textId="2D2C9165" w:rsidR="00554921" w:rsidRPr="00554921" w:rsidRDefault="00A35390" w:rsidP="001A695C">
      <w:pPr>
        <w:pStyle w:val="ListParagraph"/>
        <w:spacing w:before="240" w:after="0" w:line="240" w:lineRule="auto"/>
        <w:ind w:left="1134" w:hanging="41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4.1. </w:t>
      </w:r>
      <w:r w:rsidR="001A695C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DC5493">
        <w:rPr>
          <w:rFonts w:ascii="Lucida Sans Unicode" w:hAnsi="Lucida Sans Unicode" w:cs="Lucida Sans Unicode"/>
          <w:sz w:val="20"/>
          <w:szCs w:val="20"/>
        </w:rPr>
        <w:t>o</w:t>
      </w:r>
      <w:r w:rsidR="00554921" w:rsidRPr="00554921">
        <w:rPr>
          <w:rFonts w:ascii="Lucida Sans Unicode" w:hAnsi="Lucida Sans Unicode" w:cs="Lucida Sans Unicode"/>
          <w:sz w:val="20"/>
          <w:szCs w:val="20"/>
        </w:rPr>
        <w:t xml:space="preserve">rganizacija promotivnih aktivnosti </w:t>
      </w:r>
    </w:p>
    <w:p w14:paraId="304B79CB" w14:textId="5E980F3C" w:rsidR="003636A9" w:rsidRDefault="00A35390" w:rsidP="001A695C">
      <w:pPr>
        <w:pStyle w:val="ListParagraph"/>
        <w:tabs>
          <w:tab w:val="left" w:pos="1276"/>
        </w:tabs>
        <w:spacing w:after="0" w:line="240" w:lineRule="auto"/>
        <w:ind w:left="1134" w:hanging="41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4.2. </w:t>
      </w:r>
      <w:r w:rsidR="001A695C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DC5493">
        <w:rPr>
          <w:rFonts w:ascii="Lucida Sans Unicode" w:hAnsi="Lucida Sans Unicode" w:cs="Lucida Sans Unicode"/>
          <w:sz w:val="20"/>
          <w:szCs w:val="20"/>
        </w:rPr>
        <w:t>o</w:t>
      </w:r>
      <w:r w:rsidR="00554921" w:rsidRPr="00554921">
        <w:rPr>
          <w:rFonts w:ascii="Lucida Sans Unicode" w:hAnsi="Lucida Sans Unicode" w:cs="Lucida Sans Unicode"/>
          <w:sz w:val="20"/>
          <w:szCs w:val="20"/>
        </w:rPr>
        <w:t>rganizacija okruglih stolova, t</w:t>
      </w:r>
      <w:r w:rsidR="00554921">
        <w:rPr>
          <w:rFonts w:ascii="Lucida Sans Unicode" w:hAnsi="Lucida Sans Unicode" w:cs="Lucida Sans Unicode"/>
          <w:sz w:val="20"/>
          <w:szCs w:val="20"/>
        </w:rPr>
        <w:t xml:space="preserve">iskovnih i drugih konferencija, </w:t>
      </w:r>
      <w:r w:rsidR="00554921" w:rsidRPr="00554921">
        <w:rPr>
          <w:rFonts w:ascii="Lucida Sans Unicode" w:hAnsi="Lucida Sans Unicode" w:cs="Lucida Sans Unicode"/>
          <w:sz w:val="20"/>
          <w:szCs w:val="20"/>
        </w:rPr>
        <w:t xml:space="preserve">diseminacijskih </w:t>
      </w:r>
      <w:r w:rsidR="003636A9">
        <w:rPr>
          <w:rFonts w:ascii="Lucida Sans Unicode" w:hAnsi="Lucida Sans Unicode" w:cs="Lucida Sans Unicode"/>
          <w:sz w:val="20"/>
          <w:szCs w:val="20"/>
        </w:rPr>
        <w:t xml:space="preserve">  </w:t>
      </w:r>
    </w:p>
    <w:p w14:paraId="54F84E74" w14:textId="266BBE5C" w:rsidR="00554921" w:rsidRPr="00554921" w:rsidRDefault="003636A9" w:rsidP="001A695C">
      <w:pPr>
        <w:pStyle w:val="ListParagraph"/>
        <w:tabs>
          <w:tab w:val="left" w:pos="1276"/>
        </w:tabs>
        <w:spacing w:after="0" w:line="240" w:lineRule="auto"/>
        <w:ind w:left="1134" w:hanging="41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    </w:t>
      </w:r>
      <w:r w:rsidR="001A695C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DC5493">
        <w:rPr>
          <w:rFonts w:ascii="Lucida Sans Unicode" w:hAnsi="Lucida Sans Unicode" w:cs="Lucida Sans Unicode"/>
          <w:sz w:val="20"/>
          <w:szCs w:val="20"/>
        </w:rPr>
        <w:t>radionica</w:t>
      </w:r>
    </w:p>
    <w:p w14:paraId="54E6955A" w14:textId="46CDE8CF" w:rsidR="00554921" w:rsidRPr="00554921" w:rsidRDefault="00A35390" w:rsidP="001A695C">
      <w:pPr>
        <w:pStyle w:val="ListParagraph"/>
        <w:spacing w:after="0" w:line="240" w:lineRule="auto"/>
        <w:ind w:left="1134" w:hanging="41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4.3. </w:t>
      </w:r>
      <w:r w:rsidR="001A695C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DC5493">
        <w:rPr>
          <w:rFonts w:ascii="Lucida Sans Unicode" w:hAnsi="Lucida Sans Unicode" w:cs="Lucida Sans Unicode"/>
          <w:sz w:val="20"/>
          <w:szCs w:val="20"/>
        </w:rPr>
        <w:t>p</w:t>
      </w:r>
      <w:r w:rsidR="00554921" w:rsidRPr="00554921">
        <w:rPr>
          <w:rFonts w:ascii="Lucida Sans Unicode" w:hAnsi="Lucida Sans Unicode" w:cs="Lucida Sans Unicode"/>
          <w:sz w:val="20"/>
          <w:szCs w:val="20"/>
        </w:rPr>
        <w:t>riprema promotivnog materijala</w:t>
      </w:r>
    </w:p>
    <w:p w14:paraId="2CFC760A" w14:textId="759DD940" w:rsidR="00554921" w:rsidRPr="00554921" w:rsidRDefault="00A35390" w:rsidP="001A695C">
      <w:pPr>
        <w:pStyle w:val="ListParagraph"/>
        <w:spacing w:after="0" w:line="240" w:lineRule="auto"/>
        <w:ind w:left="1134" w:hanging="41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4.4. </w:t>
      </w:r>
      <w:r w:rsidR="001A695C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DC5493">
        <w:rPr>
          <w:rFonts w:ascii="Lucida Sans Unicode" w:hAnsi="Lucida Sans Unicode" w:cs="Lucida Sans Unicode"/>
          <w:sz w:val="20"/>
          <w:szCs w:val="20"/>
        </w:rPr>
        <w:t>u</w:t>
      </w:r>
      <w:r w:rsidR="00554921" w:rsidRPr="00554921">
        <w:rPr>
          <w:rFonts w:ascii="Lucida Sans Unicode" w:hAnsi="Lucida Sans Unicode" w:cs="Lucida Sans Unicode"/>
          <w:sz w:val="20"/>
          <w:szCs w:val="20"/>
        </w:rPr>
        <w:t>spostava i održavanje internetskih stranica</w:t>
      </w:r>
    </w:p>
    <w:p w14:paraId="6C491707" w14:textId="75791449" w:rsidR="00554921" w:rsidRDefault="00A35390" w:rsidP="001A695C">
      <w:pPr>
        <w:pStyle w:val="ListParagraph"/>
        <w:spacing w:after="0" w:line="240" w:lineRule="auto"/>
        <w:ind w:left="1134" w:hanging="41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4.5. </w:t>
      </w:r>
      <w:r w:rsidR="001A695C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DC5493">
        <w:rPr>
          <w:rFonts w:ascii="Lucida Sans Unicode" w:hAnsi="Lucida Sans Unicode" w:cs="Lucida Sans Unicode"/>
          <w:sz w:val="20"/>
          <w:szCs w:val="20"/>
        </w:rPr>
        <w:t>o</w:t>
      </w:r>
      <w:r w:rsidR="00554921" w:rsidRPr="00554921">
        <w:rPr>
          <w:rFonts w:ascii="Lucida Sans Unicode" w:hAnsi="Lucida Sans Unicode" w:cs="Lucida Sans Unicode"/>
          <w:sz w:val="20"/>
          <w:szCs w:val="20"/>
        </w:rPr>
        <w:t>glasi i objave u medijskom prostoru</w:t>
      </w:r>
      <w:r w:rsidR="00DC5493">
        <w:rPr>
          <w:rFonts w:ascii="Lucida Sans Unicode" w:hAnsi="Lucida Sans Unicode" w:cs="Lucida Sans Unicode"/>
          <w:sz w:val="20"/>
          <w:szCs w:val="20"/>
        </w:rPr>
        <w:t>.</w:t>
      </w:r>
    </w:p>
    <w:p w14:paraId="4B0546A0" w14:textId="77777777" w:rsidR="005109C4" w:rsidRDefault="005109C4" w:rsidP="005109C4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34557E0B" w14:textId="23D9F4D9" w:rsidR="00820983" w:rsidRPr="00B94CEE" w:rsidRDefault="00820983" w:rsidP="00820983">
      <w:pPr>
        <w:rPr>
          <w:rFonts w:ascii="Lucida Sans Unicode" w:hAnsi="Lucida Sans Unicode" w:cs="Lucida Sans Unicode"/>
          <w:b/>
          <w:sz w:val="20"/>
        </w:rPr>
      </w:pPr>
      <w:r w:rsidRPr="001A695C">
        <w:rPr>
          <w:rFonts w:ascii="Lucida Sans Unicode" w:hAnsi="Lucida Sans Unicode" w:cs="Lucida Sans Unicode"/>
          <w:b/>
          <w:sz w:val="20"/>
        </w:rPr>
        <w:t xml:space="preserve">Prijavitelj </w:t>
      </w:r>
      <w:r w:rsidRPr="00B94CEE">
        <w:rPr>
          <w:rFonts w:ascii="Lucida Sans Unicode" w:hAnsi="Lucida Sans Unicode" w:cs="Lucida Sans Unicode"/>
          <w:b/>
          <w:sz w:val="20"/>
        </w:rPr>
        <w:t xml:space="preserve">mora </w:t>
      </w:r>
      <w:r>
        <w:rPr>
          <w:rFonts w:ascii="Lucida Sans Unicode" w:hAnsi="Lucida Sans Unicode" w:cs="Lucida Sans Unicode"/>
          <w:b/>
          <w:sz w:val="20"/>
        </w:rPr>
        <w:t xml:space="preserve">provesti </w:t>
      </w:r>
      <w:r w:rsidRPr="00B94CEE">
        <w:rPr>
          <w:rFonts w:ascii="Lucida Sans Unicode" w:hAnsi="Lucida Sans Unicode" w:cs="Lucida Sans Unicode"/>
          <w:b/>
          <w:sz w:val="20"/>
        </w:rPr>
        <w:t xml:space="preserve">aktivnost </w:t>
      </w:r>
      <w:r>
        <w:rPr>
          <w:rFonts w:ascii="Lucida Sans Unicode" w:hAnsi="Lucida Sans Unicode" w:cs="Lucida Sans Unicode"/>
          <w:b/>
          <w:sz w:val="20"/>
        </w:rPr>
        <w:t xml:space="preserve">3.1. </w:t>
      </w:r>
      <w:r w:rsidRPr="00B94CEE">
        <w:rPr>
          <w:rFonts w:ascii="Lucida Sans Unicode" w:hAnsi="Lucida Sans Unicode" w:cs="Lucida Sans Unicode"/>
          <w:b/>
          <w:sz w:val="20"/>
        </w:rPr>
        <w:t xml:space="preserve">iz Elementa </w:t>
      </w:r>
      <w:r>
        <w:rPr>
          <w:rFonts w:ascii="Lucida Sans Unicode" w:hAnsi="Lucida Sans Unicode" w:cs="Lucida Sans Unicode"/>
          <w:b/>
          <w:sz w:val="20"/>
        </w:rPr>
        <w:t>3</w:t>
      </w:r>
      <w:r w:rsidRPr="00B94CEE">
        <w:rPr>
          <w:rFonts w:ascii="Lucida Sans Unicode" w:hAnsi="Lucida Sans Unicode" w:cs="Lucida Sans Unicode"/>
          <w:b/>
          <w:sz w:val="20"/>
        </w:rPr>
        <w:t>.</w:t>
      </w:r>
      <w:r>
        <w:rPr>
          <w:rFonts w:ascii="Lucida Sans Unicode" w:hAnsi="Lucida Sans Unicode" w:cs="Lucida Sans Unicode"/>
          <w:b/>
          <w:sz w:val="20"/>
        </w:rPr>
        <w:t>, sve aktivnosti iz Elementa 1.,</w:t>
      </w:r>
      <w:r w:rsidRPr="00B94CEE">
        <w:rPr>
          <w:rFonts w:ascii="Lucida Sans Unicode" w:hAnsi="Lucida Sans Unicode" w:cs="Lucida Sans Unicode"/>
          <w:b/>
          <w:sz w:val="20"/>
        </w:rPr>
        <w:t xml:space="preserve"> te barem jednu aktivnost iz Elemenata 4.</w:t>
      </w:r>
    </w:p>
    <w:p w14:paraId="4ED13AAC" w14:textId="77777777" w:rsidR="00820983" w:rsidRPr="00B94CEE" w:rsidRDefault="00820983" w:rsidP="00820983">
      <w:pPr>
        <w:jc w:val="both"/>
        <w:rPr>
          <w:rFonts w:ascii="Lucida Sans Unicode" w:hAnsi="Lucida Sans Unicode" w:cs="Lucida Sans Unicode"/>
          <w:sz w:val="20"/>
        </w:rPr>
      </w:pPr>
      <w:r w:rsidRPr="00B94CEE">
        <w:rPr>
          <w:rFonts w:ascii="Lucida Sans Unicode" w:hAnsi="Lucida Sans Unicode" w:cs="Lucida Sans Unicode"/>
          <w:sz w:val="20"/>
        </w:rPr>
        <w:t xml:space="preserve">Pored gore navedenih aktivnosti, prijavitelj može predložiti i dodatne aktivnosti koje su u skladu s navedenim Elementima i ciljevima Poziva osim onih navedenih u točki 5. (Neprihvatljive aktivnosti). </w:t>
      </w:r>
    </w:p>
    <w:p w14:paraId="4BC4A7AF" w14:textId="66F0E867" w:rsidR="00820983" w:rsidRPr="005109C4" w:rsidRDefault="00820983" w:rsidP="00820983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Troškovi ve</w:t>
      </w:r>
      <w:r>
        <w:rPr>
          <w:rFonts w:ascii="Lucida Sans Unicode" w:hAnsi="Lucida Sans Unicode" w:cs="Lucida Sans Unicode"/>
          <w:sz w:val="20"/>
          <w:szCs w:val="20"/>
        </w:rPr>
        <w:t>zani uz provedbu Elemen</w:t>
      </w:r>
      <w:r w:rsidRPr="00B94CEE">
        <w:rPr>
          <w:rFonts w:ascii="Lucida Sans Unicode" w:hAnsi="Lucida Sans Unicode" w:cs="Lucida Sans Unicode"/>
          <w:sz w:val="20"/>
          <w:szCs w:val="20"/>
        </w:rPr>
        <w:t xml:space="preserve">ta </w:t>
      </w:r>
      <w:r>
        <w:rPr>
          <w:rFonts w:ascii="Lucida Sans Unicode" w:hAnsi="Lucida Sans Unicode" w:cs="Lucida Sans Unicode"/>
          <w:sz w:val="20"/>
          <w:szCs w:val="20"/>
        </w:rPr>
        <w:t>1.</w:t>
      </w:r>
      <w:r w:rsidRPr="00B94CEE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mogu iznositi najviše 10</w:t>
      </w:r>
      <w:r w:rsidRPr="00B94CEE">
        <w:rPr>
          <w:rFonts w:ascii="Lucida Sans Unicode" w:hAnsi="Lucida Sans Unicode" w:cs="Lucida Sans Unicode"/>
          <w:sz w:val="20"/>
          <w:szCs w:val="20"/>
        </w:rPr>
        <w:t>% ukupn</w:t>
      </w:r>
      <w:r>
        <w:rPr>
          <w:rFonts w:ascii="Lucida Sans Unicode" w:hAnsi="Lucida Sans Unicode" w:cs="Lucida Sans Unicode"/>
          <w:sz w:val="20"/>
          <w:szCs w:val="20"/>
        </w:rPr>
        <w:t>o</w:t>
      </w:r>
      <w:r w:rsidRPr="00B94CEE">
        <w:rPr>
          <w:rFonts w:ascii="Lucida Sans Unicode" w:hAnsi="Lucida Sans Unicode" w:cs="Lucida Sans Unicode"/>
          <w:sz w:val="20"/>
          <w:szCs w:val="20"/>
        </w:rPr>
        <w:t xml:space="preserve"> prihvatljivih troškova projekta.</w:t>
      </w:r>
    </w:p>
    <w:p w14:paraId="5261BE30" w14:textId="3E7D9E27" w:rsidR="00820983" w:rsidRPr="00B94CEE" w:rsidRDefault="00820983" w:rsidP="00820983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Troškovi ve</w:t>
      </w:r>
      <w:r>
        <w:rPr>
          <w:rFonts w:ascii="Lucida Sans Unicode" w:hAnsi="Lucida Sans Unicode" w:cs="Lucida Sans Unicode"/>
          <w:sz w:val="20"/>
          <w:szCs w:val="20"/>
        </w:rPr>
        <w:t>zani uz provedbu Elemen</w:t>
      </w:r>
      <w:r w:rsidRPr="00B94CEE">
        <w:rPr>
          <w:rFonts w:ascii="Lucida Sans Unicode" w:hAnsi="Lucida Sans Unicode" w:cs="Lucida Sans Unicode"/>
          <w:sz w:val="20"/>
          <w:szCs w:val="20"/>
        </w:rPr>
        <w:t xml:space="preserve">ta </w:t>
      </w:r>
      <w:r>
        <w:rPr>
          <w:rFonts w:ascii="Lucida Sans Unicode" w:hAnsi="Lucida Sans Unicode" w:cs="Lucida Sans Unicode"/>
          <w:sz w:val="20"/>
          <w:szCs w:val="20"/>
        </w:rPr>
        <w:t xml:space="preserve">4. mogu iznositi najviše </w:t>
      </w:r>
      <w:r w:rsidRPr="00B94CEE">
        <w:rPr>
          <w:rFonts w:ascii="Lucida Sans Unicode" w:hAnsi="Lucida Sans Unicode" w:cs="Lucida Sans Unicode"/>
          <w:sz w:val="20"/>
          <w:szCs w:val="20"/>
        </w:rPr>
        <w:t>5% ukupnih prihvatljivih troškova projekta.</w:t>
      </w:r>
    </w:p>
    <w:p w14:paraId="32B9426D" w14:textId="77777777" w:rsidR="001A2FA5" w:rsidRDefault="001A2FA5" w:rsidP="00C76F75">
      <w:pPr>
        <w:pStyle w:val="Heading1"/>
        <w:rPr>
          <w:rStyle w:val="hps"/>
        </w:rPr>
      </w:pPr>
      <w:r w:rsidRPr="001A695C">
        <w:rPr>
          <w:rStyle w:val="hps"/>
        </w:rPr>
        <w:t>Neprihvatljive aktivnosti</w:t>
      </w:r>
    </w:p>
    <w:p w14:paraId="602568C7" w14:textId="1D57825E" w:rsidR="00DC5493" w:rsidRPr="00DC5493" w:rsidRDefault="00DC5493" w:rsidP="00DC5493">
      <w:pPr>
        <w:rPr>
          <w:lang w:eastAsia="ar-SA"/>
        </w:rPr>
      </w:pPr>
      <w:r w:rsidRPr="00DC5493">
        <w:rPr>
          <w:lang w:eastAsia="ar-SA"/>
        </w:rPr>
        <w:t>Sljedeće vrste aktivnosti nisu prihvatljive za financiranje</w:t>
      </w:r>
      <w:r>
        <w:rPr>
          <w:lang w:eastAsia="ar-SA"/>
        </w:rPr>
        <w:t>:</w:t>
      </w:r>
    </w:p>
    <w:p w14:paraId="219B46AA" w14:textId="0AEBF5AC" w:rsidR="00B50D11" w:rsidRDefault="001C4817" w:rsidP="00B50D11">
      <w:pPr>
        <w:pStyle w:val="ListParagraph"/>
        <w:numPr>
          <w:ilvl w:val="0"/>
          <w:numId w:val="20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C4817">
        <w:rPr>
          <w:rFonts w:ascii="Lucida Sans Unicode" w:hAnsi="Lucida Sans Unicode" w:cs="Lucida Sans Unicode"/>
          <w:sz w:val="20"/>
          <w:szCs w:val="20"/>
        </w:rPr>
        <w:t>aktivnosti u sklopu</w:t>
      </w:r>
      <w:r w:rsidR="001A695C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1C4817">
        <w:rPr>
          <w:rFonts w:ascii="Lucida Sans Unicode" w:hAnsi="Lucida Sans Unicode" w:cs="Lucida Sans Unicode"/>
          <w:sz w:val="20"/>
          <w:szCs w:val="20"/>
        </w:rPr>
        <w:t xml:space="preserve">studijskih programa koji su obuhvaćeni projektima koji se financiraju iz Operacije „Provedba HKO-a na razini visokog obrazovanja“ </w:t>
      </w:r>
    </w:p>
    <w:p w14:paraId="3AF5C256" w14:textId="36103010" w:rsidR="00D22905" w:rsidRDefault="001C4817" w:rsidP="00B50D11">
      <w:pPr>
        <w:pStyle w:val="ListParagraph"/>
        <w:numPr>
          <w:ilvl w:val="0"/>
          <w:numId w:val="20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C4817">
        <w:rPr>
          <w:rFonts w:ascii="Lucida Sans Unicode" w:hAnsi="Lucida Sans Unicode" w:cs="Lucida Sans Unicode"/>
          <w:sz w:val="20"/>
          <w:szCs w:val="20"/>
        </w:rPr>
        <w:t>prove</w:t>
      </w:r>
      <w:r w:rsidR="00823659">
        <w:rPr>
          <w:rFonts w:ascii="Lucida Sans Unicode" w:hAnsi="Lucida Sans Unicode" w:cs="Lucida Sans Unicode"/>
          <w:sz w:val="20"/>
          <w:szCs w:val="20"/>
        </w:rPr>
        <w:t>dba stručne prakse u inozemstvu</w:t>
      </w:r>
    </w:p>
    <w:p w14:paraId="6041FB37" w14:textId="42D283AF" w:rsidR="00B50D11" w:rsidRDefault="001A695C" w:rsidP="00B50D11">
      <w:pPr>
        <w:pStyle w:val="ListParagraph"/>
        <w:numPr>
          <w:ilvl w:val="0"/>
          <w:numId w:val="20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s</w:t>
      </w:r>
      <w:r w:rsidR="00B50D11" w:rsidRPr="006E4938">
        <w:rPr>
          <w:rFonts w:ascii="Lucida Sans Unicode" w:hAnsi="Lucida Sans Unicode" w:cs="Lucida Sans Unicode"/>
          <w:sz w:val="20"/>
          <w:szCs w:val="20"/>
        </w:rPr>
        <w:t>ponzoriranje sudjelovanja na radionicama, seminari</w:t>
      </w:r>
      <w:r w:rsidR="00B50D11">
        <w:rPr>
          <w:rFonts w:ascii="Lucida Sans Unicode" w:hAnsi="Lucida Sans Unicode" w:cs="Lucida Sans Unicode"/>
          <w:sz w:val="20"/>
          <w:szCs w:val="20"/>
        </w:rPr>
        <w:t>ma, konferencijama, kongresima koji nisu u skladu s Elementima 2. i 3.</w:t>
      </w:r>
    </w:p>
    <w:p w14:paraId="5253FCD9" w14:textId="78B96D3D" w:rsidR="00336E54" w:rsidRDefault="001A695C" w:rsidP="00336E54">
      <w:pPr>
        <w:pStyle w:val="ListParagraph"/>
        <w:numPr>
          <w:ilvl w:val="0"/>
          <w:numId w:val="20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</w:t>
      </w:r>
      <w:r w:rsidR="00336E54" w:rsidRPr="006E4938">
        <w:rPr>
          <w:rFonts w:ascii="Lucida Sans Unicode" w:hAnsi="Lucida Sans Unicode" w:cs="Lucida Sans Unicode"/>
          <w:sz w:val="20"/>
          <w:szCs w:val="20"/>
        </w:rPr>
        <w:t>rojekti koji su povezani s političkim ili vjerskim aktivnostima</w:t>
      </w:r>
      <w:r w:rsidR="00D605BE">
        <w:rPr>
          <w:rFonts w:ascii="Lucida Sans Unicode" w:hAnsi="Lucida Sans Unicode" w:cs="Lucida Sans Unicode"/>
          <w:sz w:val="20"/>
          <w:szCs w:val="20"/>
        </w:rPr>
        <w:t>.</w:t>
      </w:r>
    </w:p>
    <w:p w14:paraId="411BBD82" w14:textId="77777777" w:rsidR="00B50D11" w:rsidRDefault="00B50D11" w:rsidP="001A695C">
      <w:pPr>
        <w:pStyle w:val="ListParagraph"/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B50D11" w:rsidSect="00A226EA">
      <w:headerReference w:type="default" r:id="rId15"/>
      <w:footerReference w:type="default" r:id="rId16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EAF5A" w14:textId="77777777" w:rsidR="004472FF" w:rsidRDefault="004472FF" w:rsidP="005B0573">
      <w:pPr>
        <w:spacing w:after="0" w:line="240" w:lineRule="auto"/>
      </w:pPr>
      <w:r>
        <w:separator/>
      </w:r>
    </w:p>
  </w:endnote>
  <w:endnote w:type="continuationSeparator" w:id="0">
    <w:p w14:paraId="094C165B" w14:textId="77777777" w:rsidR="004472FF" w:rsidRDefault="004472FF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8"/>
      <w:gridCol w:w="4614"/>
    </w:tblGrid>
    <w:tr w:rsidR="00F53F09" w14:paraId="0ADA198D" w14:textId="77777777" w:rsidTr="002F1286">
      <w:tc>
        <w:tcPr>
          <w:tcW w:w="4644" w:type="dxa"/>
          <w:vAlign w:val="center"/>
        </w:tcPr>
        <w:p w14:paraId="089A7C3E" w14:textId="77777777" w:rsidR="00F53F09" w:rsidRPr="002F1286" w:rsidRDefault="00F53F09" w:rsidP="00A226EA">
          <w:pPr>
            <w:pStyle w:val="Footer"/>
            <w:jc w:val="right"/>
            <w:rPr>
              <w:rFonts w:ascii="Lucida Sans Unicode" w:hAnsi="Lucida Sans Unicode" w:cs="Lucida Sans Unicode"/>
            </w:rPr>
          </w:pPr>
        </w:p>
      </w:tc>
      <w:tc>
        <w:tcPr>
          <w:tcW w:w="4644" w:type="dxa"/>
          <w:vAlign w:val="center"/>
        </w:tcPr>
        <w:p w14:paraId="299D1923" w14:textId="77777777" w:rsidR="00F53F09" w:rsidRDefault="00F53F09" w:rsidP="002F1286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FE16656" wp14:editId="351FDE30">
                <wp:extent cx="2352675" cy="5715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nta mala 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41" b="12283"/>
                        <a:stretch/>
                      </pic:blipFill>
                      <pic:spPr bwMode="auto">
                        <a:xfrm>
                          <a:off x="0" y="0"/>
                          <a:ext cx="2354249" cy="5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C12F4C9" w14:textId="77777777" w:rsidR="00F53F09" w:rsidRDefault="00F53F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1246" w14:textId="77777777" w:rsidR="00F53F09" w:rsidRDefault="00F53F09" w:rsidP="00A226EA">
    <w:pPr>
      <w:pStyle w:val="Footer"/>
      <w:jc w:val="right"/>
    </w:pPr>
    <w:r>
      <w:rPr>
        <w:noProof/>
      </w:rPr>
      <w:drawing>
        <wp:inline distT="0" distB="0" distL="0" distR="0" wp14:anchorId="3A54527F" wp14:editId="4FEDB557">
          <wp:extent cx="2352675" cy="5715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 mala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41" b="12283"/>
                  <a:stretch/>
                </pic:blipFill>
                <pic:spPr bwMode="auto">
                  <a:xfrm>
                    <a:off x="0" y="0"/>
                    <a:ext cx="2354249" cy="5718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3"/>
      <w:gridCol w:w="4609"/>
    </w:tblGrid>
    <w:tr w:rsidR="00A226EA" w14:paraId="6B34269F" w14:textId="77777777" w:rsidTr="002F1286">
      <w:tc>
        <w:tcPr>
          <w:tcW w:w="4644" w:type="dxa"/>
          <w:vAlign w:val="center"/>
        </w:tcPr>
        <w:p w14:paraId="47DF50E3" w14:textId="77777777" w:rsidR="00A226EA" w:rsidRPr="002F1286" w:rsidRDefault="000A585A" w:rsidP="000A585A">
          <w:pPr>
            <w:pStyle w:val="Footer"/>
            <w:rPr>
              <w:rFonts w:ascii="Lucida Sans Unicode" w:hAnsi="Lucida Sans Unicode" w:cs="Lucida Sans Unicode"/>
            </w:rPr>
          </w:pPr>
          <w:r w:rsidRPr="000A585A">
            <w:rPr>
              <w:rFonts w:ascii="Lucida Sans Unicode" w:hAnsi="Lucida Sans Unicode" w:cs="Lucida Sans Unicode"/>
            </w:rPr>
            <w:t xml:space="preserve">Stranica | </w:t>
          </w:r>
          <w:r w:rsidRPr="000A585A">
            <w:rPr>
              <w:rFonts w:ascii="Lucida Sans Unicode" w:hAnsi="Lucida Sans Unicode" w:cs="Lucida Sans Unicode"/>
            </w:rPr>
            <w:fldChar w:fldCharType="begin"/>
          </w:r>
          <w:r w:rsidRPr="000A585A">
            <w:rPr>
              <w:rFonts w:ascii="Lucida Sans Unicode" w:hAnsi="Lucida Sans Unicode" w:cs="Lucida Sans Unicode"/>
            </w:rPr>
            <w:instrText>PAGE   \* MERGEFORMAT</w:instrText>
          </w:r>
          <w:r w:rsidRPr="000A585A">
            <w:rPr>
              <w:rFonts w:ascii="Lucida Sans Unicode" w:hAnsi="Lucida Sans Unicode" w:cs="Lucida Sans Unicode"/>
            </w:rPr>
            <w:fldChar w:fldCharType="separate"/>
          </w:r>
          <w:r w:rsidR="007E2115">
            <w:rPr>
              <w:rFonts w:ascii="Lucida Sans Unicode" w:hAnsi="Lucida Sans Unicode" w:cs="Lucida Sans Unicode"/>
              <w:noProof/>
            </w:rPr>
            <w:t>6</w:t>
          </w:r>
          <w:r w:rsidRPr="000A585A">
            <w:rPr>
              <w:rFonts w:ascii="Lucida Sans Unicode" w:hAnsi="Lucida Sans Unicode" w:cs="Lucida Sans Unicode"/>
            </w:rPr>
            <w:fldChar w:fldCharType="end"/>
          </w:r>
        </w:p>
      </w:tc>
      <w:tc>
        <w:tcPr>
          <w:tcW w:w="4644" w:type="dxa"/>
          <w:vAlign w:val="center"/>
        </w:tcPr>
        <w:p w14:paraId="5D2EE5D6" w14:textId="77777777" w:rsidR="00A226EA" w:rsidRDefault="00A226EA" w:rsidP="002F1286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AA62A3A" wp14:editId="43AEBCE0">
                <wp:extent cx="2352675" cy="57150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nta mala 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41" b="12283"/>
                        <a:stretch/>
                      </pic:blipFill>
                      <pic:spPr bwMode="auto">
                        <a:xfrm>
                          <a:off x="0" y="0"/>
                          <a:ext cx="2354249" cy="5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ABA8079" w14:textId="77777777" w:rsidR="00A226EA" w:rsidRDefault="00A22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99D43" w14:textId="77777777" w:rsidR="004472FF" w:rsidRDefault="004472FF" w:rsidP="005B0573">
      <w:pPr>
        <w:spacing w:after="0" w:line="240" w:lineRule="auto"/>
      </w:pPr>
      <w:r>
        <w:separator/>
      </w:r>
    </w:p>
  </w:footnote>
  <w:footnote w:type="continuationSeparator" w:id="0">
    <w:p w14:paraId="009B2BC5" w14:textId="77777777" w:rsidR="004472FF" w:rsidRDefault="004472FF" w:rsidP="005B0573">
      <w:pPr>
        <w:spacing w:after="0" w:line="240" w:lineRule="auto"/>
      </w:pPr>
      <w:r>
        <w:continuationSeparator/>
      </w:r>
    </w:p>
  </w:footnote>
  <w:footnote w:id="1">
    <w:p w14:paraId="3F20A1D2" w14:textId="696D5569" w:rsidR="00D104BD" w:rsidRDefault="00D104BD">
      <w:pPr>
        <w:pStyle w:val="FootnoteText"/>
      </w:pPr>
      <w:r>
        <w:rPr>
          <w:rStyle w:val="FootnoteReference"/>
        </w:rPr>
        <w:footnoteRef/>
      </w:r>
      <w:r>
        <w:t xml:space="preserve"> Nenastavno osoblje odnosi se na osoblje stručnih službi visokih učilišta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C23B7" w14:textId="77777777" w:rsidR="00F53F09" w:rsidRDefault="00F53F09" w:rsidP="00CD7A34">
    <w:pPr>
      <w:pStyle w:val="Header"/>
      <w:tabs>
        <w:tab w:val="clear" w:pos="4536"/>
        <w:tab w:val="clear" w:pos="9072"/>
        <w:tab w:val="left" w:pos="3705"/>
      </w:tabs>
    </w:pPr>
    <w:r>
      <w:rPr>
        <w:noProof/>
      </w:rPr>
      <w:drawing>
        <wp:inline distT="0" distB="0" distL="0" distR="0" wp14:anchorId="07F82024" wp14:editId="54F5AC57">
          <wp:extent cx="1906667" cy="485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os_hr_novi_logo_dokumen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67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B42D95B" w14:textId="77777777" w:rsidR="00F53F09" w:rsidRPr="00133E07" w:rsidRDefault="00F53F09" w:rsidP="00CD7A34">
    <w:pPr>
      <w:pStyle w:val="Header"/>
      <w:tabs>
        <w:tab w:val="clear" w:pos="4536"/>
        <w:tab w:val="clear" w:pos="9072"/>
        <w:tab w:val="left" w:pos="370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6963" w14:textId="77777777" w:rsidR="00F53F09" w:rsidRDefault="00F53F09">
    <w:pPr>
      <w:pStyle w:val="Header"/>
    </w:pPr>
    <w:r>
      <w:rPr>
        <w:noProof/>
      </w:rPr>
      <w:drawing>
        <wp:inline distT="0" distB="0" distL="0" distR="0" wp14:anchorId="229BB57A" wp14:editId="4A8DBB39">
          <wp:extent cx="1906667" cy="4857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os_hr_novi_logo_dokumen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67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CC1D9" w14:textId="77777777" w:rsidR="00F53F09" w:rsidRPr="00A226EA" w:rsidRDefault="00F53F09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00452" w14:textId="77777777" w:rsidR="00A226EA" w:rsidRDefault="00A226EA" w:rsidP="00CD7A34">
    <w:pPr>
      <w:pStyle w:val="Header"/>
      <w:tabs>
        <w:tab w:val="clear" w:pos="4536"/>
        <w:tab w:val="clear" w:pos="9072"/>
        <w:tab w:val="left" w:pos="3705"/>
      </w:tabs>
    </w:pPr>
    <w:r>
      <w:rPr>
        <w:noProof/>
      </w:rPr>
      <w:drawing>
        <wp:inline distT="0" distB="0" distL="0" distR="0" wp14:anchorId="0DF12FD4" wp14:editId="78C4A2CA">
          <wp:extent cx="1906667" cy="4857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os_hr_novi_logo_dokumen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67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E42ADE1" w14:textId="77777777" w:rsidR="00A226EA" w:rsidRPr="00133E07" w:rsidRDefault="00A226EA" w:rsidP="00CD7A34">
    <w:pPr>
      <w:pStyle w:val="Header"/>
      <w:tabs>
        <w:tab w:val="clear" w:pos="4536"/>
        <w:tab w:val="clear" w:pos="9072"/>
        <w:tab w:val="left" w:pos="37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7F0"/>
    <w:multiLevelType w:val="hybridMultilevel"/>
    <w:tmpl w:val="DEA05E3C"/>
    <w:lvl w:ilvl="0" w:tplc="858E0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75EF"/>
    <w:multiLevelType w:val="hybridMultilevel"/>
    <w:tmpl w:val="F91EA4FA"/>
    <w:lvl w:ilvl="0" w:tplc="1C6A8E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5F7F"/>
    <w:multiLevelType w:val="hybridMultilevel"/>
    <w:tmpl w:val="ABDA5486"/>
    <w:lvl w:ilvl="0" w:tplc="0400B850">
      <w:start w:val="1"/>
      <w:numFmt w:val="bullet"/>
      <w:lvlText w:val="-"/>
      <w:lvlJc w:val="left"/>
      <w:pPr>
        <w:ind w:left="1065" w:hanging="705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6135B"/>
    <w:multiLevelType w:val="hybridMultilevel"/>
    <w:tmpl w:val="37A288D8"/>
    <w:lvl w:ilvl="0" w:tplc="7A08EF48">
      <w:start w:val="1"/>
      <w:numFmt w:val="bullet"/>
      <w:lvlText w:val=""/>
      <w:lvlJc w:val="left"/>
      <w:pPr>
        <w:ind w:left="1440" w:hanging="360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11056C"/>
    <w:multiLevelType w:val="multilevel"/>
    <w:tmpl w:val="1F207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6A6168"/>
    <w:multiLevelType w:val="hybridMultilevel"/>
    <w:tmpl w:val="37CC198C"/>
    <w:lvl w:ilvl="0" w:tplc="42CA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D7CDA"/>
    <w:multiLevelType w:val="hybridMultilevel"/>
    <w:tmpl w:val="B8BA6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148CE"/>
    <w:multiLevelType w:val="hybridMultilevel"/>
    <w:tmpl w:val="7AD487D6"/>
    <w:lvl w:ilvl="0" w:tplc="0400B850">
      <w:start w:val="1"/>
      <w:numFmt w:val="bullet"/>
      <w:lvlText w:val="-"/>
      <w:lvlJc w:val="left"/>
      <w:pPr>
        <w:ind w:left="1065" w:hanging="705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772CE"/>
    <w:multiLevelType w:val="hybridMultilevel"/>
    <w:tmpl w:val="366ADAC2"/>
    <w:lvl w:ilvl="0" w:tplc="F3ACC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62130"/>
    <w:multiLevelType w:val="hybridMultilevel"/>
    <w:tmpl w:val="B27CDA8A"/>
    <w:lvl w:ilvl="0" w:tplc="B3BCE0EE">
      <w:start w:val="1"/>
      <w:numFmt w:val="bullet"/>
      <w:lvlText w:val="-"/>
      <w:lvlJc w:val="left"/>
      <w:pPr>
        <w:ind w:left="1065" w:hanging="705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C3CE9"/>
    <w:multiLevelType w:val="hybridMultilevel"/>
    <w:tmpl w:val="97DE9280"/>
    <w:lvl w:ilvl="0" w:tplc="42A400A2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74CBA"/>
    <w:multiLevelType w:val="multilevel"/>
    <w:tmpl w:val="1F207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9D2E24"/>
    <w:multiLevelType w:val="hybridMultilevel"/>
    <w:tmpl w:val="C81A3436"/>
    <w:lvl w:ilvl="0" w:tplc="42CA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7617D"/>
    <w:multiLevelType w:val="hybridMultilevel"/>
    <w:tmpl w:val="9E9E8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63F9E"/>
    <w:multiLevelType w:val="hybridMultilevel"/>
    <w:tmpl w:val="3DD0E732"/>
    <w:lvl w:ilvl="0" w:tplc="55D653C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027B3"/>
    <w:multiLevelType w:val="multilevel"/>
    <w:tmpl w:val="7B38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E5F3B65"/>
    <w:multiLevelType w:val="hybridMultilevel"/>
    <w:tmpl w:val="9FF63FC4"/>
    <w:lvl w:ilvl="0" w:tplc="42CA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11295"/>
    <w:multiLevelType w:val="hybridMultilevel"/>
    <w:tmpl w:val="0AFEF734"/>
    <w:lvl w:ilvl="0" w:tplc="42CA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9274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742F8"/>
    <w:multiLevelType w:val="hybridMultilevel"/>
    <w:tmpl w:val="CB063180"/>
    <w:lvl w:ilvl="0" w:tplc="D4FEA156">
      <w:start w:val="1"/>
      <w:numFmt w:val="bullet"/>
      <w:lvlText w:val="-"/>
      <w:lvlJc w:val="left"/>
      <w:pPr>
        <w:ind w:left="1065" w:hanging="705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24C1F"/>
    <w:multiLevelType w:val="multilevel"/>
    <w:tmpl w:val="B69E7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6F8D3C2E"/>
    <w:multiLevelType w:val="hybridMultilevel"/>
    <w:tmpl w:val="BD88C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178E3"/>
    <w:multiLevelType w:val="multilevel"/>
    <w:tmpl w:val="1F207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EB25B0"/>
    <w:multiLevelType w:val="hybridMultilevel"/>
    <w:tmpl w:val="2AF20D8E"/>
    <w:lvl w:ilvl="0" w:tplc="55D653C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9470C"/>
    <w:multiLevelType w:val="multilevel"/>
    <w:tmpl w:val="17824B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13"/>
  </w:num>
  <w:num w:numId="5">
    <w:abstractNumId w:val="18"/>
  </w:num>
  <w:num w:numId="6">
    <w:abstractNumId w:val="17"/>
  </w:num>
  <w:num w:numId="7">
    <w:abstractNumId w:val="12"/>
  </w:num>
  <w:num w:numId="8">
    <w:abstractNumId w:val="9"/>
  </w:num>
  <w:num w:numId="9">
    <w:abstractNumId w:val="5"/>
  </w:num>
  <w:num w:numId="10">
    <w:abstractNumId w:val="19"/>
  </w:num>
  <w:num w:numId="11">
    <w:abstractNumId w:val="16"/>
  </w:num>
  <w:num w:numId="12">
    <w:abstractNumId w:val="7"/>
  </w:num>
  <w:num w:numId="13">
    <w:abstractNumId w:val="2"/>
  </w:num>
  <w:num w:numId="14">
    <w:abstractNumId w:val="3"/>
  </w:num>
  <w:num w:numId="15">
    <w:abstractNumId w:val="8"/>
  </w:num>
  <w:num w:numId="16">
    <w:abstractNumId w:val="21"/>
  </w:num>
  <w:num w:numId="17">
    <w:abstractNumId w:val="4"/>
  </w:num>
  <w:num w:numId="18">
    <w:abstractNumId w:val="11"/>
  </w:num>
  <w:num w:numId="19">
    <w:abstractNumId w:val="10"/>
  </w:num>
  <w:num w:numId="20">
    <w:abstractNumId w:val="14"/>
  </w:num>
  <w:num w:numId="21">
    <w:abstractNumId w:val="23"/>
  </w:num>
  <w:num w:numId="22">
    <w:abstractNumId w:val="20"/>
  </w:num>
  <w:num w:numId="23">
    <w:abstractNumId w:val="24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E"/>
    <w:rsid w:val="000014C2"/>
    <w:rsid w:val="00007F3E"/>
    <w:rsid w:val="000274F6"/>
    <w:rsid w:val="0003776A"/>
    <w:rsid w:val="00051941"/>
    <w:rsid w:val="000524BE"/>
    <w:rsid w:val="00057A00"/>
    <w:rsid w:val="00063CE9"/>
    <w:rsid w:val="0006624E"/>
    <w:rsid w:val="00071E82"/>
    <w:rsid w:val="00071E92"/>
    <w:rsid w:val="00071FF0"/>
    <w:rsid w:val="00074629"/>
    <w:rsid w:val="000A585A"/>
    <w:rsid w:val="000B7424"/>
    <w:rsid w:val="000D69D4"/>
    <w:rsid w:val="000F1EFA"/>
    <w:rsid w:val="000F580A"/>
    <w:rsid w:val="0011610C"/>
    <w:rsid w:val="001223EB"/>
    <w:rsid w:val="001247F8"/>
    <w:rsid w:val="00133E07"/>
    <w:rsid w:val="001407A9"/>
    <w:rsid w:val="00145722"/>
    <w:rsid w:val="001615F2"/>
    <w:rsid w:val="001671D2"/>
    <w:rsid w:val="001A2FA5"/>
    <w:rsid w:val="001A695C"/>
    <w:rsid w:val="001B1428"/>
    <w:rsid w:val="001B1769"/>
    <w:rsid w:val="001B3959"/>
    <w:rsid w:val="001C4817"/>
    <w:rsid w:val="001D338F"/>
    <w:rsid w:val="001E5546"/>
    <w:rsid w:val="001F2119"/>
    <w:rsid w:val="002033BF"/>
    <w:rsid w:val="00205693"/>
    <w:rsid w:val="00207971"/>
    <w:rsid w:val="00222125"/>
    <w:rsid w:val="002226A7"/>
    <w:rsid w:val="0022545D"/>
    <w:rsid w:val="00227101"/>
    <w:rsid w:val="00241EB8"/>
    <w:rsid w:val="00243DAC"/>
    <w:rsid w:val="00251D24"/>
    <w:rsid w:val="00253EFD"/>
    <w:rsid w:val="00260BC4"/>
    <w:rsid w:val="002630F8"/>
    <w:rsid w:val="00274FCA"/>
    <w:rsid w:val="00294FAB"/>
    <w:rsid w:val="00295613"/>
    <w:rsid w:val="002A2218"/>
    <w:rsid w:val="002C2929"/>
    <w:rsid w:val="002C4A89"/>
    <w:rsid w:val="002D72D7"/>
    <w:rsid w:val="002F1286"/>
    <w:rsid w:val="003019F7"/>
    <w:rsid w:val="00313A54"/>
    <w:rsid w:val="0032506F"/>
    <w:rsid w:val="00336E54"/>
    <w:rsid w:val="003418E7"/>
    <w:rsid w:val="00342FE8"/>
    <w:rsid w:val="00346D6D"/>
    <w:rsid w:val="003521EE"/>
    <w:rsid w:val="003529A6"/>
    <w:rsid w:val="003636A9"/>
    <w:rsid w:val="00381654"/>
    <w:rsid w:val="00390B14"/>
    <w:rsid w:val="003C0590"/>
    <w:rsid w:val="003D5B3F"/>
    <w:rsid w:val="003D61E2"/>
    <w:rsid w:val="00401337"/>
    <w:rsid w:val="004037CD"/>
    <w:rsid w:val="00411FD2"/>
    <w:rsid w:val="00417310"/>
    <w:rsid w:val="00420C0E"/>
    <w:rsid w:val="00434339"/>
    <w:rsid w:val="00440612"/>
    <w:rsid w:val="004472FF"/>
    <w:rsid w:val="00463E16"/>
    <w:rsid w:val="00476302"/>
    <w:rsid w:val="004B7535"/>
    <w:rsid w:val="004E0F6E"/>
    <w:rsid w:val="004E1701"/>
    <w:rsid w:val="004E7701"/>
    <w:rsid w:val="005109C4"/>
    <w:rsid w:val="00522B99"/>
    <w:rsid w:val="00536D9D"/>
    <w:rsid w:val="00544514"/>
    <w:rsid w:val="00544A0C"/>
    <w:rsid w:val="005514B4"/>
    <w:rsid w:val="00554921"/>
    <w:rsid w:val="005653A4"/>
    <w:rsid w:val="00567B10"/>
    <w:rsid w:val="005A236F"/>
    <w:rsid w:val="005B0573"/>
    <w:rsid w:val="005B4F68"/>
    <w:rsid w:val="005B5C80"/>
    <w:rsid w:val="005C3382"/>
    <w:rsid w:val="005E0064"/>
    <w:rsid w:val="005E3E28"/>
    <w:rsid w:val="005E4C24"/>
    <w:rsid w:val="005F6808"/>
    <w:rsid w:val="00600858"/>
    <w:rsid w:val="0062477D"/>
    <w:rsid w:val="006477C0"/>
    <w:rsid w:val="00652E08"/>
    <w:rsid w:val="0065799B"/>
    <w:rsid w:val="006667D2"/>
    <w:rsid w:val="0067251C"/>
    <w:rsid w:val="00682AB3"/>
    <w:rsid w:val="00691078"/>
    <w:rsid w:val="006A4BFE"/>
    <w:rsid w:val="006C51B4"/>
    <w:rsid w:val="006C570B"/>
    <w:rsid w:val="006E4938"/>
    <w:rsid w:val="006F4AD8"/>
    <w:rsid w:val="00703DF8"/>
    <w:rsid w:val="0072161A"/>
    <w:rsid w:val="00742BE0"/>
    <w:rsid w:val="007459B1"/>
    <w:rsid w:val="0075122C"/>
    <w:rsid w:val="00764691"/>
    <w:rsid w:val="00771227"/>
    <w:rsid w:val="00772943"/>
    <w:rsid w:val="00785A6B"/>
    <w:rsid w:val="007863F1"/>
    <w:rsid w:val="00793520"/>
    <w:rsid w:val="007C0ADD"/>
    <w:rsid w:val="007C28E4"/>
    <w:rsid w:val="007C4022"/>
    <w:rsid w:val="007C53BA"/>
    <w:rsid w:val="007D251A"/>
    <w:rsid w:val="007E2115"/>
    <w:rsid w:val="007F0867"/>
    <w:rsid w:val="00804AFB"/>
    <w:rsid w:val="008079C1"/>
    <w:rsid w:val="00820983"/>
    <w:rsid w:val="00823659"/>
    <w:rsid w:val="00826C2D"/>
    <w:rsid w:val="00832AF7"/>
    <w:rsid w:val="00857513"/>
    <w:rsid w:val="0087377B"/>
    <w:rsid w:val="008A0435"/>
    <w:rsid w:val="008A7592"/>
    <w:rsid w:val="008C2A9B"/>
    <w:rsid w:val="008D1CDE"/>
    <w:rsid w:val="008E38F9"/>
    <w:rsid w:val="008F77EC"/>
    <w:rsid w:val="0090562E"/>
    <w:rsid w:val="00907DF3"/>
    <w:rsid w:val="00931E38"/>
    <w:rsid w:val="009345F5"/>
    <w:rsid w:val="0093519E"/>
    <w:rsid w:val="0095779D"/>
    <w:rsid w:val="00961E89"/>
    <w:rsid w:val="00984D31"/>
    <w:rsid w:val="00986793"/>
    <w:rsid w:val="009944DC"/>
    <w:rsid w:val="009A1DC5"/>
    <w:rsid w:val="009A29EB"/>
    <w:rsid w:val="009A4F66"/>
    <w:rsid w:val="009D3985"/>
    <w:rsid w:val="009D5509"/>
    <w:rsid w:val="009E7390"/>
    <w:rsid w:val="009F25A7"/>
    <w:rsid w:val="00A06DD9"/>
    <w:rsid w:val="00A20099"/>
    <w:rsid w:val="00A226EA"/>
    <w:rsid w:val="00A24C72"/>
    <w:rsid w:val="00A35390"/>
    <w:rsid w:val="00A470A7"/>
    <w:rsid w:val="00A91A56"/>
    <w:rsid w:val="00A92666"/>
    <w:rsid w:val="00A9413B"/>
    <w:rsid w:val="00A979D4"/>
    <w:rsid w:val="00A97AF9"/>
    <w:rsid w:val="00AB1723"/>
    <w:rsid w:val="00AB2D1A"/>
    <w:rsid w:val="00AC497C"/>
    <w:rsid w:val="00AD069D"/>
    <w:rsid w:val="00AD073A"/>
    <w:rsid w:val="00AD5C6E"/>
    <w:rsid w:val="00AE0191"/>
    <w:rsid w:val="00AE09D3"/>
    <w:rsid w:val="00AE2FF3"/>
    <w:rsid w:val="00AE56AD"/>
    <w:rsid w:val="00B016E1"/>
    <w:rsid w:val="00B35E76"/>
    <w:rsid w:val="00B471AC"/>
    <w:rsid w:val="00B50D11"/>
    <w:rsid w:val="00B606C1"/>
    <w:rsid w:val="00B61188"/>
    <w:rsid w:val="00B63026"/>
    <w:rsid w:val="00B673CF"/>
    <w:rsid w:val="00B70469"/>
    <w:rsid w:val="00B82DED"/>
    <w:rsid w:val="00B9154C"/>
    <w:rsid w:val="00B94CEE"/>
    <w:rsid w:val="00BB2FAD"/>
    <w:rsid w:val="00BB4BC4"/>
    <w:rsid w:val="00BD6076"/>
    <w:rsid w:val="00BE0BF9"/>
    <w:rsid w:val="00BF18E3"/>
    <w:rsid w:val="00BF2400"/>
    <w:rsid w:val="00C01D48"/>
    <w:rsid w:val="00C23369"/>
    <w:rsid w:val="00C4107D"/>
    <w:rsid w:val="00C440DF"/>
    <w:rsid w:val="00C524C0"/>
    <w:rsid w:val="00C53D16"/>
    <w:rsid w:val="00C63AF7"/>
    <w:rsid w:val="00C76F75"/>
    <w:rsid w:val="00C917C5"/>
    <w:rsid w:val="00CB0DAF"/>
    <w:rsid w:val="00CC621A"/>
    <w:rsid w:val="00CD7A34"/>
    <w:rsid w:val="00CE1F00"/>
    <w:rsid w:val="00CF297E"/>
    <w:rsid w:val="00D03EF7"/>
    <w:rsid w:val="00D104BD"/>
    <w:rsid w:val="00D114F8"/>
    <w:rsid w:val="00D13BC9"/>
    <w:rsid w:val="00D151D3"/>
    <w:rsid w:val="00D20738"/>
    <w:rsid w:val="00D22905"/>
    <w:rsid w:val="00D33A7F"/>
    <w:rsid w:val="00D4082C"/>
    <w:rsid w:val="00D50BEB"/>
    <w:rsid w:val="00D52FE9"/>
    <w:rsid w:val="00D605BE"/>
    <w:rsid w:val="00D8473F"/>
    <w:rsid w:val="00D9036B"/>
    <w:rsid w:val="00DA75D6"/>
    <w:rsid w:val="00DC5493"/>
    <w:rsid w:val="00DC6D85"/>
    <w:rsid w:val="00DD2AE5"/>
    <w:rsid w:val="00DF7D44"/>
    <w:rsid w:val="00E43FB9"/>
    <w:rsid w:val="00E440F3"/>
    <w:rsid w:val="00E561F7"/>
    <w:rsid w:val="00E7405E"/>
    <w:rsid w:val="00E814D9"/>
    <w:rsid w:val="00E84CB7"/>
    <w:rsid w:val="00E87FEF"/>
    <w:rsid w:val="00E94945"/>
    <w:rsid w:val="00E9728C"/>
    <w:rsid w:val="00EA17C2"/>
    <w:rsid w:val="00EC4D4F"/>
    <w:rsid w:val="00F03560"/>
    <w:rsid w:val="00F53F09"/>
    <w:rsid w:val="00F60D88"/>
    <w:rsid w:val="00F653C9"/>
    <w:rsid w:val="00F77B91"/>
    <w:rsid w:val="00F91B96"/>
    <w:rsid w:val="00FA5ABD"/>
    <w:rsid w:val="00FC10E8"/>
    <w:rsid w:val="00FC2024"/>
    <w:rsid w:val="00FC5B6F"/>
    <w:rsid w:val="00FD329C"/>
    <w:rsid w:val="00FD3CF9"/>
    <w:rsid w:val="00FE7D6E"/>
    <w:rsid w:val="00FF3FAC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E855F9"/>
  <w15:docId w15:val="{4CD75FE3-3A4F-4F9A-B92D-08D86554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6F75"/>
    <w:pPr>
      <w:keepNext/>
      <w:keepLines/>
      <w:numPr>
        <w:numId w:val="23"/>
      </w:numPr>
      <w:spacing w:before="360" w:after="240"/>
      <w:outlineLvl w:val="0"/>
    </w:pPr>
    <w:rPr>
      <w:rFonts w:ascii="Lucida Sans Unicode" w:eastAsia="Times New Roman" w:hAnsi="Lucida Sans Unicode" w:cs="Lucida Sans Unicode"/>
      <w:b/>
      <w:bCs/>
      <w:color w:val="365F91" w:themeColor="accent1" w:themeShade="BF"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1"/>
    <w:autoRedefine/>
    <w:uiPriority w:val="9"/>
    <w:unhideWhenUsed/>
    <w:qFormat/>
    <w:rsid w:val="00C76F75"/>
    <w:pPr>
      <w:keepNext/>
      <w:keepLines/>
      <w:numPr>
        <w:ilvl w:val="1"/>
        <w:numId w:val="23"/>
      </w:numPr>
      <w:spacing w:before="120" w:after="120"/>
      <w:outlineLvl w:val="1"/>
    </w:pPr>
    <w:rPr>
      <w:rFonts w:ascii="Lucida Sans Unicode" w:eastAsia="Times New Roman" w:hAnsi="Lucida Sans Unicode" w:cs="Lucida Sans Unicode"/>
      <w:bCs/>
      <w:color w:val="365F91" w:themeColor="accent1" w:themeShade="BF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7D2"/>
    <w:pPr>
      <w:keepNext/>
      <w:keepLines/>
      <w:numPr>
        <w:ilvl w:val="2"/>
        <w:numId w:val="2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7D2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7D2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7D2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7D2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7D2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7D2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73"/>
  </w:style>
  <w:style w:type="paragraph" w:styleId="Footer">
    <w:name w:val="footer"/>
    <w:basedOn w:val="Normal"/>
    <w:link w:val="Footer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73"/>
  </w:style>
  <w:style w:type="character" w:customStyle="1" w:styleId="hps">
    <w:name w:val="hps"/>
    <w:basedOn w:val="DefaultParagraphFont"/>
    <w:rsid w:val="00BF18E3"/>
  </w:style>
  <w:style w:type="paragraph" w:styleId="BalloonText">
    <w:name w:val="Balloon Text"/>
    <w:basedOn w:val="Normal"/>
    <w:link w:val="BalloonText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F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19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9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94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42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F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FE8"/>
    <w:rPr>
      <w:rFonts w:ascii="Times New Roman" w:eastAsia="Times New Roman" w:hAnsi="Times New Roman" w:cs="Times New Roman"/>
      <w:sz w:val="20"/>
      <w:szCs w:val="20"/>
      <w:lang w:val="en-IE" w:eastAsia="zh-CN"/>
    </w:rPr>
  </w:style>
  <w:style w:type="character" w:styleId="Hyperlink">
    <w:name w:val="Hyperlink"/>
    <w:rsid w:val="00804AF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654"/>
    <w:pPr>
      <w:suppressAutoHyphens w:val="0"/>
      <w:spacing w:after="200"/>
    </w:pPr>
    <w:rPr>
      <w:rFonts w:asciiTheme="minorHAnsi" w:eastAsiaTheme="minorEastAsia" w:hAnsiTheme="minorHAnsi" w:cstheme="minorBidi"/>
      <w:b/>
      <w:bCs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654"/>
    <w:rPr>
      <w:rFonts w:ascii="Times New Roman" w:eastAsia="Times New Roman" w:hAnsi="Times New Roman" w:cs="Times New Roman"/>
      <w:b/>
      <w:bCs/>
      <w:sz w:val="20"/>
      <w:szCs w:val="20"/>
      <w:lang w:val="en-I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6302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F2119"/>
    <w:pPr>
      <w:spacing w:after="0" w:line="240" w:lineRule="auto"/>
      <w:contextualSpacing/>
    </w:pPr>
    <w:rPr>
      <w:rFonts w:ascii="Lucida Sans Unicode" w:eastAsiaTheme="majorEastAsia" w:hAnsi="Lucida Sans Unicode" w:cstheme="majorBidi"/>
      <w:color w:val="365F91" w:themeColor="accent1" w:themeShade="B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119"/>
    <w:rPr>
      <w:rFonts w:ascii="Lucida Sans Unicode" w:eastAsiaTheme="majorEastAsia" w:hAnsi="Lucida Sans Unicode" w:cstheme="majorBidi"/>
      <w:color w:val="365F91" w:themeColor="accent1" w:themeShade="BF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6F75"/>
    <w:rPr>
      <w:rFonts w:ascii="Lucida Sans Unicode" w:eastAsia="Times New Roman" w:hAnsi="Lucida Sans Unicode" w:cs="Lucida Sans Unicode"/>
      <w:b/>
      <w:bCs/>
      <w:color w:val="365F91" w:themeColor="accent1" w:themeShade="BF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uiPriority w:val="9"/>
    <w:rsid w:val="001F2119"/>
    <w:rPr>
      <w:rFonts w:ascii="Lucida Sans Unicode" w:eastAsia="Times New Roman" w:hAnsi="Lucida Sans Unicode" w:cs="Lucida Sans Unicode"/>
      <w:b/>
      <w:bCs/>
      <w:color w:val="365F91" w:themeColor="accent1" w:themeShade="BF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7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7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7D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7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7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7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7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1">
    <w:name w:val="Heading 2 Char1"/>
    <w:basedOn w:val="DefaultParagraphFont"/>
    <w:link w:val="Heading2"/>
    <w:uiPriority w:val="9"/>
    <w:rsid w:val="00C76F75"/>
    <w:rPr>
      <w:rFonts w:ascii="Lucida Sans Unicode" w:eastAsia="Times New Roman" w:hAnsi="Lucida Sans Unicode" w:cs="Lucida Sans Unicode"/>
      <w:bCs/>
      <w:color w:val="365F91" w:themeColor="accent1" w:themeShade="BF"/>
      <w:sz w:val="24"/>
      <w:szCs w:val="20"/>
      <w:lang w:eastAsia="ar-SA"/>
    </w:rPr>
  </w:style>
  <w:style w:type="paragraph" w:styleId="NoSpacing">
    <w:name w:val="No Spacing"/>
    <w:uiPriority w:val="1"/>
    <w:qFormat/>
    <w:rsid w:val="004E1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trukturnifondovi.hr/UserDocsImages/Documents/Strukturni%20fondovi%202014.%20%E2%80%93%202020/OPULJP%20hr%2020150709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14_10_124_2364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valifikacije.hr/odrzana-konferencija-hko-kvalifikacije-za-trziste-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6FB3-072B-47CD-BECB-1164C753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2885</Words>
  <Characters>16451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abunticr</cp:lastModifiedBy>
  <cp:revision>6</cp:revision>
  <cp:lastPrinted>2016-02-09T10:31:00Z</cp:lastPrinted>
  <dcterms:created xsi:type="dcterms:W3CDTF">2017-09-06T11:19:00Z</dcterms:created>
  <dcterms:modified xsi:type="dcterms:W3CDTF">2017-09-06T11:49:00Z</dcterms:modified>
</cp:coreProperties>
</file>