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CD6" w:rsidRDefault="003B3CD6" w:rsidP="00750E1F"/>
    <w:p w:rsidR="003B3CD6" w:rsidRDefault="003B3CD6" w:rsidP="00750E1F"/>
    <w:p w:rsidR="003B3CD6" w:rsidRDefault="003B3CD6" w:rsidP="00750E1F"/>
    <w:p w:rsidR="003B3CD6" w:rsidRDefault="003B3CD6" w:rsidP="00750E1F"/>
    <w:p w:rsidR="003B3CD6" w:rsidRDefault="003B3CD6" w:rsidP="00750E1F"/>
    <w:p w:rsidR="003B3CD6" w:rsidRDefault="003B3CD6" w:rsidP="00750E1F"/>
    <w:p w:rsidR="005249A8" w:rsidRPr="003B3CD6" w:rsidRDefault="005249A8" w:rsidP="00750E1F">
      <w:pPr>
        <w:pStyle w:val="Naslov"/>
        <w:jc w:val="both"/>
      </w:pPr>
      <w:r w:rsidRPr="003B3CD6">
        <w:t>PRIJEDLOG MJERILA ZA ZNAK ZAŠTITE OKOLIŠA „PRIJATELJ OKOLIŠA“ (STELJA)</w:t>
      </w:r>
    </w:p>
    <w:p w:rsidR="005D68AC" w:rsidRPr="005D68AC" w:rsidRDefault="005D68AC" w:rsidP="00750E1F">
      <w:pPr>
        <w:spacing w:after="0" w:line="240" w:lineRule="auto"/>
        <w:jc w:val="both"/>
      </w:pPr>
    </w:p>
    <w:p w:rsidR="005249A8" w:rsidRPr="005249A8" w:rsidRDefault="005249A8" w:rsidP="00750E1F">
      <w:pPr>
        <w:spacing w:after="0" w:line="240" w:lineRule="auto"/>
        <w:jc w:val="both"/>
        <w:rPr>
          <w:b/>
        </w:rPr>
      </w:pPr>
      <w:r w:rsidRPr="005249A8">
        <w:br w:type="page"/>
      </w:r>
      <w:r w:rsidRPr="005249A8">
        <w:rPr>
          <w:b/>
        </w:rPr>
        <w:lastRenderedPageBreak/>
        <w:t>P O P I S    S K R A Ć E N I C A</w:t>
      </w:r>
    </w:p>
    <w:p w:rsidR="005249A8" w:rsidRPr="005249A8" w:rsidRDefault="005249A8" w:rsidP="00750E1F">
      <w:pPr>
        <w:spacing w:after="0" w:line="240" w:lineRule="auto"/>
        <w:jc w:val="both"/>
      </w:pPr>
      <w:r w:rsidRPr="005249A8">
        <w:t>ASTM = American Society for Testing and Materials (eng. Američko udruženje za ispitivanje i materijale)</w:t>
      </w:r>
    </w:p>
    <w:p w:rsidR="005249A8" w:rsidRPr="005249A8" w:rsidRDefault="005249A8" w:rsidP="00750E1F">
      <w:pPr>
        <w:spacing w:after="0" w:line="240" w:lineRule="auto"/>
        <w:jc w:val="both"/>
      </w:pPr>
      <w:r w:rsidRPr="005249A8">
        <w:t>DTPA = Diethylenetriamine Pentaacetic Acid (eng. Dietilentriamin pentaoctena kiselina)</w:t>
      </w:r>
    </w:p>
    <w:p w:rsidR="005249A8" w:rsidRPr="005249A8" w:rsidRDefault="005249A8" w:rsidP="00750E1F">
      <w:pPr>
        <w:spacing w:after="0" w:line="240" w:lineRule="auto"/>
        <w:jc w:val="both"/>
      </w:pPr>
      <w:r w:rsidRPr="005249A8">
        <w:t>EDTA = Ethylene Diamine Triacetic Acid (eng. Etilen diamin trioctena kiselina)</w:t>
      </w:r>
    </w:p>
    <w:p w:rsidR="005249A8" w:rsidRPr="005249A8" w:rsidRDefault="005249A8" w:rsidP="00750E1F">
      <w:pPr>
        <w:spacing w:after="0" w:line="240" w:lineRule="auto"/>
        <w:jc w:val="both"/>
      </w:pPr>
      <w:r w:rsidRPr="005249A8">
        <w:t>EN = Europske norme</w:t>
      </w:r>
    </w:p>
    <w:p w:rsidR="005249A8" w:rsidRPr="005249A8" w:rsidRDefault="005249A8" w:rsidP="00750E1F">
      <w:pPr>
        <w:spacing w:after="0" w:line="240" w:lineRule="auto"/>
        <w:jc w:val="both"/>
      </w:pPr>
      <w:r w:rsidRPr="005249A8">
        <w:t>EZ = Europska zajednica</w:t>
      </w:r>
    </w:p>
    <w:p w:rsidR="005249A8" w:rsidRPr="005249A8" w:rsidRDefault="005249A8" w:rsidP="00750E1F">
      <w:pPr>
        <w:spacing w:after="0" w:line="240" w:lineRule="auto"/>
        <w:jc w:val="both"/>
      </w:pPr>
      <w:r w:rsidRPr="005249A8">
        <w:t>GVE = Granične vrijednosti emisija</w:t>
      </w:r>
    </w:p>
    <w:p w:rsidR="005249A8" w:rsidRPr="005249A8" w:rsidRDefault="005249A8" w:rsidP="00750E1F">
      <w:pPr>
        <w:spacing w:after="0" w:line="240" w:lineRule="auto"/>
        <w:jc w:val="both"/>
      </w:pPr>
      <w:r w:rsidRPr="005249A8">
        <w:t>HRN = Hrvatske norme</w:t>
      </w:r>
    </w:p>
    <w:p w:rsidR="005249A8" w:rsidRPr="005249A8" w:rsidRDefault="005249A8" w:rsidP="00750E1F">
      <w:pPr>
        <w:spacing w:after="0" w:line="240" w:lineRule="auto"/>
        <w:jc w:val="both"/>
      </w:pPr>
      <w:r w:rsidRPr="005249A8">
        <w:t>ISO = International Standard Organisation (eng. Međunarodna organizacija za standarde)</w:t>
      </w:r>
    </w:p>
    <w:p w:rsidR="005249A8" w:rsidRPr="005249A8" w:rsidRDefault="005249A8" w:rsidP="00750E1F">
      <w:pPr>
        <w:spacing w:after="0" w:line="240" w:lineRule="auto"/>
        <w:jc w:val="both"/>
      </w:pPr>
      <w:r w:rsidRPr="005249A8">
        <w:t>NN = Narodne novine</w:t>
      </w:r>
    </w:p>
    <w:p w:rsidR="005249A8" w:rsidRPr="005249A8" w:rsidRDefault="005249A8" w:rsidP="00750E1F">
      <w:pPr>
        <w:spacing w:after="0" w:line="240" w:lineRule="auto"/>
        <w:jc w:val="both"/>
      </w:pPr>
      <w:r w:rsidRPr="005249A8">
        <w:t>PAU = Policiklički aromatski ugljikovodici</w:t>
      </w:r>
    </w:p>
    <w:p w:rsidR="005249A8" w:rsidRPr="005249A8" w:rsidRDefault="005249A8" w:rsidP="00750E1F">
      <w:pPr>
        <w:spacing w:after="0" w:line="240" w:lineRule="auto"/>
        <w:jc w:val="both"/>
      </w:pPr>
      <w:r w:rsidRPr="005249A8">
        <w:t>PCB = Poliklorirani bifenili</w:t>
      </w:r>
    </w:p>
    <w:p w:rsidR="005249A8" w:rsidRPr="005249A8" w:rsidRDefault="005249A8" w:rsidP="00750E1F">
      <w:pPr>
        <w:spacing w:after="0" w:line="240" w:lineRule="auto"/>
        <w:jc w:val="both"/>
      </w:pPr>
    </w:p>
    <w:p w:rsidR="005249A8" w:rsidRPr="005249A8" w:rsidRDefault="005249A8" w:rsidP="00750E1F">
      <w:pPr>
        <w:spacing w:after="0" w:line="240" w:lineRule="auto"/>
        <w:jc w:val="both"/>
        <w:sectPr w:rsidR="005249A8" w:rsidRPr="005249A8" w:rsidSect="00F02D49">
          <w:headerReference w:type="even" r:id="rId7"/>
          <w:headerReference w:type="default" r:id="rId8"/>
          <w:footerReference w:type="even" r:id="rId9"/>
          <w:footerReference w:type="default" r:id="rId10"/>
          <w:footerReference w:type="first" r:id="rId11"/>
          <w:pgSz w:w="11907" w:h="16840" w:code="9"/>
          <w:pgMar w:top="1240" w:right="1418" w:bottom="567" w:left="1418" w:header="624" w:footer="624" w:gutter="0"/>
          <w:pgBorders w:offsetFrom="page">
            <w:bottom w:val="single" w:sz="8" w:space="24" w:color="FFFFFF"/>
          </w:pgBorders>
          <w:pgNumType w:start="0"/>
          <w:cols w:space="720"/>
          <w:titlePg/>
          <w:docGrid w:linePitch="360"/>
        </w:sectPr>
      </w:pPr>
    </w:p>
    <w:p w:rsidR="005249A8" w:rsidRPr="005249A8" w:rsidRDefault="005249A8" w:rsidP="00750E1F">
      <w:pPr>
        <w:pStyle w:val="Naslov1"/>
        <w:spacing w:before="0" w:line="240" w:lineRule="auto"/>
        <w:jc w:val="both"/>
      </w:pPr>
      <w:bookmarkStart w:id="0" w:name="_Toc440289736"/>
      <w:bookmarkStart w:id="1" w:name="_Toc491427638"/>
      <w:r w:rsidRPr="005249A8">
        <w:lastRenderedPageBreak/>
        <w:t>UVOD</w:t>
      </w:r>
      <w:bookmarkEnd w:id="0"/>
      <w:bookmarkEnd w:id="1"/>
    </w:p>
    <w:p w:rsidR="005249A8" w:rsidRPr="005249A8" w:rsidRDefault="005249A8" w:rsidP="00750E1F">
      <w:pPr>
        <w:spacing w:after="0" w:line="240" w:lineRule="auto"/>
        <w:jc w:val="both"/>
      </w:pPr>
      <w:r w:rsidRPr="005249A8">
        <w:t>Znak zaštite okoliša „Prijatelj okoliša“ je dobrovoljni instrument zaštite okoliša kojim se označavaju proizvodi, a koji se u usporedbi sa sličnim proizvodima odlikuju manje negativnim utjecajem na okoliš u cjelokupnom životnom ciklusu. Znak „Prijatelj okoliša“ potrošaču pruža potpunu, vjerodostojnu i znanstveno utemeljenu informaciju o utjecaju proizvoda na okoliš.</w:t>
      </w:r>
    </w:p>
    <w:p w:rsidR="005249A8" w:rsidRPr="005249A8" w:rsidRDefault="005249A8" w:rsidP="00750E1F">
      <w:pPr>
        <w:spacing w:after="0" w:line="240" w:lineRule="auto"/>
        <w:jc w:val="both"/>
      </w:pPr>
      <w:r w:rsidRPr="005249A8">
        <w:t>U međunarodnom sustavu znakova zaštite okoliša, znak „Prijatelj okoliša“ spada u eko-oznake tipa I, prema hrvatskoj normi HRN EN ISO 14024:2008 – Označivanje povezano s okolišem tipa I.</w:t>
      </w:r>
    </w:p>
    <w:p w:rsidR="005249A8" w:rsidRPr="005249A8" w:rsidRDefault="005249A8" w:rsidP="00750E1F">
      <w:pPr>
        <w:spacing w:after="0" w:line="240" w:lineRule="auto"/>
        <w:jc w:val="both"/>
      </w:pPr>
      <w:r w:rsidRPr="005249A8">
        <w:t>Mjerila su kriteriji prema kojima se dodjeljuje znak „Prijatelj okoliša“, a na osnovu kojih se proizvod koji bitno manje opterećuje okoliš razlikuje od drugih proizvoda iz iste skupine.</w:t>
      </w:r>
    </w:p>
    <w:p w:rsidR="005249A8" w:rsidRPr="005249A8" w:rsidRDefault="005249A8" w:rsidP="00750E1F">
      <w:pPr>
        <w:spacing w:after="0" w:line="240" w:lineRule="auto"/>
        <w:jc w:val="both"/>
      </w:pPr>
      <w:r w:rsidRPr="005249A8">
        <w:t>Mjerila se određuju tako da se potakne racionalno korištenje prirodnih dobara i energije, smanjenje emisija onečišćujućih tvari i stakleničkih plinova u okoliš, smanjenje potrošnje kemikalija, smanjenje nastanka otpada i iskorištenje vrijednih svojstava otpada te poduzmu druge mjere u svrhu zaštite okoliša.</w:t>
      </w:r>
    </w:p>
    <w:p w:rsidR="005249A8" w:rsidRPr="005249A8" w:rsidRDefault="005249A8" w:rsidP="00750E1F">
      <w:pPr>
        <w:spacing w:after="0" w:line="240" w:lineRule="auto"/>
        <w:jc w:val="both"/>
      </w:pPr>
      <w:r w:rsidRPr="005249A8">
        <w:t xml:space="preserve">Podloge u svrhu razvoja novih ili revizije mjerila, koje se koriste u postupku provjere i potvrđivanja usklađenosti proizvoda iz pojedinih skupina proizvoda s mjerilima, a s ciljem dobivanja znaka „Prijatelj okoliša“, izrađuju se u skladu s važećim hrvatskim i europskim propisima i smjernicama, relevantnim normama, pravilima struke i dobre inženjerske prakse. Temeljni propisi vezani uz izradu Mjerila su Zakon o zaštiti okoliša (NN 80/13, 153/13 i 78/15) i </w:t>
      </w:r>
      <w:bookmarkStart w:id="2" w:name="_Hlk491415728"/>
      <w:r w:rsidRPr="005249A8">
        <w:t>Pravilnik o znaku zaštite okoliša „Prijatelj okoliš“ (NN 91/16)</w:t>
      </w:r>
      <w:bookmarkEnd w:id="2"/>
      <w:r w:rsidRPr="005249A8">
        <w:t>.</w:t>
      </w:r>
    </w:p>
    <w:p w:rsidR="005249A8" w:rsidRPr="005249A8" w:rsidRDefault="005249A8" w:rsidP="00750E1F">
      <w:pPr>
        <w:spacing w:after="0" w:line="240" w:lineRule="auto"/>
        <w:jc w:val="both"/>
      </w:pPr>
      <w:r w:rsidRPr="005249A8">
        <w:t>Ovu stručnu podlogu o utvrđivanju mjerila u postupku razvoja novih mjerila za skupinu proizvoda „stelja“ za kućne ljubimce odnosno reviziju mjerila za skupinu proizvoda „higijenska stelja za kućne ljubimce bez opasnih tvari“, izradila je tvrtka DVOKUT ECRO d.o.o. iz Zagreba.</w:t>
      </w:r>
    </w:p>
    <w:p w:rsidR="005249A8" w:rsidRPr="005249A8" w:rsidRDefault="005249A8" w:rsidP="00750E1F">
      <w:pPr>
        <w:spacing w:after="0" w:line="240" w:lineRule="auto"/>
        <w:jc w:val="both"/>
      </w:pPr>
      <w:r w:rsidRPr="005249A8">
        <w:br w:type="page"/>
      </w:r>
    </w:p>
    <w:p w:rsidR="005249A8" w:rsidRPr="005249A8" w:rsidRDefault="005249A8" w:rsidP="00750E1F">
      <w:pPr>
        <w:pStyle w:val="Naslov1"/>
        <w:numPr>
          <w:ilvl w:val="0"/>
          <w:numId w:val="7"/>
        </w:numPr>
        <w:spacing w:before="0" w:line="240" w:lineRule="auto"/>
        <w:jc w:val="both"/>
      </w:pPr>
      <w:bookmarkStart w:id="3" w:name="_Toc491427639"/>
      <w:r w:rsidRPr="005249A8">
        <w:lastRenderedPageBreak/>
        <w:t>NAZIV I OPIS SKUPINE PROIZVODA</w:t>
      </w:r>
      <w:bookmarkEnd w:id="3"/>
    </w:p>
    <w:p w:rsidR="005249A8" w:rsidRPr="005249A8" w:rsidRDefault="005249A8" w:rsidP="00750E1F">
      <w:pPr>
        <w:spacing w:after="0" w:line="240" w:lineRule="auto"/>
        <w:jc w:val="both"/>
      </w:pPr>
      <w:r w:rsidRPr="005249A8">
        <w:t>Stelja je naziv za proizvod koji se koristi za održavanje higijene kućnih ljubimaca (mačke, male životinje - glodavci, ptice..). Svojstva stelje su da se odlikuje velikim kapacitetom upijanja vlage, odstranjuje neugodne mirise, te stvara vrlo niske ili zanemarive razine prašine.</w:t>
      </w:r>
    </w:p>
    <w:p w:rsidR="005249A8" w:rsidRPr="005249A8" w:rsidRDefault="005249A8" w:rsidP="00750E1F">
      <w:pPr>
        <w:spacing w:after="0" w:line="240" w:lineRule="auto"/>
        <w:jc w:val="both"/>
      </w:pPr>
      <w:r w:rsidRPr="005249A8">
        <w:t>Prvotno je stelja za kućne ljubimce izumljenja za potrebe mačaka. Edward Lowe smatra se izumiteljem stelje za mačke, a pronalazak je bio gotovo slučajan. Jedna od Loweovih susjeda zatražila je njegovu pomoć u pronalaženju upijajućeg materijala koji bi bio bolji od pijeska ili pepela koji se tada koristio. Edward Lowe je tada bio zaposlen u obiteljskoj tvrtki, u u gradu Cassopolis, Michigan i njegov odgovor na postavljeni zahtjev je bio sušena glina, koja se pokazala značajno boljom od pepela ili pijeska. Tijekom 1947</w:t>
      </w:r>
      <w:r w:rsidR="00750E1F">
        <w:rPr>
          <w:vertAlign w:val="superscript"/>
        </w:rPr>
        <w:t>1</w:t>
      </w:r>
      <w:r w:rsidR="00750E1F">
        <w:t xml:space="preserve"> </w:t>
      </w:r>
      <w:r w:rsidR="00750E1F" w:rsidRPr="00750E1F">
        <w:t>Izvor: Internetske stranice How Products are made, http://www.madeh</w:t>
      </w:r>
      <w:r w:rsidR="00750E1F">
        <w:t>ow.com/Volume-2/Cat-Litter.html</w:t>
      </w:r>
      <w:r w:rsidRPr="005249A8">
        <w:t>. godine Lowe se odlučio da prodaje stelju za mačke u lokalnim trgovinama za ljubimce. Gotovo 50 godina kasnije, industrija opreme za mačke prerasla je u poslovanje vrijedno više milijuna dolara. Izum mačje stelje je omogućio vlasnicima mačaka držanje bez puštanja van, naime većina vlasnika do tada nije imalo izbora i ljubimci su redovito puštani van, a izum stelje za mačke donio je mogućnost stalnog držanja mački unutra bez puštanja.</w:t>
      </w:r>
    </w:p>
    <w:p w:rsidR="005249A8" w:rsidRPr="005249A8" w:rsidRDefault="005249A8" w:rsidP="00750E1F">
      <w:pPr>
        <w:spacing w:after="0" w:line="240" w:lineRule="auto"/>
        <w:jc w:val="both"/>
      </w:pPr>
      <w:r w:rsidRPr="005249A8">
        <w:t>Stelja za kućne ljubimce se može općenito svrstati u dvije vrste: konvencionalna i grudajuća. Iako veličina granula varira, konvencionalna stelja ima teksturu sličnu šljunku. Većina suvremenih brandova je bez prašine ili s malim udjelom prašine, a u neke se dodaju i dezodorizirajuća sredstva. Kod konvencionalne stelje, sadržaj stelje mora se odbaciti svaki put kad se čisti kutija. Grudajuća stelja je izumljena 1984. godine. Bioekonomist Thomas Nelson je proučavao molekularnu strukturu gline kad je otkrio da neke vrste sprječavaju razgradnju uree (primarne čvrste komponente urina), pa stoga ne uzrokuju neugodan miris amonijaka. Također je otkriveno da se sušenjem bentonitne gline umjesto njenog pečenja u peći omogućava bolje stvaranje grudica što je predstavljalo revolucionarno otkriće vlasnicima mačaka. Na taj način je osigurano da je kutija za  mačke dulje čista i manje mirisna. Danas je većina stelje koja (preko 30%) grudajuća stelja. Manje granule stelje se spajaju međusobno  u dodiru s tekućinom te nastaju grudice koje se lako mogu ukloniti od ostatka stelje, čime se eliminira potreba za nadopunjavanjem po svakom čišćenju. Glavni nedostatak grudajuće stelje je ostavljanje tragova izvan kutije jer se fina zrnca lijepe za mačje šape.</w:t>
      </w:r>
    </w:p>
    <w:p w:rsidR="005249A8" w:rsidRPr="005249A8" w:rsidRDefault="005249A8" w:rsidP="00750E1F">
      <w:pPr>
        <w:spacing w:after="0" w:line="240" w:lineRule="auto"/>
        <w:jc w:val="both"/>
      </w:pPr>
      <w:r w:rsidRPr="005249A8">
        <w:t>Iako današnje komercijalne stelje za kućne ljubimce koriste glinu kao osnovni sastojak, teoretski se može koristiti bilo koji materijal koji ima upijajuće osobine. Tako materijali od kojih se izrađuju stelje mogu biti prirodnog ili umjetnog podrijetla a danas su najzastupljeniji sljedeći materijali od kojih se pravi stelja za kućne ljubimce:</w:t>
      </w:r>
    </w:p>
    <w:p w:rsidR="005249A8" w:rsidRPr="005249A8" w:rsidRDefault="005249A8" w:rsidP="00750E1F">
      <w:pPr>
        <w:numPr>
          <w:ilvl w:val="0"/>
          <w:numId w:val="2"/>
        </w:numPr>
        <w:spacing w:after="0" w:line="240" w:lineRule="auto"/>
        <w:jc w:val="both"/>
      </w:pPr>
      <w:r w:rsidRPr="005249A8">
        <w:t>bentonitna glina</w:t>
      </w:r>
    </w:p>
    <w:p w:rsidR="005249A8" w:rsidRPr="005249A8" w:rsidRDefault="005249A8" w:rsidP="00750E1F">
      <w:pPr>
        <w:numPr>
          <w:ilvl w:val="0"/>
          <w:numId w:val="2"/>
        </w:numPr>
        <w:spacing w:after="0" w:line="240" w:lineRule="auto"/>
        <w:jc w:val="both"/>
      </w:pPr>
      <w:r w:rsidRPr="005249A8">
        <w:t>kukuruzovina</w:t>
      </w:r>
    </w:p>
    <w:p w:rsidR="005249A8" w:rsidRPr="005249A8" w:rsidRDefault="005249A8" w:rsidP="00750E1F">
      <w:pPr>
        <w:numPr>
          <w:ilvl w:val="0"/>
          <w:numId w:val="2"/>
        </w:numPr>
        <w:spacing w:after="0" w:line="240" w:lineRule="auto"/>
        <w:jc w:val="both"/>
      </w:pPr>
      <w:r w:rsidRPr="005249A8">
        <w:t>slama</w:t>
      </w:r>
    </w:p>
    <w:p w:rsidR="005249A8" w:rsidRPr="005249A8" w:rsidRDefault="005249A8" w:rsidP="00750E1F">
      <w:pPr>
        <w:numPr>
          <w:ilvl w:val="0"/>
          <w:numId w:val="2"/>
        </w:numPr>
        <w:spacing w:after="0" w:line="240" w:lineRule="auto"/>
        <w:jc w:val="both"/>
      </w:pPr>
      <w:r w:rsidRPr="005249A8">
        <w:t>papir</w:t>
      </w:r>
    </w:p>
    <w:p w:rsidR="005249A8" w:rsidRPr="005249A8" w:rsidRDefault="005249A8" w:rsidP="00750E1F">
      <w:pPr>
        <w:numPr>
          <w:ilvl w:val="0"/>
          <w:numId w:val="2"/>
        </w:numPr>
        <w:spacing w:after="0" w:line="240" w:lineRule="auto"/>
        <w:jc w:val="both"/>
      </w:pPr>
      <w:r w:rsidRPr="005249A8">
        <w:t>usitnjeno drvo</w:t>
      </w:r>
    </w:p>
    <w:p w:rsidR="005249A8" w:rsidRPr="005249A8" w:rsidRDefault="005249A8" w:rsidP="00750E1F">
      <w:pPr>
        <w:numPr>
          <w:ilvl w:val="0"/>
          <w:numId w:val="2"/>
        </w:numPr>
        <w:spacing w:after="0" w:line="240" w:lineRule="auto"/>
        <w:jc w:val="both"/>
      </w:pPr>
      <w:r w:rsidRPr="005249A8">
        <w:t>pijesak</w:t>
      </w:r>
    </w:p>
    <w:p w:rsidR="005249A8" w:rsidRPr="005249A8" w:rsidRDefault="005249A8" w:rsidP="00750E1F">
      <w:pPr>
        <w:numPr>
          <w:ilvl w:val="0"/>
          <w:numId w:val="2"/>
        </w:numPr>
        <w:spacing w:after="0" w:line="240" w:lineRule="auto"/>
        <w:jc w:val="both"/>
      </w:pPr>
      <w:r w:rsidRPr="005249A8">
        <w:t>silikagel.</w:t>
      </w:r>
    </w:p>
    <w:p w:rsidR="005249A8" w:rsidRPr="005249A8" w:rsidRDefault="005249A8" w:rsidP="00750E1F">
      <w:pPr>
        <w:pStyle w:val="Naslov1"/>
        <w:numPr>
          <w:ilvl w:val="0"/>
          <w:numId w:val="7"/>
        </w:numPr>
        <w:spacing w:before="0" w:line="240" w:lineRule="auto"/>
        <w:jc w:val="both"/>
      </w:pPr>
      <w:bookmarkStart w:id="4" w:name="_Toc491427640"/>
      <w:r w:rsidRPr="005249A8">
        <w:t>POKAZATELJI I UVJETI ZAŠTITE OKOLIŠA KOJI POKAZUJU ZNAČAJAN UTJECAJ NA OKOLIŠ U ŽIVOTNOM CIKLUSU PROIZVODA</w:t>
      </w:r>
      <w:bookmarkEnd w:id="4"/>
    </w:p>
    <w:p w:rsidR="005249A8" w:rsidRPr="005249A8" w:rsidRDefault="005249A8" w:rsidP="00750E1F">
      <w:pPr>
        <w:spacing w:after="0" w:line="240" w:lineRule="auto"/>
        <w:jc w:val="both"/>
        <w:rPr>
          <w:b/>
        </w:rPr>
      </w:pPr>
      <w:r w:rsidRPr="005249A8">
        <w:rPr>
          <w:b/>
        </w:rPr>
        <w:t>Vrste stelja</w:t>
      </w:r>
    </w:p>
    <w:p w:rsidR="005249A8" w:rsidRPr="005249A8" w:rsidRDefault="005249A8" w:rsidP="00750E1F">
      <w:pPr>
        <w:spacing w:after="0" w:line="240" w:lineRule="auto"/>
        <w:jc w:val="both"/>
      </w:pPr>
      <w:r w:rsidRPr="005249A8">
        <w:t xml:space="preserve">S ciljem analize značajnih utjecaja na okoliš napravljena je analiza životnog ciklusa stelje od različtih materijala. </w:t>
      </w:r>
    </w:p>
    <w:p w:rsidR="005249A8" w:rsidRPr="005249A8" w:rsidRDefault="005249A8" w:rsidP="00750E1F">
      <w:pPr>
        <w:spacing w:after="0" w:line="240" w:lineRule="auto"/>
        <w:jc w:val="both"/>
        <w:rPr>
          <w:b/>
          <w:iCs/>
        </w:rPr>
      </w:pPr>
      <w:bookmarkStart w:id="5" w:name="_Ref488218241"/>
      <w:bookmarkStart w:id="6" w:name="_Toc362506069"/>
      <w:bookmarkStart w:id="7" w:name="_Toc490829833"/>
      <w:bookmarkStart w:id="8" w:name="_Toc491418818"/>
      <w:r w:rsidRPr="005249A8">
        <w:rPr>
          <w:b/>
          <w:iCs/>
        </w:rPr>
        <w:t xml:space="preserve">Tablica </w:t>
      </w:r>
      <w:r w:rsidRPr="005249A8">
        <w:rPr>
          <w:b/>
          <w:iCs/>
        </w:rPr>
        <w:fldChar w:fldCharType="begin"/>
      </w:r>
      <w:r w:rsidRPr="005249A8">
        <w:rPr>
          <w:b/>
          <w:iCs/>
        </w:rPr>
        <w:instrText xml:space="preserve"> STYLEREF 1 \s </w:instrText>
      </w:r>
      <w:r w:rsidRPr="005249A8">
        <w:rPr>
          <w:b/>
          <w:iCs/>
        </w:rPr>
        <w:fldChar w:fldCharType="separate"/>
      </w:r>
      <w:r w:rsidRPr="005249A8">
        <w:rPr>
          <w:b/>
          <w:iCs/>
        </w:rPr>
        <w:t>B</w:t>
      </w:r>
      <w:r w:rsidRPr="005249A8">
        <w:fldChar w:fldCharType="end"/>
      </w:r>
      <w:r w:rsidRPr="005249A8">
        <w:rPr>
          <w:b/>
          <w:iCs/>
        </w:rPr>
        <w:noBreakHyphen/>
      </w:r>
      <w:r w:rsidRPr="005249A8">
        <w:rPr>
          <w:b/>
          <w:iCs/>
        </w:rPr>
        <w:fldChar w:fldCharType="begin"/>
      </w:r>
      <w:r w:rsidRPr="005249A8">
        <w:rPr>
          <w:b/>
          <w:iCs/>
        </w:rPr>
        <w:instrText xml:space="preserve"> SEQ Tablica \* ARABIC \s 1 </w:instrText>
      </w:r>
      <w:r w:rsidRPr="005249A8">
        <w:rPr>
          <w:b/>
          <w:iCs/>
        </w:rPr>
        <w:fldChar w:fldCharType="separate"/>
      </w:r>
      <w:r w:rsidRPr="005249A8">
        <w:rPr>
          <w:b/>
          <w:iCs/>
        </w:rPr>
        <w:t>1</w:t>
      </w:r>
      <w:r w:rsidRPr="005249A8">
        <w:fldChar w:fldCharType="end"/>
      </w:r>
      <w:bookmarkEnd w:id="5"/>
      <w:r w:rsidRPr="005249A8">
        <w:rPr>
          <w:b/>
          <w:iCs/>
        </w:rPr>
        <w:t xml:space="preserve">: </w:t>
      </w:r>
      <w:bookmarkEnd w:id="6"/>
      <w:bookmarkEnd w:id="7"/>
      <w:r w:rsidRPr="005249A8">
        <w:rPr>
          <w:b/>
          <w:iCs/>
        </w:rPr>
        <w:t>Životni ciklus pojedine vrste stelje</w:t>
      </w:r>
      <w:bookmarkEnd w:id="8"/>
    </w:p>
    <w:tbl>
      <w:tblPr>
        <w:tblW w:w="5069" w:type="pct"/>
        <w:jc w:val="center"/>
        <w:tblBorders>
          <w:top w:val="single" w:sz="4" w:space="0" w:color="969696"/>
          <w:bottom w:val="single" w:sz="4" w:space="0" w:color="969696"/>
          <w:insideH w:val="single" w:sz="4" w:space="0" w:color="969696"/>
        </w:tblBorders>
        <w:tblLayout w:type="fixed"/>
        <w:tblLook w:val="04A0" w:firstRow="1" w:lastRow="0" w:firstColumn="1" w:lastColumn="0" w:noHBand="0" w:noVBand="1"/>
      </w:tblPr>
      <w:tblGrid>
        <w:gridCol w:w="2415"/>
        <w:gridCol w:w="3322"/>
        <w:gridCol w:w="3460"/>
      </w:tblGrid>
      <w:tr w:rsidR="005249A8" w:rsidRPr="005249A8" w:rsidTr="00B83099">
        <w:trPr>
          <w:trHeight w:val="557"/>
          <w:tblHeader/>
          <w:jc w:val="center"/>
        </w:trPr>
        <w:tc>
          <w:tcPr>
            <w:tcW w:w="2471" w:type="dxa"/>
            <w:tcBorders>
              <w:top w:val="single" w:sz="4" w:space="0" w:color="969696"/>
              <w:left w:val="nil"/>
              <w:bottom w:val="single" w:sz="4" w:space="0" w:color="969696"/>
              <w:right w:val="nil"/>
            </w:tcBorders>
            <w:shd w:val="clear" w:color="auto" w:fill="2A4F1C"/>
            <w:noWrap/>
            <w:vAlign w:val="center"/>
            <w:hideMark/>
          </w:tcPr>
          <w:p w:rsidR="005249A8" w:rsidRPr="005249A8" w:rsidRDefault="005249A8" w:rsidP="00750E1F">
            <w:pPr>
              <w:spacing w:after="0" w:line="240" w:lineRule="auto"/>
              <w:jc w:val="both"/>
              <w:rPr>
                <w:b/>
              </w:rPr>
            </w:pPr>
            <w:r w:rsidRPr="005249A8">
              <w:rPr>
                <w:b/>
                <w:bCs/>
              </w:rPr>
              <w:t>Glinena stelja</w:t>
            </w:r>
          </w:p>
        </w:tc>
        <w:tc>
          <w:tcPr>
            <w:tcW w:w="3402" w:type="dxa"/>
            <w:tcBorders>
              <w:top w:val="single" w:sz="4" w:space="0" w:color="969696"/>
              <w:left w:val="nil"/>
              <w:bottom w:val="single" w:sz="4" w:space="0" w:color="969696"/>
              <w:right w:val="nil"/>
            </w:tcBorders>
            <w:shd w:val="clear" w:color="auto" w:fill="2A4F1C"/>
            <w:noWrap/>
            <w:vAlign w:val="center"/>
            <w:hideMark/>
          </w:tcPr>
          <w:p w:rsidR="005249A8" w:rsidRPr="005249A8" w:rsidRDefault="005249A8" w:rsidP="00750E1F">
            <w:pPr>
              <w:spacing w:after="0" w:line="240" w:lineRule="auto"/>
              <w:jc w:val="both"/>
              <w:rPr>
                <w:b/>
                <w:bCs/>
              </w:rPr>
            </w:pPr>
            <w:r w:rsidRPr="005249A8">
              <w:rPr>
                <w:b/>
              </w:rPr>
              <w:t>Stelja od kukuruzovine i  slame</w:t>
            </w:r>
          </w:p>
        </w:tc>
        <w:tc>
          <w:tcPr>
            <w:tcW w:w="3543" w:type="dxa"/>
            <w:tcBorders>
              <w:top w:val="single" w:sz="4" w:space="0" w:color="969696"/>
              <w:left w:val="nil"/>
              <w:bottom w:val="single" w:sz="4" w:space="0" w:color="969696"/>
              <w:right w:val="nil"/>
            </w:tcBorders>
            <w:shd w:val="clear" w:color="auto" w:fill="2A4F1C"/>
            <w:vAlign w:val="center"/>
            <w:hideMark/>
          </w:tcPr>
          <w:p w:rsidR="005249A8" w:rsidRPr="005249A8" w:rsidRDefault="005249A8" w:rsidP="00750E1F">
            <w:pPr>
              <w:spacing w:after="0" w:line="240" w:lineRule="auto"/>
              <w:jc w:val="both"/>
              <w:rPr>
                <w:b/>
                <w:bCs/>
              </w:rPr>
            </w:pPr>
            <w:r w:rsidRPr="005249A8">
              <w:rPr>
                <w:b/>
                <w:bCs/>
              </w:rPr>
              <w:t>Stelja od papira</w:t>
            </w:r>
          </w:p>
        </w:tc>
      </w:tr>
      <w:tr w:rsidR="005249A8" w:rsidRPr="005249A8" w:rsidTr="00B83099">
        <w:trPr>
          <w:trHeight w:val="116"/>
          <w:jc w:val="center"/>
        </w:trPr>
        <w:tc>
          <w:tcPr>
            <w:tcW w:w="2471" w:type="dxa"/>
            <w:tcBorders>
              <w:top w:val="single" w:sz="4" w:space="0" w:color="969696"/>
              <w:left w:val="nil"/>
              <w:bottom w:val="single" w:sz="4" w:space="0" w:color="969696"/>
              <w:right w:val="nil"/>
            </w:tcBorders>
            <w:noWrap/>
            <w:vAlign w:val="center"/>
          </w:tcPr>
          <w:p w:rsidR="005249A8" w:rsidRPr="005249A8" w:rsidRDefault="005249A8" w:rsidP="00750E1F">
            <w:pPr>
              <w:spacing w:after="0" w:line="240" w:lineRule="auto"/>
              <w:jc w:val="both"/>
              <w:rPr>
                <w:bCs/>
              </w:rPr>
            </w:pPr>
            <w:r w:rsidRPr="005249A8">
              <w:rPr>
                <w:bCs/>
              </w:rPr>
              <w:t>Iskop</w:t>
            </w:r>
          </w:p>
        </w:tc>
        <w:tc>
          <w:tcPr>
            <w:tcW w:w="3402" w:type="dxa"/>
            <w:tcBorders>
              <w:top w:val="single" w:sz="4" w:space="0" w:color="969696"/>
              <w:left w:val="nil"/>
              <w:bottom w:val="single" w:sz="4" w:space="0" w:color="969696"/>
              <w:right w:val="nil"/>
            </w:tcBorders>
            <w:noWrap/>
            <w:vAlign w:val="center"/>
          </w:tcPr>
          <w:p w:rsidR="005249A8" w:rsidRPr="005249A8" w:rsidRDefault="005249A8" w:rsidP="00750E1F">
            <w:pPr>
              <w:spacing w:after="0" w:line="240" w:lineRule="auto"/>
              <w:jc w:val="both"/>
              <w:rPr>
                <w:bCs/>
              </w:rPr>
            </w:pPr>
            <w:r w:rsidRPr="005249A8">
              <w:rPr>
                <w:bCs/>
              </w:rPr>
              <w:t>Podizanje nasada, zalijevanje</w:t>
            </w:r>
          </w:p>
        </w:tc>
        <w:tc>
          <w:tcPr>
            <w:tcW w:w="3543" w:type="dxa"/>
            <w:tcBorders>
              <w:top w:val="single" w:sz="4" w:space="0" w:color="969696"/>
              <w:left w:val="nil"/>
              <w:bottom w:val="single" w:sz="4" w:space="0" w:color="969696"/>
              <w:right w:val="nil"/>
            </w:tcBorders>
            <w:vAlign w:val="center"/>
          </w:tcPr>
          <w:p w:rsidR="005249A8" w:rsidRPr="005249A8" w:rsidRDefault="005249A8" w:rsidP="00750E1F">
            <w:pPr>
              <w:spacing w:after="0" w:line="240" w:lineRule="auto"/>
              <w:jc w:val="both"/>
              <w:rPr>
                <w:bCs/>
              </w:rPr>
            </w:pPr>
            <w:r w:rsidRPr="005249A8">
              <w:rPr>
                <w:bCs/>
              </w:rPr>
              <w:t>Prikupljanje starog papira</w:t>
            </w:r>
          </w:p>
        </w:tc>
      </w:tr>
      <w:tr w:rsidR="005249A8" w:rsidRPr="005249A8" w:rsidTr="00B83099">
        <w:trPr>
          <w:trHeight w:val="116"/>
          <w:jc w:val="center"/>
        </w:trPr>
        <w:tc>
          <w:tcPr>
            <w:tcW w:w="2471" w:type="dxa"/>
            <w:tcBorders>
              <w:top w:val="single" w:sz="4" w:space="0" w:color="969696"/>
              <w:left w:val="nil"/>
              <w:bottom w:val="single" w:sz="4" w:space="0" w:color="969696"/>
              <w:right w:val="nil"/>
            </w:tcBorders>
            <w:noWrap/>
            <w:vAlign w:val="center"/>
          </w:tcPr>
          <w:p w:rsidR="005249A8" w:rsidRPr="005249A8" w:rsidRDefault="005249A8" w:rsidP="00750E1F">
            <w:pPr>
              <w:spacing w:after="0" w:line="240" w:lineRule="auto"/>
              <w:jc w:val="both"/>
              <w:rPr>
                <w:bCs/>
              </w:rPr>
            </w:pPr>
            <w:r w:rsidRPr="005249A8">
              <w:rPr>
                <w:bCs/>
              </w:rPr>
              <w:lastRenderedPageBreak/>
              <w:t>Sušenje i ekstruzija</w:t>
            </w:r>
          </w:p>
        </w:tc>
        <w:tc>
          <w:tcPr>
            <w:tcW w:w="3402" w:type="dxa"/>
            <w:tcBorders>
              <w:top w:val="single" w:sz="4" w:space="0" w:color="969696"/>
              <w:left w:val="nil"/>
              <w:bottom w:val="single" w:sz="4" w:space="0" w:color="969696"/>
              <w:right w:val="nil"/>
            </w:tcBorders>
            <w:noWrap/>
            <w:vAlign w:val="center"/>
          </w:tcPr>
          <w:p w:rsidR="005249A8" w:rsidRPr="005249A8" w:rsidRDefault="005249A8" w:rsidP="00750E1F">
            <w:pPr>
              <w:spacing w:after="0" w:line="240" w:lineRule="auto"/>
              <w:jc w:val="both"/>
              <w:rPr>
                <w:bCs/>
              </w:rPr>
            </w:pPr>
            <w:r w:rsidRPr="005249A8">
              <w:rPr>
                <w:bCs/>
              </w:rPr>
              <w:t>Gnojivo, zaštitna sredstva mogu biti dodani nasadima</w:t>
            </w:r>
          </w:p>
        </w:tc>
        <w:tc>
          <w:tcPr>
            <w:tcW w:w="3543" w:type="dxa"/>
            <w:tcBorders>
              <w:top w:val="single" w:sz="4" w:space="0" w:color="969696"/>
              <w:left w:val="nil"/>
              <w:bottom w:val="single" w:sz="4" w:space="0" w:color="969696"/>
              <w:right w:val="nil"/>
            </w:tcBorders>
            <w:vAlign w:val="center"/>
          </w:tcPr>
          <w:p w:rsidR="005249A8" w:rsidRPr="005249A8" w:rsidRDefault="005249A8" w:rsidP="00750E1F">
            <w:pPr>
              <w:spacing w:after="0" w:line="240" w:lineRule="auto"/>
              <w:jc w:val="both"/>
              <w:rPr>
                <w:bCs/>
              </w:rPr>
            </w:pPr>
            <w:r w:rsidRPr="005249A8">
              <w:rPr>
                <w:bCs/>
              </w:rPr>
              <w:t>Razvlakivanje</w:t>
            </w:r>
          </w:p>
        </w:tc>
      </w:tr>
      <w:tr w:rsidR="005249A8" w:rsidRPr="005249A8" w:rsidTr="00B83099">
        <w:trPr>
          <w:trHeight w:val="116"/>
          <w:jc w:val="center"/>
        </w:trPr>
        <w:tc>
          <w:tcPr>
            <w:tcW w:w="2471" w:type="dxa"/>
            <w:tcBorders>
              <w:top w:val="single" w:sz="4" w:space="0" w:color="969696"/>
              <w:left w:val="nil"/>
              <w:bottom w:val="single" w:sz="4" w:space="0" w:color="969696"/>
              <w:right w:val="nil"/>
            </w:tcBorders>
            <w:noWrap/>
            <w:vAlign w:val="center"/>
          </w:tcPr>
          <w:p w:rsidR="005249A8" w:rsidRPr="005249A8" w:rsidRDefault="005249A8" w:rsidP="00750E1F">
            <w:pPr>
              <w:spacing w:after="0" w:line="240" w:lineRule="auto"/>
              <w:jc w:val="both"/>
              <w:rPr>
                <w:bCs/>
              </w:rPr>
            </w:pPr>
            <w:r w:rsidRPr="005249A8">
              <w:rPr>
                <w:bCs/>
              </w:rPr>
              <w:t>Usitanjvanje i prosijavanje</w:t>
            </w:r>
          </w:p>
        </w:tc>
        <w:tc>
          <w:tcPr>
            <w:tcW w:w="3402" w:type="dxa"/>
            <w:tcBorders>
              <w:top w:val="single" w:sz="4" w:space="0" w:color="969696"/>
              <w:left w:val="nil"/>
              <w:bottom w:val="single" w:sz="4" w:space="0" w:color="969696"/>
              <w:right w:val="nil"/>
            </w:tcBorders>
            <w:noWrap/>
            <w:vAlign w:val="center"/>
          </w:tcPr>
          <w:p w:rsidR="005249A8" w:rsidRPr="005249A8" w:rsidRDefault="005249A8" w:rsidP="00750E1F">
            <w:pPr>
              <w:spacing w:after="0" w:line="240" w:lineRule="auto"/>
              <w:jc w:val="both"/>
              <w:rPr>
                <w:bCs/>
              </w:rPr>
            </w:pPr>
            <w:r w:rsidRPr="005249A8">
              <w:rPr>
                <w:bCs/>
              </w:rPr>
              <w:t>Žetva, ručno i mašinsko branje</w:t>
            </w:r>
          </w:p>
        </w:tc>
        <w:tc>
          <w:tcPr>
            <w:tcW w:w="3543" w:type="dxa"/>
            <w:tcBorders>
              <w:top w:val="single" w:sz="4" w:space="0" w:color="969696"/>
              <w:left w:val="nil"/>
              <w:bottom w:val="single" w:sz="4" w:space="0" w:color="969696"/>
              <w:right w:val="nil"/>
            </w:tcBorders>
            <w:vAlign w:val="center"/>
          </w:tcPr>
          <w:p w:rsidR="005249A8" w:rsidRPr="005249A8" w:rsidRDefault="005249A8" w:rsidP="00750E1F">
            <w:pPr>
              <w:spacing w:after="0" w:line="240" w:lineRule="auto"/>
              <w:jc w:val="both"/>
              <w:rPr>
                <w:bCs/>
              </w:rPr>
            </w:pPr>
            <w:r w:rsidRPr="005249A8">
              <w:rPr>
                <w:bCs/>
              </w:rPr>
              <w:t>Uklanjanje nečistoća prosijavanjem, ispiranjem, flotacijom, centrigurianje, odbojavanje</w:t>
            </w:r>
          </w:p>
        </w:tc>
      </w:tr>
      <w:tr w:rsidR="005249A8" w:rsidRPr="005249A8" w:rsidTr="00B83099">
        <w:trPr>
          <w:trHeight w:val="116"/>
          <w:jc w:val="center"/>
        </w:trPr>
        <w:tc>
          <w:tcPr>
            <w:tcW w:w="2471" w:type="dxa"/>
            <w:tcBorders>
              <w:top w:val="single" w:sz="4" w:space="0" w:color="969696"/>
              <w:left w:val="nil"/>
              <w:bottom w:val="single" w:sz="4" w:space="0" w:color="969696"/>
              <w:right w:val="nil"/>
            </w:tcBorders>
            <w:noWrap/>
            <w:vAlign w:val="center"/>
          </w:tcPr>
          <w:p w:rsidR="005249A8" w:rsidRPr="005249A8" w:rsidRDefault="005249A8" w:rsidP="00750E1F">
            <w:pPr>
              <w:spacing w:after="0" w:line="240" w:lineRule="auto"/>
              <w:jc w:val="both"/>
              <w:rPr>
                <w:bCs/>
              </w:rPr>
            </w:pPr>
            <w:r w:rsidRPr="005249A8">
              <w:rPr>
                <w:bCs/>
              </w:rPr>
              <w:t>Pakiranje</w:t>
            </w:r>
          </w:p>
        </w:tc>
        <w:tc>
          <w:tcPr>
            <w:tcW w:w="3402" w:type="dxa"/>
            <w:tcBorders>
              <w:top w:val="single" w:sz="4" w:space="0" w:color="969696"/>
              <w:left w:val="nil"/>
              <w:bottom w:val="single" w:sz="4" w:space="0" w:color="969696"/>
              <w:right w:val="nil"/>
            </w:tcBorders>
            <w:noWrap/>
            <w:vAlign w:val="center"/>
          </w:tcPr>
          <w:p w:rsidR="005249A8" w:rsidRPr="005249A8" w:rsidRDefault="005249A8" w:rsidP="00750E1F">
            <w:pPr>
              <w:spacing w:after="0" w:line="240" w:lineRule="auto"/>
              <w:jc w:val="both"/>
              <w:rPr>
                <w:bCs/>
              </w:rPr>
            </w:pPr>
            <w:r w:rsidRPr="005249A8">
              <w:rPr>
                <w:bCs/>
              </w:rPr>
              <w:t>Pranje</w:t>
            </w:r>
          </w:p>
        </w:tc>
        <w:tc>
          <w:tcPr>
            <w:tcW w:w="3543" w:type="dxa"/>
            <w:tcBorders>
              <w:top w:val="single" w:sz="4" w:space="0" w:color="969696"/>
              <w:left w:val="nil"/>
              <w:bottom w:val="single" w:sz="4" w:space="0" w:color="969696"/>
              <w:right w:val="nil"/>
            </w:tcBorders>
            <w:vAlign w:val="center"/>
          </w:tcPr>
          <w:p w:rsidR="005249A8" w:rsidRPr="005249A8" w:rsidRDefault="005249A8" w:rsidP="00750E1F">
            <w:pPr>
              <w:spacing w:after="0" w:line="240" w:lineRule="auto"/>
              <w:jc w:val="both"/>
              <w:rPr>
                <w:bCs/>
              </w:rPr>
            </w:pPr>
            <w:r w:rsidRPr="005249A8">
              <w:rPr>
                <w:bCs/>
              </w:rPr>
              <w:t>Sušenje</w:t>
            </w:r>
          </w:p>
        </w:tc>
      </w:tr>
      <w:tr w:rsidR="005249A8" w:rsidRPr="005249A8" w:rsidTr="00B83099">
        <w:trPr>
          <w:trHeight w:val="116"/>
          <w:jc w:val="center"/>
        </w:trPr>
        <w:tc>
          <w:tcPr>
            <w:tcW w:w="2471" w:type="dxa"/>
            <w:vMerge w:val="restart"/>
            <w:tcBorders>
              <w:top w:val="single" w:sz="4" w:space="0" w:color="969696"/>
              <w:left w:val="nil"/>
              <w:right w:val="nil"/>
            </w:tcBorders>
            <w:noWrap/>
            <w:vAlign w:val="center"/>
          </w:tcPr>
          <w:p w:rsidR="005249A8" w:rsidRPr="005249A8" w:rsidRDefault="005249A8" w:rsidP="00750E1F">
            <w:pPr>
              <w:spacing w:after="0" w:line="240" w:lineRule="auto"/>
              <w:jc w:val="both"/>
              <w:rPr>
                <w:bCs/>
              </w:rPr>
            </w:pPr>
            <w:r w:rsidRPr="005249A8">
              <w:rPr>
                <w:bCs/>
              </w:rPr>
              <w:t>Korištenje, konačno zbrinjavanje-odlaganje</w:t>
            </w:r>
          </w:p>
        </w:tc>
        <w:tc>
          <w:tcPr>
            <w:tcW w:w="3402" w:type="dxa"/>
            <w:tcBorders>
              <w:top w:val="single" w:sz="4" w:space="0" w:color="969696"/>
              <w:left w:val="nil"/>
              <w:bottom w:val="single" w:sz="4" w:space="0" w:color="969696"/>
              <w:right w:val="nil"/>
            </w:tcBorders>
            <w:noWrap/>
            <w:vAlign w:val="center"/>
          </w:tcPr>
          <w:p w:rsidR="005249A8" w:rsidRPr="005249A8" w:rsidRDefault="005249A8" w:rsidP="00750E1F">
            <w:pPr>
              <w:spacing w:after="0" w:line="240" w:lineRule="auto"/>
              <w:jc w:val="both"/>
              <w:rPr>
                <w:bCs/>
              </w:rPr>
            </w:pPr>
            <w:r w:rsidRPr="005249A8">
              <w:rPr>
                <w:bCs/>
              </w:rPr>
              <w:t>Sušenje i ekstruzija</w:t>
            </w:r>
          </w:p>
        </w:tc>
        <w:tc>
          <w:tcPr>
            <w:tcW w:w="3543" w:type="dxa"/>
            <w:tcBorders>
              <w:top w:val="single" w:sz="4" w:space="0" w:color="969696"/>
              <w:left w:val="nil"/>
              <w:bottom w:val="single" w:sz="4" w:space="0" w:color="969696"/>
              <w:right w:val="nil"/>
            </w:tcBorders>
            <w:vAlign w:val="center"/>
          </w:tcPr>
          <w:p w:rsidR="005249A8" w:rsidRPr="005249A8" w:rsidRDefault="005249A8" w:rsidP="00750E1F">
            <w:pPr>
              <w:spacing w:after="0" w:line="240" w:lineRule="auto"/>
              <w:jc w:val="both"/>
              <w:rPr>
                <w:bCs/>
              </w:rPr>
            </w:pPr>
            <w:r w:rsidRPr="005249A8">
              <w:rPr>
                <w:bCs/>
              </w:rPr>
              <w:t>Peletiranje</w:t>
            </w:r>
          </w:p>
        </w:tc>
      </w:tr>
      <w:tr w:rsidR="005249A8" w:rsidRPr="005249A8" w:rsidTr="00B83099">
        <w:trPr>
          <w:trHeight w:val="116"/>
          <w:jc w:val="center"/>
        </w:trPr>
        <w:tc>
          <w:tcPr>
            <w:tcW w:w="2471" w:type="dxa"/>
            <w:vMerge/>
            <w:tcBorders>
              <w:left w:val="nil"/>
              <w:right w:val="nil"/>
            </w:tcBorders>
            <w:noWrap/>
            <w:vAlign w:val="center"/>
          </w:tcPr>
          <w:p w:rsidR="005249A8" w:rsidRPr="005249A8" w:rsidRDefault="005249A8" w:rsidP="00750E1F">
            <w:pPr>
              <w:spacing w:after="0" w:line="240" w:lineRule="auto"/>
              <w:jc w:val="both"/>
              <w:rPr>
                <w:bCs/>
              </w:rPr>
            </w:pPr>
          </w:p>
        </w:tc>
        <w:tc>
          <w:tcPr>
            <w:tcW w:w="3402" w:type="dxa"/>
            <w:tcBorders>
              <w:top w:val="single" w:sz="4" w:space="0" w:color="969696"/>
              <w:left w:val="nil"/>
              <w:bottom w:val="single" w:sz="4" w:space="0" w:color="969696"/>
              <w:right w:val="nil"/>
            </w:tcBorders>
            <w:noWrap/>
            <w:vAlign w:val="center"/>
          </w:tcPr>
          <w:p w:rsidR="005249A8" w:rsidRPr="005249A8" w:rsidRDefault="005249A8" w:rsidP="00750E1F">
            <w:pPr>
              <w:spacing w:after="0" w:line="240" w:lineRule="auto"/>
              <w:jc w:val="both"/>
              <w:rPr>
                <w:bCs/>
              </w:rPr>
            </w:pPr>
            <w:r w:rsidRPr="005249A8">
              <w:rPr>
                <w:bCs/>
              </w:rPr>
              <w:t>Usitanjvanje i prosijavanje</w:t>
            </w:r>
          </w:p>
        </w:tc>
        <w:tc>
          <w:tcPr>
            <w:tcW w:w="3543" w:type="dxa"/>
            <w:tcBorders>
              <w:top w:val="single" w:sz="4" w:space="0" w:color="969696"/>
              <w:left w:val="nil"/>
              <w:bottom w:val="single" w:sz="4" w:space="0" w:color="969696"/>
              <w:right w:val="nil"/>
            </w:tcBorders>
            <w:vAlign w:val="center"/>
          </w:tcPr>
          <w:p w:rsidR="005249A8" w:rsidRPr="005249A8" w:rsidRDefault="005249A8" w:rsidP="00750E1F">
            <w:pPr>
              <w:spacing w:after="0" w:line="240" w:lineRule="auto"/>
              <w:jc w:val="both"/>
              <w:rPr>
                <w:bCs/>
              </w:rPr>
            </w:pPr>
            <w:r w:rsidRPr="005249A8">
              <w:rPr>
                <w:bCs/>
              </w:rPr>
              <w:t>Pakiranje</w:t>
            </w:r>
          </w:p>
        </w:tc>
      </w:tr>
      <w:tr w:rsidR="005249A8" w:rsidRPr="005249A8" w:rsidTr="00B83099">
        <w:trPr>
          <w:trHeight w:val="116"/>
          <w:jc w:val="center"/>
        </w:trPr>
        <w:tc>
          <w:tcPr>
            <w:tcW w:w="2471" w:type="dxa"/>
            <w:vMerge/>
            <w:tcBorders>
              <w:left w:val="nil"/>
              <w:right w:val="nil"/>
            </w:tcBorders>
            <w:noWrap/>
            <w:vAlign w:val="center"/>
          </w:tcPr>
          <w:p w:rsidR="005249A8" w:rsidRPr="005249A8" w:rsidRDefault="005249A8" w:rsidP="00750E1F">
            <w:pPr>
              <w:spacing w:after="0" w:line="240" w:lineRule="auto"/>
              <w:jc w:val="both"/>
              <w:rPr>
                <w:bCs/>
              </w:rPr>
            </w:pPr>
          </w:p>
        </w:tc>
        <w:tc>
          <w:tcPr>
            <w:tcW w:w="3402" w:type="dxa"/>
            <w:tcBorders>
              <w:top w:val="single" w:sz="4" w:space="0" w:color="969696"/>
              <w:left w:val="nil"/>
              <w:bottom w:val="single" w:sz="4" w:space="0" w:color="969696"/>
              <w:right w:val="nil"/>
            </w:tcBorders>
            <w:noWrap/>
            <w:vAlign w:val="center"/>
          </w:tcPr>
          <w:p w:rsidR="005249A8" w:rsidRPr="005249A8" w:rsidRDefault="005249A8" w:rsidP="00750E1F">
            <w:pPr>
              <w:spacing w:after="0" w:line="240" w:lineRule="auto"/>
              <w:jc w:val="both"/>
              <w:rPr>
                <w:bCs/>
              </w:rPr>
            </w:pPr>
            <w:r w:rsidRPr="005249A8">
              <w:rPr>
                <w:bCs/>
              </w:rPr>
              <w:t>Pakiranje</w:t>
            </w:r>
          </w:p>
        </w:tc>
        <w:tc>
          <w:tcPr>
            <w:tcW w:w="3543" w:type="dxa"/>
            <w:tcBorders>
              <w:top w:val="single" w:sz="4" w:space="0" w:color="969696"/>
              <w:left w:val="nil"/>
              <w:bottom w:val="single" w:sz="4" w:space="0" w:color="969696"/>
              <w:right w:val="nil"/>
            </w:tcBorders>
            <w:vAlign w:val="center"/>
          </w:tcPr>
          <w:p w:rsidR="005249A8" w:rsidRPr="005249A8" w:rsidRDefault="005249A8" w:rsidP="00750E1F">
            <w:pPr>
              <w:spacing w:after="0" w:line="240" w:lineRule="auto"/>
              <w:jc w:val="both"/>
              <w:rPr>
                <w:bCs/>
              </w:rPr>
            </w:pPr>
            <w:r w:rsidRPr="005249A8">
              <w:rPr>
                <w:bCs/>
              </w:rPr>
              <w:t>Korištenje, konačno zbrinjavanje-odlaganje/kompostiranje</w:t>
            </w:r>
          </w:p>
        </w:tc>
      </w:tr>
      <w:tr w:rsidR="005249A8" w:rsidRPr="005249A8" w:rsidTr="00B83099">
        <w:trPr>
          <w:trHeight w:val="70"/>
          <w:jc w:val="center"/>
        </w:trPr>
        <w:tc>
          <w:tcPr>
            <w:tcW w:w="2471" w:type="dxa"/>
            <w:vMerge/>
            <w:tcBorders>
              <w:left w:val="nil"/>
              <w:bottom w:val="single" w:sz="4" w:space="0" w:color="969696"/>
              <w:right w:val="nil"/>
            </w:tcBorders>
            <w:noWrap/>
            <w:vAlign w:val="center"/>
          </w:tcPr>
          <w:p w:rsidR="005249A8" w:rsidRPr="005249A8" w:rsidRDefault="005249A8" w:rsidP="00750E1F">
            <w:pPr>
              <w:spacing w:after="0" w:line="240" w:lineRule="auto"/>
              <w:jc w:val="both"/>
              <w:rPr>
                <w:bCs/>
              </w:rPr>
            </w:pPr>
          </w:p>
        </w:tc>
        <w:tc>
          <w:tcPr>
            <w:tcW w:w="3402" w:type="dxa"/>
            <w:tcBorders>
              <w:top w:val="single" w:sz="4" w:space="0" w:color="969696"/>
              <w:left w:val="nil"/>
              <w:bottom w:val="single" w:sz="4" w:space="0" w:color="969696"/>
              <w:right w:val="nil"/>
            </w:tcBorders>
            <w:noWrap/>
            <w:vAlign w:val="center"/>
          </w:tcPr>
          <w:p w:rsidR="005249A8" w:rsidRPr="005249A8" w:rsidRDefault="005249A8" w:rsidP="00750E1F">
            <w:pPr>
              <w:spacing w:after="0" w:line="240" w:lineRule="auto"/>
              <w:jc w:val="both"/>
              <w:rPr>
                <w:bCs/>
              </w:rPr>
            </w:pPr>
            <w:r w:rsidRPr="005249A8">
              <w:rPr>
                <w:bCs/>
              </w:rPr>
              <w:t>Korištenje, konačno zbrinjavanje (odlaganje/kompostiranje)</w:t>
            </w:r>
          </w:p>
        </w:tc>
        <w:tc>
          <w:tcPr>
            <w:tcW w:w="3543" w:type="dxa"/>
            <w:tcBorders>
              <w:top w:val="single" w:sz="4" w:space="0" w:color="969696"/>
              <w:left w:val="nil"/>
              <w:bottom w:val="single" w:sz="4" w:space="0" w:color="969696"/>
              <w:right w:val="nil"/>
            </w:tcBorders>
            <w:vAlign w:val="center"/>
          </w:tcPr>
          <w:p w:rsidR="005249A8" w:rsidRPr="005249A8" w:rsidRDefault="005249A8" w:rsidP="00750E1F">
            <w:pPr>
              <w:spacing w:after="0" w:line="240" w:lineRule="auto"/>
              <w:jc w:val="both"/>
              <w:rPr>
                <w:bCs/>
              </w:rPr>
            </w:pPr>
            <w:r w:rsidRPr="005249A8">
              <w:rPr>
                <w:bCs/>
              </w:rPr>
              <w:t>Korištenje, konačno zbrinjavanje (odlaganje/kompostiranje/kanalizacija)</w:t>
            </w:r>
          </w:p>
        </w:tc>
      </w:tr>
    </w:tbl>
    <w:p w:rsidR="005249A8" w:rsidRPr="005249A8" w:rsidRDefault="005249A8" w:rsidP="00750E1F">
      <w:pPr>
        <w:spacing w:after="0" w:line="240" w:lineRule="auto"/>
        <w:jc w:val="both"/>
        <w:rPr>
          <w:b/>
        </w:rPr>
      </w:pPr>
      <w:r w:rsidRPr="005249A8">
        <w:rPr>
          <w:b/>
        </w:rPr>
        <w:t>Stelje na bazi minerala (bentonit)</w:t>
      </w:r>
    </w:p>
    <w:p w:rsidR="005249A8" w:rsidRPr="005249A8" w:rsidRDefault="005249A8" w:rsidP="00750E1F">
      <w:pPr>
        <w:spacing w:after="0" w:line="240" w:lineRule="auto"/>
        <w:jc w:val="both"/>
      </w:pPr>
      <w:r w:rsidRPr="005249A8">
        <w:t>Bentonit je alumosilikatna glina sastavljena od koloidalnih i plasti</w:t>
      </w:r>
      <w:r w:rsidRPr="005249A8">
        <w:rPr>
          <w:rFonts w:hint="eastAsia"/>
        </w:rPr>
        <w:t>č</w:t>
      </w:r>
      <w:r w:rsidRPr="005249A8">
        <w:t>nih glina, prete</w:t>
      </w:r>
      <w:r w:rsidRPr="005249A8">
        <w:rPr>
          <w:rFonts w:hint="eastAsia"/>
        </w:rPr>
        <w:t>ž</w:t>
      </w:r>
      <w:r w:rsidRPr="005249A8">
        <w:t>no od minerala montmorilonita. Bentonitna glina ne smije sadržavati opasne tvari kao što je to nevezani silicijev dioksid (SiO</w:t>
      </w:r>
      <w:r w:rsidRPr="005249A8">
        <w:rPr>
          <w:vertAlign w:val="subscript"/>
        </w:rPr>
        <w:t>2</w:t>
      </w:r>
      <w:r w:rsidRPr="005249A8">
        <w:t>) koji je opasan za zdravlje ljudi i životinja. Bentonit se dobiva kao prirodna sirovina u glinokopima.</w:t>
      </w:r>
    </w:p>
    <w:p w:rsidR="005249A8" w:rsidRPr="005249A8" w:rsidRDefault="005249A8" w:rsidP="00750E1F">
      <w:pPr>
        <w:spacing w:after="0" w:line="240" w:lineRule="auto"/>
        <w:jc w:val="both"/>
      </w:pPr>
      <w:r w:rsidRPr="005249A8">
        <w:t>Proizvodnja bentonitne stelje odvija se u dvije faze. Prva faza obuhvaća proces alkalne aktivacije bentonitne gline. U drugoj fazi aktivirana bentonitna glina transportira se prema postrojenju za mješanje, gdje se vrši dodatno doziranje a zatim glina odlazi na dezintegrator na usitnjavanje. Sustavom podtlaka usitnjena glina se suši vrućim zrakom, klasira te pakira.</w:t>
      </w:r>
    </w:p>
    <w:p w:rsidR="005249A8" w:rsidRPr="005249A8" w:rsidRDefault="005249A8" w:rsidP="00750E1F">
      <w:pPr>
        <w:spacing w:after="0" w:line="240" w:lineRule="auto"/>
        <w:jc w:val="both"/>
        <w:rPr>
          <w:b/>
        </w:rPr>
      </w:pPr>
      <w:r w:rsidRPr="005249A8">
        <w:rPr>
          <w:b/>
        </w:rPr>
        <w:t>Stelje od prirodnog materijala (slama, kukuruz, mješavina vlakna, drvo)</w:t>
      </w:r>
    </w:p>
    <w:p w:rsidR="005249A8" w:rsidRPr="005249A8" w:rsidRDefault="005249A8" w:rsidP="00750E1F">
      <w:pPr>
        <w:spacing w:after="0" w:line="240" w:lineRule="auto"/>
        <w:jc w:val="both"/>
      </w:pPr>
      <w:r w:rsidRPr="005249A8">
        <w:t>Slama, kukuruzovina i smjesa vlakana kao sirovina mogu sadržavati ostatke biocida i proizvoda za zaštitu bilja korištenih tijekom uzgoja. Ostaci ne smiju sadržavati tvari koje nisu odobrene prema popisu iz Priloga I Pravilnika o popisu postojećih aktivnih tvari dopuštenih u</w:t>
      </w:r>
      <w:r w:rsidRPr="005249A8">
        <w:rPr>
          <w:b/>
          <w:bCs/>
        </w:rPr>
        <w:t xml:space="preserve"> </w:t>
      </w:r>
      <w:r w:rsidRPr="005249A8">
        <w:t>biocidnim pripravcima (NN 5/14) te Zakonu o održivoj uporabi pesticida (NN 14/14). Slama, kukuruzovina i druga vlakna ne smiju sadržavati nepoželjne tvari kao što su plijesni (mikotoksini) i mikroorganizmi u skladu s Pravilnikom o sigurnosti hrane za životinje (NN 102/16).</w:t>
      </w:r>
    </w:p>
    <w:p w:rsidR="005249A8" w:rsidRPr="005249A8" w:rsidRDefault="005249A8" w:rsidP="00750E1F">
      <w:pPr>
        <w:spacing w:after="0" w:line="240" w:lineRule="auto"/>
        <w:jc w:val="both"/>
      </w:pPr>
      <w:r w:rsidRPr="005249A8">
        <w:t>Drvo kao sirovina predstavlja drvni ostatak iz prerade drva i proizvodnje proizvoda od drva, kao i iz drugih izvora. Drvni ostatak može biti s raznim postocima sadržane vlage i raznih dimenzija (piljevina, iver, sječka, blanjevina, komadi drva i kora, drugi pilanski otpad, ogrjevno i celulozno drvo). Drvo treba biti porijeklom iz šuma kojima se gospodari na održiv način i ne uključuje tretman kemijskim sredstvima, odnosno ne smije sadržavati halogene organske spojeve ili teške metale koji nastaju uporabom proizvoda za zaštitu drveta ili premaza kao i drvni otpad koji potječe od građevinskog otpada ili otpada nastalog rušenjem.</w:t>
      </w:r>
    </w:p>
    <w:p w:rsidR="005249A8" w:rsidRPr="005249A8" w:rsidRDefault="005249A8" w:rsidP="00750E1F">
      <w:pPr>
        <w:spacing w:after="0" w:line="240" w:lineRule="auto"/>
        <w:jc w:val="both"/>
        <w:rPr>
          <w:b/>
        </w:rPr>
      </w:pPr>
      <w:r w:rsidRPr="005249A8">
        <w:rPr>
          <w:b/>
        </w:rPr>
        <w:t>Stelje od recikliranog papira</w:t>
      </w:r>
    </w:p>
    <w:p w:rsidR="005249A8" w:rsidRPr="005249A8" w:rsidRDefault="005249A8" w:rsidP="00750E1F">
      <w:pPr>
        <w:spacing w:after="0" w:line="240" w:lineRule="auto"/>
        <w:jc w:val="both"/>
      </w:pPr>
      <w:r w:rsidRPr="005249A8">
        <w:t>Papir kao sirovina predstavlja sekundarnu sirovinu, te ne smije sadržavati bojila (pigmenti ili boje) koja kao sastojke sadrže spojeve teških metala (živa, olovo, kadmij ili krom (VI)). Papir mora biti proizveden tehnologijom koja ne koristi sredstva za izbjeljivanje na bazi klora i nerazgradiva sredstva (npr. kompleksi EDTA, DTPA). Papir ima dobra apsorbirajuća svojstva najboljim se pokazalo korištene papirnih ručnika i ubrusa. Tijekom procesa recikliranja novina, novinski papir je odbojan, prosijan i razvlakan. Dok se duga vlakna od novinskog papira mogu reciklirati kao buduće novine, kratka vlakna obično se smatraju otpadom. Kada se osuše, formiraju se u pelete i u kombinaciji s agensom za kontrolu mirisa, kratka vlakna od starog novinskog papira mogu se iskoristiti za mačju stelju. Papirna stelja je lagana, vrlo upijajuća i može se ispirati u WC-u umjesto da se odlaže na odlagalište.</w:t>
      </w:r>
    </w:p>
    <w:p w:rsidR="005249A8" w:rsidRPr="005249A8" w:rsidRDefault="005249A8" w:rsidP="00750E1F">
      <w:pPr>
        <w:spacing w:after="0" w:line="240" w:lineRule="auto"/>
        <w:jc w:val="both"/>
        <w:rPr>
          <w:b/>
        </w:rPr>
      </w:pPr>
      <w:r w:rsidRPr="005249A8">
        <w:rPr>
          <w:b/>
        </w:rPr>
        <w:t>Pokazatelji zaštite okoliša</w:t>
      </w:r>
    </w:p>
    <w:p w:rsidR="005249A8" w:rsidRPr="005249A8" w:rsidRDefault="005249A8" w:rsidP="00750E1F">
      <w:pPr>
        <w:spacing w:after="0" w:line="240" w:lineRule="auto"/>
        <w:jc w:val="both"/>
      </w:pPr>
      <w:r w:rsidRPr="005249A8">
        <w:t xml:space="preserve">U tablici u nastavku su prikazani </w:t>
      </w:r>
      <w:bookmarkStart w:id="9" w:name="_Hlk491413628"/>
      <w:r w:rsidRPr="005249A8">
        <w:t>pokazatelji zaštite okoliša za životni ciklus proizvoda stelje</w:t>
      </w:r>
      <w:bookmarkEnd w:id="9"/>
      <w:r w:rsidRPr="005249A8">
        <w:t>.</w:t>
      </w:r>
    </w:p>
    <w:p w:rsidR="005249A8" w:rsidRPr="005249A8" w:rsidRDefault="005249A8" w:rsidP="00750E1F">
      <w:pPr>
        <w:spacing w:after="0" w:line="240" w:lineRule="auto"/>
        <w:jc w:val="both"/>
        <w:rPr>
          <w:b/>
          <w:iCs/>
        </w:rPr>
      </w:pPr>
      <w:bookmarkStart w:id="10" w:name="_Toc491418819"/>
      <w:r w:rsidRPr="005249A8">
        <w:rPr>
          <w:b/>
          <w:iCs/>
        </w:rPr>
        <w:t xml:space="preserve">Tablica </w:t>
      </w:r>
      <w:r w:rsidRPr="005249A8">
        <w:rPr>
          <w:b/>
          <w:iCs/>
        </w:rPr>
        <w:fldChar w:fldCharType="begin"/>
      </w:r>
      <w:r w:rsidRPr="005249A8">
        <w:rPr>
          <w:b/>
          <w:iCs/>
        </w:rPr>
        <w:instrText xml:space="preserve"> STYLEREF 1 \s </w:instrText>
      </w:r>
      <w:r w:rsidRPr="005249A8">
        <w:rPr>
          <w:b/>
          <w:iCs/>
        </w:rPr>
        <w:fldChar w:fldCharType="separate"/>
      </w:r>
      <w:r w:rsidRPr="005249A8">
        <w:rPr>
          <w:b/>
          <w:iCs/>
        </w:rPr>
        <w:t>B</w:t>
      </w:r>
      <w:r w:rsidRPr="005249A8">
        <w:fldChar w:fldCharType="end"/>
      </w:r>
      <w:r w:rsidRPr="005249A8">
        <w:rPr>
          <w:b/>
          <w:iCs/>
        </w:rPr>
        <w:noBreakHyphen/>
      </w:r>
      <w:r w:rsidRPr="005249A8">
        <w:rPr>
          <w:b/>
          <w:iCs/>
        </w:rPr>
        <w:fldChar w:fldCharType="begin"/>
      </w:r>
      <w:r w:rsidRPr="005249A8">
        <w:rPr>
          <w:b/>
          <w:iCs/>
        </w:rPr>
        <w:instrText xml:space="preserve"> SEQ Tablica \* ARABIC \s 1 </w:instrText>
      </w:r>
      <w:r w:rsidRPr="005249A8">
        <w:rPr>
          <w:b/>
          <w:iCs/>
        </w:rPr>
        <w:fldChar w:fldCharType="separate"/>
      </w:r>
      <w:r w:rsidRPr="005249A8">
        <w:rPr>
          <w:b/>
          <w:iCs/>
        </w:rPr>
        <w:t>2</w:t>
      </w:r>
      <w:r w:rsidRPr="005249A8">
        <w:fldChar w:fldCharType="end"/>
      </w:r>
      <w:r w:rsidRPr="005249A8">
        <w:rPr>
          <w:b/>
          <w:iCs/>
        </w:rPr>
        <w:t>: Pokazatelji zaštite okoliša za životni ciklus proizvoda stelje</w:t>
      </w:r>
      <w:bookmarkEnd w:id="10"/>
    </w:p>
    <w:tbl>
      <w:tblPr>
        <w:tblW w:w="9288" w:type="dxa"/>
        <w:tblLayout w:type="fixed"/>
        <w:tblLook w:val="04A0" w:firstRow="1" w:lastRow="0" w:firstColumn="1" w:lastColumn="0" w:noHBand="0" w:noVBand="1"/>
      </w:tblPr>
      <w:tblGrid>
        <w:gridCol w:w="2267"/>
        <w:gridCol w:w="1102"/>
        <w:gridCol w:w="1417"/>
        <w:gridCol w:w="1418"/>
        <w:gridCol w:w="1417"/>
        <w:gridCol w:w="1667"/>
      </w:tblGrid>
      <w:tr w:rsidR="005249A8" w:rsidRPr="005249A8" w:rsidTr="00B83099">
        <w:trPr>
          <w:tblHeader/>
        </w:trPr>
        <w:tc>
          <w:tcPr>
            <w:tcW w:w="2267" w:type="dxa"/>
            <w:hideMark/>
          </w:tcPr>
          <w:p w:rsidR="005249A8" w:rsidRPr="005249A8" w:rsidRDefault="005249A8" w:rsidP="00750E1F">
            <w:pPr>
              <w:spacing w:after="0" w:line="240" w:lineRule="auto"/>
              <w:jc w:val="both"/>
              <w:rPr>
                <w:b/>
              </w:rPr>
            </w:pPr>
            <w:r w:rsidRPr="005249A8">
              <w:rPr>
                <w:b/>
              </w:rPr>
              <w:lastRenderedPageBreak/>
              <w:t>Pokazatelji</w:t>
            </w:r>
            <w:r w:rsidRPr="005249A8">
              <w:rPr>
                <w:b/>
              </w:rPr>
              <w:br/>
              <w:t>zaštite okoliša</w:t>
            </w:r>
          </w:p>
        </w:tc>
        <w:tc>
          <w:tcPr>
            <w:tcW w:w="1102" w:type="dxa"/>
            <w:hideMark/>
          </w:tcPr>
          <w:p w:rsidR="005249A8" w:rsidRPr="005249A8" w:rsidRDefault="005249A8" w:rsidP="00750E1F">
            <w:pPr>
              <w:spacing w:after="0" w:line="240" w:lineRule="auto"/>
              <w:jc w:val="both"/>
              <w:rPr>
                <w:b/>
              </w:rPr>
            </w:pPr>
            <w:r w:rsidRPr="005249A8">
              <w:rPr>
                <w:b/>
              </w:rPr>
              <w:t>Predpro-izvodnja</w:t>
            </w:r>
          </w:p>
        </w:tc>
        <w:tc>
          <w:tcPr>
            <w:tcW w:w="1417" w:type="dxa"/>
            <w:hideMark/>
          </w:tcPr>
          <w:p w:rsidR="005249A8" w:rsidRPr="005249A8" w:rsidRDefault="005249A8" w:rsidP="00750E1F">
            <w:pPr>
              <w:spacing w:after="0" w:line="240" w:lineRule="auto"/>
              <w:jc w:val="both"/>
              <w:rPr>
                <w:b/>
              </w:rPr>
            </w:pPr>
            <w:r w:rsidRPr="005249A8">
              <w:rPr>
                <w:b/>
              </w:rPr>
              <w:t>Proizvodnja</w:t>
            </w:r>
          </w:p>
        </w:tc>
        <w:tc>
          <w:tcPr>
            <w:tcW w:w="1418" w:type="dxa"/>
            <w:hideMark/>
          </w:tcPr>
          <w:p w:rsidR="005249A8" w:rsidRPr="005249A8" w:rsidRDefault="005249A8" w:rsidP="00750E1F">
            <w:pPr>
              <w:spacing w:after="0" w:line="240" w:lineRule="auto"/>
              <w:jc w:val="both"/>
              <w:rPr>
                <w:b/>
              </w:rPr>
            </w:pPr>
            <w:r w:rsidRPr="005249A8">
              <w:rPr>
                <w:b/>
              </w:rPr>
              <w:t>Pakiranje i distribucija</w:t>
            </w:r>
          </w:p>
        </w:tc>
        <w:tc>
          <w:tcPr>
            <w:tcW w:w="1417" w:type="dxa"/>
            <w:hideMark/>
          </w:tcPr>
          <w:p w:rsidR="005249A8" w:rsidRPr="005249A8" w:rsidRDefault="005249A8" w:rsidP="00750E1F">
            <w:pPr>
              <w:spacing w:after="0" w:line="240" w:lineRule="auto"/>
              <w:jc w:val="both"/>
              <w:rPr>
                <w:b/>
              </w:rPr>
            </w:pPr>
            <w:r w:rsidRPr="005249A8">
              <w:rPr>
                <w:b/>
              </w:rPr>
              <w:t>Uporaba proizvoda</w:t>
            </w:r>
          </w:p>
        </w:tc>
        <w:tc>
          <w:tcPr>
            <w:tcW w:w="1667" w:type="dxa"/>
            <w:hideMark/>
          </w:tcPr>
          <w:p w:rsidR="005249A8" w:rsidRPr="005249A8" w:rsidRDefault="005249A8" w:rsidP="00750E1F">
            <w:pPr>
              <w:spacing w:after="0" w:line="240" w:lineRule="auto"/>
              <w:jc w:val="both"/>
              <w:rPr>
                <w:b/>
              </w:rPr>
            </w:pPr>
            <w:r w:rsidRPr="005249A8">
              <w:rPr>
                <w:b/>
              </w:rPr>
              <w:t>Recikliranje/</w:t>
            </w:r>
          </w:p>
          <w:p w:rsidR="005249A8" w:rsidRPr="005249A8" w:rsidRDefault="005249A8" w:rsidP="00750E1F">
            <w:pPr>
              <w:spacing w:after="0" w:line="240" w:lineRule="auto"/>
              <w:jc w:val="both"/>
              <w:rPr>
                <w:b/>
              </w:rPr>
            </w:pPr>
            <w:r w:rsidRPr="005249A8">
              <w:rPr>
                <w:b/>
              </w:rPr>
              <w:t>oporaba/</w:t>
            </w:r>
          </w:p>
          <w:p w:rsidR="005249A8" w:rsidRPr="005249A8" w:rsidRDefault="005249A8" w:rsidP="00750E1F">
            <w:pPr>
              <w:spacing w:after="0" w:line="240" w:lineRule="auto"/>
              <w:jc w:val="both"/>
              <w:rPr>
                <w:b/>
              </w:rPr>
            </w:pPr>
            <w:r w:rsidRPr="005249A8">
              <w:rPr>
                <w:b/>
              </w:rPr>
              <w:t>odlaganje</w:t>
            </w:r>
          </w:p>
        </w:tc>
      </w:tr>
      <w:tr w:rsidR="005249A8" w:rsidRPr="005249A8" w:rsidTr="00B83099">
        <w:tc>
          <w:tcPr>
            <w:tcW w:w="2267" w:type="dxa"/>
            <w:hideMark/>
          </w:tcPr>
          <w:p w:rsidR="005249A8" w:rsidRPr="005249A8" w:rsidRDefault="005249A8" w:rsidP="00750E1F">
            <w:pPr>
              <w:spacing w:after="0" w:line="240" w:lineRule="auto"/>
              <w:jc w:val="both"/>
              <w:rPr>
                <w:b/>
              </w:rPr>
            </w:pPr>
            <w:r w:rsidRPr="005249A8">
              <w:rPr>
                <w:b/>
              </w:rPr>
              <w:t>Učinkovitost korištenja prirodnih dobara</w:t>
            </w:r>
          </w:p>
        </w:tc>
        <w:tc>
          <w:tcPr>
            <w:tcW w:w="1102" w:type="dxa"/>
          </w:tcPr>
          <w:p w:rsidR="005249A8" w:rsidRPr="005249A8" w:rsidRDefault="005249A8" w:rsidP="00750E1F">
            <w:pPr>
              <w:spacing w:after="0" w:line="240" w:lineRule="auto"/>
              <w:jc w:val="both"/>
              <w:rPr>
                <w:b/>
              </w:rPr>
            </w:pPr>
            <w:r w:rsidRPr="005249A8">
              <w:rPr>
                <w:b/>
              </w:rPr>
              <w:t>+</w:t>
            </w:r>
            <w:r w:rsidRPr="005249A8">
              <w:rPr>
                <w:b/>
              </w:rPr>
              <w:sym w:font="Symbol" w:char="F0AD"/>
            </w:r>
          </w:p>
        </w:tc>
        <w:tc>
          <w:tcPr>
            <w:tcW w:w="1417" w:type="dxa"/>
            <w:hideMark/>
          </w:tcPr>
          <w:p w:rsidR="005249A8" w:rsidRPr="005249A8" w:rsidRDefault="005249A8" w:rsidP="00750E1F">
            <w:pPr>
              <w:spacing w:after="0" w:line="240" w:lineRule="auto"/>
              <w:jc w:val="both"/>
              <w:rPr>
                <w:b/>
              </w:rPr>
            </w:pPr>
            <w:r w:rsidRPr="005249A8">
              <w:rPr>
                <w:b/>
              </w:rPr>
              <w:t>+</w:t>
            </w:r>
            <w:r w:rsidRPr="005249A8">
              <w:rPr>
                <w:b/>
              </w:rPr>
              <w:sym w:font="Symbol" w:char="F0AD"/>
            </w:r>
          </w:p>
        </w:tc>
        <w:tc>
          <w:tcPr>
            <w:tcW w:w="1418" w:type="dxa"/>
            <w:hideMark/>
          </w:tcPr>
          <w:p w:rsidR="005249A8" w:rsidRPr="005249A8" w:rsidRDefault="005249A8" w:rsidP="00750E1F">
            <w:pPr>
              <w:spacing w:after="0" w:line="240" w:lineRule="auto"/>
              <w:jc w:val="both"/>
              <w:rPr>
                <w:b/>
              </w:rPr>
            </w:pPr>
            <w:r w:rsidRPr="005249A8">
              <w:rPr>
                <w:b/>
              </w:rPr>
              <w:t>+</w:t>
            </w:r>
            <w:r w:rsidRPr="005249A8">
              <w:rPr>
                <w:b/>
              </w:rPr>
              <w:sym w:font="Symbol" w:char="F0AD"/>
            </w:r>
          </w:p>
        </w:tc>
        <w:tc>
          <w:tcPr>
            <w:tcW w:w="1417" w:type="dxa"/>
            <w:hideMark/>
          </w:tcPr>
          <w:p w:rsidR="005249A8" w:rsidRPr="005249A8" w:rsidRDefault="005249A8" w:rsidP="00750E1F">
            <w:pPr>
              <w:spacing w:after="0" w:line="240" w:lineRule="auto"/>
              <w:jc w:val="both"/>
              <w:rPr>
                <w:b/>
              </w:rPr>
            </w:pPr>
            <w:r w:rsidRPr="005249A8">
              <w:rPr>
                <w:b/>
              </w:rPr>
              <w:t>-</w:t>
            </w:r>
          </w:p>
        </w:tc>
        <w:tc>
          <w:tcPr>
            <w:tcW w:w="1667" w:type="dxa"/>
            <w:hideMark/>
          </w:tcPr>
          <w:p w:rsidR="005249A8" w:rsidRPr="005249A8" w:rsidRDefault="005249A8" w:rsidP="00750E1F">
            <w:pPr>
              <w:spacing w:after="0" w:line="240" w:lineRule="auto"/>
              <w:jc w:val="both"/>
              <w:rPr>
                <w:b/>
              </w:rPr>
            </w:pPr>
            <w:r w:rsidRPr="005249A8">
              <w:rPr>
                <w:b/>
              </w:rPr>
              <w:t>+</w:t>
            </w:r>
          </w:p>
        </w:tc>
      </w:tr>
      <w:tr w:rsidR="005249A8" w:rsidRPr="005249A8" w:rsidTr="00B83099">
        <w:tc>
          <w:tcPr>
            <w:tcW w:w="2267" w:type="dxa"/>
            <w:hideMark/>
          </w:tcPr>
          <w:p w:rsidR="005249A8" w:rsidRPr="005249A8" w:rsidRDefault="005249A8" w:rsidP="00750E1F">
            <w:pPr>
              <w:spacing w:after="0" w:line="240" w:lineRule="auto"/>
              <w:jc w:val="both"/>
              <w:rPr>
                <w:b/>
              </w:rPr>
            </w:pPr>
            <w:r w:rsidRPr="005249A8">
              <w:rPr>
                <w:b/>
              </w:rPr>
              <w:t>Energetska učinkovitost</w:t>
            </w:r>
          </w:p>
        </w:tc>
        <w:tc>
          <w:tcPr>
            <w:tcW w:w="1102" w:type="dxa"/>
          </w:tcPr>
          <w:p w:rsidR="005249A8" w:rsidRPr="005249A8" w:rsidRDefault="005249A8" w:rsidP="00750E1F">
            <w:pPr>
              <w:spacing w:after="0" w:line="240" w:lineRule="auto"/>
              <w:jc w:val="both"/>
              <w:rPr>
                <w:b/>
              </w:rPr>
            </w:pPr>
            <w:r w:rsidRPr="005249A8">
              <w:rPr>
                <w:b/>
              </w:rPr>
              <w:t>-</w:t>
            </w:r>
          </w:p>
        </w:tc>
        <w:tc>
          <w:tcPr>
            <w:tcW w:w="1417" w:type="dxa"/>
            <w:hideMark/>
          </w:tcPr>
          <w:p w:rsidR="005249A8" w:rsidRPr="005249A8" w:rsidRDefault="005249A8" w:rsidP="00750E1F">
            <w:pPr>
              <w:spacing w:after="0" w:line="240" w:lineRule="auto"/>
              <w:jc w:val="both"/>
              <w:rPr>
                <w:b/>
              </w:rPr>
            </w:pPr>
            <w:r w:rsidRPr="005249A8">
              <w:rPr>
                <w:b/>
              </w:rPr>
              <w:t>+</w:t>
            </w:r>
          </w:p>
        </w:tc>
        <w:tc>
          <w:tcPr>
            <w:tcW w:w="1418" w:type="dxa"/>
            <w:hideMark/>
          </w:tcPr>
          <w:p w:rsidR="005249A8" w:rsidRPr="005249A8" w:rsidRDefault="005249A8" w:rsidP="00750E1F">
            <w:pPr>
              <w:spacing w:after="0" w:line="240" w:lineRule="auto"/>
              <w:jc w:val="both"/>
              <w:rPr>
                <w:b/>
              </w:rPr>
            </w:pPr>
            <w:r w:rsidRPr="005249A8">
              <w:rPr>
                <w:b/>
              </w:rPr>
              <w:t>-</w:t>
            </w:r>
          </w:p>
        </w:tc>
        <w:tc>
          <w:tcPr>
            <w:tcW w:w="1417" w:type="dxa"/>
            <w:hideMark/>
          </w:tcPr>
          <w:p w:rsidR="005249A8" w:rsidRPr="005249A8" w:rsidRDefault="005249A8" w:rsidP="00750E1F">
            <w:pPr>
              <w:spacing w:after="0" w:line="240" w:lineRule="auto"/>
              <w:jc w:val="both"/>
              <w:rPr>
                <w:b/>
              </w:rPr>
            </w:pPr>
            <w:r w:rsidRPr="005249A8">
              <w:rPr>
                <w:b/>
              </w:rPr>
              <w:t>-</w:t>
            </w:r>
          </w:p>
        </w:tc>
        <w:tc>
          <w:tcPr>
            <w:tcW w:w="1667" w:type="dxa"/>
            <w:hideMark/>
          </w:tcPr>
          <w:p w:rsidR="005249A8" w:rsidRPr="005249A8" w:rsidRDefault="005249A8" w:rsidP="00750E1F">
            <w:pPr>
              <w:spacing w:after="0" w:line="240" w:lineRule="auto"/>
              <w:jc w:val="both"/>
              <w:rPr>
                <w:b/>
              </w:rPr>
            </w:pPr>
            <w:r w:rsidRPr="005249A8">
              <w:rPr>
                <w:b/>
              </w:rPr>
              <w:t>+</w:t>
            </w:r>
          </w:p>
        </w:tc>
      </w:tr>
      <w:tr w:rsidR="005249A8" w:rsidRPr="005249A8" w:rsidTr="00B83099">
        <w:tc>
          <w:tcPr>
            <w:tcW w:w="2267" w:type="dxa"/>
            <w:hideMark/>
          </w:tcPr>
          <w:p w:rsidR="005249A8" w:rsidRPr="005249A8" w:rsidRDefault="005249A8" w:rsidP="00750E1F">
            <w:pPr>
              <w:spacing w:after="0" w:line="240" w:lineRule="auto"/>
              <w:jc w:val="both"/>
              <w:rPr>
                <w:b/>
              </w:rPr>
            </w:pPr>
            <w:r w:rsidRPr="005249A8">
              <w:rPr>
                <w:b/>
              </w:rPr>
              <w:t>Zaštita zraka</w:t>
            </w:r>
          </w:p>
        </w:tc>
        <w:tc>
          <w:tcPr>
            <w:tcW w:w="1102" w:type="dxa"/>
          </w:tcPr>
          <w:p w:rsidR="005249A8" w:rsidRPr="005249A8" w:rsidRDefault="005249A8" w:rsidP="00750E1F">
            <w:pPr>
              <w:spacing w:after="0" w:line="240" w:lineRule="auto"/>
              <w:jc w:val="both"/>
              <w:rPr>
                <w:b/>
              </w:rPr>
            </w:pPr>
            <w:r w:rsidRPr="005249A8">
              <w:rPr>
                <w:b/>
              </w:rPr>
              <w:t>+</w:t>
            </w:r>
          </w:p>
        </w:tc>
        <w:tc>
          <w:tcPr>
            <w:tcW w:w="1417" w:type="dxa"/>
            <w:hideMark/>
          </w:tcPr>
          <w:p w:rsidR="005249A8" w:rsidRPr="005249A8" w:rsidRDefault="005249A8" w:rsidP="00750E1F">
            <w:pPr>
              <w:spacing w:after="0" w:line="240" w:lineRule="auto"/>
              <w:jc w:val="both"/>
              <w:rPr>
                <w:b/>
              </w:rPr>
            </w:pPr>
            <w:r w:rsidRPr="005249A8">
              <w:rPr>
                <w:b/>
              </w:rPr>
              <w:t>+</w:t>
            </w:r>
          </w:p>
        </w:tc>
        <w:tc>
          <w:tcPr>
            <w:tcW w:w="1418" w:type="dxa"/>
            <w:hideMark/>
          </w:tcPr>
          <w:p w:rsidR="005249A8" w:rsidRPr="005249A8" w:rsidRDefault="005249A8" w:rsidP="00750E1F">
            <w:pPr>
              <w:spacing w:after="0" w:line="240" w:lineRule="auto"/>
              <w:jc w:val="both"/>
              <w:rPr>
                <w:b/>
              </w:rPr>
            </w:pPr>
            <w:r w:rsidRPr="005249A8">
              <w:rPr>
                <w:b/>
              </w:rPr>
              <w:t>-</w:t>
            </w:r>
          </w:p>
        </w:tc>
        <w:tc>
          <w:tcPr>
            <w:tcW w:w="1417" w:type="dxa"/>
            <w:hideMark/>
          </w:tcPr>
          <w:p w:rsidR="005249A8" w:rsidRPr="005249A8" w:rsidRDefault="005249A8" w:rsidP="00750E1F">
            <w:pPr>
              <w:spacing w:after="0" w:line="240" w:lineRule="auto"/>
              <w:jc w:val="both"/>
              <w:rPr>
                <w:b/>
              </w:rPr>
            </w:pPr>
            <w:r w:rsidRPr="005249A8">
              <w:rPr>
                <w:b/>
              </w:rPr>
              <w:t>-</w:t>
            </w:r>
          </w:p>
        </w:tc>
        <w:tc>
          <w:tcPr>
            <w:tcW w:w="1667" w:type="dxa"/>
            <w:hideMark/>
          </w:tcPr>
          <w:p w:rsidR="005249A8" w:rsidRPr="005249A8" w:rsidRDefault="005249A8" w:rsidP="00750E1F">
            <w:pPr>
              <w:spacing w:after="0" w:line="240" w:lineRule="auto"/>
              <w:jc w:val="both"/>
              <w:rPr>
                <w:b/>
              </w:rPr>
            </w:pPr>
            <w:r w:rsidRPr="005249A8">
              <w:rPr>
                <w:b/>
              </w:rPr>
              <w:t>-</w:t>
            </w:r>
          </w:p>
        </w:tc>
      </w:tr>
      <w:tr w:rsidR="005249A8" w:rsidRPr="005249A8" w:rsidTr="00B83099">
        <w:tc>
          <w:tcPr>
            <w:tcW w:w="2267" w:type="dxa"/>
            <w:hideMark/>
          </w:tcPr>
          <w:p w:rsidR="005249A8" w:rsidRPr="005249A8" w:rsidRDefault="005249A8" w:rsidP="00750E1F">
            <w:pPr>
              <w:spacing w:after="0" w:line="240" w:lineRule="auto"/>
              <w:jc w:val="both"/>
              <w:rPr>
                <w:b/>
              </w:rPr>
            </w:pPr>
            <w:r w:rsidRPr="005249A8">
              <w:rPr>
                <w:b/>
              </w:rPr>
              <w:t>Zaštita vode</w:t>
            </w:r>
          </w:p>
        </w:tc>
        <w:tc>
          <w:tcPr>
            <w:tcW w:w="1102" w:type="dxa"/>
          </w:tcPr>
          <w:p w:rsidR="005249A8" w:rsidRPr="005249A8" w:rsidRDefault="005249A8" w:rsidP="00750E1F">
            <w:pPr>
              <w:spacing w:after="0" w:line="240" w:lineRule="auto"/>
              <w:jc w:val="both"/>
              <w:rPr>
                <w:b/>
              </w:rPr>
            </w:pPr>
            <w:r w:rsidRPr="005249A8">
              <w:rPr>
                <w:b/>
              </w:rPr>
              <w:t>-</w:t>
            </w:r>
          </w:p>
        </w:tc>
        <w:tc>
          <w:tcPr>
            <w:tcW w:w="1417" w:type="dxa"/>
            <w:hideMark/>
          </w:tcPr>
          <w:p w:rsidR="005249A8" w:rsidRPr="005249A8" w:rsidRDefault="005249A8" w:rsidP="00750E1F">
            <w:pPr>
              <w:spacing w:after="0" w:line="240" w:lineRule="auto"/>
              <w:jc w:val="both"/>
              <w:rPr>
                <w:b/>
              </w:rPr>
            </w:pPr>
            <w:r w:rsidRPr="005249A8">
              <w:rPr>
                <w:b/>
              </w:rPr>
              <w:t>-</w:t>
            </w:r>
          </w:p>
        </w:tc>
        <w:tc>
          <w:tcPr>
            <w:tcW w:w="1418" w:type="dxa"/>
            <w:hideMark/>
          </w:tcPr>
          <w:p w:rsidR="005249A8" w:rsidRPr="005249A8" w:rsidRDefault="005249A8" w:rsidP="00750E1F">
            <w:pPr>
              <w:spacing w:after="0" w:line="240" w:lineRule="auto"/>
              <w:jc w:val="both"/>
              <w:rPr>
                <w:b/>
              </w:rPr>
            </w:pPr>
            <w:r w:rsidRPr="005249A8">
              <w:rPr>
                <w:b/>
              </w:rPr>
              <w:t>-</w:t>
            </w:r>
          </w:p>
        </w:tc>
        <w:tc>
          <w:tcPr>
            <w:tcW w:w="1417" w:type="dxa"/>
            <w:hideMark/>
          </w:tcPr>
          <w:p w:rsidR="005249A8" w:rsidRPr="005249A8" w:rsidRDefault="005249A8" w:rsidP="00750E1F">
            <w:pPr>
              <w:spacing w:after="0" w:line="240" w:lineRule="auto"/>
              <w:jc w:val="both"/>
              <w:rPr>
                <w:b/>
              </w:rPr>
            </w:pPr>
            <w:r w:rsidRPr="005249A8">
              <w:rPr>
                <w:b/>
              </w:rPr>
              <w:t>+</w:t>
            </w:r>
          </w:p>
        </w:tc>
        <w:tc>
          <w:tcPr>
            <w:tcW w:w="1667" w:type="dxa"/>
            <w:hideMark/>
          </w:tcPr>
          <w:p w:rsidR="005249A8" w:rsidRPr="005249A8" w:rsidRDefault="005249A8" w:rsidP="00750E1F">
            <w:pPr>
              <w:spacing w:after="0" w:line="240" w:lineRule="auto"/>
              <w:jc w:val="both"/>
              <w:rPr>
                <w:b/>
              </w:rPr>
            </w:pPr>
            <w:r w:rsidRPr="005249A8">
              <w:rPr>
                <w:b/>
              </w:rPr>
              <w:t>+</w:t>
            </w:r>
          </w:p>
        </w:tc>
      </w:tr>
      <w:tr w:rsidR="005249A8" w:rsidRPr="005249A8" w:rsidTr="00B83099">
        <w:tc>
          <w:tcPr>
            <w:tcW w:w="2267" w:type="dxa"/>
            <w:hideMark/>
          </w:tcPr>
          <w:p w:rsidR="005249A8" w:rsidRPr="005249A8" w:rsidRDefault="005249A8" w:rsidP="00750E1F">
            <w:pPr>
              <w:spacing w:after="0" w:line="240" w:lineRule="auto"/>
              <w:jc w:val="both"/>
              <w:rPr>
                <w:b/>
              </w:rPr>
            </w:pPr>
            <w:r w:rsidRPr="005249A8">
              <w:rPr>
                <w:b/>
              </w:rPr>
              <w:t>Zaštita tla</w:t>
            </w:r>
          </w:p>
        </w:tc>
        <w:tc>
          <w:tcPr>
            <w:tcW w:w="1102" w:type="dxa"/>
          </w:tcPr>
          <w:p w:rsidR="005249A8" w:rsidRPr="005249A8" w:rsidRDefault="005249A8" w:rsidP="00750E1F">
            <w:pPr>
              <w:spacing w:after="0" w:line="240" w:lineRule="auto"/>
              <w:jc w:val="both"/>
              <w:rPr>
                <w:b/>
              </w:rPr>
            </w:pPr>
            <w:r w:rsidRPr="005249A8">
              <w:rPr>
                <w:b/>
              </w:rPr>
              <w:t>-</w:t>
            </w:r>
          </w:p>
        </w:tc>
        <w:tc>
          <w:tcPr>
            <w:tcW w:w="1417" w:type="dxa"/>
            <w:hideMark/>
          </w:tcPr>
          <w:p w:rsidR="005249A8" w:rsidRPr="005249A8" w:rsidRDefault="005249A8" w:rsidP="00750E1F">
            <w:pPr>
              <w:spacing w:after="0" w:line="240" w:lineRule="auto"/>
              <w:jc w:val="both"/>
              <w:rPr>
                <w:b/>
              </w:rPr>
            </w:pPr>
            <w:r w:rsidRPr="005249A8">
              <w:rPr>
                <w:b/>
              </w:rPr>
              <w:t>-</w:t>
            </w:r>
          </w:p>
        </w:tc>
        <w:tc>
          <w:tcPr>
            <w:tcW w:w="1418" w:type="dxa"/>
            <w:hideMark/>
          </w:tcPr>
          <w:p w:rsidR="005249A8" w:rsidRPr="005249A8" w:rsidRDefault="005249A8" w:rsidP="00750E1F">
            <w:pPr>
              <w:spacing w:after="0" w:line="240" w:lineRule="auto"/>
              <w:jc w:val="both"/>
              <w:rPr>
                <w:b/>
              </w:rPr>
            </w:pPr>
            <w:r w:rsidRPr="005249A8">
              <w:rPr>
                <w:b/>
              </w:rPr>
              <w:t>-</w:t>
            </w:r>
          </w:p>
        </w:tc>
        <w:tc>
          <w:tcPr>
            <w:tcW w:w="1417" w:type="dxa"/>
            <w:hideMark/>
          </w:tcPr>
          <w:p w:rsidR="005249A8" w:rsidRPr="005249A8" w:rsidRDefault="005249A8" w:rsidP="00750E1F">
            <w:pPr>
              <w:spacing w:after="0" w:line="240" w:lineRule="auto"/>
              <w:jc w:val="both"/>
              <w:rPr>
                <w:b/>
              </w:rPr>
            </w:pPr>
            <w:r w:rsidRPr="005249A8">
              <w:rPr>
                <w:b/>
              </w:rPr>
              <w:t>-</w:t>
            </w:r>
          </w:p>
        </w:tc>
        <w:tc>
          <w:tcPr>
            <w:tcW w:w="1667" w:type="dxa"/>
            <w:hideMark/>
          </w:tcPr>
          <w:p w:rsidR="005249A8" w:rsidRPr="005249A8" w:rsidRDefault="005249A8" w:rsidP="00750E1F">
            <w:pPr>
              <w:spacing w:after="0" w:line="240" w:lineRule="auto"/>
              <w:jc w:val="both"/>
              <w:rPr>
                <w:b/>
              </w:rPr>
            </w:pPr>
            <w:r w:rsidRPr="005249A8">
              <w:rPr>
                <w:b/>
              </w:rPr>
              <w:t>-</w:t>
            </w:r>
          </w:p>
        </w:tc>
      </w:tr>
      <w:tr w:rsidR="005249A8" w:rsidRPr="005249A8" w:rsidTr="00B83099">
        <w:tc>
          <w:tcPr>
            <w:tcW w:w="2267" w:type="dxa"/>
            <w:hideMark/>
          </w:tcPr>
          <w:p w:rsidR="005249A8" w:rsidRPr="005249A8" w:rsidRDefault="005249A8" w:rsidP="00750E1F">
            <w:pPr>
              <w:spacing w:after="0" w:line="240" w:lineRule="auto"/>
              <w:jc w:val="both"/>
              <w:rPr>
                <w:b/>
              </w:rPr>
            </w:pPr>
            <w:r w:rsidRPr="005249A8">
              <w:rPr>
                <w:b/>
              </w:rPr>
              <w:t>Emisija stakleničkih plinova</w:t>
            </w:r>
          </w:p>
        </w:tc>
        <w:tc>
          <w:tcPr>
            <w:tcW w:w="1102" w:type="dxa"/>
          </w:tcPr>
          <w:p w:rsidR="005249A8" w:rsidRPr="005249A8" w:rsidRDefault="005249A8" w:rsidP="00750E1F">
            <w:pPr>
              <w:spacing w:after="0" w:line="240" w:lineRule="auto"/>
              <w:jc w:val="both"/>
              <w:rPr>
                <w:b/>
              </w:rPr>
            </w:pPr>
            <w:r w:rsidRPr="005249A8">
              <w:rPr>
                <w:b/>
              </w:rPr>
              <w:t>-</w:t>
            </w:r>
          </w:p>
        </w:tc>
        <w:tc>
          <w:tcPr>
            <w:tcW w:w="1417" w:type="dxa"/>
            <w:hideMark/>
          </w:tcPr>
          <w:p w:rsidR="005249A8" w:rsidRPr="005249A8" w:rsidRDefault="005249A8" w:rsidP="00750E1F">
            <w:pPr>
              <w:spacing w:after="0" w:line="240" w:lineRule="auto"/>
              <w:jc w:val="both"/>
              <w:rPr>
                <w:b/>
              </w:rPr>
            </w:pPr>
            <w:r w:rsidRPr="005249A8">
              <w:rPr>
                <w:b/>
              </w:rPr>
              <w:t>-</w:t>
            </w:r>
          </w:p>
        </w:tc>
        <w:tc>
          <w:tcPr>
            <w:tcW w:w="1418" w:type="dxa"/>
            <w:hideMark/>
          </w:tcPr>
          <w:p w:rsidR="005249A8" w:rsidRPr="005249A8" w:rsidRDefault="005249A8" w:rsidP="00750E1F">
            <w:pPr>
              <w:spacing w:after="0" w:line="240" w:lineRule="auto"/>
              <w:jc w:val="both"/>
              <w:rPr>
                <w:b/>
              </w:rPr>
            </w:pPr>
            <w:r w:rsidRPr="005249A8">
              <w:rPr>
                <w:b/>
              </w:rPr>
              <w:t>-</w:t>
            </w:r>
          </w:p>
        </w:tc>
        <w:tc>
          <w:tcPr>
            <w:tcW w:w="1417" w:type="dxa"/>
            <w:hideMark/>
          </w:tcPr>
          <w:p w:rsidR="005249A8" w:rsidRPr="005249A8" w:rsidRDefault="005249A8" w:rsidP="00750E1F">
            <w:pPr>
              <w:spacing w:after="0" w:line="240" w:lineRule="auto"/>
              <w:jc w:val="both"/>
              <w:rPr>
                <w:b/>
              </w:rPr>
            </w:pPr>
            <w:r w:rsidRPr="005249A8">
              <w:rPr>
                <w:b/>
              </w:rPr>
              <w:t>-</w:t>
            </w:r>
          </w:p>
        </w:tc>
        <w:tc>
          <w:tcPr>
            <w:tcW w:w="1667" w:type="dxa"/>
            <w:hideMark/>
          </w:tcPr>
          <w:p w:rsidR="005249A8" w:rsidRPr="005249A8" w:rsidRDefault="005249A8" w:rsidP="00750E1F">
            <w:pPr>
              <w:spacing w:after="0" w:line="240" w:lineRule="auto"/>
              <w:jc w:val="both"/>
              <w:rPr>
                <w:b/>
              </w:rPr>
            </w:pPr>
            <w:r w:rsidRPr="005249A8">
              <w:rPr>
                <w:b/>
              </w:rPr>
              <w:t>-</w:t>
            </w:r>
          </w:p>
        </w:tc>
      </w:tr>
      <w:tr w:rsidR="005249A8" w:rsidRPr="005249A8" w:rsidTr="00B83099">
        <w:tc>
          <w:tcPr>
            <w:tcW w:w="2267" w:type="dxa"/>
            <w:hideMark/>
          </w:tcPr>
          <w:p w:rsidR="005249A8" w:rsidRPr="005249A8" w:rsidRDefault="005249A8" w:rsidP="00750E1F">
            <w:pPr>
              <w:spacing w:after="0" w:line="240" w:lineRule="auto"/>
              <w:jc w:val="both"/>
              <w:rPr>
                <w:b/>
              </w:rPr>
            </w:pPr>
            <w:r w:rsidRPr="005249A8">
              <w:rPr>
                <w:b/>
              </w:rPr>
              <w:t>Gospodarenje otpadom</w:t>
            </w:r>
          </w:p>
        </w:tc>
        <w:tc>
          <w:tcPr>
            <w:tcW w:w="1102" w:type="dxa"/>
          </w:tcPr>
          <w:p w:rsidR="005249A8" w:rsidRPr="005249A8" w:rsidRDefault="005249A8" w:rsidP="00750E1F">
            <w:pPr>
              <w:spacing w:after="0" w:line="240" w:lineRule="auto"/>
              <w:jc w:val="both"/>
              <w:rPr>
                <w:b/>
              </w:rPr>
            </w:pPr>
            <w:r w:rsidRPr="005249A8">
              <w:rPr>
                <w:b/>
              </w:rPr>
              <w:t>+</w:t>
            </w:r>
          </w:p>
        </w:tc>
        <w:tc>
          <w:tcPr>
            <w:tcW w:w="1417" w:type="dxa"/>
            <w:hideMark/>
          </w:tcPr>
          <w:p w:rsidR="005249A8" w:rsidRPr="005249A8" w:rsidRDefault="005249A8" w:rsidP="00750E1F">
            <w:pPr>
              <w:spacing w:after="0" w:line="240" w:lineRule="auto"/>
              <w:jc w:val="both"/>
              <w:rPr>
                <w:b/>
              </w:rPr>
            </w:pPr>
            <w:r w:rsidRPr="005249A8">
              <w:rPr>
                <w:b/>
              </w:rPr>
              <w:t>+</w:t>
            </w:r>
          </w:p>
        </w:tc>
        <w:tc>
          <w:tcPr>
            <w:tcW w:w="1418" w:type="dxa"/>
            <w:hideMark/>
          </w:tcPr>
          <w:p w:rsidR="005249A8" w:rsidRPr="005249A8" w:rsidRDefault="005249A8" w:rsidP="00750E1F">
            <w:pPr>
              <w:spacing w:after="0" w:line="240" w:lineRule="auto"/>
              <w:jc w:val="both"/>
              <w:rPr>
                <w:b/>
              </w:rPr>
            </w:pPr>
            <w:r w:rsidRPr="005249A8">
              <w:rPr>
                <w:b/>
              </w:rPr>
              <w:t>+</w:t>
            </w:r>
            <w:r w:rsidRPr="005249A8">
              <w:rPr>
                <w:b/>
              </w:rPr>
              <w:sym w:font="Symbol" w:char="F0AD"/>
            </w:r>
          </w:p>
        </w:tc>
        <w:tc>
          <w:tcPr>
            <w:tcW w:w="1417" w:type="dxa"/>
            <w:hideMark/>
          </w:tcPr>
          <w:p w:rsidR="005249A8" w:rsidRPr="005249A8" w:rsidRDefault="005249A8" w:rsidP="00750E1F">
            <w:pPr>
              <w:spacing w:after="0" w:line="240" w:lineRule="auto"/>
              <w:jc w:val="both"/>
              <w:rPr>
                <w:b/>
              </w:rPr>
            </w:pPr>
            <w:r w:rsidRPr="005249A8">
              <w:rPr>
                <w:b/>
              </w:rPr>
              <w:t>+</w:t>
            </w:r>
            <w:r w:rsidRPr="005249A8">
              <w:rPr>
                <w:b/>
              </w:rPr>
              <w:sym w:font="Symbol" w:char="F0AD"/>
            </w:r>
          </w:p>
        </w:tc>
        <w:tc>
          <w:tcPr>
            <w:tcW w:w="1667" w:type="dxa"/>
            <w:hideMark/>
          </w:tcPr>
          <w:p w:rsidR="005249A8" w:rsidRPr="005249A8" w:rsidRDefault="005249A8" w:rsidP="00750E1F">
            <w:pPr>
              <w:spacing w:after="0" w:line="240" w:lineRule="auto"/>
              <w:jc w:val="both"/>
              <w:rPr>
                <w:b/>
              </w:rPr>
            </w:pPr>
            <w:r w:rsidRPr="005249A8">
              <w:rPr>
                <w:b/>
              </w:rPr>
              <w:t>+</w:t>
            </w:r>
            <w:r w:rsidRPr="005249A8">
              <w:rPr>
                <w:b/>
              </w:rPr>
              <w:sym w:font="Symbol" w:char="F0AD"/>
            </w:r>
          </w:p>
        </w:tc>
      </w:tr>
      <w:tr w:rsidR="005249A8" w:rsidRPr="005249A8" w:rsidTr="00B83099">
        <w:tc>
          <w:tcPr>
            <w:tcW w:w="2267" w:type="dxa"/>
            <w:hideMark/>
          </w:tcPr>
          <w:p w:rsidR="005249A8" w:rsidRPr="005249A8" w:rsidRDefault="005249A8" w:rsidP="00750E1F">
            <w:pPr>
              <w:spacing w:after="0" w:line="240" w:lineRule="auto"/>
              <w:jc w:val="both"/>
              <w:rPr>
                <w:b/>
              </w:rPr>
            </w:pPr>
            <w:r w:rsidRPr="005249A8">
              <w:rPr>
                <w:b/>
              </w:rPr>
              <w:t>Bioraznolikost/krajobraz</w:t>
            </w:r>
          </w:p>
        </w:tc>
        <w:tc>
          <w:tcPr>
            <w:tcW w:w="1102" w:type="dxa"/>
          </w:tcPr>
          <w:p w:rsidR="005249A8" w:rsidRPr="005249A8" w:rsidRDefault="005249A8" w:rsidP="00750E1F">
            <w:pPr>
              <w:spacing w:after="0" w:line="240" w:lineRule="auto"/>
              <w:jc w:val="both"/>
              <w:rPr>
                <w:b/>
              </w:rPr>
            </w:pPr>
            <w:r w:rsidRPr="005249A8">
              <w:rPr>
                <w:b/>
              </w:rPr>
              <w:t>+</w:t>
            </w:r>
          </w:p>
        </w:tc>
        <w:tc>
          <w:tcPr>
            <w:tcW w:w="1417" w:type="dxa"/>
            <w:hideMark/>
          </w:tcPr>
          <w:p w:rsidR="005249A8" w:rsidRPr="005249A8" w:rsidRDefault="005249A8" w:rsidP="00750E1F">
            <w:pPr>
              <w:spacing w:after="0" w:line="240" w:lineRule="auto"/>
              <w:jc w:val="both"/>
              <w:rPr>
                <w:b/>
              </w:rPr>
            </w:pPr>
            <w:r w:rsidRPr="005249A8">
              <w:rPr>
                <w:b/>
              </w:rPr>
              <w:t>-</w:t>
            </w:r>
          </w:p>
        </w:tc>
        <w:tc>
          <w:tcPr>
            <w:tcW w:w="1418" w:type="dxa"/>
          </w:tcPr>
          <w:p w:rsidR="005249A8" w:rsidRPr="005249A8" w:rsidRDefault="005249A8" w:rsidP="00750E1F">
            <w:pPr>
              <w:spacing w:after="0" w:line="240" w:lineRule="auto"/>
              <w:jc w:val="both"/>
              <w:rPr>
                <w:b/>
              </w:rPr>
            </w:pPr>
            <w:r w:rsidRPr="005249A8">
              <w:rPr>
                <w:b/>
              </w:rPr>
              <w:t>-</w:t>
            </w:r>
          </w:p>
        </w:tc>
        <w:tc>
          <w:tcPr>
            <w:tcW w:w="1417" w:type="dxa"/>
          </w:tcPr>
          <w:p w:rsidR="005249A8" w:rsidRPr="005249A8" w:rsidRDefault="005249A8" w:rsidP="00750E1F">
            <w:pPr>
              <w:spacing w:after="0" w:line="240" w:lineRule="auto"/>
              <w:jc w:val="both"/>
              <w:rPr>
                <w:b/>
              </w:rPr>
            </w:pPr>
            <w:r w:rsidRPr="005249A8">
              <w:rPr>
                <w:b/>
              </w:rPr>
              <w:t>-</w:t>
            </w:r>
          </w:p>
        </w:tc>
        <w:tc>
          <w:tcPr>
            <w:tcW w:w="1667" w:type="dxa"/>
          </w:tcPr>
          <w:p w:rsidR="005249A8" w:rsidRPr="005249A8" w:rsidRDefault="005249A8" w:rsidP="00750E1F">
            <w:pPr>
              <w:spacing w:after="0" w:line="240" w:lineRule="auto"/>
              <w:jc w:val="both"/>
              <w:rPr>
                <w:b/>
              </w:rPr>
            </w:pPr>
            <w:r w:rsidRPr="005249A8">
              <w:rPr>
                <w:b/>
              </w:rPr>
              <w:t>-</w:t>
            </w:r>
          </w:p>
        </w:tc>
      </w:tr>
      <w:tr w:rsidR="005249A8" w:rsidRPr="005249A8" w:rsidTr="00B83099">
        <w:tc>
          <w:tcPr>
            <w:tcW w:w="2267" w:type="dxa"/>
            <w:hideMark/>
          </w:tcPr>
          <w:p w:rsidR="005249A8" w:rsidRPr="005249A8" w:rsidRDefault="005249A8" w:rsidP="00750E1F">
            <w:pPr>
              <w:spacing w:after="0" w:line="240" w:lineRule="auto"/>
              <w:jc w:val="both"/>
              <w:rPr>
                <w:b/>
              </w:rPr>
            </w:pPr>
            <w:r w:rsidRPr="005249A8">
              <w:rPr>
                <w:b/>
              </w:rPr>
              <w:t>Zaštita od buke</w:t>
            </w:r>
          </w:p>
        </w:tc>
        <w:tc>
          <w:tcPr>
            <w:tcW w:w="1102" w:type="dxa"/>
          </w:tcPr>
          <w:p w:rsidR="005249A8" w:rsidRPr="005249A8" w:rsidRDefault="005249A8" w:rsidP="00750E1F">
            <w:pPr>
              <w:spacing w:after="0" w:line="240" w:lineRule="auto"/>
              <w:jc w:val="both"/>
              <w:rPr>
                <w:b/>
              </w:rPr>
            </w:pPr>
            <w:r w:rsidRPr="005249A8">
              <w:rPr>
                <w:b/>
              </w:rPr>
              <w:t>+</w:t>
            </w:r>
          </w:p>
        </w:tc>
        <w:tc>
          <w:tcPr>
            <w:tcW w:w="1417" w:type="dxa"/>
            <w:hideMark/>
          </w:tcPr>
          <w:p w:rsidR="005249A8" w:rsidRPr="005249A8" w:rsidRDefault="005249A8" w:rsidP="00750E1F">
            <w:pPr>
              <w:spacing w:after="0" w:line="240" w:lineRule="auto"/>
              <w:jc w:val="both"/>
              <w:rPr>
                <w:b/>
              </w:rPr>
            </w:pPr>
            <w:r w:rsidRPr="005249A8">
              <w:rPr>
                <w:b/>
              </w:rPr>
              <w:t>+</w:t>
            </w:r>
          </w:p>
        </w:tc>
        <w:tc>
          <w:tcPr>
            <w:tcW w:w="1418" w:type="dxa"/>
            <w:hideMark/>
          </w:tcPr>
          <w:p w:rsidR="005249A8" w:rsidRPr="005249A8" w:rsidRDefault="005249A8" w:rsidP="00750E1F">
            <w:pPr>
              <w:spacing w:after="0" w:line="240" w:lineRule="auto"/>
              <w:jc w:val="both"/>
              <w:rPr>
                <w:b/>
              </w:rPr>
            </w:pPr>
            <w:r w:rsidRPr="005249A8">
              <w:rPr>
                <w:b/>
              </w:rPr>
              <w:t>-</w:t>
            </w:r>
          </w:p>
        </w:tc>
        <w:tc>
          <w:tcPr>
            <w:tcW w:w="1417" w:type="dxa"/>
            <w:hideMark/>
          </w:tcPr>
          <w:p w:rsidR="005249A8" w:rsidRPr="005249A8" w:rsidRDefault="005249A8" w:rsidP="00750E1F">
            <w:pPr>
              <w:spacing w:after="0" w:line="240" w:lineRule="auto"/>
              <w:jc w:val="both"/>
              <w:rPr>
                <w:b/>
              </w:rPr>
            </w:pPr>
            <w:r w:rsidRPr="005249A8">
              <w:rPr>
                <w:b/>
              </w:rPr>
              <w:t>-</w:t>
            </w:r>
          </w:p>
        </w:tc>
        <w:tc>
          <w:tcPr>
            <w:tcW w:w="1667" w:type="dxa"/>
            <w:hideMark/>
          </w:tcPr>
          <w:p w:rsidR="005249A8" w:rsidRPr="005249A8" w:rsidRDefault="005249A8" w:rsidP="00750E1F">
            <w:pPr>
              <w:spacing w:after="0" w:line="240" w:lineRule="auto"/>
              <w:jc w:val="both"/>
              <w:rPr>
                <w:b/>
              </w:rPr>
            </w:pPr>
            <w:r w:rsidRPr="005249A8">
              <w:rPr>
                <w:b/>
              </w:rPr>
              <w:t>-</w:t>
            </w:r>
          </w:p>
        </w:tc>
      </w:tr>
    </w:tbl>
    <w:p w:rsidR="005249A8" w:rsidRPr="005249A8" w:rsidRDefault="005249A8" w:rsidP="00750E1F">
      <w:pPr>
        <w:spacing w:after="0" w:line="240" w:lineRule="auto"/>
        <w:jc w:val="both"/>
      </w:pPr>
      <w:r w:rsidRPr="005249A8">
        <w:t>Legenda</w:t>
      </w:r>
    </w:p>
    <w:p w:rsidR="005249A8" w:rsidRPr="005249A8" w:rsidRDefault="005249A8" w:rsidP="00750E1F">
      <w:pPr>
        <w:spacing w:after="0" w:line="240" w:lineRule="auto"/>
        <w:jc w:val="both"/>
      </w:pPr>
      <w:r w:rsidRPr="005249A8">
        <w:t>-  = nema utjecaja na okoliš</w:t>
      </w:r>
    </w:p>
    <w:p w:rsidR="005249A8" w:rsidRPr="005249A8" w:rsidRDefault="005249A8" w:rsidP="00750E1F">
      <w:pPr>
        <w:spacing w:after="0" w:line="240" w:lineRule="auto"/>
        <w:jc w:val="both"/>
      </w:pPr>
      <w:r w:rsidRPr="005249A8">
        <w:t>+ = postoji utjecaj na okoliš</w:t>
      </w:r>
    </w:p>
    <w:p w:rsidR="005249A8" w:rsidRPr="005249A8" w:rsidRDefault="005249A8" w:rsidP="00750E1F">
      <w:pPr>
        <w:spacing w:after="0" w:line="240" w:lineRule="auto"/>
        <w:jc w:val="both"/>
      </w:pPr>
      <w:r w:rsidRPr="005249A8">
        <w:t>+</w:t>
      </w:r>
      <w:r w:rsidRPr="005249A8">
        <w:sym w:font="Symbol" w:char="F0AD"/>
      </w:r>
      <w:r w:rsidRPr="005249A8">
        <w:t xml:space="preserve"> = postoji prostor za napredak (smanjenje utjecaja na okoliš)</w:t>
      </w:r>
      <w:r w:rsidRPr="005249A8">
        <w:br w:type="page"/>
      </w:r>
    </w:p>
    <w:p w:rsidR="005249A8" w:rsidRPr="005249A8" w:rsidRDefault="005249A8" w:rsidP="00750E1F">
      <w:pPr>
        <w:spacing w:after="0" w:line="240" w:lineRule="auto"/>
        <w:jc w:val="both"/>
      </w:pPr>
      <w:r w:rsidRPr="005249A8">
        <w:lastRenderedPageBreak/>
        <w:t>Na osnovu tablice, a prilikom pregleda materijala korištenih za izradu stelje za kućne ljubimce te različite pokazatelje zaštite okoliša životnog ciklusa stelje, sljedeći aspekti zaštite okoliša su izuzeti kao nerelevatni za određivanje mjerila:</w:t>
      </w:r>
    </w:p>
    <w:p w:rsidR="005249A8" w:rsidRDefault="005249A8" w:rsidP="00750E1F">
      <w:pPr>
        <w:numPr>
          <w:ilvl w:val="0"/>
          <w:numId w:val="3"/>
        </w:numPr>
        <w:spacing w:after="0" w:line="240" w:lineRule="auto"/>
        <w:jc w:val="both"/>
      </w:pPr>
      <w:r w:rsidRPr="005249A8">
        <w:t>energetska učinkovitost,</w:t>
      </w:r>
    </w:p>
    <w:p w:rsidR="002825DD" w:rsidRDefault="005249A8" w:rsidP="002825DD">
      <w:pPr>
        <w:numPr>
          <w:ilvl w:val="0"/>
          <w:numId w:val="3"/>
        </w:numPr>
        <w:spacing w:after="0" w:line="240" w:lineRule="auto"/>
        <w:jc w:val="both"/>
      </w:pPr>
      <w:r w:rsidRPr="005249A8">
        <w:t>zaštita zraka</w:t>
      </w:r>
      <w:r w:rsidR="002825DD">
        <w:rPr>
          <w:vertAlign w:val="superscript"/>
        </w:rPr>
        <w:t xml:space="preserve">2 </w:t>
      </w:r>
      <w:r w:rsidR="002825DD">
        <w:t>Npr. k</w:t>
      </w:r>
      <w:r w:rsidR="002825DD" w:rsidRPr="00857112">
        <w:t>od proizvodnje stelje može doći do emisija onečišćujućih tvari – krutih čestica (prašine) ali sve izmjerene vrijednosti moraju biti unutar dozvoljenih vrijednosti (GVE) sukladno Uredbi o graničnim vrijednostima emisija onečišćujućih tvari u zrak iz nepokretnih izvora (NN 117/12, 90/14).</w:t>
      </w:r>
      <w:r w:rsidR="002825DD">
        <w:t xml:space="preserve"> U skladu s Uredbom p</w:t>
      </w:r>
      <w:r w:rsidR="002825DD" w:rsidRPr="00857112">
        <w:t xml:space="preserve">odnositelj zahtjeva </w:t>
      </w:r>
      <w:r w:rsidR="002825DD">
        <w:t xml:space="preserve">mora obavljati mjerenja i posjedovati </w:t>
      </w:r>
      <w:r w:rsidR="002825DD" w:rsidRPr="00857112">
        <w:t>izvješća o obavljenim mjerenjima emisija u zrak.</w:t>
      </w:r>
      <w:r w:rsidR="002825DD">
        <w:t xml:space="preserve"> </w:t>
      </w:r>
      <w:r w:rsidR="002825DD" w:rsidRPr="00857112">
        <w:t>Toplina osigurana za sušenje drveta može biti proizvedena u obnovljivom izvoru kao što je elektrana na biomasu, otpadna toplina iz kombinirane toplane-elektrane na bioplin, odlagališni plin ili prikupljena toplina sunca.</w:t>
      </w:r>
      <w:r w:rsidR="002825DD">
        <w:t xml:space="preserve"> </w:t>
      </w:r>
      <w:r w:rsidR="002825DD" w:rsidRPr="00857112">
        <w:t>Dobro je raspolagati dokazom o efikasnom korištenju</w:t>
      </w:r>
      <w:r w:rsidR="002825DD">
        <w:t xml:space="preserve"> energije pri sušenju proizvoda,</w:t>
      </w:r>
    </w:p>
    <w:p w:rsidR="005249A8" w:rsidRPr="005249A8" w:rsidRDefault="005249A8" w:rsidP="00750E1F">
      <w:pPr>
        <w:numPr>
          <w:ilvl w:val="0"/>
          <w:numId w:val="3"/>
        </w:numPr>
        <w:spacing w:after="0" w:line="240" w:lineRule="auto"/>
        <w:jc w:val="both"/>
      </w:pPr>
      <w:r w:rsidRPr="005249A8">
        <w:t>zaštita vode,</w:t>
      </w:r>
    </w:p>
    <w:p w:rsidR="005249A8" w:rsidRPr="005249A8" w:rsidRDefault="005249A8" w:rsidP="00750E1F">
      <w:pPr>
        <w:numPr>
          <w:ilvl w:val="0"/>
          <w:numId w:val="3"/>
        </w:numPr>
        <w:spacing w:after="0" w:line="240" w:lineRule="auto"/>
        <w:jc w:val="both"/>
      </w:pPr>
      <w:r w:rsidRPr="005249A8">
        <w:t>emisija stakleničkih plinova,</w:t>
      </w:r>
    </w:p>
    <w:p w:rsidR="005249A8" w:rsidRPr="005249A8" w:rsidRDefault="005249A8" w:rsidP="00750E1F">
      <w:pPr>
        <w:numPr>
          <w:ilvl w:val="0"/>
          <w:numId w:val="3"/>
        </w:numPr>
        <w:spacing w:after="0" w:line="240" w:lineRule="auto"/>
        <w:jc w:val="both"/>
      </w:pPr>
      <w:r w:rsidRPr="005249A8">
        <w:t>bioraznolikost/krajobraz,</w:t>
      </w:r>
    </w:p>
    <w:p w:rsidR="005249A8" w:rsidRPr="005249A8" w:rsidRDefault="005249A8" w:rsidP="00750E1F">
      <w:pPr>
        <w:numPr>
          <w:ilvl w:val="0"/>
          <w:numId w:val="3"/>
        </w:numPr>
        <w:spacing w:after="0" w:line="240" w:lineRule="auto"/>
        <w:jc w:val="both"/>
      </w:pPr>
      <w:r w:rsidRPr="005249A8">
        <w:t>zaštita od buke.</w:t>
      </w:r>
    </w:p>
    <w:p w:rsidR="005249A8" w:rsidRPr="005249A8" w:rsidRDefault="005249A8" w:rsidP="00750E1F">
      <w:pPr>
        <w:spacing w:after="0" w:line="240" w:lineRule="auto"/>
        <w:jc w:val="both"/>
      </w:pPr>
      <w:r w:rsidRPr="005249A8">
        <w:t>Sljedeći aspekti zaštite okoliša proizvodnje i korištenja stelje za kućne ljubimce kroz cijeli životni ciklusa stelje su izdvojeni kao relevantni za određivanje mjerila:</w:t>
      </w:r>
    </w:p>
    <w:p w:rsidR="005249A8" w:rsidRPr="005249A8" w:rsidRDefault="005249A8" w:rsidP="00750E1F">
      <w:pPr>
        <w:numPr>
          <w:ilvl w:val="0"/>
          <w:numId w:val="3"/>
        </w:numPr>
        <w:spacing w:after="0" w:line="240" w:lineRule="auto"/>
        <w:jc w:val="both"/>
      </w:pPr>
      <w:r w:rsidRPr="005249A8">
        <w:t>učinkovitost korištenja prirodnih dobara,</w:t>
      </w:r>
    </w:p>
    <w:p w:rsidR="005249A8" w:rsidRPr="005249A8" w:rsidRDefault="005249A8" w:rsidP="00750E1F">
      <w:pPr>
        <w:numPr>
          <w:ilvl w:val="0"/>
          <w:numId w:val="3"/>
        </w:numPr>
        <w:spacing w:after="0" w:line="240" w:lineRule="auto"/>
        <w:jc w:val="both"/>
      </w:pPr>
      <w:r w:rsidRPr="005249A8">
        <w:t>gospodarenje otpadom.</w:t>
      </w:r>
    </w:p>
    <w:p w:rsidR="005249A8" w:rsidRPr="005249A8" w:rsidRDefault="005249A8" w:rsidP="00750E1F">
      <w:pPr>
        <w:spacing w:after="0" w:line="240" w:lineRule="auto"/>
        <w:jc w:val="both"/>
      </w:pPr>
      <w:r w:rsidRPr="005249A8">
        <w:t>Obzirom na raznovrstnost materijala i sirovina korištenih za izradu stelje za kućne ljubimce te različite pokazatelje zaštite okoliša životnog ciklusa stelje odabrani su sljedeći aspekti zaštite okoliša koji bi se trebali određivati tijekom postupka dodjele znaka „Prijatelj okoliša“:</w:t>
      </w:r>
    </w:p>
    <w:p w:rsidR="005249A8" w:rsidRPr="005249A8" w:rsidRDefault="005249A8" w:rsidP="00750E1F">
      <w:pPr>
        <w:numPr>
          <w:ilvl w:val="0"/>
          <w:numId w:val="2"/>
        </w:numPr>
        <w:spacing w:after="0" w:line="240" w:lineRule="auto"/>
        <w:jc w:val="both"/>
      </w:pPr>
      <w:r w:rsidRPr="005249A8">
        <w:t>ulazne sirovine (udio otpada i nusproizvoda)</w:t>
      </w:r>
    </w:p>
    <w:p w:rsidR="005249A8" w:rsidRPr="005249A8" w:rsidRDefault="005249A8" w:rsidP="00750E1F">
      <w:pPr>
        <w:numPr>
          <w:ilvl w:val="0"/>
          <w:numId w:val="2"/>
        </w:numPr>
        <w:spacing w:after="0" w:line="240" w:lineRule="auto"/>
        <w:jc w:val="both"/>
      </w:pPr>
      <w:r w:rsidRPr="005249A8">
        <w:t>kemikalije (opasne tvari)</w:t>
      </w:r>
    </w:p>
    <w:p w:rsidR="005249A8" w:rsidRPr="005249A8" w:rsidRDefault="005249A8" w:rsidP="00750E1F">
      <w:pPr>
        <w:numPr>
          <w:ilvl w:val="0"/>
          <w:numId w:val="2"/>
        </w:numPr>
        <w:spacing w:after="0" w:line="240" w:lineRule="auto"/>
        <w:jc w:val="both"/>
      </w:pPr>
      <w:r w:rsidRPr="005249A8">
        <w:t>pakiranje/ambalaža (udio recikliranih materijala)</w:t>
      </w:r>
    </w:p>
    <w:p w:rsidR="005249A8" w:rsidRPr="005249A8" w:rsidRDefault="005249A8" w:rsidP="00750E1F">
      <w:pPr>
        <w:numPr>
          <w:ilvl w:val="0"/>
          <w:numId w:val="2"/>
        </w:numPr>
        <w:spacing w:after="0" w:line="240" w:lineRule="auto"/>
        <w:jc w:val="both"/>
      </w:pPr>
      <w:r w:rsidRPr="005249A8">
        <w:t>funkcionalnost stelje (apsorpcija vlage)</w:t>
      </w:r>
    </w:p>
    <w:p w:rsidR="005249A8" w:rsidRPr="005249A8" w:rsidRDefault="005249A8" w:rsidP="00750E1F">
      <w:pPr>
        <w:numPr>
          <w:ilvl w:val="0"/>
          <w:numId w:val="2"/>
        </w:numPr>
        <w:spacing w:after="0" w:line="240" w:lineRule="auto"/>
        <w:jc w:val="both"/>
      </w:pPr>
      <w:r w:rsidRPr="005249A8">
        <w:t>sadržaj prašine</w:t>
      </w:r>
    </w:p>
    <w:p w:rsidR="005249A8" w:rsidRPr="005249A8" w:rsidRDefault="005249A8" w:rsidP="00750E1F">
      <w:pPr>
        <w:numPr>
          <w:ilvl w:val="0"/>
          <w:numId w:val="2"/>
        </w:numPr>
        <w:spacing w:after="0" w:line="240" w:lineRule="auto"/>
        <w:jc w:val="both"/>
      </w:pPr>
      <w:r w:rsidRPr="005249A8">
        <w:t>veličina zrna</w:t>
      </w:r>
    </w:p>
    <w:p w:rsidR="005249A8" w:rsidRPr="005249A8" w:rsidRDefault="005249A8" w:rsidP="00750E1F">
      <w:pPr>
        <w:numPr>
          <w:ilvl w:val="0"/>
          <w:numId w:val="2"/>
        </w:numPr>
        <w:spacing w:after="0" w:line="240" w:lineRule="auto"/>
        <w:jc w:val="both"/>
      </w:pPr>
      <w:r w:rsidRPr="005249A8">
        <w:t>mogućnost kompostiranja/razgradnja.</w:t>
      </w:r>
    </w:p>
    <w:p w:rsidR="005249A8" w:rsidRPr="005249A8" w:rsidRDefault="005249A8" w:rsidP="00750E1F">
      <w:pPr>
        <w:spacing w:after="0" w:line="240" w:lineRule="auto"/>
        <w:jc w:val="both"/>
        <w:rPr>
          <w:b/>
          <w:bCs/>
        </w:rPr>
      </w:pPr>
      <w:r w:rsidRPr="005249A8">
        <w:rPr>
          <w:bCs/>
        </w:rPr>
        <w:br w:type="page"/>
      </w:r>
    </w:p>
    <w:p w:rsidR="005249A8" w:rsidRPr="005249A8" w:rsidRDefault="005249A8" w:rsidP="00750E1F">
      <w:pPr>
        <w:pStyle w:val="Naslov1"/>
        <w:numPr>
          <w:ilvl w:val="0"/>
          <w:numId w:val="7"/>
        </w:numPr>
        <w:spacing w:before="0" w:line="240" w:lineRule="auto"/>
        <w:jc w:val="both"/>
      </w:pPr>
      <w:bookmarkStart w:id="11" w:name="_Toc491427641"/>
      <w:r w:rsidRPr="005249A8">
        <w:lastRenderedPageBreak/>
        <w:t>UVJETI ZAŠTITE OKOLIŠA ZA POJEDINI POKAZATELJ ZAŠTITE OKOLIŠA</w:t>
      </w:r>
      <w:bookmarkEnd w:id="11"/>
    </w:p>
    <w:p w:rsidR="005249A8" w:rsidRPr="005249A8" w:rsidRDefault="005249A8" w:rsidP="00750E1F">
      <w:pPr>
        <w:spacing w:after="0" w:line="240" w:lineRule="auto"/>
        <w:jc w:val="both"/>
      </w:pPr>
      <w:r w:rsidRPr="005249A8">
        <w:t>Uvjeti zaštite okoliša za stelju za kućne ljubimce se utvrđuju za pojedini pokazatelj zaštite okoliša uzimajući u obzir:</w:t>
      </w:r>
    </w:p>
    <w:p w:rsidR="005249A8" w:rsidRPr="005249A8" w:rsidRDefault="005249A8" w:rsidP="00750E1F">
      <w:pPr>
        <w:numPr>
          <w:ilvl w:val="0"/>
          <w:numId w:val="3"/>
        </w:numPr>
        <w:spacing w:after="0" w:line="240" w:lineRule="auto"/>
        <w:jc w:val="both"/>
      </w:pPr>
      <w:r w:rsidRPr="005249A8">
        <w:t>tehnološku i ekonomsku izvedivost prilagodbe određenog proizvoda u razumnom vremenskom razdoblju</w:t>
      </w:r>
    </w:p>
    <w:p w:rsidR="005249A8" w:rsidRPr="005249A8" w:rsidRDefault="005249A8" w:rsidP="00750E1F">
      <w:pPr>
        <w:numPr>
          <w:ilvl w:val="0"/>
          <w:numId w:val="3"/>
        </w:numPr>
        <w:spacing w:after="0" w:line="240" w:lineRule="auto"/>
        <w:jc w:val="both"/>
      </w:pPr>
      <w:r w:rsidRPr="005249A8">
        <w:t>utjecaj na okoliš</w:t>
      </w:r>
    </w:p>
    <w:p w:rsidR="005249A8" w:rsidRPr="005249A8" w:rsidRDefault="005249A8" w:rsidP="00750E1F">
      <w:pPr>
        <w:numPr>
          <w:ilvl w:val="0"/>
          <w:numId w:val="3"/>
        </w:numPr>
        <w:spacing w:after="0" w:line="240" w:lineRule="auto"/>
        <w:jc w:val="both"/>
      </w:pPr>
      <w:r w:rsidRPr="005249A8">
        <w:t>mogućnost zamjene opasnih tvari sigurnijima ili manje opasnima</w:t>
      </w:r>
    </w:p>
    <w:p w:rsidR="005249A8" w:rsidRPr="005249A8" w:rsidRDefault="005249A8" w:rsidP="00750E1F">
      <w:pPr>
        <w:numPr>
          <w:ilvl w:val="0"/>
          <w:numId w:val="3"/>
        </w:numPr>
        <w:spacing w:after="0" w:line="240" w:lineRule="auto"/>
        <w:jc w:val="both"/>
      </w:pPr>
      <w:r w:rsidRPr="005249A8">
        <w:t>mogućnost provjere putem provjerenih metoda</w:t>
      </w:r>
    </w:p>
    <w:p w:rsidR="005249A8" w:rsidRPr="005249A8" w:rsidRDefault="005249A8" w:rsidP="00750E1F">
      <w:pPr>
        <w:numPr>
          <w:ilvl w:val="0"/>
          <w:numId w:val="3"/>
        </w:numPr>
        <w:spacing w:after="0" w:line="240" w:lineRule="auto"/>
        <w:jc w:val="both"/>
      </w:pPr>
      <w:r w:rsidRPr="005249A8">
        <w:t>zdravstvene i sigurnosne aspekte</w:t>
      </w:r>
    </w:p>
    <w:p w:rsidR="005249A8" w:rsidRPr="005249A8" w:rsidRDefault="005249A8" w:rsidP="00750E1F">
      <w:pPr>
        <w:numPr>
          <w:ilvl w:val="0"/>
          <w:numId w:val="3"/>
        </w:numPr>
        <w:spacing w:after="0" w:line="240" w:lineRule="auto"/>
        <w:jc w:val="both"/>
      </w:pPr>
      <w:r w:rsidRPr="005249A8">
        <w:t>sposobnost proizvoda da udovolji potrebama potrošača</w:t>
      </w:r>
    </w:p>
    <w:p w:rsidR="005249A8" w:rsidRPr="005249A8" w:rsidRDefault="005249A8" w:rsidP="00750E1F">
      <w:pPr>
        <w:numPr>
          <w:ilvl w:val="0"/>
          <w:numId w:val="3"/>
        </w:numPr>
        <w:spacing w:after="0" w:line="240" w:lineRule="auto"/>
        <w:jc w:val="both"/>
      </w:pPr>
      <w:r w:rsidRPr="005249A8">
        <w:t>mogućnost recikliranja nakon kraja životnog ciklusa proizvoda.</w:t>
      </w:r>
    </w:p>
    <w:p w:rsidR="005249A8" w:rsidRPr="005249A8" w:rsidRDefault="005249A8" w:rsidP="00750E1F">
      <w:pPr>
        <w:spacing w:after="0" w:line="240" w:lineRule="auto"/>
        <w:jc w:val="both"/>
      </w:pPr>
      <w:r w:rsidRPr="005249A8">
        <w:t>Napravljenom analizom definirani su uvjeti zaštite okoliša za pojedini pokazatelj zaštite okoliša u tablici u nastavku.</w:t>
      </w:r>
    </w:p>
    <w:p w:rsidR="005249A8" w:rsidRPr="005249A8" w:rsidRDefault="005249A8" w:rsidP="00750E1F">
      <w:pPr>
        <w:spacing w:after="0" w:line="240" w:lineRule="auto"/>
        <w:jc w:val="both"/>
        <w:rPr>
          <w:b/>
          <w:iCs/>
        </w:rPr>
      </w:pPr>
      <w:bookmarkStart w:id="12" w:name="_Toc491418820"/>
      <w:r w:rsidRPr="005249A8">
        <w:rPr>
          <w:b/>
          <w:iCs/>
        </w:rPr>
        <w:t xml:space="preserve">Tablica </w:t>
      </w:r>
      <w:r w:rsidRPr="005249A8">
        <w:rPr>
          <w:b/>
          <w:iCs/>
        </w:rPr>
        <w:fldChar w:fldCharType="begin"/>
      </w:r>
      <w:r w:rsidRPr="005249A8">
        <w:rPr>
          <w:b/>
          <w:iCs/>
        </w:rPr>
        <w:instrText xml:space="preserve"> STYLEREF 1 \s </w:instrText>
      </w:r>
      <w:r w:rsidRPr="005249A8">
        <w:rPr>
          <w:b/>
          <w:iCs/>
        </w:rPr>
        <w:fldChar w:fldCharType="separate"/>
      </w:r>
      <w:r w:rsidRPr="005249A8">
        <w:rPr>
          <w:b/>
          <w:iCs/>
        </w:rPr>
        <w:t>C</w:t>
      </w:r>
      <w:r w:rsidRPr="005249A8">
        <w:fldChar w:fldCharType="end"/>
      </w:r>
      <w:r w:rsidRPr="005249A8">
        <w:rPr>
          <w:b/>
          <w:iCs/>
        </w:rPr>
        <w:noBreakHyphen/>
      </w:r>
      <w:r w:rsidRPr="005249A8">
        <w:rPr>
          <w:b/>
          <w:iCs/>
        </w:rPr>
        <w:fldChar w:fldCharType="begin"/>
      </w:r>
      <w:r w:rsidRPr="005249A8">
        <w:rPr>
          <w:b/>
          <w:iCs/>
        </w:rPr>
        <w:instrText xml:space="preserve"> SEQ Tablica \* ARABIC \s 1 </w:instrText>
      </w:r>
      <w:r w:rsidRPr="005249A8">
        <w:rPr>
          <w:b/>
          <w:iCs/>
        </w:rPr>
        <w:fldChar w:fldCharType="separate"/>
      </w:r>
      <w:r w:rsidRPr="005249A8">
        <w:rPr>
          <w:b/>
          <w:iCs/>
        </w:rPr>
        <w:t>1</w:t>
      </w:r>
      <w:r w:rsidRPr="005249A8">
        <w:fldChar w:fldCharType="end"/>
      </w:r>
      <w:r w:rsidRPr="005249A8">
        <w:rPr>
          <w:b/>
          <w:iCs/>
        </w:rPr>
        <w:t>: Uvjeti zaštite okoliša</w:t>
      </w:r>
      <w:bookmarkEnd w:id="12"/>
    </w:p>
    <w:tbl>
      <w:tblPr>
        <w:tblW w:w="9288" w:type="dxa"/>
        <w:tblLayout w:type="fixed"/>
        <w:tblLook w:val="04A0" w:firstRow="1" w:lastRow="0" w:firstColumn="1" w:lastColumn="0" w:noHBand="0" w:noVBand="1"/>
      </w:tblPr>
      <w:tblGrid>
        <w:gridCol w:w="2547"/>
        <w:gridCol w:w="6741"/>
      </w:tblGrid>
      <w:tr w:rsidR="005249A8" w:rsidRPr="005249A8" w:rsidTr="00B83099">
        <w:trPr>
          <w:tblHeader/>
        </w:trPr>
        <w:tc>
          <w:tcPr>
            <w:tcW w:w="2547" w:type="dxa"/>
            <w:hideMark/>
          </w:tcPr>
          <w:p w:rsidR="005249A8" w:rsidRPr="005249A8" w:rsidRDefault="005249A8" w:rsidP="00750E1F">
            <w:pPr>
              <w:spacing w:after="0" w:line="240" w:lineRule="auto"/>
              <w:jc w:val="both"/>
              <w:rPr>
                <w:b/>
              </w:rPr>
            </w:pPr>
            <w:r w:rsidRPr="005249A8">
              <w:rPr>
                <w:b/>
              </w:rPr>
              <w:t>Aspekt / svojstvo funkcionalnosti</w:t>
            </w:r>
          </w:p>
        </w:tc>
        <w:tc>
          <w:tcPr>
            <w:tcW w:w="6741" w:type="dxa"/>
            <w:hideMark/>
          </w:tcPr>
          <w:p w:rsidR="005249A8" w:rsidRPr="005249A8" w:rsidRDefault="005249A8" w:rsidP="00750E1F">
            <w:pPr>
              <w:spacing w:after="0" w:line="240" w:lineRule="auto"/>
              <w:jc w:val="both"/>
              <w:rPr>
                <w:b/>
              </w:rPr>
            </w:pPr>
            <w:r w:rsidRPr="005249A8">
              <w:rPr>
                <w:b/>
              </w:rPr>
              <w:t>Uvjeti</w:t>
            </w:r>
          </w:p>
        </w:tc>
      </w:tr>
      <w:tr w:rsidR="005249A8" w:rsidRPr="005249A8" w:rsidTr="00B83099">
        <w:trPr>
          <w:trHeight w:val="859"/>
        </w:trPr>
        <w:tc>
          <w:tcPr>
            <w:tcW w:w="2547" w:type="dxa"/>
          </w:tcPr>
          <w:p w:rsidR="005249A8" w:rsidRPr="005249A8" w:rsidRDefault="005249A8" w:rsidP="00750E1F">
            <w:pPr>
              <w:spacing w:after="0" w:line="240" w:lineRule="auto"/>
              <w:jc w:val="both"/>
            </w:pPr>
            <w:r w:rsidRPr="005249A8">
              <w:t>Ulazne sirovine</w:t>
            </w:r>
          </w:p>
        </w:tc>
        <w:tc>
          <w:tcPr>
            <w:tcW w:w="6741" w:type="dxa"/>
          </w:tcPr>
          <w:p w:rsidR="005249A8" w:rsidRPr="005249A8" w:rsidRDefault="005249A8" w:rsidP="00750E1F">
            <w:pPr>
              <w:spacing w:after="0" w:line="240" w:lineRule="auto"/>
              <w:jc w:val="both"/>
            </w:pPr>
            <w:r w:rsidRPr="005249A8">
              <w:t xml:space="preserve">Osnovni materijal (više od 95% proizvoda) proizveden od nusproizvoda ili otpada. </w:t>
            </w:r>
          </w:p>
          <w:p w:rsidR="005249A8" w:rsidRPr="005249A8" w:rsidRDefault="005249A8" w:rsidP="00750E1F">
            <w:pPr>
              <w:spacing w:after="0" w:line="240" w:lineRule="auto"/>
              <w:jc w:val="both"/>
            </w:pPr>
            <w:r w:rsidRPr="005249A8">
              <w:t>Proizvodi od treseta nisu dopušteni.</w:t>
            </w:r>
          </w:p>
        </w:tc>
      </w:tr>
      <w:tr w:rsidR="005249A8" w:rsidRPr="005249A8" w:rsidTr="00B83099">
        <w:tc>
          <w:tcPr>
            <w:tcW w:w="2547" w:type="dxa"/>
          </w:tcPr>
          <w:p w:rsidR="005249A8" w:rsidRPr="005249A8" w:rsidRDefault="005249A8" w:rsidP="00750E1F">
            <w:pPr>
              <w:spacing w:after="0" w:line="240" w:lineRule="auto"/>
              <w:jc w:val="both"/>
            </w:pPr>
            <w:r w:rsidRPr="005249A8">
              <w:t>Kemikalije</w:t>
            </w:r>
          </w:p>
        </w:tc>
        <w:tc>
          <w:tcPr>
            <w:tcW w:w="6741" w:type="dxa"/>
          </w:tcPr>
          <w:p w:rsidR="005249A8" w:rsidRPr="005249A8" w:rsidRDefault="005249A8" w:rsidP="00750E1F">
            <w:pPr>
              <w:spacing w:after="0" w:line="240" w:lineRule="auto"/>
              <w:jc w:val="both"/>
              <w:rPr>
                <w:b/>
              </w:rPr>
            </w:pPr>
            <w:r w:rsidRPr="005249A8">
              <w:t>Nisu dopuštena sredstva za izbjeljivanje i optički posvjetljivači.</w:t>
            </w:r>
          </w:p>
        </w:tc>
      </w:tr>
      <w:tr w:rsidR="005249A8" w:rsidRPr="005249A8" w:rsidTr="00B83099">
        <w:tc>
          <w:tcPr>
            <w:tcW w:w="2547" w:type="dxa"/>
          </w:tcPr>
          <w:p w:rsidR="005249A8" w:rsidRPr="005249A8" w:rsidRDefault="005249A8" w:rsidP="00750E1F">
            <w:pPr>
              <w:spacing w:after="0" w:line="240" w:lineRule="auto"/>
              <w:jc w:val="both"/>
            </w:pPr>
            <w:r w:rsidRPr="005249A8">
              <w:t>Pakiranje</w:t>
            </w:r>
          </w:p>
        </w:tc>
        <w:tc>
          <w:tcPr>
            <w:tcW w:w="6741" w:type="dxa"/>
          </w:tcPr>
          <w:p w:rsidR="005249A8" w:rsidRPr="005249A8" w:rsidRDefault="005249A8" w:rsidP="00750E1F">
            <w:pPr>
              <w:spacing w:after="0" w:line="240" w:lineRule="auto"/>
              <w:jc w:val="both"/>
            </w:pPr>
            <w:r w:rsidRPr="005249A8">
              <w:t>Sastoji se od papira koji sadrži barem 50% recikliranog papira ili višekratne polietilenske posude sa udjeloom od najmanje 50% recikliranog polietilena/polipropilena.</w:t>
            </w:r>
          </w:p>
        </w:tc>
      </w:tr>
      <w:tr w:rsidR="005249A8" w:rsidRPr="005249A8" w:rsidTr="00B83099">
        <w:tc>
          <w:tcPr>
            <w:tcW w:w="2547" w:type="dxa"/>
            <w:hideMark/>
          </w:tcPr>
          <w:p w:rsidR="005249A8" w:rsidRPr="005249A8" w:rsidRDefault="005249A8" w:rsidP="00750E1F">
            <w:pPr>
              <w:spacing w:after="0" w:line="240" w:lineRule="auto"/>
              <w:jc w:val="both"/>
              <w:rPr>
                <w:b/>
              </w:rPr>
            </w:pPr>
            <w:r w:rsidRPr="005249A8">
              <w:t>Funkcionalnost stelje</w:t>
            </w:r>
          </w:p>
        </w:tc>
        <w:tc>
          <w:tcPr>
            <w:tcW w:w="6741" w:type="dxa"/>
          </w:tcPr>
          <w:p w:rsidR="005249A8" w:rsidRPr="005249A8" w:rsidRDefault="005249A8" w:rsidP="00750E1F">
            <w:pPr>
              <w:spacing w:after="0" w:line="240" w:lineRule="auto"/>
              <w:jc w:val="both"/>
              <w:rPr>
                <w:b/>
              </w:rPr>
            </w:pPr>
            <w:r w:rsidRPr="005249A8">
              <w:t>Sposobnost upijanja vode od najmanje 80% masenog udjela stelje.</w:t>
            </w:r>
          </w:p>
        </w:tc>
      </w:tr>
      <w:tr w:rsidR="005249A8" w:rsidRPr="005249A8" w:rsidTr="00B83099">
        <w:tc>
          <w:tcPr>
            <w:tcW w:w="2547" w:type="dxa"/>
            <w:hideMark/>
          </w:tcPr>
          <w:p w:rsidR="005249A8" w:rsidRPr="005249A8" w:rsidRDefault="005249A8" w:rsidP="00750E1F">
            <w:pPr>
              <w:spacing w:after="0" w:line="240" w:lineRule="auto"/>
              <w:jc w:val="both"/>
            </w:pPr>
            <w:r w:rsidRPr="005249A8">
              <w:t>Sadržaj prašine</w:t>
            </w:r>
          </w:p>
        </w:tc>
        <w:tc>
          <w:tcPr>
            <w:tcW w:w="6741" w:type="dxa"/>
          </w:tcPr>
          <w:p w:rsidR="005249A8" w:rsidRPr="005249A8" w:rsidRDefault="005249A8" w:rsidP="00750E1F">
            <w:pPr>
              <w:spacing w:after="0" w:line="240" w:lineRule="auto"/>
              <w:jc w:val="both"/>
            </w:pPr>
            <w:r w:rsidRPr="005249A8">
              <w:t>Udio čestica prašine manjih ili jednakih 0,063 mm je ispod 3% masenog udjela suhe tvari stelje.</w:t>
            </w:r>
          </w:p>
        </w:tc>
      </w:tr>
      <w:tr w:rsidR="005249A8" w:rsidRPr="005249A8" w:rsidTr="00B83099">
        <w:tc>
          <w:tcPr>
            <w:tcW w:w="2547" w:type="dxa"/>
            <w:hideMark/>
          </w:tcPr>
          <w:p w:rsidR="005249A8" w:rsidRPr="005249A8" w:rsidRDefault="005249A8" w:rsidP="00750E1F">
            <w:pPr>
              <w:spacing w:after="0" w:line="240" w:lineRule="auto"/>
              <w:jc w:val="both"/>
            </w:pPr>
            <w:r w:rsidRPr="005249A8">
              <w:t>Veličina zrna</w:t>
            </w:r>
          </w:p>
        </w:tc>
        <w:tc>
          <w:tcPr>
            <w:tcW w:w="6741" w:type="dxa"/>
          </w:tcPr>
          <w:p w:rsidR="005249A8" w:rsidRPr="005249A8" w:rsidRDefault="005249A8" w:rsidP="00750E1F">
            <w:pPr>
              <w:spacing w:after="0" w:line="240" w:lineRule="auto"/>
              <w:jc w:val="both"/>
            </w:pPr>
            <w:r w:rsidRPr="005249A8">
              <w:t xml:space="preserve">Veličina zrna stelje većih od 10 mm je ispod 5% masenog udjela suhe tvari stelje. </w:t>
            </w:r>
          </w:p>
        </w:tc>
      </w:tr>
      <w:tr w:rsidR="005249A8" w:rsidRPr="005249A8" w:rsidTr="00B83099">
        <w:tc>
          <w:tcPr>
            <w:tcW w:w="2547" w:type="dxa"/>
            <w:hideMark/>
          </w:tcPr>
          <w:p w:rsidR="005249A8" w:rsidRPr="005249A8" w:rsidRDefault="005249A8" w:rsidP="00750E1F">
            <w:pPr>
              <w:spacing w:after="0" w:line="240" w:lineRule="auto"/>
              <w:jc w:val="both"/>
            </w:pPr>
            <w:r w:rsidRPr="005249A8">
              <w:t>Mogućnost kompostiranja/razgradnja</w:t>
            </w:r>
          </w:p>
        </w:tc>
        <w:tc>
          <w:tcPr>
            <w:tcW w:w="6741" w:type="dxa"/>
          </w:tcPr>
          <w:p w:rsidR="005249A8" w:rsidRPr="005249A8" w:rsidRDefault="005249A8" w:rsidP="00750E1F">
            <w:pPr>
              <w:spacing w:after="0" w:line="240" w:lineRule="auto"/>
              <w:jc w:val="both"/>
            </w:pPr>
            <w:r w:rsidRPr="005249A8">
              <w:t>Udio teških metala u kompostu koji nastaje od stelje zadovoljava kriterije za proglašenje nusproizvoda i kompost namijenjen ekološkoj proizvodnji i korištenju u poljoprivredne svrhe.</w:t>
            </w:r>
          </w:p>
        </w:tc>
      </w:tr>
    </w:tbl>
    <w:p w:rsidR="005249A8" w:rsidRPr="005249A8" w:rsidRDefault="005249A8" w:rsidP="00750E1F">
      <w:pPr>
        <w:spacing w:after="0" w:line="240" w:lineRule="auto"/>
        <w:jc w:val="both"/>
      </w:pPr>
    </w:p>
    <w:p w:rsidR="005249A8" w:rsidRPr="005249A8" w:rsidRDefault="005249A8" w:rsidP="00750E1F">
      <w:pPr>
        <w:numPr>
          <w:ilvl w:val="0"/>
          <w:numId w:val="1"/>
        </w:numPr>
        <w:spacing w:after="0" w:line="240" w:lineRule="auto"/>
        <w:jc w:val="both"/>
        <w:rPr>
          <w:b/>
          <w:bCs/>
        </w:rPr>
        <w:sectPr w:rsidR="005249A8" w:rsidRPr="005249A8">
          <w:footerReference w:type="default" r:id="rId12"/>
          <w:pgSz w:w="11906" w:h="16838"/>
          <w:pgMar w:top="1417" w:right="1417" w:bottom="1417" w:left="1417" w:header="708" w:footer="708" w:gutter="0"/>
          <w:cols w:space="708"/>
          <w:docGrid w:linePitch="360"/>
        </w:sectPr>
      </w:pPr>
    </w:p>
    <w:p w:rsidR="005249A8" w:rsidRPr="005249A8" w:rsidRDefault="005249A8" w:rsidP="00750E1F">
      <w:pPr>
        <w:pStyle w:val="Naslov1"/>
        <w:numPr>
          <w:ilvl w:val="0"/>
          <w:numId w:val="7"/>
        </w:numPr>
        <w:spacing w:before="0" w:line="240" w:lineRule="auto"/>
        <w:jc w:val="both"/>
      </w:pPr>
      <w:bookmarkStart w:id="13" w:name="_Toc491427642"/>
      <w:r w:rsidRPr="005249A8">
        <w:lastRenderedPageBreak/>
        <w:t>ZAHTJEVI ZA PROCJENU I VERIFIKACIJU MJERILA</w:t>
      </w:r>
      <w:bookmarkEnd w:id="13"/>
    </w:p>
    <w:p w:rsidR="005249A8" w:rsidRPr="005249A8" w:rsidRDefault="005249A8" w:rsidP="00750E1F">
      <w:pPr>
        <w:spacing w:after="0" w:line="240" w:lineRule="auto"/>
        <w:jc w:val="both"/>
      </w:pPr>
      <w:r w:rsidRPr="005249A8">
        <w:t xml:space="preserve">Sukladno definiranim uvjetima zaštite okoliša određene su metode provjere tj. verifikacije za pripadajuće mejrilo. Mjerila obuhvaćaju sljedeće dijelove ciklusa proizvodnje i korištenja stelje za kućne ljubimce: </w:t>
      </w:r>
    </w:p>
    <w:p w:rsidR="005249A8" w:rsidRPr="005249A8" w:rsidRDefault="005249A8" w:rsidP="00750E1F">
      <w:pPr>
        <w:numPr>
          <w:ilvl w:val="0"/>
          <w:numId w:val="3"/>
        </w:numPr>
        <w:spacing w:after="0" w:line="240" w:lineRule="auto"/>
        <w:jc w:val="both"/>
      </w:pPr>
      <w:r w:rsidRPr="005249A8">
        <w:t>ulazne sirovine</w:t>
      </w:r>
    </w:p>
    <w:p w:rsidR="005249A8" w:rsidRPr="005249A8" w:rsidRDefault="005249A8" w:rsidP="00750E1F">
      <w:pPr>
        <w:numPr>
          <w:ilvl w:val="0"/>
          <w:numId w:val="3"/>
        </w:numPr>
        <w:spacing w:after="0" w:line="240" w:lineRule="auto"/>
        <w:jc w:val="both"/>
      </w:pPr>
      <w:r w:rsidRPr="005249A8">
        <w:t>kemikalije</w:t>
      </w:r>
    </w:p>
    <w:p w:rsidR="005249A8" w:rsidRPr="005249A8" w:rsidRDefault="005249A8" w:rsidP="00750E1F">
      <w:pPr>
        <w:numPr>
          <w:ilvl w:val="0"/>
          <w:numId w:val="3"/>
        </w:numPr>
        <w:spacing w:after="0" w:line="240" w:lineRule="auto"/>
        <w:jc w:val="both"/>
      </w:pPr>
      <w:r w:rsidRPr="005249A8">
        <w:t>pakiranje (ambalaža)</w:t>
      </w:r>
    </w:p>
    <w:p w:rsidR="005249A8" w:rsidRPr="005249A8" w:rsidRDefault="005249A8" w:rsidP="00750E1F">
      <w:pPr>
        <w:numPr>
          <w:ilvl w:val="0"/>
          <w:numId w:val="3"/>
        </w:numPr>
        <w:spacing w:after="0" w:line="240" w:lineRule="auto"/>
        <w:jc w:val="both"/>
      </w:pPr>
      <w:r w:rsidRPr="005249A8">
        <w:t>mogućnost upijanja vlage (apsorpcija)</w:t>
      </w:r>
    </w:p>
    <w:p w:rsidR="005249A8" w:rsidRPr="005249A8" w:rsidRDefault="005249A8" w:rsidP="00750E1F">
      <w:pPr>
        <w:numPr>
          <w:ilvl w:val="0"/>
          <w:numId w:val="3"/>
        </w:numPr>
        <w:spacing w:after="0" w:line="240" w:lineRule="auto"/>
        <w:jc w:val="both"/>
      </w:pPr>
      <w:r w:rsidRPr="005249A8">
        <w:t>sadržaj prašine</w:t>
      </w:r>
    </w:p>
    <w:p w:rsidR="005249A8" w:rsidRPr="005249A8" w:rsidRDefault="005249A8" w:rsidP="00750E1F">
      <w:pPr>
        <w:numPr>
          <w:ilvl w:val="0"/>
          <w:numId w:val="3"/>
        </w:numPr>
        <w:spacing w:after="0" w:line="240" w:lineRule="auto"/>
        <w:jc w:val="both"/>
      </w:pPr>
      <w:r w:rsidRPr="005249A8">
        <w:t>veličina zrna (granulacija)</w:t>
      </w:r>
    </w:p>
    <w:p w:rsidR="005249A8" w:rsidRPr="005249A8" w:rsidRDefault="005249A8" w:rsidP="00750E1F">
      <w:pPr>
        <w:numPr>
          <w:ilvl w:val="0"/>
          <w:numId w:val="3"/>
        </w:numPr>
        <w:spacing w:after="0" w:line="240" w:lineRule="auto"/>
        <w:jc w:val="both"/>
      </w:pPr>
      <w:r w:rsidRPr="005249A8">
        <w:t>sadržaj teških metala i određenih organskih tvari u kompostu</w:t>
      </w:r>
    </w:p>
    <w:p w:rsidR="005249A8" w:rsidRPr="005249A8" w:rsidRDefault="005249A8" w:rsidP="00750E1F">
      <w:pPr>
        <w:numPr>
          <w:ilvl w:val="0"/>
          <w:numId w:val="3"/>
        </w:numPr>
        <w:spacing w:after="0" w:line="240" w:lineRule="auto"/>
        <w:jc w:val="both"/>
      </w:pPr>
      <w:r w:rsidRPr="005249A8">
        <w:t>biorazgradivost.</w:t>
      </w:r>
    </w:p>
    <w:p w:rsidR="005249A8" w:rsidRPr="005249A8" w:rsidRDefault="005249A8" w:rsidP="00750E1F">
      <w:pPr>
        <w:spacing w:after="0" w:line="240" w:lineRule="auto"/>
        <w:jc w:val="both"/>
      </w:pPr>
      <w:r w:rsidRPr="005249A8">
        <w:t>Za sva mjerila nastojalo se odrediti metodu provjere određenim ispitivanjem. Za pojedina mjerila to nije bilo moguće te je ostavljena mogućnost utvrđivanja zadovoljavanja traženog uvjeta putem određene dokumentacije.</w:t>
      </w:r>
    </w:p>
    <w:p w:rsidR="005249A8" w:rsidRPr="005249A8" w:rsidRDefault="005249A8" w:rsidP="00750E1F">
      <w:pPr>
        <w:spacing w:after="0" w:line="240" w:lineRule="auto"/>
        <w:jc w:val="both"/>
      </w:pPr>
      <w:r w:rsidRPr="005249A8">
        <w:t>U tablici u nastavku navedene su metode provjere i procjene mjerila.</w:t>
      </w:r>
    </w:p>
    <w:p w:rsidR="005249A8" w:rsidRPr="005249A8" w:rsidRDefault="005249A8" w:rsidP="00750E1F">
      <w:pPr>
        <w:spacing w:after="0" w:line="240" w:lineRule="auto"/>
        <w:jc w:val="both"/>
        <w:sectPr w:rsidR="005249A8" w:rsidRPr="005249A8" w:rsidSect="00F24659">
          <w:pgSz w:w="11906" w:h="16838"/>
          <w:pgMar w:top="1417" w:right="1417" w:bottom="1417" w:left="1417" w:header="708" w:footer="708" w:gutter="0"/>
          <w:cols w:space="708"/>
          <w:docGrid w:linePitch="360"/>
        </w:sectPr>
      </w:pPr>
    </w:p>
    <w:p w:rsidR="005249A8" w:rsidRPr="005249A8" w:rsidRDefault="005249A8" w:rsidP="00750E1F">
      <w:pPr>
        <w:spacing w:after="0" w:line="240" w:lineRule="auto"/>
        <w:jc w:val="both"/>
        <w:rPr>
          <w:b/>
          <w:iCs/>
        </w:rPr>
      </w:pPr>
      <w:bookmarkStart w:id="14" w:name="_Toc491418821"/>
      <w:bookmarkStart w:id="15" w:name="_Hlk491336207"/>
      <w:r w:rsidRPr="005249A8">
        <w:rPr>
          <w:b/>
          <w:iCs/>
        </w:rPr>
        <w:lastRenderedPageBreak/>
        <w:t xml:space="preserve">Tablica </w:t>
      </w:r>
      <w:r w:rsidRPr="005249A8">
        <w:rPr>
          <w:b/>
          <w:iCs/>
        </w:rPr>
        <w:fldChar w:fldCharType="begin"/>
      </w:r>
      <w:r w:rsidRPr="005249A8">
        <w:rPr>
          <w:b/>
          <w:iCs/>
        </w:rPr>
        <w:instrText xml:space="preserve"> STYLEREF 1 \s </w:instrText>
      </w:r>
      <w:r w:rsidRPr="005249A8">
        <w:rPr>
          <w:b/>
          <w:iCs/>
        </w:rPr>
        <w:fldChar w:fldCharType="separate"/>
      </w:r>
      <w:r w:rsidRPr="005249A8">
        <w:rPr>
          <w:b/>
          <w:iCs/>
        </w:rPr>
        <w:t>D</w:t>
      </w:r>
      <w:r w:rsidRPr="005249A8">
        <w:fldChar w:fldCharType="end"/>
      </w:r>
      <w:r w:rsidRPr="005249A8">
        <w:rPr>
          <w:b/>
          <w:iCs/>
        </w:rPr>
        <w:noBreakHyphen/>
      </w:r>
      <w:r w:rsidRPr="005249A8">
        <w:rPr>
          <w:b/>
          <w:iCs/>
        </w:rPr>
        <w:fldChar w:fldCharType="begin"/>
      </w:r>
      <w:r w:rsidRPr="005249A8">
        <w:rPr>
          <w:b/>
          <w:iCs/>
        </w:rPr>
        <w:instrText xml:space="preserve"> SEQ Tablica \* ARABIC \s 1 </w:instrText>
      </w:r>
      <w:r w:rsidRPr="005249A8">
        <w:rPr>
          <w:b/>
          <w:iCs/>
        </w:rPr>
        <w:fldChar w:fldCharType="separate"/>
      </w:r>
      <w:r w:rsidRPr="005249A8">
        <w:rPr>
          <w:b/>
          <w:iCs/>
        </w:rPr>
        <w:t>1</w:t>
      </w:r>
      <w:r w:rsidRPr="005249A8">
        <w:fldChar w:fldCharType="end"/>
      </w:r>
      <w:r w:rsidRPr="005249A8">
        <w:rPr>
          <w:b/>
          <w:iCs/>
        </w:rPr>
        <w:t>: Zahtjevi za procjenu i verifikacija mjerila</w:t>
      </w:r>
      <w:bookmarkEnd w:id="14"/>
    </w:p>
    <w:tbl>
      <w:tblPr>
        <w:tblW w:w="5083" w:type="pct"/>
        <w:tblLayout w:type="fixed"/>
        <w:tblLook w:val="04A0" w:firstRow="1" w:lastRow="0" w:firstColumn="1" w:lastColumn="0" w:noHBand="0" w:noVBand="1"/>
      </w:tblPr>
      <w:tblGrid>
        <w:gridCol w:w="2619"/>
        <w:gridCol w:w="1512"/>
        <w:gridCol w:w="5165"/>
        <w:gridCol w:w="4940"/>
      </w:tblGrid>
      <w:tr w:rsidR="005249A8" w:rsidRPr="005249A8" w:rsidTr="00B83099">
        <w:trPr>
          <w:tblHeader/>
        </w:trPr>
        <w:tc>
          <w:tcPr>
            <w:tcW w:w="920" w:type="pct"/>
          </w:tcPr>
          <w:p w:rsidR="005249A8" w:rsidRPr="005249A8" w:rsidRDefault="005249A8" w:rsidP="00750E1F">
            <w:pPr>
              <w:spacing w:after="0" w:line="240" w:lineRule="auto"/>
              <w:jc w:val="both"/>
              <w:rPr>
                <w:b/>
              </w:rPr>
            </w:pPr>
            <w:r w:rsidRPr="005249A8">
              <w:rPr>
                <w:b/>
              </w:rPr>
              <w:t>Faza životnog vijeka</w:t>
            </w:r>
          </w:p>
        </w:tc>
        <w:tc>
          <w:tcPr>
            <w:tcW w:w="531" w:type="pct"/>
            <w:hideMark/>
          </w:tcPr>
          <w:p w:rsidR="005249A8" w:rsidRPr="005249A8" w:rsidRDefault="005249A8" w:rsidP="00750E1F">
            <w:pPr>
              <w:spacing w:after="0" w:line="240" w:lineRule="auto"/>
              <w:jc w:val="both"/>
              <w:rPr>
                <w:b/>
              </w:rPr>
            </w:pPr>
            <w:r w:rsidRPr="005249A8">
              <w:rPr>
                <w:b/>
              </w:rPr>
              <w:t>Mjerilo</w:t>
            </w:r>
          </w:p>
        </w:tc>
        <w:tc>
          <w:tcPr>
            <w:tcW w:w="1814" w:type="pct"/>
            <w:hideMark/>
          </w:tcPr>
          <w:p w:rsidR="005249A8" w:rsidRPr="005249A8" w:rsidRDefault="005249A8" w:rsidP="00750E1F">
            <w:pPr>
              <w:spacing w:after="0" w:line="240" w:lineRule="auto"/>
              <w:jc w:val="both"/>
              <w:rPr>
                <w:b/>
              </w:rPr>
            </w:pPr>
            <w:r w:rsidRPr="005249A8">
              <w:rPr>
                <w:b/>
              </w:rPr>
              <w:t>Zahtjevi</w:t>
            </w:r>
          </w:p>
        </w:tc>
        <w:tc>
          <w:tcPr>
            <w:tcW w:w="1735" w:type="pct"/>
            <w:hideMark/>
          </w:tcPr>
          <w:p w:rsidR="005249A8" w:rsidRPr="005249A8" w:rsidRDefault="005249A8" w:rsidP="00750E1F">
            <w:pPr>
              <w:spacing w:after="0" w:line="240" w:lineRule="auto"/>
              <w:jc w:val="both"/>
              <w:rPr>
                <w:b/>
              </w:rPr>
            </w:pPr>
            <w:r w:rsidRPr="005249A8">
              <w:rPr>
                <w:b/>
              </w:rPr>
              <w:t>Metoda provjere</w:t>
            </w:r>
          </w:p>
        </w:tc>
      </w:tr>
      <w:tr w:rsidR="005249A8" w:rsidRPr="005249A8" w:rsidTr="00B83099">
        <w:tc>
          <w:tcPr>
            <w:tcW w:w="920" w:type="pct"/>
          </w:tcPr>
          <w:p w:rsidR="005249A8" w:rsidRPr="005249A8" w:rsidRDefault="005249A8" w:rsidP="00750E1F">
            <w:pPr>
              <w:spacing w:after="0" w:line="240" w:lineRule="auto"/>
              <w:jc w:val="both"/>
              <w:rPr>
                <w:b/>
              </w:rPr>
            </w:pPr>
            <w:r w:rsidRPr="005249A8">
              <w:rPr>
                <w:b/>
              </w:rPr>
              <w:t>Predproizvodnja, proizvodnja</w:t>
            </w:r>
          </w:p>
        </w:tc>
        <w:tc>
          <w:tcPr>
            <w:tcW w:w="531" w:type="pct"/>
            <w:hideMark/>
          </w:tcPr>
          <w:p w:rsidR="005249A8" w:rsidRPr="005249A8" w:rsidRDefault="005249A8" w:rsidP="00750E1F">
            <w:pPr>
              <w:spacing w:after="0" w:line="240" w:lineRule="auto"/>
              <w:jc w:val="both"/>
              <w:rPr>
                <w:b/>
              </w:rPr>
            </w:pPr>
            <w:r w:rsidRPr="005249A8">
              <w:rPr>
                <w:b/>
              </w:rPr>
              <w:t>Ulazne sirovine</w:t>
            </w:r>
          </w:p>
        </w:tc>
        <w:tc>
          <w:tcPr>
            <w:tcW w:w="1814" w:type="pct"/>
          </w:tcPr>
          <w:p w:rsidR="005249A8" w:rsidRPr="005249A8" w:rsidRDefault="005249A8" w:rsidP="00750E1F">
            <w:pPr>
              <w:spacing w:after="0" w:line="240" w:lineRule="auto"/>
              <w:jc w:val="both"/>
            </w:pPr>
            <w:r w:rsidRPr="005249A8">
              <w:t>Podnositelj zahtjeva mora posjedovati dokumentaciju dobavljača koja pokazuje da je osnovni materijal (više od 95% proizvoda) proizveden od nusproizvoda ili otpada. Proizvodi od treseta nisu dopušteni.</w:t>
            </w:r>
          </w:p>
        </w:tc>
        <w:tc>
          <w:tcPr>
            <w:tcW w:w="1735" w:type="pct"/>
          </w:tcPr>
          <w:p w:rsidR="005249A8" w:rsidRPr="005249A8" w:rsidRDefault="005249A8" w:rsidP="00750E1F">
            <w:pPr>
              <w:spacing w:after="0" w:line="240" w:lineRule="auto"/>
              <w:jc w:val="both"/>
            </w:pPr>
            <w:r w:rsidRPr="005249A8">
              <w:t>Tehnička dokumentacija (uključujući dokumentaciju dobavljača sirovina).</w:t>
            </w:r>
          </w:p>
        </w:tc>
      </w:tr>
      <w:tr w:rsidR="005249A8" w:rsidRPr="005249A8" w:rsidTr="00B83099">
        <w:tc>
          <w:tcPr>
            <w:tcW w:w="920" w:type="pct"/>
          </w:tcPr>
          <w:p w:rsidR="005249A8" w:rsidRPr="005249A8" w:rsidRDefault="005249A8" w:rsidP="00750E1F">
            <w:pPr>
              <w:spacing w:after="0" w:line="240" w:lineRule="auto"/>
              <w:jc w:val="both"/>
              <w:rPr>
                <w:b/>
              </w:rPr>
            </w:pPr>
            <w:r w:rsidRPr="005249A8">
              <w:rPr>
                <w:b/>
              </w:rPr>
              <w:t>Predproizvodnja, proizvodnja</w:t>
            </w:r>
          </w:p>
        </w:tc>
        <w:tc>
          <w:tcPr>
            <w:tcW w:w="531" w:type="pct"/>
            <w:hideMark/>
          </w:tcPr>
          <w:p w:rsidR="005249A8" w:rsidRPr="005249A8" w:rsidRDefault="005249A8" w:rsidP="00750E1F">
            <w:pPr>
              <w:spacing w:after="0" w:line="240" w:lineRule="auto"/>
              <w:jc w:val="both"/>
              <w:rPr>
                <w:b/>
              </w:rPr>
            </w:pPr>
            <w:r w:rsidRPr="005249A8">
              <w:rPr>
                <w:b/>
              </w:rPr>
              <w:t>Kemikalije</w:t>
            </w:r>
          </w:p>
        </w:tc>
        <w:tc>
          <w:tcPr>
            <w:tcW w:w="1814" w:type="pct"/>
          </w:tcPr>
          <w:p w:rsidR="005249A8" w:rsidRPr="005249A8" w:rsidRDefault="005249A8" w:rsidP="00750E1F">
            <w:pPr>
              <w:spacing w:after="0" w:line="240" w:lineRule="auto"/>
              <w:jc w:val="both"/>
            </w:pPr>
            <w:r w:rsidRPr="005249A8">
              <w:t>Podnositelj zahtjeva mora posjedovati dokumentaciju dobavljača koja pokazuje da se slijedeće kemikalije ne koriste:</w:t>
            </w:r>
          </w:p>
          <w:p w:rsidR="005249A8" w:rsidRPr="005249A8" w:rsidRDefault="005249A8" w:rsidP="00750E1F">
            <w:pPr>
              <w:spacing w:after="0" w:line="240" w:lineRule="auto"/>
              <w:jc w:val="both"/>
            </w:pPr>
            <w:r w:rsidRPr="005249A8">
              <w:t>- sredstva za izbjeljivanje,</w:t>
            </w:r>
          </w:p>
          <w:p w:rsidR="005249A8" w:rsidRPr="005249A8" w:rsidRDefault="005249A8" w:rsidP="00750E1F">
            <w:pPr>
              <w:spacing w:after="0" w:line="240" w:lineRule="auto"/>
              <w:jc w:val="both"/>
            </w:pPr>
            <w:r w:rsidRPr="005249A8">
              <w:t>- optički posvjetljivači.</w:t>
            </w:r>
          </w:p>
          <w:p w:rsidR="005249A8" w:rsidRPr="005249A8" w:rsidRDefault="005249A8" w:rsidP="002825DD">
            <w:pPr>
              <w:spacing w:after="0" w:line="240" w:lineRule="auto"/>
              <w:jc w:val="both"/>
            </w:pPr>
            <w:r w:rsidRPr="005249A8">
              <w:t>Osim gore navedenog, proizvod ili bilo koji njegov dio ne smije sadržavati tvari ili smjese koje ispunjavaju kriterije za razvrstavanje u klase ili kategorije opasnosti u skladu s Uredbom (EZ) br. 1272/2008 niti sadržavati tvari navedene u Uredbi (EZ) br. 1907/2006.</w:t>
            </w:r>
            <w:r w:rsidR="002825DD">
              <w:rPr>
                <w:vertAlign w:val="superscript"/>
              </w:rPr>
              <w:t>3</w:t>
            </w:r>
            <w:r w:rsidR="002825DD">
              <w:t xml:space="preserve"> </w:t>
            </w:r>
            <w:r w:rsidR="002825DD" w:rsidRPr="002825DD">
              <w:t>Druge tvari/smjese i dodaci osnovnoj sirovini, npr. apsorpcijske tvari, ne smiju biti škodljive za čovjeka prilikom korištenja. Ove tvari ili smjese moraju biti klasificirane i označene prema Zakonu o provedbi Uredbe (EZ) br. 1907/2006 Europskog Parlamenta i Vijeća EZ o registraciji, evaluaciji, autorizaciji i ograničavanju kemikalija (NN 53/08 i 18/13) i Zakonu o provedbi Uredbe (EZ) br. 1272/2008 Europskog parlamenta i Vijeća od 16. prosinca 2008. o razvrstavanju, označavanju i pakiranju tvari i smjesa, kojom se izmjenjuju, dopunjuju i ukidaju Direktiva 67/548/EEZ i Direktiva 1999/45/EZ i izmjenjuje i dopunjuje Uredba (EZ) br. 1907/2006 (NN 50/12 i 18/13).</w:t>
            </w:r>
          </w:p>
        </w:tc>
        <w:tc>
          <w:tcPr>
            <w:tcW w:w="1735" w:type="pct"/>
          </w:tcPr>
          <w:p w:rsidR="005249A8" w:rsidRPr="005249A8" w:rsidRDefault="005249A8" w:rsidP="00750E1F">
            <w:pPr>
              <w:spacing w:after="0" w:line="240" w:lineRule="auto"/>
              <w:jc w:val="both"/>
              <w:rPr>
                <w:b/>
              </w:rPr>
            </w:pPr>
            <w:r w:rsidRPr="005249A8">
              <w:t>Tehnička dokumentacija (uključujući dokumentaciju dobavljača sirovina).</w:t>
            </w:r>
          </w:p>
        </w:tc>
      </w:tr>
      <w:tr w:rsidR="005249A8" w:rsidRPr="005249A8" w:rsidTr="00B83099">
        <w:tc>
          <w:tcPr>
            <w:tcW w:w="920" w:type="pct"/>
          </w:tcPr>
          <w:p w:rsidR="005249A8" w:rsidRPr="005249A8" w:rsidRDefault="005249A8" w:rsidP="00750E1F">
            <w:pPr>
              <w:spacing w:after="0" w:line="240" w:lineRule="auto"/>
              <w:jc w:val="both"/>
              <w:rPr>
                <w:b/>
              </w:rPr>
            </w:pPr>
            <w:r w:rsidRPr="005249A8">
              <w:rPr>
                <w:b/>
              </w:rPr>
              <w:t>Pakiranje i distribucija</w:t>
            </w:r>
          </w:p>
        </w:tc>
        <w:tc>
          <w:tcPr>
            <w:tcW w:w="531" w:type="pct"/>
          </w:tcPr>
          <w:p w:rsidR="005249A8" w:rsidRPr="005249A8" w:rsidRDefault="005249A8" w:rsidP="00750E1F">
            <w:pPr>
              <w:spacing w:after="0" w:line="240" w:lineRule="auto"/>
              <w:jc w:val="both"/>
              <w:rPr>
                <w:b/>
              </w:rPr>
            </w:pPr>
            <w:r w:rsidRPr="005249A8">
              <w:rPr>
                <w:b/>
              </w:rPr>
              <w:t>Pakiranje</w:t>
            </w:r>
          </w:p>
        </w:tc>
        <w:tc>
          <w:tcPr>
            <w:tcW w:w="1814" w:type="pct"/>
          </w:tcPr>
          <w:p w:rsidR="005249A8" w:rsidRPr="005249A8" w:rsidRDefault="005249A8" w:rsidP="00750E1F">
            <w:pPr>
              <w:spacing w:after="0" w:line="240" w:lineRule="auto"/>
              <w:jc w:val="both"/>
            </w:pPr>
            <w:r w:rsidRPr="005249A8">
              <w:t xml:space="preserve">Podnositelj zahtjeva mora imati dokumentaciju od dobavljača koji pokazuje da je potrošačka ambalaža izrađena od papira koji sadrži najmanje 50% recikliranog </w:t>
            </w:r>
            <w:r w:rsidRPr="005249A8">
              <w:lastRenderedPageBreak/>
              <w:t>papira ili od višestruko upotrebljivog polietilena ili od najmanje 50% recikliranog polietilena/polipropilena.</w:t>
            </w:r>
          </w:p>
        </w:tc>
        <w:tc>
          <w:tcPr>
            <w:tcW w:w="1735" w:type="pct"/>
          </w:tcPr>
          <w:p w:rsidR="005249A8" w:rsidRPr="005249A8" w:rsidRDefault="005249A8" w:rsidP="00750E1F">
            <w:pPr>
              <w:spacing w:after="0" w:line="240" w:lineRule="auto"/>
              <w:jc w:val="both"/>
              <w:rPr>
                <w:b/>
              </w:rPr>
            </w:pPr>
            <w:r w:rsidRPr="005249A8">
              <w:lastRenderedPageBreak/>
              <w:t>Tehnička dokumentacija (uključujući dokumentaciju dobavljača sirovina).</w:t>
            </w:r>
          </w:p>
        </w:tc>
      </w:tr>
      <w:tr w:rsidR="005249A8" w:rsidRPr="005249A8" w:rsidTr="00B83099">
        <w:tc>
          <w:tcPr>
            <w:tcW w:w="920" w:type="pct"/>
          </w:tcPr>
          <w:p w:rsidR="005249A8" w:rsidRPr="005249A8" w:rsidRDefault="005249A8" w:rsidP="00750E1F">
            <w:pPr>
              <w:spacing w:after="0" w:line="240" w:lineRule="auto"/>
              <w:jc w:val="both"/>
              <w:rPr>
                <w:b/>
              </w:rPr>
            </w:pPr>
            <w:r w:rsidRPr="005249A8">
              <w:rPr>
                <w:b/>
              </w:rPr>
              <w:t>Uporaba proizvoda</w:t>
            </w:r>
          </w:p>
        </w:tc>
        <w:tc>
          <w:tcPr>
            <w:tcW w:w="531" w:type="pct"/>
          </w:tcPr>
          <w:p w:rsidR="005249A8" w:rsidRPr="005249A8" w:rsidRDefault="005249A8" w:rsidP="00750E1F">
            <w:pPr>
              <w:spacing w:after="0" w:line="240" w:lineRule="auto"/>
              <w:jc w:val="both"/>
              <w:rPr>
                <w:b/>
              </w:rPr>
            </w:pPr>
            <w:r w:rsidRPr="005249A8">
              <w:rPr>
                <w:b/>
              </w:rPr>
              <w:t>Apsorpcija vlage</w:t>
            </w:r>
          </w:p>
        </w:tc>
        <w:tc>
          <w:tcPr>
            <w:tcW w:w="1814" w:type="pct"/>
          </w:tcPr>
          <w:p w:rsidR="005249A8" w:rsidRPr="005249A8" w:rsidRDefault="005249A8" w:rsidP="00750E1F">
            <w:pPr>
              <w:spacing w:after="0" w:line="240" w:lineRule="auto"/>
              <w:jc w:val="both"/>
            </w:pPr>
            <w:r w:rsidRPr="005249A8">
              <w:t>&gt; 80% m/m</w:t>
            </w:r>
          </w:p>
        </w:tc>
        <w:tc>
          <w:tcPr>
            <w:tcW w:w="1735" w:type="pct"/>
          </w:tcPr>
          <w:p w:rsidR="005249A8" w:rsidRPr="005249A8" w:rsidRDefault="005249A8" w:rsidP="00750E1F">
            <w:pPr>
              <w:spacing w:after="0" w:line="240" w:lineRule="auto"/>
              <w:jc w:val="both"/>
            </w:pPr>
            <w:r w:rsidRPr="005249A8">
              <w:t>Westinghouse.</w:t>
            </w:r>
          </w:p>
          <w:p w:rsidR="005249A8" w:rsidRPr="005249A8" w:rsidRDefault="005249A8" w:rsidP="00750E1F">
            <w:pPr>
              <w:spacing w:after="0" w:line="240" w:lineRule="auto"/>
              <w:jc w:val="both"/>
            </w:pPr>
            <w:r w:rsidRPr="005249A8">
              <w:t>Prije primjene metode uzorak mora stajati 48 sata (65% vlage, 20° C)</w:t>
            </w:r>
          </w:p>
          <w:p w:rsidR="005249A8" w:rsidRPr="005249A8" w:rsidRDefault="005249A8" w:rsidP="00750E1F">
            <w:pPr>
              <w:spacing w:after="0" w:line="240" w:lineRule="auto"/>
              <w:jc w:val="both"/>
            </w:pPr>
            <w:r w:rsidRPr="005249A8">
              <w:t>Materijal:</w:t>
            </w:r>
          </w:p>
          <w:p w:rsidR="005249A8" w:rsidRPr="005249A8" w:rsidRDefault="005249A8" w:rsidP="00750E1F">
            <w:pPr>
              <w:spacing w:after="0" w:line="240" w:lineRule="auto"/>
              <w:jc w:val="both"/>
            </w:pPr>
            <w:r w:rsidRPr="005249A8">
              <w:t>- par vaga</w:t>
            </w:r>
          </w:p>
          <w:p w:rsidR="005249A8" w:rsidRPr="005249A8" w:rsidRDefault="005249A8" w:rsidP="00750E1F">
            <w:pPr>
              <w:spacing w:after="0" w:line="240" w:lineRule="auto"/>
              <w:jc w:val="both"/>
            </w:pPr>
            <w:r w:rsidRPr="005249A8">
              <w:t xml:space="preserve"> - tkanina sa sitnom mrežicom s mrežastom komorom br. 60, promjer baze 65 mm i visine 80 mm</w:t>
            </w:r>
          </w:p>
          <w:p w:rsidR="005249A8" w:rsidRPr="005249A8" w:rsidRDefault="005249A8" w:rsidP="00750E1F">
            <w:pPr>
              <w:spacing w:after="0" w:line="240" w:lineRule="auto"/>
              <w:jc w:val="both"/>
            </w:pPr>
            <w:r w:rsidRPr="005249A8">
              <w:t>- mjerna šalica + voda (SAE-10 SAE-20)</w:t>
            </w:r>
          </w:p>
          <w:p w:rsidR="005249A8" w:rsidRPr="005249A8" w:rsidRDefault="005249A8" w:rsidP="00750E1F">
            <w:pPr>
              <w:spacing w:after="0" w:line="240" w:lineRule="auto"/>
              <w:jc w:val="both"/>
            </w:pPr>
            <w:r w:rsidRPr="005249A8">
              <w:t>Metoda:</w:t>
            </w:r>
          </w:p>
          <w:p w:rsidR="005249A8" w:rsidRPr="005249A8" w:rsidRDefault="005249A8" w:rsidP="00750E1F">
            <w:pPr>
              <w:spacing w:after="0" w:line="240" w:lineRule="auto"/>
              <w:jc w:val="both"/>
            </w:pPr>
            <w:r w:rsidRPr="005249A8">
              <w:t>- uzeti reprezentativni uzorak od 20 grama apsorbirajućih zrna (P1)</w:t>
            </w:r>
          </w:p>
          <w:p w:rsidR="005249A8" w:rsidRPr="005249A8" w:rsidRDefault="005249A8" w:rsidP="00750E1F">
            <w:pPr>
              <w:spacing w:after="0" w:line="240" w:lineRule="auto"/>
              <w:jc w:val="both"/>
            </w:pPr>
            <w:r w:rsidRPr="005249A8">
              <w:t>- staviti uzorak u konus</w:t>
            </w:r>
          </w:p>
          <w:p w:rsidR="005249A8" w:rsidRPr="005249A8" w:rsidRDefault="005249A8" w:rsidP="00750E1F">
            <w:pPr>
              <w:spacing w:after="0" w:line="240" w:lineRule="auto"/>
              <w:jc w:val="both"/>
            </w:pPr>
            <w:r w:rsidRPr="005249A8">
              <w:t>- vagati uzorak i konus zajedno (P2)</w:t>
            </w:r>
          </w:p>
          <w:p w:rsidR="005249A8" w:rsidRPr="005249A8" w:rsidRDefault="005249A8" w:rsidP="00750E1F">
            <w:pPr>
              <w:spacing w:after="0" w:line="240" w:lineRule="auto"/>
              <w:jc w:val="both"/>
            </w:pPr>
            <w:r w:rsidRPr="005249A8">
              <w:t>- prosipati konus u vodenu kupelj i ostaviti da stoji 30 minuta</w:t>
            </w:r>
          </w:p>
          <w:p w:rsidR="005249A8" w:rsidRPr="005249A8" w:rsidRDefault="005249A8" w:rsidP="00750E1F">
            <w:pPr>
              <w:spacing w:after="0" w:line="240" w:lineRule="auto"/>
              <w:jc w:val="both"/>
            </w:pPr>
            <w:r w:rsidRPr="005249A8">
              <w:t>- izvaditi konus iz kupelji i pustiti da se isprazni (voda 30 minuta)</w:t>
            </w:r>
          </w:p>
          <w:p w:rsidR="005249A8" w:rsidRPr="005249A8" w:rsidRDefault="005249A8" w:rsidP="00750E1F">
            <w:pPr>
              <w:spacing w:after="0" w:line="240" w:lineRule="auto"/>
              <w:jc w:val="both"/>
            </w:pPr>
            <w:r w:rsidRPr="005249A8">
              <w:t>- izvagati napunjeni konus (P3).</w:t>
            </w:r>
          </w:p>
          <w:p w:rsidR="005249A8" w:rsidRPr="005249A8" w:rsidRDefault="005249A8" w:rsidP="00750E1F">
            <w:pPr>
              <w:spacing w:after="0" w:line="240" w:lineRule="auto"/>
              <w:jc w:val="both"/>
            </w:pPr>
            <w:r w:rsidRPr="005249A8">
              <w:t>Proračun:</w:t>
            </w:r>
          </w:p>
          <w:p w:rsidR="005249A8" w:rsidRPr="005249A8" w:rsidRDefault="005249A8" w:rsidP="00750E1F">
            <w:pPr>
              <w:spacing w:after="0" w:line="240" w:lineRule="auto"/>
              <w:jc w:val="both"/>
            </w:pPr>
            <w:r w:rsidRPr="005249A8">
              <w:t xml:space="preserve"> - apsorbirani postotak = (P3 - P2)/P1x100%</w:t>
            </w:r>
          </w:p>
          <w:p w:rsidR="005249A8" w:rsidRPr="005249A8" w:rsidRDefault="005249A8" w:rsidP="00750E1F">
            <w:pPr>
              <w:spacing w:after="0" w:line="240" w:lineRule="auto"/>
              <w:jc w:val="both"/>
            </w:pPr>
            <w:r w:rsidRPr="005249A8">
              <w:t>P3 - P2 = masa absorbirane vode u gramima</w:t>
            </w:r>
          </w:p>
          <w:p w:rsidR="005249A8" w:rsidRPr="005249A8" w:rsidRDefault="005249A8" w:rsidP="00750E1F">
            <w:pPr>
              <w:spacing w:after="0" w:line="240" w:lineRule="auto"/>
              <w:jc w:val="both"/>
            </w:pPr>
            <w:r w:rsidRPr="005249A8">
              <w:t>P1 = masa absorbiranih zrna u gramima</w:t>
            </w:r>
          </w:p>
          <w:p w:rsidR="005249A8" w:rsidRPr="005249A8" w:rsidRDefault="005249A8" w:rsidP="00750E1F">
            <w:pPr>
              <w:spacing w:after="0" w:line="240" w:lineRule="auto"/>
              <w:jc w:val="both"/>
            </w:pPr>
            <w:r w:rsidRPr="005249A8">
              <w:t>Uzorkovanje obavljati na prodajnim mjestima.</w:t>
            </w:r>
          </w:p>
        </w:tc>
      </w:tr>
      <w:tr w:rsidR="005249A8" w:rsidRPr="005249A8" w:rsidTr="00B83099">
        <w:tc>
          <w:tcPr>
            <w:tcW w:w="920" w:type="pct"/>
          </w:tcPr>
          <w:p w:rsidR="005249A8" w:rsidRPr="005249A8" w:rsidRDefault="005249A8" w:rsidP="00750E1F">
            <w:pPr>
              <w:spacing w:after="0" w:line="240" w:lineRule="auto"/>
              <w:jc w:val="both"/>
              <w:rPr>
                <w:b/>
              </w:rPr>
            </w:pPr>
            <w:r w:rsidRPr="005249A8">
              <w:rPr>
                <w:b/>
              </w:rPr>
              <w:t>Uporaba proizvoda</w:t>
            </w:r>
          </w:p>
        </w:tc>
        <w:tc>
          <w:tcPr>
            <w:tcW w:w="531" w:type="pct"/>
          </w:tcPr>
          <w:p w:rsidR="005249A8" w:rsidRPr="005249A8" w:rsidRDefault="005249A8" w:rsidP="00750E1F">
            <w:pPr>
              <w:spacing w:after="0" w:line="240" w:lineRule="auto"/>
              <w:jc w:val="both"/>
              <w:rPr>
                <w:b/>
              </w:rPr>
            </w:pPr>
            <w:r w:rsidRPr="005249A8">
              <w:rPr>
                <w:b/>
              </w:rPr>
              <w:t>Sadržaj prašine</w:t>
            </w:r>
          </w:p>
        </w:tc>
        <w:tc>
          <w:tcPr>
            <w:tcW w:w="1814" w:type="pct"/>
          </w:tcPr>
          <w:p w:rsidR="005249A8" w:rsidRPr="005249A8" w:rsidRDefault="005249A8" w:rsidP="00750E1F">
            <w:pPr>
              <w:spacing w:after="0" w:line="240" w:lineRule="auto"/>
              <w:jc w:val="both"/>
            </w:pPr>
            <w:r w:rsidRPr="005249A8">
              <w:t>&lt; 3% m/m suhe tvari</w:t>
            </w:r>
          </w:p>
        </w:tc>
        <w:tc>
          <w:tcPr>
            <w:tcW w:w="1735" w:type="pct"/>
          </w:tcPr>
          <w:p w:rsidR="005249A8" w:rsidRPr="005249A8" w:rsidRDefault="005249A8" w:rsidP="00750E1F">
            <w:pPr>
              <w:spacing w:after="0" w:line="240" w:lineRule="auto"/>
              <w:jc w:val="both"/>
            </w:pPr>
            <w:r w:rsidRPr="005249A8">
              <w:t>sito ≤ 0,063 mm ASTM E1181</w:t>
            </w:r>
          </w:p>
        </w:tc>
      </w:tr>
      <w:tr w:rsidR="005249A8" w:rsidRPr="005249A8" w:rsidTr="00B83099">
        <w:tc>
          <w:tcPr>
            <w:tcW w:w="920" w:type="pct"/>
          </w:tcPr>
          <w:p w:rsidR="005249A8" w:rsidRPr="005249A8" w:rsidRDefault="005249A8" w:rsidP="00750E1F">
            <w:pPr>
              <w:spacing w:after="0" w:line="240" w:lineRule="auto"/>
              <w:jc w:val="both"/>
              <w:rPr>
                <w:b/>
              </w:rPr>
            </w:pPr>
            <w:r w:rsidRPr="005249A8">
              <w:rPr>
                <w:b/>
              </w:rPr>
              <w:t>Uporaba proizvoda</w:t>
            </w:r>
          </w:p>
        </w:tc>
        <w:tc>
          <w:tcPr>
            <w:tcW w:w="531" w:type="pct"/>
          </w:tcPr>
          <w:p w:rsidR="005249A8" w:rsidRPr="005249A8" w:rsidRDefault="005249A8" w:rsidP="00750E1F">
            <w:pPr>
              <w:spacing w:after="0" w:line="240" w:lineRule="auto"/>
              <w:jc w:val="both"/>
              <w:rPr>
                <w:b/>
              </w:rPr>
            </w:pPr>
            <w:r w:rsidRPr="005249A8">
              <w:rPr>
                <w:b/>
              </w:rPr>
              <w:t>Veličina zrna</w:t>
            </w:r>
          </w:p>
        </w:tc>
        <w:tc>
          <w:tcPr>
            <w:tcW w:w="1814" w:type="pct"/>
          </w:tcPr>
          <w:p w:rsidR="005249A8" w:rsidRPr="005249A8" w:rsidRDefault="005249A8" w:rsidP="00750E1F">
            <w:pPr>
              <w:spacing w:after="0" w:line="240" w:lineRule="auto"/>
              <w:jc w:val="both"/>
            </w:pPr>
            <w:r w:rsidRPr="005249A8">
              <w:t>&lt; 5%  m/m suhe tvari</w:t>
            </w:r>
          </w:p>
        </w:tc>
        <w:tc>
          <w:tcPr>
            <w:tcW w:w="1735" w:type="pct"/>
          </w:tcPr>
          <w:p w:rsidR="005249A8" w:rsidRPr="005249A8" w:rsidRDefault="005249A8" w:rsidP="00750E1F">
            <w:pPr>
              <w:spacing w:after="0" w:line="240" w:lineRule="auto"/>
              <w:jc w:val="both"/>
            </w:pPr>
            <w:r w:rsidRPr="005249A8">
              <w:t>sito &gt; 10 mm HRN ISO 565</w:t>
            </w:r>
          </w:p>
        </w:tc>
      </w:tr>
      <w:tr w:rsidR="005249A8" w:rsidRPr="005249A8" w:rsidTr="00B83099">
        <w:trPr>
          <w:trHeight w:val="4785"/>
        </w:trPr>
        <w:tc>
          <w:tcPr>
            <w:tcW w:w="920" w:type="pct"/>
          </w:tcPr>
          <w:p w:rsidR="005249A8" w:rsidRPr="005249A8" w:rsidRDefault="005249A8" w:rsidP="00750E1F">
            <w:pPr>
              <w:spacing w:after="0" w:line="240" w:lineRule="auto"/>
              <w:jc w:val="both"/>
              <w:rPr>
                <w:b/>
              </w:rPr>
            </w:pPr>
            <w:bookmarkStart w:id="16" w:name="_Hlk491343901"/>
            <w:bookmarkEnd w:id="15"/>
            <w:r w:rsidRPr="005249A8">
              <w:rPr>
                <w:b/>
              </w:rPr>
              <w:lastRenderedPageBreak/>
              <w:t>Recikliranje/oporaba/odlaganje (kraj životnog vijeka)</w:t>
            </w:r>
          </w:p>
        </w:tc>
        <w:tc>
          <w:tcPr>
            <w:tcW w:w="531" w:type="pct"/>
          </w:tcPr>
          <w:p w:rsidR="005249A8" w:rsidRPr="005249A8" w:rsidRDefault="005249A8" w:rsidP="00750E1F">
            <w:pPr>
              <w:spacing w:after="0" w:line="240" w:lineRule="auto"/>
              <w:jc w:val="both"/>
              <w:rPr>
                <w:b/>
              </w:rPr>
            </w:pPr>
            <w:r w:rsidRPr="005249A8">
              <w:rPr>
                <w:b/>
              </w:rPr>
              <w:t xml:space="preserve">Sadržaj teških metala </w:t>
            </w:r>
          </w:p>
        </w:tc>
        <w:tc>
          <w:tcPr>
            <w:tcW w:w="1814" w:type="pct"/>
          </w:tcPr>
          <w:p w:rsidR="005249A8" w:rsidRPr="005249A8" w:rsidRDefault="005249A8" w:rsidP="00750E1F">
            <w:pPr>
              <w:spacing w:after="0" w:line="240" w:lineRule="auto"/>
              <w:jc w:val="both"/>
            </w:pPr>
            <w:r w:rsidRPr="005249A8">
              <w:t>Stelja zadovoljava propisane kriterije za sadržaj teških metala za kompost klase I. namijenjen korištenju u ekološkoj  proizvodnji na način propisan posebnim propisom koji uređuje ekološku proizvodnju i korištenju u poljoprivredi na način propisan posebnim propisom koji uređuje gnojivo i poboljšivače tla.</w:t>
            </w:r>
          </w:p>
          <w:tbl>
            <w:tblPr>
              <w:tblStyle w:val="Reetkatablice"/>
              <w:tblW w:w="0" w:type="auto"/>
              <w:tblLayout w:type="fixed"/>
              <w:tblLook w:val="04A0" w:firstRow="1" w:lastRow="0" w:firstColumn="1" w:lastColumn="0" w:noHBand="0" w:noVBand="1"/>
            </w:tblPr>
            <w:tblGrid>
              <w:gridCol w:w="1567"/>
              <w:gridCol w:w="1890"/>
            </w:tblGrid>
            <w:tr w:rsidR="005249A8" w:rsidRPr="005249A8" w:rsidTr="002825DD">
              <w:trPr>
                <w:tblHeader/>
              </w:trPr>
              <w:tc>
                <w:tcPr>
                  <w:tcW w:w="1567" w:type="dxa"/>
                </w:tcPr>
                <w:p w:rsidR="002825DD" w:rsidRPr="002825DD" w:rsidRDefault="005249A8" w:rsidP="002825DD">
                  <w:pPr>
                    <w:jc w:val="both"/>
                  </w:pPr>
                  <w:r w:rsidRPr="005249A8">
                    <w:t>Parametar</w:t>
                  </w:r>
                  <w:r w:rsidR="002825DD">
                    <w:rPr>
                      <w:vertAlign w:val="superscript"/>
                    </w:rPr>
                    <w:t>4</w:t>
                  </w:r>
                  <w:r w:rsidR="002825DD" w:rsidRPr="002825DD">
                    <w:rPr>
                      <w:sz w:val="20"/>
                      <w:szCs w:val="20"/>
                    </w:rPr>
                    <w:t xml:space="preserve"> </w:t>
                  </w:r>
                  <w:r w:rsidR="002825DD" w:rsidRPr="002825DD">
                    <w:t>Pravilnik o nusproizvodima i ukidanju statusa otpada (NN 117/14), tablica 1.5</w:t>
                  </w:r>
                </w:p>
                <w:p w:rsidR="005249A8" w:rsidRPr="005249A8" w:rsidRDefault="005249A8" w:rsidP="00750E1F">
                  <w:pPr>
                    <w:jc w:val="both"/>
                  </w:pPr>
                </w:p>
              </w:tc>
              <w:tc>
                <w:tcPr>
                  <w:tcW w:w="1890" w:type="dxa"/>
                </w:tcPr>
                <w:p w:rsidR="005249A8" w:rsidRPr="005249A8" w:rsidRDefault="005249A8" w:rsidP="00750E1F">
                  <w:pPr>
                    <w:jc w:val="both"/>
                  </w:pPr>
                  <w:r w:rsidRPr="005249A8">
                    <w:t>Dopušteni sadržaj u</w:t>
                  </w:r>
                </w:p>
                <w:p w:rsidR="005249A8" w:rsidRPr="005249A8" w:rsidRDefault="005249A8" w:rsidP="00750E1F">
                  <w:pPr>
                    <w:jc w:val="both"/>
                  </w:pPr>
                  <w:r w:rsidRPr="005249A8">
                    <w:t>mg/kg suhe tvari</w:t>
                  </w:r>
                </w:p>
              </w:tc>
            </w:tr>
            <w:tr w:rsidR="005249A8" w:rsidRPr="005249A8" w:rsidTr="002825DD">
              <w:tc>
                <w:tcPr>
                  <w:tcW w:w="1567" w:type="dxa"/>
                </w:tcPr>
                <w:p w:rsidR="005249A8" w:rsidRPr="005249A8" w:rsidRDefault="005249A8" w:rsidP="00750E1F">
                  <w:pPr>
                    <w:jc w:val="both"/>
                  </w:pPr>
                  <w:r w:rsidRPr="005249A8">
                    <w:t>Kadmij (Cd)</w:t>
                  </w:r>
                </w:p>
              </w:tc>
              <w:tc>
                <w:tcPr>
                  <w:tcW w:w="1890" w:type="dxa"/>
                </w:tcPr>
                <w:p w:rsidR="005249A8" w:rsidRPr="005249A8" w:rsidRDefault="005249A8" w:rsidP="00750E1F">
                  <w:pPr>
                    <w:jc w:val="both"/>
                  </w:pPr>
                  <w:r w:rsidRPr="005249A8">
                    <w:t>0,7</w:t>
                  </w:r>
                </w:p>
              </w:tc>
            </w:tr>
            <w:tr w:rsidR="005249A8" w:rsidRPr="005249A8" w:rsidTr="002825DD">
              <w:tc>
                <w:tcPr>
                  <w:tcW w:w="1567" w:type="dxa"/>
                </w:tcPr>
                <w:p w:rsidR="005249A8" w:rsidRPr="005249A8" w:rsidRDefault="005249A8" w:rsidP="00750E1F">
                  <w:pPr>
                    <w:jc w:val="both"/>
                  </w:pPr>
                  <w:r w:rsidRPr="005249A8">
                    <w:t>Krom (Cr)</w:t>
                  </w:r>
                </w:p>
              </w:tc>
              <w:tc>
                <w:tcPr>
                  <w:tcW w:w="1890" w:type="dxa"/>
                </w:tcPr>
                <w:p w:rsidR="005249A8" w:rsidRPr="005249A8" w:rsidRDefault="005249A8" w:rsidP="00750E1F">
                  <w:pPr>
                    <w:jc w:val="both"/>
                  </w:pPr>
                  <w:r w:rsidRPr="005249A8">
                    <w:t>70</w:t>
                  </w:r>
                </w:p>
              </w:tc>
            </w:tr>
            <w:tr w:rsidR="005249A8" w:rsidRPr="005249A8" w:rsidTr="002825DD">
              <w:tc>
                <w:tcPr>
                  <w:tcW w:w="1567" w:type="dxa"/>
                </w:tcPr>
                <w:p w:rsidR="005249A8" w:rsidRPr="005249A8" w:rsidRDefault="005249A8" w:rsidP="00750E1F">
                  <w:pPr>
                    <w:jc w:val="both"/>
                  </w:pPr>
                  <w:r w:rsidRPr="005249A8">
                    <w:t>Živa (Hg)</w:t>
                  </w:r>
                </w:p>
              </w:tc>
              <w:tc>
                <w:tcPr>
                  <w:tcW w:w="1890" w:type="dxa"/>
                </w:tcPr>
                <w:p w:rsidR="005249A8" w:rsidRPr="005249A8" w:rsidRDefault="005249A8" w:rsidP="00750E1F">
                  <w:pPr>
                    <w:jc w:val="both"/>
                  </w:pPr>
                  <w:r w:rsidRPr="005249A8">
                    <w:t>0,4</w:t>
                  </w:r>
                </w:p>
              </w:tc>
            </w:tr>
            <w:tr w:rsidR="005249A8" w:rsidRPr="005249A8" w:rsidTr="002825DD">
              <w:tc>
                <w:tcPr>
                  <w:tcW w:w="1567" w:type="dxa"/>
                </w:tcPr>
                <w:p w:rsidR="005249A8" w:rsidRPr="005249A8" w:rsidRDefault="005249A8" w:rsidP="00750E1F">
                  <w:pPr>
                    <w:jc w:val="both"/>
                  </w:pPr>
                  <w:r w:rsidRPr="005249A8">
                    <w:t>Nikal (Ni)</w:t>
                  </w:r>
                </w:p>
              </w:tc>
              <w:tc>
                <w:tcPr>
                  <w:tcW w:w="1890" w:type="dxa"/>
                </w:tcPr>
                <w:p w:rsidR="005249A8" w:rsidRPr="005249A8" w:rsidRDefault="005249A8" w:rsidP="00750E1F">
                  <w:pPr>
                    <w:jc w:val="both"/>
                  </w:pPr>
                  <w:r w:rsidRPr="005249A8">
                    <w:t>25</w:t>
                  </w:r>
                </w:p>
              </w:tc>
            </w:tr>
            <w:tr w:rsidR="005249A8" w:rsidRPr="005249A8" w:rsidTr="002825DD">
              <w:tc>
                <w:tcPr>
                  <w:tcW w:w="1567" w:type="dxa"/>
                </w:tcPr>
                <w:p w:rsidR="005249A8" w:rsidRPr="005249A8" w:rsidRDefault="005249A8" w:rsidP="00750E1F">
                  <w:pPr>
                    <w:jc w:val="both"/>
                  </w:pPr>
                  <w:r w:rsidRPr="005249A8">
                    <w:t>Olovo (Pb)</w:t>
                  </w:r>
                </w:p>
              </w:tc>
              <w:tc>
                <w:tcPr>
                  <w:tcW w:w="1890" w:type="dxa"/>
                </w:tcPr>
                <w:p w:rsidR="005249A8" w:rsidRPr="005249A8" w:rsidRDefault="005249A8" w:rsidP="00750E1F">
                  <w:pPr>
                    <w:jc w:val="both"/>
                  </w:pPr>
                  <w:r w:rsidRPr="005249A8">
                    <w:t>45</w:t>
                  </w:r>
                </w:p>
              </w:tc>
            </w:tr>
            <w:tr w:rsidR="005249A8" w:rsidRPr="005249A8" w:rsidTr="002825DD">
              <w:tc>
                <w:tcPr>
                  <w:tcW w:w="1567" w:type="dxa"/>
                </w:tcPr>
                <w:p w:rsidR="005249A8" w:rsidRPr="005249A8" w:rsidRDefault="005249A8" w:rsidP="00750E1F">
                  <w:pPr>
                    <w:jc w:val="both"/>
                  </w:pPr>
                  <w:r w:rsidRPr="005249A8">
                    <w:t>Bakar (Cu)</w:t>
                  </w:r>
                </w:p>
              </w:tc>
              <w:tc>
                <w:tcPr>
                  <w:tcW w:w="1890" w:type="dxa"/>
                </w:tcPr>
                <w:p w:rsidR="005249A8" w:rsidRPr="005249A8" w:rsidRDefault="005249A8" w:rsidP="00750E1F">
                  <w:pPr>
                    <w:jc w:val="both"/>
                  </w:pPr>
                  <w:r w:rsidRPr="005249A8">
                    <w:t>70</w:t>
                  </w:r>
                </w:p>
              </w:tc>
            </w:tr>
            <w:tr w:rsidR="005249A8" w:rsidRPr="005249A8" w:rsidTr="002825DD">
              <w:tc>
                <w:tcPr>
                  <w:tcW w:w="1567" w:type="dxa"/>
                </w:tcPr>
                <w:p w:rsidR="005249A8" w:rsidRPr="005249A8" w:rsidRDefault="005249A8" w:rsidP="00750E1F">
                  <w:pPr>
                    <w:jc w:val="both"/>
                  </w:pPr>
                  <w:r w:rsidRPr="005249A8">
                    <w:t>Cink (Zn)</w:t>
                  </w:r>
                </w:p>
              </w:tc>
              <w:tc>
                <w:tcPr>
                  <w:tcW w:w="1890" w:type="dxa"/>
                </w:tcPr>
                <w:p w:rsidR="005249A8" w:rsidRPr="005249A8" w:rsidRDefault="005249A8" w:rsidP="00750E1F">
                  <w:pPr>
                    <w:jc w:val="both"/>
                  </w:pPr>
                  <w:r w:rsidRPr="005249A8">
                    <w:t>200</w:t>
                  </w:r>
                </w:p>
              </w:tc>
            </w:tr>
            <w:tr w:rsidR="005249A8" w:rsidRPr="005249A8" w:rsidTr="002825DD">
              <w:tc>
                <w:tcPr>
                  <w:tcW w:w="1567" w:type="dxa"/>
                </w:tcPr>
                <w:p w:rsidR="005249A8" w:rsidRPr="005249A8" w:rsidRDefault="005249A8" w:rsidP="00750E1F">
                  <w:pPr>
                    <w:jc w:val="both"/>
                  </w:pPr>
                  <w:r w:rsidRPr="005249A8">
                    <w:t>PAU*</w:t>
                  </w:r>
                </w:p>
              </w:tc>
              <w:tc>
                <w:tcPr>
                  <w:tcW w:w="1890" w:type="dxa"/>
                </w:tcPr>
                <w:p w:rsidR="005249A8" w:rsidRPr="005249A8" w:rsidRDefault="005249A8" w:rsidP="00750E1F">
                  <w:pPr>
                    <w:jc w:val="both"/>
                  </w:pPr>
                  <w:r w:rsidRPr="005249A8">
                    <w:t>-</w:t>
                  </w:r>
                </w:p>
              </w:tc>
            </w:tr>
            <w:tr w:rsidR="005249A8" w:rsidRPr="005249A8" w:rsidTr="002825DD">
              <w:tc>
                <w:tcPr>
                  <w:tcW w:w="1567" w:type="dxa"/>
                </w:tcPr>
                <w:p w:rsidR="005249A8" w:rsidRPr="005249A8" w:rsidRDefault="005249A8" w:rsidP="00750E1F">
                  <w:pPr>
                    <w:jc w:val="both"/>
                  </w:pPr>
                  <w:r w:rsidRPr="005249A8">
                    <w:t>PCB**</w:t>
                  </w:r>
                </w:p>
              </w:tc>
              <w:tc>
                <w:tcPr>
                  <w:tcW w:w="1890" w:type="dxa"/>
                </w:tcPr>
                <w:p w:rsidR="005249A8" w:rsidRPr="005249A8" w:rsidRDefault="005249A8" w:rsidP="00750E1F">
                  <w:pPr>
                    <w:jc w:val="both"/>
                  </w:pPr>
                  <w:r w:rsidRPr="005249A8">
                    <w:t>-</w:t>
                  </w:r>
                </w:p>
              </w:tc>
            </w:tr>
          </w:tbl>
          <w:p w:rsidR="005249A8" w:rsidRPr="005249A8" w:rsidRDefault="005249A8" w:rsidP="00750E1F">
            <w:pPr>
              <w:spacing w:after="0" w:line="240" w:lineRule="auto"/>
              <w:jc w:val="both"/>
            </w:pPr>
            <w:bookmarkStart w:id="17" w:name="_Hlk491344503"/>
            <w:r w:rsidRPr="005249A8">
              <w:t>Napomena:</w:t>
            </w:r>
          </w:p>
          <w:p w:rsidR="005249A8" w:rsidRPr="005249A8" w:rsidRDefault="005249A8" w:rsidP="00750E1F">
            <w:pPr>
              <w:spacing w:after="0" w:line="240" w:lineRule="auto"/>
              <w:jc w:val="both"/>
            </w:pPr>
            <w:r w:rsidRPr="005249A8">
              <w:t>*PAU – policiklički aromatski ugljikovodici</w:t>
            </w:r>
          </w:p>
          <w:p w:rsidR="005249A8" w:rsidRPr="005249A8" w:rsidRDefault="005249A8" w:rsidP="00750E1F">
            <w:pPr>
              <w:spacing w:after="0" w:line="240" w:lineRule="auto"/>
              <w:jc w:val="both"/>
            </w:pPr>
            <w:r w:rsidRPr="005249A8">
              <w:t>**PCB – poliklorirani bifenili</w:t>
            </w:r>
            <w:bookmarkEnd w:id="17"/>
          </w:p>
        </w:tc>
        <w:tc>
          <w:tcPr>
            <w:tcW w:w="1735" w:type="pct"/>
          </w:tcPr>
          <w:p w:rsidR="005249A8" w:rsidRPr="005249A8" w:rsidRDefault="005249A8" w:rsidP="00750E1F">
            <w:pPr>
              <w:spacing w:after="0" w:line="240" w:lineRule="auto"/>
              <w:jc w:val="both"/>
            </w:pPr>
            <w:r w:rsidRPr="005249A8">
              <w:t>HRN ISO 11047:2004</w:t>
            </w:r>
          </w:p>
          <w:p w:rsidR="005249A8" w:rsidRPr="005249A8" w:rsidRDefault="005249A8" w:rsidP="00750E1F">
            <w:pPr>
              <w:spacing w:after="0" w:line="240" w:lineRule="auto"/>
              <w:jc w:val="both"/>
            </w:pPr>
            <w:r w:rsidRPr="005249A8">
              <w:t>HRN EN 16175-1:2016</w:t>
            </w:r>
          </w:p>
          <w:p w:rsidR="005249A8" w:rsidRPr="005249A8" w:rsidRDefault="005249A8" w:rsidP="00750E1F">
            <w:pPr>
              <w:spacing w:after="0" w:line="240" w:lineRule="auto"/>
              <w:jc w:val="both"/>
            </w:pPr>
            <w:r w:rsidRPr="005249A8">
              <w:t xml:space="preserve">HRN EN 16175-2:2016 </w:t>
            </w:r>
          </w:p>
          <w:p w:rsidR="005249A8" w:rsidRPr="005249A8" w:rsidRDefault="005249A8" w:rsidP="00750E1F">
            <w:pPr>
              <w:spacing w:after="0" w:line="240" w:lineRule="auto"/>
              <w:jc w:val="both"/>
            </w:pPr>
            <w:r w:rsidRPr="005249A8">
              <w:t>HRN ISO 16772:2009</w:t>
            </w:r>
          </w:p>
          <w:p w:rsidR="005249A8" w:rsidRPr="005249A8" w:rsidRDefault="005249A8" w:rsidP="00750E1F">
            <w:pPr>
              <w:spacing w:after="0" w:line="240" w:lineRule="auto"/>
              <w:jc w:val="both"/>
            </w:pPr>
            <w:r w:rsidRPr="005249A8">
              <w:t>HRN ISO 18287:2011</w:t>
            </w:r>
          </w:p>
          <w:p w:rsidR="005249A8" w:rsidRPr="005249A8" w:rsidRDefault="005249A8" w:rsidP="00750E1F">
            <w:pPr>
              <w:spacing w:after="0" w:line="240" w:lineRule="auto"/>
              <w:jc w:val="both"/>
            </w:pPr>
            <w:r w:rsidRPr="005249A8">
              <w:t>HRN EN 16167:2013</w:t>
            </w:r>
          </w:p>
          <w:p w:rsidR="005249A8" w:rsidRPr="005249A8" w:rsidRDefault="005249A8" w:rsidP="00750E1F">
            <w:pPr>
              <w:spacing w:after="0" w:line="240" w:lineRule="auto"/>
              <w:jc w:val="both"/>
            </w:pPr>
            <w:r w:rsidRPr="005249A8">
              <w:t>HRN EN 15308:2016</w:t>
            </w:r>
          </w:p>
        </w:tc>
      </w:tr>
      <w:tr w:rsidR="005249A8" w:rsidRPr="005249A8" w:rsidTr="00B83099">
        <w:tc>
          <w:tcPr>
            <w:tcW w:w="920" w:type="pct"/>
          </w:tcPr>
          <w:p w:rsidR="005249A8" w:rsidRPr="005249A8" w:rsidRDefault="005249A8" w:rsidP="00750E1F">
            <w:pPr>
              <w:spacing w:after="0" w:line="240" w:lineRule="auto"/>
              <w:jc w:val="both"/>
              <w:rPr>
                <w:b/>
              </w:rPr>
            </w:pPr>
            <w:r w:rsidRPr="005249A8">
              <w:rPr>
                <w:b/>
              </w:rPr>
              <w:t>Recikliranje/oporaba/odlaganje (kraj životnog vijeka)</w:t>
            </w:r>
          </w:p>
        </w:tc>
        <w:tc>
          <w:tcPr>
            <w:tcW w:w="531" w:type="pct"/>
          </w:tcPr>
          <w:p w:rsidR="005249A8" w:rsidRPr="005249A8" w:rsidRDefault="005249A8" w:rsidP="00750E1F">
            <w:pPr>
              <w:spacing w:after="0" w:line="240" w:lineRule="auto"/>
              <w:jc w:val="both"/>
              <w:rPr>
                <w:b/>
              </w:rPr>
            </w:pPr>
            <w:r w:rsidRPr="005249A8">
              <w:rPr>
                <w:b/>
              </w:rPr>
              <w:t>Biorazgradivost</w:t>
            </w:r>
          </w:p>
        </w:tc>
        <w:tc>
          <w:tcPr>
            <w:tcW w:w="1814" w:type="pct"/>
          </w:tcPr>
          <w:p w:rsidR="005249A8" w:rsidRPr="005249A8" w:rsidRDefault="005249A8" w:rsidP="00750E1F">
            <w:pPr>
              <w:spacing w:after="0" w:line="240" w:lineRule="auto"/>
              <w:jc w:val="both"/>
            </w:pPr>
            <w:r w:rsidRPr="005249A8">
              <w:t>Razgradnja:</w:t>
            </w:r>
          </w:p>
          <w:p w:rsidR="005249A8" w:rsidRPr="005249A8" w:rsidRDefault="005249A8" w:rsidP="00750E1F">
            <w:pPr>
              <w:spacing w:after="0" w:line="240" w:lineRule="auto"/>
              <w:jc w:val="both"/>
            </w:pPr>
            <w:r w:rsidRPr="005249A8">
              <w:t>Najmanje 90% proizvoda mora moći proći kroz rešetku 2 x 2 mm u roku 12 tjedana.</w:t>
            </w:r>
          </w:p>
          <w:p w:rsidR="005249A8" w:rsidRPr="005249A8" w:rsidRDefault="005249A8" w:rsidP="00750E1F">
            <w:pPr>
              <w:spacing w:after="0" w:line="240" w:lineRule="auto"/>
              <w:jc w:val="both"/>
            </w:pPr>
            <w:r w:rsidRPr="005249A8">
              <w:t>Karakterizacija, biorazgradnja i kvaliteta komposta:</w:t>
            </w:r>
          </w:p>
          <w:p w:rsidR="005249A8" w:rsidRPr="005249A8" w:rsidRDefault="005249A8" w:rsidP="00750E1F">
            <w:pPr>
              <w:spacing w:after="0" w:line="240" w:lineRule="auto"/>
              <w:jc w:val="both"/>
            </w:pPr>
            <w:r w:rsidRPr="005249A8">
              <w:t>Najmanje 90% proizvoda mora se biološki razgraditi u roku 6 mjeseci.</w:t>
            </w:r>
          </w:p>
        </w:tc>
        <w:tc>
          <w:tcPr>
            <w:tcW w:w="1735" w:type="pct"/>
          </w:tcPr>
          <w:p w:rsidR="005249A8" w:rsidRPr="005249A8" w:rsidRDefault="005249A8" w:rsidP="00750E1F">
            <w:pPr>
              <w:spacing w:after="0" w:line="240" w:lineRule="auto"/>
              <w:jc w:val="both"/>
            </w:pPr>
            <w:r w:rsidRPr="005249A8">
              <w:t>HRN EN 13432/AC:2006</w:t>
            </w:r>
          </w:p>
          <w:p w:rsidR="005249A8" w:rsidRPr="005249A8" w:rsidRDefault="005249A8" w:rsidP="00750E1F">
            <w:pPr>
              <w:spacing w:after="0" w:line="240" w:lineRule="auto"/>
              <w:jc w:val="both"/>
            </w:pPr>
            <w:r w:rsidRPr="005249A8">
              <w:t>HRN EN 13432:2003</w:t>
            </w:r>
          </w:p>
        </w:tc>
      </w:tr>
    </w:tbl>
    <w:p w:rsidR="005249A8" w:rsidRPr="005249A8" w:rsidRDefault="005249A8" w:rsidP="00750E1F">
      <w:pPr>
        <w:spacing w:after="0" w:line="240" w:lineRule="auto"/>
        <w:jc w:val="both"/>
        <w:sectPr w:rsidR="005249A8" w:rsidRPr="005249A8" w:rsidSect="00C81DAC">
          <w:pgSz w:w="16838" w:h="11906" w:orient="landscape"/>
          <w:pgMar w:top="1417" w:right="1417" w:bottom="1417" w:left="1417" w:header="708" w:footer="708" w:gutter="0"/>
          <w:cols w:space="708"/>
          <w:docGrid w:linePitch="360"/>
        </w:sectPr>
      </w:pPr>
      <w:bookmarkStart w:id="18" w:name="_GoBack"/>
      <w:bookmarkEnd w:id="16"/>
      <w:bookmarkEnd w:id="18"/>
    </w:p>
    <w:p w:rsidR="005249A8" w:rsidRPr="005249A8" w:rsidRDefault="005249A8" w:rsidP="00750E1F">
      <w:pPr>
        <w:pStyle w:val="Naslov1"/>
        <w:numPr>
          <w:ilvl w:val="0"/>
          <w:numId w:val="7"/>
        </w:numPr>
        <w:spacing w:before="0" w:line="240" w:lineRule="auto"/>
        <w:jc w:val="both"/>
      </w:pPr>
      <w:bookmarkStart w:id="19" w:name="_Toc491427643"/>
      <w:r w:rsidRPr="005249A8">
        <w:lastRenderedPageBreak/>
        <w:t>RAZLOG DODJELE ZNAKA PRIJATELJ OKOLIŠA</w:t>
      </w:r>
      <w:bookmarkEnd w:id="19"/>
    </w:p>
    <w:p w:rsidR="005249A8" w:rsidRPr="005249A8" w:rsidRDefault="005249A8" w:rsidP="00750E1F">
      <w:pPr>
        <w:spacing w:after="0" w:line="240" w:lineRule="auto"/>
        <w:jc w:val="both"/>
      </w:pPr>
      <w:r w:rsidRPr="005249A8">
        <w:t>Znak „Prijatelj okoliša“ se dodjeljuje sa svrhom da se izdvoje na tržištu tvrtke koje potiču racionalno korištenje prirodnih dobara i energije, doprinose smanjenju emisija onečišćujućih tvari i stakleničkih plinova u okoliš, smanjenju potrošnje kemikalija, smanjenju nastanka otpada i iskorištavaju vrijedna svojstava otpada te poduzimaju druge mjere u svrhu zaštite okoliša.</w:t>
      </w:r>
    </w:p>
    <w:p w:rsidR="005249A8" w:rsidRPr="005249A8" w:rsidRDefault="005249A8" w:rsidP="00750E1F">
      <w:pPr>
        <w:spacing w:after="0" w:line="240" w:lineRule="auto"/>
        <w:jc w:val="both"/>
      </w:pPr>
      <w:r w:rsidRPr="005249A8">
        <w:t>U tom smislu stelja za kućne ljubimce koja zadovolji predložena mjerila kroz svoj životni ciklus doprinosi:</w:t>
      </w:r>
    </w:p>
    <w:p w:rsidR="005249A8" w:rsidRPr="005249A8" w:rsidRDefault="005249A8" w:rsidP="00750E1F">
      <w:pPr>
        <w:numPr>
          <w:ilvl w:val="0"/>
          <w:numId w:val="4"/>
        </w:numPr>
        <w:spacing w:after="0" w:line="240" w:lineRule="auto"/>
        <w:jc w:val="both"/>
      </w:pPr>
      <w:r w:rsidRPr="005249A8">
        <w:t>recikliranju i uštedi resursa - kroz produljeni životni vijek proizvoda - mjerilima se postavljaju zahtjevi prema izboru sirovina od recikliranog materijala ili nusproizvoda kao i korištenju ambalaže s određenim udjelom recikliranih materijala.</w:t>
      </w:r>
    </w:p>
    <w:p w:rsidR="005249A8" w:rsidRPr="005249A8" w:rsidRDefault="005249A8" w:rsidP="00750E1F">
      <w:pPr>
        <w:numPr>
          <w:ilvl w:val="0"/>
          <w:numId w:val="4"/>
        </w:numPr>
        <w:spacing w:after="0" w:line="240" w:lineRule="auto"/>
        <w:jc w:val="both"/>
      </w:pPr>
      <w:r w:rsidRPr="005249A8">
        <w:t>prevenciji nastanka otpada (prozvod se može koristi kao kompost) - mjerilima se postavljaju zahtjevi prema biorazgradivosti i mogućnosti korištenja stelje kao komposta.</w:t>
      </w:r>
    </w:p>
    <w:p w:rsidR="005249A8" w:rsidRPr="005249A8" w:rsidRDefault="005249A8" w:rsidP="00750E1F">
      <w:pPr>
        <w:spacing w:after="0" w:line="240" w:lineRule="auto"/>
        <w:jc w:val="both"/>
        <w:rPr>
          <w:b/>
          <w:bCs/>
        </w:rPr>
      </w:pPr>
      <w:r w:rsidRPr="005249A8">
        <w:rPr>
          <w:bCs/>
        </w:rPr>
        <w:br w:type="page"/>
      </w:r>
    </w:p>
    <w:p w:rsidR="005249A8" w:rsidRPr="005249A8" w:rsidRDefault="005249A8" w:rsidP="00750E1F">
      <w:pPr>
        <w:pStyle w:val="Naslov1"/>
        <w:numPr>
          <w:ilvl w:val="0"/>
          <w:numId w:val="7"/>
        </w:numPr>
        <w:spacing w:before="0" w:line="240" w:lineRule="auto"/>
        <w:jc w:val="both"/>
      </w:pPr>
      <w:bookmarkStart w:id="20" w:name="_Toc491427644"/>
      <w:r w:rsidRPr="005249A8">
        <w:lastRenderedPageBreak/>
        <w:t>UVJETI ZA UPORABU LOGOTIPA ZNAKA „PRIJATELJ OKOLIŠA“</w:t>
      </w:r>
      <w:bookmarkEnd w:id="20"/>
    </w:p>
    <w:p w:rsidR="005249A8" w:rsidRPr="005249A8" w:rsidRDefault="005249A8" w:rsidP="00750E1F">
      <w:pPr>
        <w:spacing w:after="0" w:line="240" w:lineRule="auto"/>
        <w:jc w:val="both"/>
      </w:pPr>
      <w:r w:rsidRPr="005249A8">
        <w:t>Znak „Prijatelj okoliša“ može se istaknuti s ciljem promidžbe samo na proizvod kojem je isti dodijeljen Odlukom o dodjeli znaka „Prijatelj okoliša“. Znak „Prijatelj okoliša“ može se koristiti onoliko dugo koliko iznosi rok određen u Odluci o dodjeli znaka „Prijatelji okoliša“.</w:t>
      </w:r>
    </w:p>
    <w:p w:rsidR="005249A8" w:rsidRPr="005249A8" w:rsidRDefault="005249A8" w:rsidP="00750E1F">
      <w:pPr>
        <w:spacing w:after="0" w:line="240" w:lineRule="auto"/>
        <w:jc w:val="both"/>
      </w:pPr>
      <w:r w:rsidRPr="005249A8">
        <w:t>Nositelj znaka „Prijatelj okoliša“ ima obvezu održavnja kakvoće proizvoda sukladno mjerilima po kojima je znak i dodijeljen.</w:t>
      </w:r>
    </w:p>
    <w:p w:rsidR="005249A8" w:rsidRPr="005249A8" w:rsidRDefault="005249A8" w:rsidP="00750E1F">
      <w:pPr>
        <w:spacing w:after="0" w:line="240" w:lineRule="auto"/>
        <w:jc w:val="both"/>
      </w:pPr>
      <w:r w:rsidRPr="005249A8">
        <w:t>Zalihe proizvoda sa znakom „Prijatelj okoliša“ proizvedene do dana isteka roka na koji je dodijeljen, mogu biti na tržištu s otisnutim znakom i nakon isteka roka na koji je znak dodijeljen najdulje godinu dana nakon isteka tog roka.</w:t>
      </w:r>
    </w:p>
    <w:p w:rsidR="005249A8" w:rsidRPr="005249A8" w:rsidRDefault="005249A8" w:rsidP="00750E1F">
      <w:pPr>
        <w:spacing w:after="0" w:line="240" w:lineRule="auto"/>
        <w:jc w:val="both"/>
      </w:pPr>
      <w:r w:rsidRPr="005249A8">
        <w:t>Inspektor zaštite okoliša, u inspekcijskom nadzoru, nadzire ispunjavanje uvjeta pod kojima je znak dodijeljen.</w:t>
      </w:r>
    </w:p>
    <w:p w:rsidR="005249A8" w:rsidRPr="005249A8" w:rsidRDefault="005249A8" w:rsidP="00750E1F">
      <w:pPr>
        <w:spacing w:after="0" w:line="240" w:lineRule="auto"/>
        <w:jc w:val="both"/>
      </w:pPr>
      <w:r w:rsidRPr="005249A8">
        <w:t>Znak „Prijatelj okoliša“ oduzet će se nositelju znaka u slučajevima kršenja odredbi Odluke o dodjeli te u ostalim slučajevima propisanim Zakonom o zaštiti okoliša (NN 80/13, 153/13 i 78/15).</w:t>
      </w:r>
    </w:p>
    <w:p w:rsidR="005249A8" w:rsidRPr="005249A8" w:rsidRDefault="005249A8" w:rsidP="00750E1F">
      <w:pPr>
        <w:spacing w:after="0" w:line="240" w:lineRule="auto"/>
        <w:jc w:val="both"/>
      </w:pPr>
    </w:p>
    <w:p w:rsidR="005249A8" w:rsidRPr="005249A8" w:rsidRDefault="005249A8" w:rsidP="00750E1F">
      <w:pPr>
        <w:spacing w:after="0" w:line="240" w:lineRule="auto"/>
        <w:jc w:val="both"/>
      </w:pPr>
      <w:r w:rsidRPr="005249A8">
        <w:rPr>
          <w:noProof/>
          <w:lang w:eastAsia="hr-HR"/>
        </w:rPr>
        <w:drawing>
          <wp:inline distT="0" distB="0" distL="0" distR="0" wp14:anchorId="4A6B7FBF" wp14:editId="1910A2F9">
            <wp:extent cx="1192530" cy="1097280"/>
            <wp:effectExtent l="0" t="0" r="7620" b="7620"/>
            <wp:docPr id="4" name="Picture 4" descr="http://digured.srce.hr/arhiva/263/157617/narodne-novine.nn.hr/clanci/sluzbeni/dodatni/44169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igured.srce.hr/arhiva/263/157617/narodne-novine.nn.hr/clanci/sluzbeni/dodatni/441695.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2530" cy="1097280"/>
                    </a:xfrm>
                    <a:prstGeom prst="rect">
                      <a:avLst/>
                    </a:prstGeom>
                    <a:noFill/>
                    <a:ln>
                      <a:noFill/>
                    </a:ln>
                  </pic:spPr>
                </pic:pic>
              </a:graphicData>
            </a:graphic>
          </wp:inline>
        </w:drawing>
      </w:r>
    </w:p>
    <w:p w:rsidR="005249A8" w:rsidRPr="005249A8" w:rsidRDefault="005249A8" w:rsidP="00750E1F">
      <w:pPr>
        <w:spacing w:after="0" w:line="240" w:lineRule="auto"/>
        <w:jc w:val="both"/>
        <w:rPr>
          <w:b/>
          <w:iCs/>
        </w:rPr>
      </w:pPr>
      <w:bookmarkStart w:id="21" w:name="_Toc491418825"/>
      <w:r w:rsidRPr="005249A8">
        <w:rPr>
          <w:b/>
          <w:iCs/>
        </w:rPr>
        <w:t xml:space="preserve">Grafički prikaz </w:t>
      </w:r>
      <w:r w:rsidRPr="005249A8">
        <w:rPr>
          <w:b/>
          <w:iCs/>
        </w:rPr>
        <w:fldChar w:fldCharType="begin"/>
      </w:r>
      <w:r w:rsidRPr="005249A8">
        <w:rPr>
          <w:b/>
          <w:iCs/>
        </w:rPr>
        <w:instrText xml:space="preserve"> STYLEREF 1 \s </w:instrText>
      </w:r>
      <w:r w:rsidRPr="005249A8">
        <w:rPr>
          <w:b/>
          <w:iCs/>
        </w:rPr>
        <w:fldChar w:fldCharType="separate"/>
      </w:r>
      <w:r w:rsidRPr="005249A8">
        <w:rPr>
          <w:b/>
          <w:iCs/>
        </w:rPr>
        <w:t>F</w:t>
      </w:r>
      <w:r w:rsidRPr="005249A8">
        <w:fldChar w:fldCharType="end"/>
      </w:r>
      <w:r w:rsidRPr="005249A8">
        <w:rPr>
          <w:b/>
          <w:iCs/>
        </w:rPr>
        <w:noBreakHyphen/>
      </w:r>
      <w:r w:rsidRPr="005249A8">
        <w:rPr>
          <w:b/>
          <w:iCs/>
        </w:rPr>
        <w:fldChar w:fldCharType="begin"/>
      </w:r>
      <w:r w:rsidRPr="005249A8">
        <w:rPr>
          <w:b/>
          <w:iCs/>
        </w:rPr>
        <w:instrText xml:space="preserve"> SEQ Grafički_prikaz \* ARABIC \s 1 </w:instrText>
      </w:r>
      <w:r w:rsidRPr="005249A8">
        <w:rPr>
          <w:b/>
          <w:iCs/>
        </w:rPr>
        <w:fldChar w:fldCharType="separate"/>
      </w:r>
      <w:r w:rsidRPr="005249A8">
        <w:rPr>
          <w:b/>
          <w:iCs/>
        </w:rPr>
        <w:t>1</w:t>
      </w:r>
      <w:r w:rsidRPr="005249A8">
        <w:fldChar w:fldCharType="end"/>
      </w:r>
      <w:r w:rsidRPr="005249A8">
        <w:rPr>
          <w:b/>
          <w:iCs/>
        </w:rPr>
        <w:t>: Znak „Prijatelj okoliša“</w:t>
      </w:r>
      <w:bookmarkEnd w:id="21"/>
    </w:p>
    <w:p w:rsidR="005249A8" w:rsidRPr="005249A8" w:rsidRDefault="005249A8" w:rsidP="00750E1F">
      <w:pPr>
        <w:spacing w:after="0" w:line="240" w:lineRule="auto"/>
        <w:jc w:val="both"/>
        <w:rPr>
          <w:i/>
        </w:rPr>
      </w:pPr>
      <w:r w:rsidRPr="005249A8">
        <w:rPr>
          <w:i/>
        </w:rPr>
        <w:t>Izvor: Pravilnik o znaku zaštite okoliša 'Prijatelj okoliša' (NN 91/16).</w:t>
      </w:r>
    </w:p>
    <w:p w:rsidR="005249A8" w:rsidRPr="005249A8" w:rsidRDefault="005249A8" w:rsidP="00750E1F">
      <w:pPr>
        <w:spacing w:after="0" w:line="240" w:lineRule="auto"/>
        <w:jc w:val="both"/>
      </w:pPr>
      <w:r w:rsidRPr="005249A8">
        <w:br w:type="page"/>
      </w:r>
    </w:p>
    <w:p w:rsidR="005249A8" w:rsidRPr="005249A8" w:rsidRDefault="005249A8" w:rsidP="00750E1F">
      <w:pPr>
        <w:pStyle w:val="Naslov1"/>
        <w:numPr>
          <w:ilvl w:val="0"/>
          <w:numId w:val="7"/>
        </w:numPr>
        <w:spacing w:before="0" w:line="240" w:lineRule="auto"/>
        <w:jc w:val="both"/>
      </w:pPr>
      <w:bookmarkStart w:id="22" w:name="_Toc491427645"/>
      <w:r w:rsidRPr="005249A8">
        <w:lastRenderedPageBreak/>
        <w:t>TEKST KOJI SE UPISUJE U DONJOJ POLOVICI KRUŽNICE GRAFIČKOG PRIKAZA ZNAKA PRIJATELJ OKOLIŠA</w:t>
      </w:r>
      <w:bookmarkEnd w:id="22"/>
    </w:p>
    <w:p w:rsidR="005249A8" w:rsidRPr="005249A8" w:rsidRDefault="005249A8" w:rsidP="00750E1F">
      <w:pPr>
        <w:spacing w:after="0" w:line="240" w:lineRule="auto"/>
        <w:jc w:val="both"/>
      </w:pPr>
      <w:r w:rsidRPr="005249A8">
        <w:t>Tekst koji se upisuje u donji dio polovice grafičkog prikaza znaka prijatelja okoliša za stelju za kućne ljubimce koja ispunjava kriterije predloženih mjerila je:</w:t>
      </w:r>
    </w:p>
    <w:p w:rsidR="005249A8" w:rsidRPr="005249A8" w:rsidRDefault="005249A8" w:rsidP="00750E1F">
      <w:pPr>
        <w:spacing w:after="0" w:line="240" w:lineRule="auto"/>
        <w:jc w:val="both"/>
        <w:rPr>
          <w:i/>
        </w:rPr>
      </w:pPr>
      <w:r w:rsidRPr="005249A8">
        <w:rPr>
          <w:i/>
        </w:rPr>
        <w:t>„doprinosi recikliranju i uštedi resursa“.</w:t>
      </w:r>
    </w:p>
    <w:p w:rsidR="005249A8" w:rsidRPr="005249A8" w:rsidRDefault="005249A8" w:rsidP="00750E1F">
      <w:pPr>
        <w:spacing w:after="0" w:line="240" w:lineRule="auto"/>
        <w:jc w:val="both"/>
        <w:rPr>
          <w:b/>
          <w:bCs/>
        </w:rPr>
      </w:pPr>
      <w:r w:rsidRPr="005249A8">
        <w:rPr>
          <w:bCs/>
        </w:rPr>
        <w:br w:type="page"/>
      </w:r>
    </w:p>
    <w:p w:rsidR="005249A8" w:rsidRPr="005249A8" w:rsidRDefault="005249A8" w:rsidP="00750E1F">
      <w:pPr>
        <w:pStyle w:val="Naslov1"/>
        <w:numPr>
          <w:ilvl w:val="0"/>
          <w:numId w:val="7"/>
        </w:numPr>
        <w:spacing w:before="0" w:line="240" w:lineRule="auto"/>
        <w:jc w:val="both"/>
      </w:pPr>
      <w:bookmarkStart w:id="23" w:name="_Toc491427646"/>
      <w:r w:rsidRPr="005249A8">
        <w:lastRenderedPageBreak/>
        <w:t>ROK VAŽENJA MJERILA</w:t>
      </w:r>
      <w:bookmarkEnd w:id="23"/>
    </w:p>
    <w:p w:rsidR="005249A8" w:rsidRPr="005249A8" w:rsidRDefault="005249A8" w:rsidP="00750E1F">
      <w:pPr>
        <w:spacing w:after="0" w:line="240" w:lineRule="auto"/>
        <w:jc w:val="both"/>
      </w:pPr>
      <w:r w:rsidRPr="005249A8">
        <w:t>Znak zaštite okoliša za stelju za kućne ljubimce dodjeljuje se sukladno prijedlogu mjerila na najdulji rok od 5 godina.</w:t>
      </w:r>
    </w:p>
    <w:p w:rsidR="005249A8" w:rsidRPr="005249A8" w:rsidRDefault="005249A8" w:rsidP="00750E1F">
      <w:pPr>
        <w:spacing w:after="0" w:line="240" w:lineRule="auto"/>
        <w:jc w:val="both"/>
        <w:rPr>
          <w:bCs/>
        </w:rPr>
      </w:pPr>
      <w:bookmarkStart w:id="24" w:name="_Toc438468085"/>
      <w:r w:rsidRPr="005249A8">
        <w:rPr>
          <w:bCs/>
        </w:rPr>
        <w:br w:type="page"/>
      </w:r>
    </w:p>
    <w:p w:rsidR="005249A8" w:rsidRPr="005249A8" w:rsidRDefault="005249A8" w:rsidP="00750E1F">
      <w:pPr>
        <w:pStyle w:val="Naslov1"/>
        <w:numPr>
          <w:ilvl w:val="0"/>
          <w:numId w:val="7"/>
        </w:numPr>
        <w:spacing w:before="0" w:line="240" w:lineRule="auto"/>
        <w:jc w:val="both"/>
      </w:pPr>
      <w:bookmarkStart w:id="25" w:name="_Toc491427647"/>
      <w:r w:rsidRPr="005249A8">
        <w:lastRenderedPageBreak/>
        <w:t>IZVORI PODATAKA</w:t>
      </w:r>
      <w:bookmarkEnd w:id="25"/>
    </w:p>
    <w:p w:rsidR="005249A8" w:rsidRPr="005249A8" w:rsidRDefault="005249A8" w:rsidP="00750E1F">
      <w:pPr>
        <w:spacing w:after="0" w:line="240" w:lineRule="auto"/>
        <w:jc w:val="both"/>
        <w:rPr>
          <w:b/>
        </w:rPr>
      </w:pPr>
      <w:r w:rsidRPr="005249A8">
        <w:rPr>
          <w:b/>
        </w:rPr>
        <w:t>Literatura, standardi i norme</w:t>
      </w:r>
    </w:p>
    <w:p w:rsidR="005249A8" w:rsidRPr="005249A8" w:rsidRDefault="005249A8" w:rsidP="00750E1F">
      <w:pPr>
        <w:numPr>
          <w:ilvl w:val="0"/>
          <w:numId w:val="5"/>
        </w:numPr>
        <w:spacing w:after="0" w:line="240" w:lineRule="auto"/>
        <w:jc w:val="both"/>
      </w:pPr>
      <w:r w:rsidRPr="005249A8">
        <w:t xml:space="preserve">Internetske stranice How Products are made, </w:t>
      </w:r>
      <w:hyperlink r:id="rId14" w:history="1">
        <w:r w:rsidRPr="005249A8">
          <w:rPr>
            <w:rStyle w:val="Hiperveza"/>
          </w:rPr>
          <w:t>http://www.madehow.com/Volume-2/Cat-Litter.html</w:t>
        </w:r>
      </w:hyperlink>
    </w:p>
    <w:p w:rsidR="005249A8" w:rsidRPr="005249A8" w:rsidRDefault="005249A8" w:rsidP="00750E1F">
      <w:pPr>
        <w:numPr>
          <w:ilvl w:val="0"/>
          <w:numId w:val="5"/>
        </w:numPr>
        <w:spacing w:after="0" w:line="240" w:lineRule="auto"/>
        <w:jc w:val="both"/>
      </w:pPr>
      <w:r w:rsidRPr="005249A8">
        <w:t>Internetske stranice Hrvatskog zavoda za norme, http://www.hzn.hr/default.aspx?id=165</w:t>
      </w:r>
    </w:p>
    <w:p w:rsidR="005249A8" w:rsidRPr="005249A8" w:rsidRDefault="005249A8" w:rsidP="00750E1F">
      <w:pPr>
        <w:numPr>
          <w:ilvl w:val="0"/>
          <w:numId w:val="5"/>
        </w:numPr>
        <w:spacing w:after="0" w:line="240" w:lineRule="auto"/>
        <w:jc w:val="both"/>
      </w:pPr>
      <w:r w:rsidRPr="005249A8">
        <w:t>Norma HRN EN ISO 14024:2008 Oznak</w:t>
      </w:r>
      <w:r w:rsidR="005D68AC">
        <w:t xml:space="preserve">e i izjave za područje okoliša </w:t>
      </w:r>
      <w:r w:rsidRPr="005249A8">
        <w:t>- Označiva</w:t>
      </w:r>
      <w:r w:rsidR="005D68AC">
        <w:t xml:space="preserve">nje povezano s okolišem tipa I </w:t>
      </w:r>
      <w:r w:rsidRPr="005249A8">
        <w:t>- Načela i postupci (ISO 14024:1999; EN ISO 14024:2000)</w:t>
      </w:r>
    </w:p>
    <w:p w:rsidR="005249A8" w:rsidRPr="005249A8" w:rsidRDefault="005249A8" w:rsidP="00750E1F">
      <w:pPr>
        <w:numPr>
          <w:ilvl w:val="0"/>
          <w:numId w:val="5"/>
        </w:numPr>
        <w:spacing w:after="0" w:line="240" w:lineRule="auto"/>
        <w:jc w:val="both"/>
      </w:pPr>
      <w:r w:rsidRPr="005249A8">
        <w:t>Standard ASTM E1181 - 02(2015) Standard Test Methods for Characterizing Duplex Grain Sizes</w:t>
      </w:r>
    </w:p>
    <w:p w:rsidR="005249A8" w:rsidRPr="005249A8" w:rsidRDefault="005249A8" w:rsidP="00750E1F">
      <w:pPr>
        <w:numPr>
          <w:ilvl w:val="0"/>
          <w:numId w:val="5"/>
        </w:numPr>
        <w:spacing w:after="0" w:line="240" w:lineRule="auto"/>
        <w:jc w:val="both"/>
      </w:pPr>
      <w:r w:rsidRPr="005249A8">
        <w:t>Norma</w:t>
      </w:r>
      <w:r w:rsidR="005D68AC">
        <w:t xml:space="preserve"> HRN ISO 565:2008 Ispitna sita </w:t>
      </w:r>
      <w:r w:rsidRPr="005249A8">
        <w:t>- Metalno žičano pletivo, perforirana metalna p</w:t>
      </w:r>
      <w:r w:rsidR="005D68AC">
        <w:t xml:space="preserve">loča i elektrooblikovana ploča </w:t>
      </w:r>
      <w:r w:rsidRPr="005249A8">
        <w:t>- Nazivne veličine otvora (ISO 565:1990)</w:t>
      </w:r>
    </w:p>
    <w:p w:rsidR="005249A8" w:rsidRPr="005249A8" w:rsidRDefault="005249A8" w:rsidP="00750E1F">
      <w:pPr>
        <w:numPr>
          <w:ilvl w:val="0"/>
          <w:numId w:val="5"/>
        </w:numPr>
        <w:spacing w:after="0" w:line="240" w:lineRule="auto"/>
        <w:jc w:val="both"/>
      </w:pPr>
      <w:r w:rsidRPr="005249A8">
        <w:t>Norma H</w:t>
      </w:r>
      <w:r w:rsidR="005D68AC">
        <w:t xml:space="preserve">RN ISO 11047:2004 </w:t>
      </w:r>
      <w:r w:rsidR="005D68AC">
        <w:tab/>
        <w:t xml:space="preserve">Kakvoća tla </w:t>
      </w:r>
      <w:r w:rsidRPr="005249A8">
        <w:t>- Određivanje bakra, cinka kadmija, kobalta, kroma, mangana, nikla i olova nakon ekstrakcije zlatotopkom -- Metoda plamene i besplamene atomske apsorpcijske spektrometrije (ISO 11047:1998)</w:t>
      </w:r>
    </w:p>
    <w:p w:rsidR="005249A8" w:rsidRPr="005249A8" w:rsidRDefault="005249A8" w:rsidP="00750E1F">
      <w:pPr>
        <w:numPr>
          <w:ilvl w:val="0"/>
          <w:numId w:val="5"/>
        </w:numPr>
        <w:spacing w:after="0" w:line="240" w:lineRule="auto"/>
        <w:jc w:val="both"/>
      </w:pPr>
      <w:r w:rsidRPr="005249A8">
        <w:t xml:space="preserve">Norma HRN EN 16175-1:2016 </w:t>
      </w:r>
      <w:r w:rsidR="005D68AC">
        <w:tab/>
        <w:t xml:space="preserve">Mulj, obrađeni biootpad i tlo - Određivanje žive </w:t>
      </w:r>
      <w:r w:rsidRPr="005249A8">
        <w:t>- 1. dio: Atomska apsorpcijska spektrometrija tehnikom hladne pare (CV-AAS) (EN 16175-1:2016)</w:t>
      </w:r>
    </w:p>
    <w:p w:rsidR="005249A8" w:rsidRPr="005249A8" w:rsidRDefault="005249A8" w:rsidP="00750E1F">
      <w:pPr>
        <w:numPr>
          <w:ilvl w:val="0"/>
          <w:numId w:val="5"/>
        </w:numPr>
        <w:spacing w:after="0" w:line="240" w:lineRule="auto"/>
        <w:jc w:val="both"/>
      </w:pPr>
      <w:r w:rsidRPr="005249A8">
        <w:t>Norma HRN EN 16175-2:2016</w:t>
      </w:r>
      <w:r w:rsidR="005D68AC">
        <w:t xml:space="preserve"> Mulj, obrađeni biootpad i tlo - Određivanje žive -</w:t>
      </w:r>
      <w:r w:rsidRPr="005249A8">
        <w:t xml:space="preserve"> 2. dio: Atomska fluorescentna spektrometrija tehnikom hladne pare (CV-AFS) (EN 16175-2:2016)</w:t>
      </w:r>
    </w:p>
    <w:p w:rsidR="005249A8" w:rsidRPr="005249A8" w:rsidRDefault="005249A8" w:rsidP="00750E1F">
      <w:pPr>
        <w:numPr>
          <w:ilvl w:val="0"/>
          <w:numId w:val="5"/>
        </w:numPr>
        <w:spacing w:after="0" w:line="240" w:lineRule="auto"/>
        <w:jc w:val="both"/>
      </w:pPr>
      <w:r w:rsidRPr="005249A8">
        <w:t>Norma HRN</w:t>
      </w:r>
      <w:r w:rsidR="005D68AC">
        <w:t xml:space="preserve"> ISO 16772:2009 </w:t>
      </w:r>
      <w:r w:rsidR="005D68AC">
        <w:tab/>
        <w:t xml:space="preserve">Kvaliteta tla </w:t>
      </w:r>
      <w:r w:rsidRPr="005249A8">
        <w:t>- Određivanje žive iz filtrata dobivenog ekstrakcijom tla zlatotopkom atomskom apsorpcijskom tehnikom hladne pare ili atomskom florescencijskom tehnikom hladne pare (ISO 16772:2004)</w:t>
      </w:r>
    </w:p>
    <w:p w:rsidR="005249A8" w:rsidRPr="005249A8" w:rsidRDefault="005249A8" w:rsidP="00750E1F">
      <w:pPr>
        <w:numPr>
          <w:ilvl w:val="0"/>
          <w:numId w:val="5"/>
        </w:numPr>
        <w:spacing w:after="0" w:line="240" w:lineRule="auto"/>
        <w:jc w:val="both"/>
      </w:pPr>
      <w:r w:rsidRPr="005249A8">
        <w:t>Norma HR</w:t>
      </w:r>
      <w:r w:rsidR="005D68AC">
        <w:t xml:space="preserve">N ISO 18287:2011 Kvaliteta tla </w:t>
      </w:r>
      <w:r w:rsidRPr="005249A8">
        <w:t xml:space="preserve">- Određivanje policikličkih </w:t>
      </w:r>
      <w:r w:rsidR="005D68AC">
        <w:t xml:space="preserve">aromatskih ugljikovodika (PAH) </w:t>
      </w:r>
      <w:r w:rsidRPr="005249A8">
        <w:t>- Plinsko-kromatografska metoda s detekcijom masenom spektrometrijom (GC-MS) (ISO 18287:2006)</w:t>
      </w:r>
    </w:p>
    <w:p w:rsidR="005249A8" w:rsidRPr="005249A8" w:rsidRDefault="005249A8" w:rsidP="00750E1F">
      <w:pPr>
        <w:numPr>
          <w:ilvl w:val="0"/>
          <w:numId w:val="5"/>
        </w:numPr>
        <w:spacing w:after="0" w:line="240" w:lineRule="auto"/>
        <w:jc w:val="both"/>
      </w:pPr>
      <w:r w:rsidRPr="005249A8">
        <w:t>Norma M</w:t>
      </w:r>
      <w:r w:rsidR="005D68AC">
        <w:t>uljevi, obrađeni biootpad i tlo</w:t>
      </w:r>
      <w:r w:rsidRPr="005249A8">
        <w:t>-- Određivanje polikloriranih bifenila (PCB) metodom plinske kromatografije/spektrometrijom mase (GC-MS) i plinskom kromatografijom uz detekciju detektorom na zahvat elektrona (GC-ECD) (EN 16167:2012)</w:t>
      </w:r>
    </w:p>
    <w:p w:rsidR="005249A8" w:rsidRPr="005249A8" w:rsidRDefault="005249A8" w:rsidP="00750E1F">
      <w:pPr>
        <w:numPr>
          <w:ilvl w:val="0"/>
          <w:numId w:val="5"/>
        </w:numPr>
        <w:spacing w:after="0" w:line="240" w:lineRule="auto"/>
        <w:jc w:val="both"/>
      </w:pPr>
      <w:r w:rsidRPr="005249A8">
        <w:t xml:space="preserve">HRN EN 15308:2016 </w:t>
      </w:r>
      <w:r w:rsidR="005D68AC">
        <w:t xml:space="preserve">Karakterizacija otpada </w:t>
      </w:r>
      <w:r w:rsidRPr="005249A8">
        <w:t>- Određivanje odabranih polikloriranih bifenila (PCB) u krutom otpadu uporabom plinske kromatografije sa zahvatom elektrona ili spektrometrijom masa (EN 15308:2016)</w:t>
      </w:r>
    </w:p>
    <w:p w:rsidR="005249A8" w:rsidRPr="005249A8" w:rsidRDefault="005249A8" w:rsidP="00750E1F">
      <w:pPr>
        <w:numPr>
          <w:ilvl w:val="0"/>
          <w:numId w:val="5"/>
        </w:numPr>
        <w:spacing w:after="0" w:line="240" w:lineRule="auto"/>
        <w:jc w:val="both"/>
      </w:pPr>
      <w:r w:rsidRPr="005249A8">
        <w:t>Norma</w:t>
      </w:r>
      <w:r w:rsidR="005D68AC">
        <w:t xml:space="preserve"> HRN EN 13432/AC:2006 Ambalaža </w:t>
      </w:r>
      <w:r w:rsidRPr="005249A8">
        <w:t>- Zahtjevi za oporabivost ambalaže k</w:t>
      </w:r>
      <w:r w:rsidR="005D68AC">
        <w:t xml:space="preserve">ompostiranjem i biorazgradnjom </w:t>
      </w:r>
      <w:r w:rsidRPr="005249A8">
        <w:t>- Sheme ispitivanja i kriteriji prihvatljivosti ambalaže (EN 13432:2000/AC:2005)</w:t>
      </w:r>
    </w:p>
    <w:p w:rsidR="005249A8" w:rsidRPr="005249A8" w:rsidRDefault="005249A8" w:rsidP="00750E1F">
      <w:pPr>
        <w:numPr>
          <w:ilvl w:val="0"/>
          <w:numId w:val="5"/>
        </w:numPr>
        <w:spacing w:after="0" w:line="240" w:lineRule="auto"/>
        <w:jc w:val="both"/>
      </w:pPr>
      <w:r w:rsidRPr="005249A8">
        <w:t>Norm</w:t>
      </w:r>
      <w:r w:rsidR="005D68AC">
        <w:t xml:space="preserve">a HRN EN 13432:2003 </w:t>
      </w:r>
      <w:r w:rsidR="005D68AC">
        <w:tab/>
        <w:t>Ambalaža -</w:t>
      </w:r>
      <w:r w:rsidRPr="005249A8">
        <w:t xml:space="preserve"> Zahtjevi za oporabivost ambalaže ko</w:t>
      </w:r>
      <w:r w:rsidR="005D68AC">
        <w:t>mpostiranjem i biorazgradnjom -</w:t>
      </w:r>
      <w:r w:rsidRPr="005249A8">
        <w:t xml:space="preserve"> Sheme ispitivanja i kriteriji prihvatljivosti ambalaže (EN 13432:2000)</w:t>
      </w:r>
    </w:p>
    <w:bookmarkEnd w:id="24"/>
    <w:p w:rsidR="005249A8" w:rsidRPr="005249A8" w:rsidRDefault="005249A8" w:rsidP="00750E1F">
      <w:pPr>
        <w:spacing w:after="0" w:line="240" w:lineRule="auto"/>
        <w:jc w:val="both"/>
      </w:pPr>
    </w:p>
    <w:p w:rsidR="008F2A19" w:rsidRDefault="008F2A19" w:rsidP="00750E1F">
      <w:pPr>
        <w:spacing w:after="0" w:line="240" w:lineRule="auto"/>
        <w:jc w:val="both"/>
      </w:pPr>
    </w:p>
    <w:sectPr w:rsidR="008F2A19" w:rsidSect="003C59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284" w:rsidRDefault="00CF3284" w:rsidP="005249A8">
      <w:pPr>
        <w:spacing w:after="0" w:line="240" w:lineRule="auto"/>
      </w:pPr>
      <w:r>
        <w:separator/>
      </w:r>
    </w:p>
  </w:endnote>
  <w:endnote w:type="continuationSeparator" w:id="0">
    <w:p w:rsidR="00CF3284" w:rsidRDefault="00CF3284" w:rsidP="00524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9A8" w:rsidRDefault="005249A8" w:rsidP="00F02D49">
    <w:pPr>
      <w:pStyle w:val="Podnoje"/>
      <w:tabs>
        <w:tab w:val="clear" w:pos="4536"/>
        <w:tab w:val="clear" w:pos="9072"/>
        <w:tab w:val="right" w:pos="9071"/>
      </w:tabs>
    </w:pPr>
    <w:r>
      <w:tab/>
    </w:r>
    <w:r>
      <w:fldChar w:fldCharType="begin"/>
    </w:r>
    <w:r>
      <w:instrText>PAGE   \* MERGEFORMAT</w:instrText>
    </w:r>
    <w:r>
      <w:fldChar w:fldCharType="separate"/>
    </w:r>
    <w:r>
      <w:rPr>
        <w:noProof/>
      </w:rPr>
      <w:t>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9A8" w:rsidRDefault="005249A8">
    <w:pPr>
      <w:pStyle w:val="Podnoje"/>
      <w:jc w:val="center"/>
    </w:pPr>
  </w:p>
  <w:p w:rsidR="005249A8" w:rsidRDefault="005249A8" w:rsidP="00F02D49">
    <w:pPr>
      <w:pStyle w:val="Podnoje"/>
      <w:tabs>
        <w:tab w:val="clear" w:pos="4536"/>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9A8" w:rsidRPr="00013D7E" w:rsidRDefault="005249A8" w:rsidP="00F02D49">
    <w:pPr>
      <w:pStyle w:val="Podnoje"/>
      <w:tabs>
        <w:tab w:val="clear" w:pos="4536"/>
      </w:tabs>
      <w:rPr>
        <w:color w:val="FFFFFF"/>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9A8" w:rsidRPr="007834E4" w:rsidRDefault="005249A8" w:rsidP="00F02D4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284" w:rsidRDefault="00CF3284" w:rsidP="005249A8">
      <w:pPr>
        <w:spacing w:after="0" w:line="240" w:lineRule="auto"/>
      </w:pPr>
      <w:r>
        <w:separator/>
      </w:r>
    </w:p>
  </w:footnote>
  <w:footnote w:type="continuationSeparator" w:id="0">
    <w:p w:rsidR="00CF3284" w:rsidRDefault="00CF3284" w:rsidP="00524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9A8" w:rsidRPr="00196461" w:rsidRDefault="005249A8" w:rsidP="00F02D49">
    <w:pPr>
      <w:pStyle w:val="Zaglavlje"/>
      <w:pBdr>
        <w:bottom w:val="single" w:sz="8" w:space="1" w:color="2A4F1C"/>
      </w:pBdr>
      <w:jc w:val="center"/>
      <w:rPr>
        <w:color w:val="2A4F1C"/>
      </w:rPr>
    </w:pPr>
    <w:r w:rsidRPr="00F24E1B">
      <w:rPr>
        <w:noProof/>
        <w:color w:val="2A4F1C"/>
        <w:lang w:eastAsia="hr-HR"/>
      </w:rPr>
      <w:t>NASLOV SUO: Duis mollis mauris velit, ac</w:t>
    </w:r>
  </w:p>
  <w:p w:rsidR="005249A8" w:rsidRPr="00196461" w:rsidRDefault="005249A8" w:rsidP="00F02D49">
    <w:pPr>
      <w:pStyle w:val="Zaglavlje"/>
      <w:jc w:val="center"/>
      <w:rPr>
        <w:color w:val="2A4F1C"/>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9A8" w:rsidRPr="008A7066" w:rsidRDefault="005249A8" w:rsidP="00A22479">
    <w:pPr>
      <w:pStyle w:val="Zaglavlje"/>
      <w:tabs>
        <w:tab w:val="clear" w:pos="4536"/>
        <w:tab w:val="clear" w:pos="9072"/>
        <w:tab w:val="left" w:pos="2625"/>
      </w:tabs>
      <w:rPr>
        <w:color w:val="2A4F1C"/>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3A81"/>
    <w:multiLevelType w:val="hybridMultilevel"/>
    <w:tmpl w:val="FB604E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B764086"/>
    <w:multiLevelType w:val="multilevel"/>
    <w:tmpl w:val="2B665A9C"/>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DC55035"/>
    <w:multiLevelType w:val="hybridMultilevel"/>
    <w:tmpl w:val="81A075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46F0D54"/>
    <w:multiLevelType w:val="hybridMultilevel"/>
    <w:tmpl w:val="9DE04B7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BA755A5"/>
    <w:multiLevelType w:val="hybridMultilevel"/>
    <w:tmpl w:val="2A5085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E400054"/>
    <w:multiLevelType w:val="hybridMultilevel"/>
    <w:tmpl w:val="A1B06A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C97300B"/>
    <w:multiLevelType w:val="hybridMultilevel"/>
    <w:tmpl w:val="94B458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6"/>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9A8"/>
    <w:rsid w:val="002825DD"/>
    <w:rsid w:val="003B3CD6"/>
    <w:rsid w:val="005249A8"/>
    <w:rsid w:val="005D68AC"/>
    <w:rsid w:val="00750E1F"/>
    <w:rsid w:val="008F2A19"/>
    <w:rsid w:val="00CF3284"/>
    <w:rsid w:val="00FA1E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CABDE"/>
  <w15:chartTrackingRefBased/>
  <w15:docId w15:val="{D079C047-FF70-4C3B-AEE2-2F3EAC6BB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5249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semiHidden/>
    <w:unhideWhenUsed/>
    <w:rsid w:val="005249A8"/>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5249A8"/>
  </w:style>
  <w:style w:type="paragraph" w:styleId="Zaglavlje">
    <w:name w:val="header"/>
    <w:basedOn w:val="Normal"/>
    <w:link w:val="ZaglavljeChar"/>
    <w:uiPriority w:val="99"/>
    <w:semiHidden/>
    <w:unhideWhenUsed/>
    <w:rsid w:val="005249A8"/>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5249A8"/>
  </w:style>
  <w:style w:type="paragraph" w:styleId="Tekstfusnote">
    <w:name w:val="footnote text"/>
    <w:basedOn w:val="Normal"/>
    <w:link w:val="TekstfusnoteChar"/>
    <w:uiPriority w:val="99"/>
    <w:semiHidden/>
    <w:unhideWhenUsed/>
    <w:rsid w:val="005249A8"/>
    <w:pPr>
      <w:spacing w:after="0" w:line="240" w:lineRule="auto"/>
    </w:pPr>
    <w:rPr>
      <w:sz w:val="20"/>
      <w:szCs w:val="20"/>
    </w:rPr>
  </w:style>
  <w:style w:type="character" w:customStyle="1" w:styleId="TekstfusnoteChar">
    <w:name w:val="Tekst fusnote Char"/>
    <w:basedOn w:val="Zadanifontodlomka"/>
    <w:link w:val="Tekstfusnote"/>
    <w:uiPriority w:val="99"/>
    <w:semiHidden/>
    <w:rsid w:val="005249A8"/>
    <w:rPr>
      <w:sz w:val="20"/>
      <w:szCs w:val="20"/>
    </w:rPr>
  </w:style>
  <w:style w:type="table" w:styleId="Reetkatablice">
    <w:name w:val="Table Grid"/>
    <w:basedOn w:val="Obinatablica"/>
    <w:uiPriority w:val="39"/>
    <w:rsid w:val="00524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fusnote">
    <w:name w:val="footnote reference"/>
    <w:aliases w:val="BVI fnr,Footnote Reference/,Footnote Reference Superscript,note TESI,Ref,de nota al pie,fr,SUPERS,Footnote symbol,Footnote number,o,Source Reference,number,Footnote reference number,-E Fußnotenzeichen,Times 10 Point,Exposant 3 Point"/>
    <w:unhideWhenUsed/>
    <w:qFormat/>
    <w:rsid w:val="005249A8"/>
    <w:rPr>
      <w:vertAlign w:val="superscript"/>
    </w:rPr>
  </w:style>
  <w:style w:type="character" w:styleId="Hiperveza">
    <w:name w:val="Hyperlink"/>
    <w:basedOn w:val="Zadanifontodlomka"/>
    <w:uiPriority w:val="99"/>
    <w:unhideWhenUsed/>
    <w:rsid w:val="005249A8"/>
    <w:rPr>
      <w:color w:val="0563C1" w:themeColor="hyperlink"/>
      <w:u w:val="single"/>
    </w:rPr>
  </w:style>
  <w:style w:type="paragraph" w:styleId="Naslov">
    <w:name w:val="Title"/>
    <w:basedOn w:val="Normal"/>
    <w:next w:val="Normal"/>
    <w:link w:val="NaslovChar"/>
    <w:uiPriority w:val="10"/>
    <w:qFormat/>
    <w:rsid w:val="005249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249A8"/>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5249A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adehow.com/Volume-2/Cat-Litter.htm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17</Pages>
  <Words>3562</Words>
  <Characters>20307</Characters>
  <Application>Microsoft Office Word</Application>
  <DocSecurity>0</DocSecurity>
  <Lines>169</Lines>
  <Paragraphs>47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Željko Šimek</dc:creator>
  <cp:keywords/>
  <dc:description/>
  <cp:lastModifiedBy>Barbara Fofić</cp:lastModifiedBy>
  <cp:revision>5</cp:revision>
  <dcterms:created xsi:type="dcterms:W3CDTF">2017-09-25T13:09:00Z</dcterms:created>
  <dcterms:modified xsi:type="dcterms:W3CDTF">2017-09-26T09:34:00Z</dcterms:modified>
</cp:coreProperties>
</file>