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879"/>
        <w:gridCol w:w="397"/>
        <w:gridCol w:w="915"/>
        <w:gridCol w:w="77"/>
        <w:gridCol w:w="992"/>
      </w:tblGrid>
      <w:tr w:rsidR="00301119" w:rsidRPr="00301119" w:rsidTr="00BC0184">
        <w:tc>
          <w:tcPr>
            <w:tcW w:w="9923" w:type="dxa"/>
            <w:gridSpan w:val="8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jc w:val="center"/>
              <w:rPr>
                <w:szCs w:val="24"/>
              </w:rPr>
            </w:pPr>
            <w:bookmarkStart w:id="0" w:name="_GoBack"/>
            <w:bookmarkEnd w:id="0"/>
            <w:r w:rsidRPr="00301119">
              <w:rPr>
                <w:szCs w:val="24"/>
              </w:rPr>
              <w:t>PRILOG 1.</w:t>
            </w:r>
          </w:p>
          <w:p w:rsidR="00F96AE2" w:rsidRPr="00301119" w:rsidRDefault="00F96AE2" w:rsidP="0077506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OBRAZAC PRETHODNE PROCJENE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OPĆE INFORMACIJE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Ministarstvo pravosuđa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Zakon o izmjenama i dopunama Zakona o pravosudnoj suradnji u kaznenim stvarima s državama članicama Europske unije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16.2.2018.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Sektor za međunarodnu pravnu pomoć i pravosudnu suradnju s dr</w:t>
            </w:r>
            <w:r w:rsidR="002135E1" w:rsidRPr="00301119">
              <w:rPr>
                <w:szCs w:val="24"/>
              </w:rPr>
              <w:t>žavama članicama Europske unije</w:t>
            </w: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01 3714 343</w:t>
            </w: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Tamara.Miserda@pravosudje.hr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Da/Ne:</w:t>
            </w:r>
          </w:p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3701" w:rsidRPr="00301119" w:rsidRDefault="00D22F94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Naziv akta:</w:t>
            </w: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Opis mjere:</w:t>
            </w: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Da/Ne:</w:t>
            </w:r>
          </w:p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Naziv pravne stečevine EU:</w:t>
            </w: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3701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Okvirna odluka Vijeća Europske unije od 13. lipnja 2002. godine o zajedničkim istražiteljskim ekipama (2002/465/PUP) i Okvirna odluka Vijeća od 30. studenoga 2009. godine o sprečavanju i rješavanju sporova o izvršavanju nadležnosti u kaznenim postupcima (2009/948/PUP).</w:t>
            </w:r>
          </w:p>
        </w:tc>
      </w:tr>
      <w:tr w:rsidR="00301119" w:rsidRPr="00301119" w:rsidTr="00BC0184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ANALIZA POSTOJEĆEG STANJA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Ovim se Nacrtom prijedloga prenose postojeće implementacijske odredbe europske pravne stečevine u Zakon o pravosudnoj suradnji u kaznenim stvarima s državama članicama Europske unije iz Zakona o državnom odvjetništvu. Tekst je ujedno i dorađen u svrhu usklađivanja s mogućnošću pristupa </w:t>
            </w:r>
            <w:proofErr w:type="spellStart"/>
            <w:r w:rsidRPr="00301119">
              <w:rPr>
                <w:szCs w:val="24"/>
              </w:rPr>
              <w:t>Schengenskom</w:t>
            </w:r>
            <w:proofErr w:type="spellEnd"/>
            <w:r w:rsidRPr="00301119">
              <w:rPr>
                <w:szCs w:val="24"/>
              </w:rPr>
              <w:t xml:space="preserve"> informacijskom sustavu i postupanja po upozorenju u postupcima po europskom uhidbenom nalogu.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Zbog nastavljanja zakonske usklađenosti s pravom Europske unije i sprečavanja nastanka pravne praznine.</w:t>
            </w:r>
          </w:p>
        </w:tc>
      </w:tr>
      <w:tr w:rsidR="00301119" w:rsidRPr="00301119" w:rsidTr="00BC0184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61370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Radi se o postojećim odredbama kojim se uređuje pravosudna suradnja između država članica EU kojima se reguliraju zajednički istražni timovi i koordinacija između pravosudnih tijela u cilju sprečavanja vođenja paralelnih postupaka između država članica EU. Tekst je ujedno i dorađen u svrhu usklađivanja s mogućnošću pristupa </w:t>
            </w:r>
            <w:proofErr w:type="spellStart"/>
            <w:r w:rsidRPr="00301119">
              <w:rPr>
                <w:szCs w:val="24"/>
              </w:rPr>
              <w:t>Schengenskom</w:t>
            </w:r>
            <w:proofErr w:type="spellEnd"/>
            <w:r w:rsidRPr="00301119">
              <w:rPr>
                <w:szCs w:val="24"/>
              </w:rPr>
              <w:t xml:space="preserve"> informacijskom sustavu i postupanja po upozorenju u </w:t>
            </w:r>
            <w:r w:rsidRPr="00301119">
              <w:rPr>
                <w:szCs w:val="24"/>
              </w:rPr>
              <w:lastRenderedPageBreak/>
              <w:t>postupcima po europskom uhidbenom nalogu.</w:t>
            </w:r>
          </w:p>
        </w:tc>
      </w:tr>
      <w:tr w:rsidR="00301119" w:rsidRPr="00301119" w:rsidTr="00BC0184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UTVRĐIVANJE ISHODA ODNOSNO PROMJENA 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2135E1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Učinkovita suradnja između nadležnih tijela u području pravosudne suradnje u kaznenim stvarima između država članica Europske unije te usklađenost s pravnom stečevinom Europske unije.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2135E1" w:rsidP="00593C87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Radi se o postojećim odredbama kojima se reguliraju zajednički istražni timovi i koordinacija između pravosudnih tijela u cilju sprečavanja vođenja paralelnih postupaka između država članica EU koje su u odnosu na pos</w:t>
            </w:r>
            <w:r w:rsidR="00887AC1" w:rsidRPr="00301119">
              <w:rPr>
                <w:szCs w:val="24"/>
              </w:rPr>
              <w:t>tojeći tekst i tehnički uređene, pa će sada te odredbe koje su procesne naravi biti smještene u propis koji i u svom preostalom dijelu regulira tu materiju te će biti jednostavniji za adresate. Također, s obzirom na to da je tekst</w:t>
            </w:r>
            <w:r w:rsidRPr="00301119">
              <w:rPr>
                <w:szCs w:val="24"/>
              </w:rPr>
              <w:t xml:space="preserve"> ujedno i dorađen u svrhu usklađivanja s mogućnošću pristupa </w:t>
            </w:r>
            <w:proofErr w:type="spellStart"/>
            <w:r w:rsidRPr="00301119">
              <w:rPr>
                <w:szCs w:val="24"/>
              </w:rPr>
              <w:t>Schengenskom</w:t>
            </w:r>
            <w:proofErr w:type="spellEnd"/>
            <w:r w:rsidRPr="00301119">
              <w:rPr>
                <w:szCs w:val="24"/>
              </w:rPr>
              <w:t xml:space="preserve"> informacijskom sustavu i postupanja po upozorenju u postupcim</w:t>
            </w:r>
            <w:r w:rsidR="00887AC1" w:rsidRPr="00301119">
              <w:rPr>
                <w:szCs w:val="24"/>
              </w:rPr>
              <w:t>a po europskom uhidbenom nalogu, s ovim novim odredbama se očekuje jednostavnije i kvalitetnije re</w:t>
            </w:r>
            <w:r w:rsidR="00593C87" w:rsidRPr="00301119">
              <w:rPr>
                <w:szCs w:val="24"/>
              </w:rPr>
              <w:t xml:space="preserve">guliranje toga područja vezano uz </w:t>
            </w:r>
            <w:proofErr w:type="spellStart"/>
            <w:r w:rsidR="00593C87" w:rsidRPr="00301119">
              <w:rPr>
                <w:szCs w:val="24"/>
              </w:rPr>
              <w:t>Schengenski</w:t>
            </w:r>
            <w:proofErr w:type="spellEnd"/>
            <w:r w:rsidR="00593C87" w:rsidRPr="00301119">
              <w:rPr>
                <w:szCs w:val="24"/>
              </w:rPr>
              <w:t xml:space="preserve"> informacijski sustav.</w:t>
            </w:r>
          </w:p>
        </w:tc>
      </w:tr>
      <w:tr w:rsidR="00301119" w:rsidRPr="00301119" w:rsidTr="00BC0184"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2135E1" w:rsidP="00A03CD1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Stupanje na snagu Zakona bi trebalo biti 1. rujna 2018. godine kada stupa na snagu brisanje istih odredbi iz</w:t>
            </w:r>
            <w:r w:rsidR="00593C87" w:rsidRPr="00301119">
              <w:rPr>
                <w:szCs w:val="24"/>
              </w:rPr>
              <w:t xml:space="preserve"> Zakona o državnom odvjetništvu, te se predviđa da će </w:t>
            </w:r>
            <w:r w:rsidR="00301119" w:rsidRPr="00301119">
              <w:rPr>
                <w:szCs w:val="24"/>
              </w:rPr>
              <w:t>promjene</w:t>
            </w:r>
            <w:r w:rsidR="00A03CD1" w:rsidRPr="00301119">
              <w:rPr>
                <w:szCs w:val="24"/>
              </w:rPr>
              <w:t xml:space="preserve"> nastupiti odmah po početku primjene novih – izmijenjenih odredbi.</w:t>
            </w:r>
          </w:p>
        </w:tc>
      </w:tr>
      <w:tr w:rsidR="00301119" w:rsidRPr="00301119" w:rsidTr="00BC0184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UTVRĐIVANJE RJEŠENJA </w:t>
            </w:r>
          </w:p>
        </w:tc>
      </w:tr>
      <w:tr w:rsidR="00301119" w:rsidRPr="00301119" w:rsidTr="00BC0184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2135E1" w:rsidRPr="00301119" w:rsidRDefault="002135E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301119" w:rsidRDefault="002135E1" w:rsidP="002135E1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Potrebne su izmjene i dopune važećeg normativnog okvira kako brisanjem postojećih odredbi iz Zakona o državnom odvjetništvu ne bi nastala prava praznina, a istodobno se unaprijedio postojeći zakonski tekst.</w:t>
            </w:r>
          </w:p>
        </w:tc>
      </w:tr>
      <w:tr w:rsidR="00301119" w:rsidRPr="00301119" w:rsidTr="00BC0184">
        <w:tc>
          <w:tcPr>
            <w:tcW w:w="993" w:type="dxa"/>
            <w:vMerge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Obrazloženje:</w:t>
            </w:r>
          </w:p>
          <w:p w:rsidR="002135E1" w:rsidRPr="00301119" w:rsidRDefault="00BC0184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Postupanje glede savjetovanja o usporednim kaznenim postupcima u državama članicama i zajednički istražni timovi već su bili uređeni Zakonom o državnom odvjetništvu, no Zakonom o izmjenama i dopunama koji je u proceduri namjerava se brisati određene odredbe tog zakona pa se iste premještaju u Zakon o pravosudnoj suradnji u kaznenim stvarima s državama članicama EU. Također je i dorađeno postupanje po upozorenju iz </w:t>
            </w:r>
            <w:proofErr w:type="spellStart"/>
            <w:r w:rsidRPr="00301119">
              <w:rPr>
                <w:szCs w:val="24"/>
              </w:rPr>
              <w:t>Schengenskog</w:t>
            </w:r>
            <w:proofErr w:type="spellEnd"/>
            <w:r w:rsidRPr="00301119">
              <w:rPr>
                <w:szCs w:val="24"/>
              </w:rPr>
              <w:t xml:space="preserve"> informacijskog sustava kojem RH sada ima pristup, a koje je i prema dosadašnjem zakonskom tekstu imalo pravnu snagu zaprimljenog europskog uhidbenog naloga.</w:t>
            </w:r>
          </w:p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Navedite koja su moguća </w:t>
            </w:r>
            <w:proofErr w:type="spellStart"/>
            <w:r w:rsidRPr="00301119">
              <w:rPr>
                <w:szCs w:val="24"/>
              </w:rPr>
              <w:t>nenormativna</w:t>
            </w:r>
            <w:proofErr w:type="spellEnd"/>
            <w:r w:rsidRPr="00301119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Moguća </w:t>
            </w:r>
            <w:proofErr w:type="spellStart"/>
            <w:r w:rsidRPr="00301119">
              <w:rPr>
                <w:szCs w:val="24"/>
              </w:rPr>
              <w:t>nenormativna</w:t>
            </w:r>
            <w:proofErr w:type="spellEnd"/>
            <w:r w:rsidRPr="00301119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301119">
              <w:rPr>
                <w:szCs w:val="24"/>
              </w:rPr>
              <w:t>koregulacija</w:t>
            </w:r>
            <w:proofErr w:type="spellEnd"/>
            <w:r w:rsidRPr="00301119">
              <w:rPr>
                <w:szCs w:val="24"/>
              </w:rPr>
              <w:t xml:space="preserve"> i slično):</w:t>
            </w:r>
          </w:p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Nema.</w:t>
            </w:r>
          </w:p>
        </w:tc>
      </w:tr>
      <w:tr w:rsidR="00301119" w:rsidRPr="00301119" w:rsidTr="00BC0184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Obrazloženje:</w:t>
            </w:r>
          </w:p>
          <w:p w:rsidR="00BC0184" w:rsidRPr="00301119" w:rsidRDefault="00BC0184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Ciljeve nije moguće postići </w:t>
            </w:r>
            <w:proofErr w:type="spellStart"/>
            <w:r w:rsidRPr="00301119">
              <w:rPr>
                <w:szCs w:val="24"/>
              </w:rPr>
              <w:t>nenormativnim</w:t>
            </w:r>
            <w:proofErr w:type="spellEnd"/>
            <w:r w:rsidRPr="00301119">
              <w:rPr>
                <w:szCs w:val="24"/>
              </w:rPr>
              <w:t xml:space="preserve"> metodama.</w:t>
            </w:r>
          </w:p>
        </w:tc>
      </w:tr>
      <w:tr w:rsidR="00301119" w:rsidRPr="00301119" w:rsidTr="00BC0184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UTVRĐIVANJE IZRAVNIH UČINAKA I ADRESATA </w:t>
            </w:r>
          </w:p>
        </w:tc>
      </w:tr>
      <w:tr w:rsidR="00301119" w:rsidRPr="00301119" w:rsidTr="00BC0184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UTVRĐIVANJE GOSPODARSKIH UČINAKA </w:t>
            </w:r>
          </w:p>
        </w:tc>
      </w:tr>
      <w:tr w:rsidR="00301119" w:rsidRPr="00301119" w:rsidTr="00BC0184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Mjerilo učinka</w:t>
            </w:r>
          </w:p>
        </w:tc>
      </w:tr>
      <w:tr w:rsidR="00301119" w:rsidRPr="00301119" w:rsidTr="00BC0184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Neznatan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Mali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Veliki</w:t>
            </w:r>
          </w:p>
        </w:tc>
      </w:tr>
      <w:tr w:rsidR="00301119" w:rsidRPr="00301119" w:rsidTr="00BC0184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301119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3011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Drugi očekivani izravni učinak: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izravnih učinaka od 5.1.1. do 5.1.14.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veličinu adresata: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301119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lastRenderedPageBreak/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Drugi utvrđeni adresati: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adresata od 5.1.16. do 5.1.26.: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5.1.28.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REZULTAT PRETHODNE PROCJENE GOSPODARSKIH UČINAKA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 xml:space="preserve">Da li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301119" w:rsidRPr="00301119" w:rsidTr="00BC0184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Izravni učinci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</w:tbl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UTVRĐIVANJE UČINAKA NA TRŽIŠNO NATJECANJE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Mjerilo učinka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Neznatan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Mali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Veliki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Drugi očekivani izravni učinak: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izravnih učinaka od 5.2.1. do 5.2.4.: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veličinu adresata: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Drugi utvrđeni adresati: 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adresata od 5.2.6. do 5.2.16.: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REZULTAT PRETHODNE PROCJENE UČINAKA NA ZAŠTITU TRŽIŠNOG NATJECANJA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 xml:space="preserve">Da li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301119" w:rsidRPr="00301119" w:rsidTr="00BC0184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Izravni učinci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</w:tbl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UTVRĐIVANJE SOCIJALNIH UČINAKA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Mjerilo učinka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Neznatan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Mali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Veliki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Drugi očekivani izravni učinak: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izravnih učinaka od 5.3.1. do 5.3.7.: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Drugi utvrđeni adresati: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adresata od 5.3.9. do 5.3.19.: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REZULTAT PRETHODNE PROCJENE SOCIJALNIH UČINAKA: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 xml:space="preserve">Da li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01119" w:rsidRPr="00301119" w:rsidTr="00BC0184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Izravni učinci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</w:tbl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UTVRĐIVANJE UČINAKA NA RAD I TRŽIŠTE RADA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Mjerilo učinka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Neznatan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Mali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Veliki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Drugi očekivani izravni učinak: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izravnih učinaka od 5.4.1 do 5.4.13: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Drugi utvrđeni adresati: 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adresata od 5.4.14. do 5.4.25.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REZULTAT PRETHODNE PROCJENE UČINAKA NA RAD I TRŽIŠTE RADA: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 xml:space="preserve">Da li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01119" w:rsidRPr="00301119" w:rsidTr="00BC0184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Izravni učinci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</w:tbl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UTVRĐIVANJE UČINAKA NA ZAŠTITU OKOLIŠA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Mjerilo učinka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Neznatan 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Mali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Veliki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301119">
              <w:rPr>
                <w:szCs w:val="24"/>
              </w:rPr>
              <w:t>Bioraznolikost</w:t>
            </w:r>
            <w:proofErr w:type="spellEnd"/>
            <w:r w:rsidRPr="00301119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Drugi očekivani izravni učinak: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izravnih učinaka od 5.5.1. do 5.5.10.: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Drugi utvrđeni adresati: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adresata od 5.5.12. do 5.5.22.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REZULTAT PRETHODNE PROCJENE UČINAKA NA ZAŠTITU OKOLIŠA: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 xml:space="preserve">Da li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01119" w:rsidRPr="00301119" w:rsidTr="00BC0184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Izravni učinci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</w:tbl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UTVRĐIVANJE UČINAKA NA ZAŠTITU LJUDSKIH PRAVA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Mjerilo učinka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Neznatan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Mali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Veliki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Da/Ne</w:t>
            </w:r>
          </w:p>
        </w:tc>
      </w:tr>
      <w:tr w:rsidR="00301119" w:rsidRPr="00301119" w:rsidTr="00BC0184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izravnih učinaka od 5.6.1. do 5.6.9.: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 xml:space="preserve">Središnja tijela državne uprave, druga državna tijela, </w:t>
            </w:r>
            <w:r w:rsidRPr="00301119">
              <w:rPr>
                <w:szCs w:val="24"/>
              </w:rPr>
              <w:lastRenderedPageBreak/>
              <w:t>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lastRenderedPageBreak/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Drugi utvrđeni adresati: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jc w:val="center"/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Obrazloženje za analizu utvrđivanja adresata od 5.6.12. do 5.6.23.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REZULTAT PRETHODNE PROCJENE UČINAKA NA ZAŠTITU LJUDSKIH PRAVA: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 xml:space="preserve">Da li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01119" w:rsidRPr="00301119" w:rsidTr="00BC0184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Izravni učinci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szCs w:val="24"/>
                    </w:rPr>
                  </w:pPr>
                  <w:r w:rsidRPr="00301119">
                    <w:rPr>
                      <w:rFonts w:eastAsia="Times New Roman"/>
                      <w:bCs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  <w:tr w:rsidR="00301119" w:rsidRPr="00301119" w:rsidTr="00BC0184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bCs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C0184" w:rsidRPr="00301119" w:rsidRDefault="00BC0184" w:rsidP="00BC0184">
                  <w:pPr>
                    <w:shd w:val="clear" w:color="auto" w:fill="FFFFFF" w:themeFill="background1"/>
                    <w:rPr>
                      <w:rFonts w:eastAsia="Times New Roman"/>
                      <w:szCs w:val="24"/>
                    </w:rPr>
                  </w:pPr>
                  <w:r w:rsidRPr="00301119">
                    <w:rPr>
                      <w:rFonts w:eastAsia="Times New Roman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C0184" w:rsidRPr="00301119" w:rsidRDefault="00BC0184" w:rsidP="00BC0184">
                  <w:pPr>
                    <w:jc w:val="center"/>
                  </w:pPr>
                  <w:r w:rsidRPr="00301119">
                    <w:rPr>
                      <w:szCs w:val="24"/>
                    </w:rPr>
                    <w:t>NE</w:t>
                  </w:r>
                </w:p>
              </w:tc>
            </w:tr>
          </w:tbl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Prethodni test malog i srednjeg poduzetništva (Prethodni MSP test)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DA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 xml:space="preserve">Obrazloženje: </w:t>
            </w:r>
            <w:r w:rsidR="00386AE2" w:rsidRPr="00301119">
              <w:rPr>
                <w:szCs w:val="24"/>
              </w:rPr>
              <w:t>Zakon o izmjenama i dopunama Zakona o pravosudnoj suradnji u kaznenim stvarima s državama članicama Europske unije</w:t>
            </w:r>
            <w:r w:rsidRPr="00301119">
              <w:rPr>
                <w:szCs w:val="24"/>
              </w:rPr>
              <w:t xml:space="preserve"> neće imati učinke na male i srednje poduzetnike kroz administrativne troškove provedbe postupaka.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 xml:space="preserve">Obrazloženje: </w:t>
            </w:r>
            <w:r w:rsidR="00CF6D32" w:rsidRPr="00301119">
              <w:rPr>
                <w:szCs w:val="24"/>
              </w:rPr>
              <w:t>Zakon o izmjenama i dopunama Zakona o pravosudnoj suradnji u kaznenim stvarima s državama članicama Europske unije</w:t>
            </w:r>
            <w:r w:rsidRPr="00301119">
              <w:rPr>
                <w:szCs w:val="24"/>
              </w:rPr>
              <w:t xml:space="preserve"> neće imati učinke na tržišnu konkurenciju i konkurentnost unutarnjeg tržišta EU u smislu prepreka slobodi tržišne konkurencije.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>Obrazloženje:</w:t>
            </w:r>
            <w:r w:rsidRPr="00301119">
              <w:t xml:space="preserve"> </w:t>
            </w:r>
            <w:r w:rsidR="00CF6D32" w:rsidRPr="00301119">
              <w:rPr>
                <w:szCs w:val="24"/>
              </w:rPr>
              <w:t>Zakon o izmjenama i dopunama Zakona o pravosudnoj suradnji u kaznenim stvarima s državama članicama Europske unije</w:t>
            </w:r>
            <w:r w:rsidRPr="00301119">
              <w:rPr>
                <w:szCs w:val="24"/>
              </w:rPr>
              <w:t xml:space="preserve"> ne uvodi naknade i davanja koje će imati </w:t>
            </w:r>
            <w:r w:rsidRPr="00301119">
              <w:rPr>
                <w:szCs w:val="24"/>
              </w:rPr>
              <w:lastRenderedPageBreak/>
              <w:t>učinke na financijske rezultate poslovanja poduzetnika niti će postojati trošak prilagodbe zbog primjene propisa.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915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301119">
              <w:rPr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 xml:space="preserve">Obrazloženje: </w:t>
            </w:r>
            <w:r w:rsidR="00CF6D32" w:rsidRPr="00301119">
              <w:rPr>
                <w:szCs w:val="24"/>
              </w:rPr>
              <w:t>Zakon o izmjenama i dopunama Zakona o pravosudnoj suradnji u kaznenim stvarima s državama članicama Europske unije</w:t>
            </w:r>
            <w:r w:rsidRPr="00301119">
              <w:rPr>
                <w:szCs w:val="24"/>
              </w:rPr>
              <w:t xml:space="preserve"> neće imati učinke na</w:t>
            </w:r>
            <w:r w:rsidRPr="00301119">
              <w:t xml:space="preserve"> </w:t>
            </w:r>
            <w:r w:rsidRPr="00301119">
              <w:rPr>
                <w:szCs w:val="24"/>
              </w:rPr>
              <w:t>mikro poduzetnike.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1119">
              <w:rPr>
                <w:szCs w:val="24"/>
              </w:rPr>
              <w:t xml:space="preserve">Obrazloženje: S obzirom da su </w:t>
            </w:r>
            <w:r w:rsidR="00CF6D32" w:rsidRPr="00301119">
              <w:rPr>
                <w:szCs w:val="24"/>
              </w:rPr>
              <w:t>adresati ovog propisa pravosudna tijela te ostala nadležna tijela koja sudjeluju u zajednički</w:t>
            </w:r>
            <w:r w:rsidR="00F56A9F" w:rsidRPr="00301119">
              <w:rPr>
                <w:szCs w:val="24"/>
              </w:rPr>
              <w:t>m</w:t>
            </w:r>
            <w:r w:rsidR="00CF6D32" w:rsidRPr="00301119">
              <w:rPr>
                <w:szCs w:val="24"/>
              </w:rPr>
              <w:t xml:space="preserve"> istražni</w:t>
            </w:r>
            <w:r w:rsidR="00F56A9F" w:rsidRPr="00301119">
              <w:rPr>
                <w:szCs w:val="24"/>
              </w:rPr>
              <w:t>m</w:t>
            </w:r>
            <w:r w:rsidR="00CF6D32" w:rsidRPr="00301119">
              <w:rPr>
                <w:szCs w:val="24"/>
              </w:rPr>
              <w:t xml:space="preserve"> timovi</w:t>
            </w:r>
            <w:r w:rsidR="00F56A9F" w:rsidRPr="00301119">
              <w:rPr>
                <w:szCs w:val="24"/>
              </w:rPr>
              <w:t>ma</w:t>
            </w:r>
            <w:r w:rsidR="00CF6D32" w:rsidRPr="00301119">
              <w:rPr>
                <w:szCs w:val="24"/>
              </w:rPr>
              <w:t xml:space="preserve"> i koordina</w:t>
            </w:r>
            <w:r w:rsidR="00F56A9F" w:rsidRPr="00301119">
              <w:rPr>
                <w:szCs w:val="24"/>
              </w:rPr>
              <w:t>ciji</w:t>
            </w:r>
            <w:r w:rsidR="00CF6D32" w:rsidRPr="00301119">
              <w:rPr>
                <w:szCs w:val="24"/>
              </w:rPr>
              <w:t xml:space="preserve"> između pravosudnih tijela u cilju sprečavanja vođenja paralelnih postupaka između država članica EU</w:t>
            </w:r>
            <w:r w:rsidR="00F56A9F" w:rsidRPr="00301119">
              <w:rPr>
                <w:szCs w:val="24"/>
              </w:rPr>
              <w:t xml:space="preserve">, kao i ona koja koriste </w:t>
            </w:r>
            <w:proofErr w:type="spellStart"/>
            <w:r w:rsidR="00F56A9F" w:rsidRPr="00301119">
              <w:rPr>
                <w:szCs w:val="24"/>
              </w:rPr>
              <w:t>Schengenski</w:t>
            </w:r>
            <w:proofErr w:type="spellEnd"/>
            <w:r w:rsidR="00F56A9F" w:rsidRPr="00301119">
              <w:rPr>
                <w:szCs w:val="24"/>
              </w:rPr>
              <w:t xml:space="preserve"> informacijski sustav, te da najveći dio ovih odredbi već postoji u drugom propisu</w:t>
            </w:r>
            <w:r w:rsidRPr="00301119">
              <w:rPr>
                <w:szCs w:val="24"/>
              </w:rPr>
              <w:t>, isti nema učinaka na male i srednje poduzetnike.</w:t>
            </w:r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Utvrđivanje potrebe za provođenjem SCM metodologije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301119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301119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301119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301119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301119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301119">
                <w:rPr>
                  <w:rStyle w:val="Hiperveza"/>
                  <w:color w:val="auto"/>
                  <w:szCs w:val="24"/>
                </w:rPr>
                <w:t>http://www.mingo.hr/page/standard-cost-model</w:t>
              </w:r>
            </w:hyperlink>
          </w:p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SAŽETAK REZULTATA PRETHODNE PROCJENE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i/>
                <w:szCs w:val="24"/>
              </w:rPr>
              <w:t>Ako</w:t>
            </w:r>
            <w:r w:rsidRPr="00301119">
              <w:rPr>
                <w:i/>
                <w:szCs w:val="24"/>
              </w:rPr>
              <w:t xml:space="preserve"> je utvrđena barem jedna kombinacija: 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30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mali broj adresata,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30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veliki izravni učinak i veliki broj adresata,</w:t>
            </w:r>
          </w:p>
          <w:p w:rsidR="00BC0184" w:rsidRPr="00301119" w:rsidRDefault="00BC0184" w:rsidP="00BC018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30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mali izravni učinak i veliki broj adresata,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301119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301119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učinaka propisa</w:t>
            </w:r>
          </w:p>
        </w:tc>
        <w:tc>
          <w:tcPr>
            <w:tcW w:w="2381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Potreba za PUP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8.1.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8.2.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8.3.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8.4.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8.5.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8.6.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MSP test</w:t>
            </w:r>
          </w:p>
        </w:tc>
        <w:tc>
          <w:tcPr>
            <w:tcW w:w="2381" w:type="dxa"/>
            <w:gridSpan w:val="4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Potreba za MSP test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8.7.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8.8.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8.9.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center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NE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lastRenderedPageBreak/>
              <w:t>9.</w:t>
            </w:r>
          </w:p>
        </w:tc>
        <w:tc>
          <w:tcPr>
            <w:tcW w:w="654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PRILOZI</w:t>
            </w:r>
          </w:p>
        </w:tc>
        <w:tc>
          <w:tcPr>
            <w:tcW w:w="1389" w:type="dxa"/>
            <w:gridSpan w:val="3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 xml:space="preserve">POTPIS ČELNIKA TIJELA 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Potpis: Dražen Bošnjaković, ministar pravosuđa</w:t>
            </w:r>
          </w:p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 xml:space="preserve">Datum: 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  <w:r w:rsidRPr="00301119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Odgovarajuća primjena ovoga Obrasca u slučaju provedbe članka 18. stavka 2. Zakona o procjeni učinaka propisa („Narodne novine", broj 44/17)</w:t>
            </w:r>
          </w:p>
        </w:tc>
      </w:tr>
      <w:tr w:rsidR="00301119" w:rsidRPr="00301119" w:rsidTr="00BC018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C0184" w:rsidRPr="00301119" w:rsidRDefault="00BC0184" w:rsidP="00BC018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301119">
              <w:rPr>
                <w:rFonts w:eastAsia="Times New Roman"/>
                <w:szCs w:val="24"/>
              </w:rPr>
              <w:t>Uputa:</w:t>
            </w:r>
          </w:p>
          <w:p w:rsidR="00BC0184" w:rsidRPr="00301119" w:rsidRDefault="00BC0184" w:rsidP="00BC0184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ind w:left="360"/>
              <w:jc w:val="both"/>
              <w:rPr>
                <w:rFonts w:eastAsia="Times New Roman"/>
                <w:i/>
                <w:szCs w:val="24"/>
              </w:rPr>
            </w:pPr>
            <w:r w:rsidRPr="00301119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BC0184" w:rsidRPr="00301119" w:rsidRDefault="00BC0184" w:rsidP="00BC0184">
      <w:pPr>
        <w:shd w:val="clear" w:color="auto" w:fill="FFFFFF" w:themeFill="background1"/>
      </w:pPr>
    </w:p>
    <w:p w:rsidR="00A70780" w:rsidRPr="00301119" w:rsidRDefault="00A70780" w:rsidP="0077506C">
      <w:pPr>
        <w:shd w:val="clear" w:color="auto" w:fill="FFFFFF" w:themeFill="background1"/>
      </w:pPr>
    </w:p>
    <w:sectPr w:rsidR="00A70780" w:rsidRPr="003011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D8" w:rsidRDefault="007379D8" w:rsidP="0077506C">
      <w:r>
        <w:separator/>
      </w:r>
    </w:p>
  </w:endnote>
  <w:endnote w:type="continuationSeparator" w:id="0">
    <w:p w:rsidR="007379D8" w:rsidRDefault="007379D8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887AC1" w:rsidRDefault="00887A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AD">
          <w:rPr>
            <w:noProof/>
          </w:rPr>
          <w:t>1</w:t>
        </w:r>
        <w:r>
          <w:fldChar w:fldCharType="end"/>
        </w:r>
      </w:p>
    </w:sdtContent>
  </w:sdt>
  <w:p w:rsidR="00887AC1" w:rsidRDefault="00887A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D8" w:rsidRDefault="007379D8" w:rsidP="0077506C">
      <w:r>
        <w:separator/>
      </w:r>
    </w:p>
  </w:footnote>
  <w:footnote w:type="continuationSeparator" w:id="0">
    <w:p w:rsidR="007379D8" w:rsidRDefault="007379D8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18B3"/>
    <w:multiLevelType w:val="hybridMultilevel"/>
    <w:tmpl w:val="74788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40"/>
  </w:num>
  <w:num w:numId="19">
    <w:abstractNumId w:val="10"/>
  </w:num>
  <w:num w:numId="20">
    <w:abstractNumId w:val="31"/>
  </w:num>
  <w:num w:numId="21">
    <w:abstractNumId w:val="43"/>
  </w:num>
  <w:num w:numId="22">
    <w:abstractNumId w:val="38"/>
  </w:num>
  <w:num w:numId="23">
    <w:abstractNumId w:val="6"/>
  </w:num>
  <w:num w:numId="24">
    <w:abstractNumId w:val="17"/>
  </w:num>
  <w:num w:numId="25">
    <w:abstractNumId w:val="32"/>
  </w:num>
  <w:num w:numId="26">
    <w:abstractNumId w:val="37"/>
  </w:num>
  <w:num w:numId="27">
    <w:abstractNumId w:val="33"/>
  </w:num>
  <w:num w:numId="28">
    <w:abstractNumId w:val="35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2"/>
  </w:num>
  <w:num w:numId="42">
    <w:abstractNumId w:val="41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87825"/>
    <w:rsid w:val="00142AAD"/>
    <w:rsid w:val="002135E1"/>
    <w:rsid w:val="002B4272"/>
    <w:rsid w:val="00301119"/>
    <w:rsid w:val="0031421D"/>
    <w:rsid w:val="00336F44"/>
    <w:rsid w:val="00386AE2"/>
    <w:rsid w:val="003D3DF7"/>
    <w:rsid w:val="00593C87"/>
    <w:rsid w:val="00613701"/>
    <w:rsid w:val="006141EB"/>
    <w:rsid w:val="007379D8"/>
    <w:rsid w:val="0077506C"/>
    <w:rsid w:val="00887AC1"/>
    <w:rsid w:val="009B6EEA"/>
    <w:rsid w:val="00A03CD1"/>
    <w:rsid w:val="00A70780"/>
    <w:rsid w:val="00BC0184"/>
    <w:rsid w:val="00BD4A6D"/>
    <w:rsid w:val="00CF6D32"/>
    <w:rsid w:val="00D22F94"/>
    <w:rsid w:val="00D24D7F"/>
    <w:rsid w:val="00F56A9F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3768</Words>
  <Characters>21478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Korisnik</cp:lastModifiedBy>
  <cp:revision>2</cp:revision>
  <dcterms:created xsi:type="dcterms:W3CDTF">2018-02-16T18:25:00Z</dcterms:created>
  <dcterms:modified xsi:type="dcterms:W3CDTF">2018-02-16T18:25:00Z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1711110419</vt:i4>
  </property>
  <property fmtid="{D5CDD505-2E9C-101B-9397-08002B2CF9AE}" pid="4" name="_EmailSubject">
    <vt:lpwstr>obrazac PUP</vt:lpwstr>
  </property>
  <property fmtid="{D5CDD505-2E9C-101B-9397-08002B2CF9AE}" pid="5" name="_AuthorEmail">
    <vt:lpwstr>Sedina.Dubravcic@pravosudje.hr</vt:lpwstr>
  </property>
  <property fmtid="{D5CDD505-2E9C-101B-9397-08002B2CF9AE}" pid="6" name="_AuthorEmailDisplayName">
    <vt:lpwstr>Sedina Dubravčić</vt:lpwstr>
  </property>
  <property fmtid="{D5CDD505-2E9C-101B-9397-08002B2CF9AE}" pid="7" name="_ReviewingToolsShownOnce">
    <vt:lpwstr/>
  </property>
</Properties>
</file>