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8420" w14:textId="77777777" w:rsidR="002D1C37" w:rsidRPr="00790DFA" w:rsidRDefault="00473FDB" w:rsidP="008D68E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  <w:t>REPUBLIKA HRVATSKA</w:t>
      </w:r>
    </w:p>
    <w:p w14:paraId="67867A38" w14:textId="77777777" w:rsidR="00473FDB" w:rsidRPr="00790DFA" w:rsidRDefault="00473FDB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  <w:t>MINISTARSTVO VANJSKIH I EUROPSKIH POSLOVA</w:t>
      </w:r>
    </w:p>
    <w:p w14:paraId="2D0B91D5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2FE669E7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35798E5F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1357A8FB" w14:textId="77777777" w:rsidR="00473FDB" w:rsidRPr="00790DFA" w:rsidRDefault="00473FDB" w:rsidP="008D68E5">
      <w:pPr>
        <w:spacing w:after="0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  <w:t>Nacrt Prijedloga zakona br._____</w:t>
      </w:r>
    </w:p>
    <w:p w14:paraId="24FA7030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36AEB475" w14:textId="18FF4D4A" w:rsidR="00473FDB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1544DB43" w14:textId="79882440" w:rsidR="00CB2769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76E3A887" w14:textId="23008CCB" w:rsidR="00CB2769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67260AA8" w14:textId="5DABED5D" w:rsidR="00CB2769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790C64F7" w14:textId="135061B8" w:rsidR="00CB2769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6AECC8A5" w14:textId="77777777" w:rsidR="00CB2769" w:rsidRPr="00790DFA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674DD03B" w14:textId="0D274177" w:rsidR="00473FDB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36072C9A" w14:textId="77777777" w:rsidR="00CB2769" w:rsidRPr="00790DFA" w:rsidRDefault="00CB2769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2F3A5E92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hr-HR"/>
        </w:rPr>
        <w:t>NACRT PRIJEDLOGA ZAKONA O PROVEDBI PROJEKATA MEĐUNARODNE INSTITUCIONALNE SURADNJE EUROPSKE UNIJE I PROJEKATA TEHNIČKE POMOĆI</w:t>
      </w:r>
    </w:p>
    <w:p w14:paraId="6D4AD988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6B883615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638FB13F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39E22E5E" w14:textId="5064109E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</w:pPr>
    </w:p>
    <w:p w14:paraId="35198F49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09AB3C5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9EF54A6" w14:textId="77777777" w:rsidR="00473FDB" w:rsidRPr="00790DFA" w:rsidRDefault="00473FDB" w:rsidP="008D68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2262327" w14:textId="67EEBD5B" w:rsidR="008D68E5" w:rsidRDefault="008D68E5" w:rsidP="00CB27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7D5A5EC" w14:textId="49BADF2D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6EFF5D7" w14:textId="1FC49F7D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5275480" w14:textId="588C7C27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83DAC8" w14:textId="29A0C25E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74D4EF1" w14:textId="5587D575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714D147" w14:textId="1EC50C0F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86C560C" w14:textId="467C59BE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B8BA3AB" w14:textId="49ADFD25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2D53E66" w14:textId="4FC13DFA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3737397" w14:textId="462B3C8D" w:rsidR="008D68E5" w:rsidRDefault="008D68E5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9ED3B94" w14:textId="30686794" w:rsidR="004056AA" w:rsidRPr="00790DFA" w:rsidRDefault="004056AA" w:rsidP="008D68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D135F27" w14:textId="77777777" w:rsidR="004056AA" w:rsidRPr="00790DFA" w:rsidRDefault="004056AA" w:rsidP="008D68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B363276" w14:textId="53C0EA0B" w:rsidR="004056AA" w:rsidRPr="00790DFA" w:rsidRDefault="007B6C00" w:rsidP="008D68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Zagreb, </w:t>
      </w:r>
      <w:r w:rsidR="008D68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lip</w:t>
      </w:r>
      <w:r w:rsidR="0081585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anj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056A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2018.</w:t>
      </w:r>
    </w:p>
    <w:p w14:paraId="38A50EDB" w14:textId="30675747" w:rsidR="008D68E5" w:rsidRDefault="008D68E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br w:type="page"/>
      </w:r>
    </w:p>
    <w:p w14:paraId="078C1796" w14:textId="77777777" w:rsidR="008D68E5" w:rsidRDefault="008D68E5" w:rsidP="008D68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93AA3CB" w14:textId="0F1F2397" w:rsidR="004056AA" w:rsidRPr="00790DFA" w:rsidRDefault="00A01517" w:rsidP="00B90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PRIJEDLOG ZAKONA O PROVEDBI PROJEKATA MEĐUNARODNE INSTITUCIONALNE SURADNJE EUROPSKE UNIJE I PROJEKATA TEHNIČKE POMOĆI</w:t>
      </w:r>
    </w:p>
    <w:p w14:paraId="0A761EBD" w14:textId="77777777" w:rsidR="003C2BE3" w:rsidRPr="00790DFA" w:rsidRDefault="003C2BE3" w:rsidP="00B90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AA9529" w14:textId="77777777" w:rsidR="00A01517" w:rsidRPr="00790DFA" w:rsidRDefault="00A01517" w:rsidP="00B90EFF">
      <w:pPr>
        <w:pStyle w:val="Heading1"/>
        <w:numPr>
          <w:ilvl w:val="0"/>
          <w:numId w:val="42"/>
        </w:numPr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USTAVNA OSNOVA ZA DONOŠENJE ZAKONA</w:t>
      </w:r>
    </w:p>
    <w:p w14:paraId="00292DD3" w14:textId="77777777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6CFA8A8" w14:textId="2971E64C" w:rsidR="000A66A4" w:rsidRPr="00790DFA" w:rsidRDefault="00A939D3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Ustavna osnova za donošenje ovog Zakona sadržana je u odredbi članka 81. Ustava Republike Hrvatske („Narodne novine“ broj 85/2010 – pročišćeni tekst i 5/2014 – Odluka Ustavnog suda Republike Hrvatske).</w:t>
      </w:r>
    </w:p>
    <w:p w14:paraId="278606EE" w14:textId="77777777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C4AEC7" w14:textId="77777777" w:rsidR="00A01517" w:rsidRPr="00790DFA" w:rsidRDefault="00A01517" w:rsidP="00B90EF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OCJENA STANJA I OSNOVNA PITANJA KOJA SE TREBAJU UREDITI ZAKONOM, TE POSLJEDICE KOJE ĆE IZ DONOŠENJA ZAKONA PROISTEĆI</w:t>
      </w:r>
    </w:p>
    <w:p w14:paraId="2371EBBA" w14:textId="77777777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818BA81" w14:textId="1C5DAB10" w:rsidR="00E70D1A" w:rsidRPr="00790DFA" w:rsidRDefault="000A66A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Članstvom Republike Hrvatske u Europskoj un</w:t>
      </w:r>
      <w:r w:rsidR="007B404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iji od 1. srpnja 2013. Hrvatska ima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mogućnost prenošenja svojih znanja i iskustava iz područja preuzimanja i provedbe pravne stečevine Europske unije (EU) trećim zemljama putem instrumenata međunarodne institucionalne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suradnje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odnosno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</w:t>
      </w:r>
      <w:r w:rsidR="00972180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winninga i TAIEX-a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  <w:r w:rsidR="00823FF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projekata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tehničke pomoći.</w:t>
      </w:r>
      <w:r w:rsidRPr="00790DFA">
        <w:rPr>
          <w:color w:val="000000" w:themeColor="text1"/>
          <w:lang w:val="hr-HR"/>
        </w:rPr>
        <w:t xml:space="preserve"> </w:t>
      </w:r>
    </w:p>
    <w:p w14:paraId="48626DBD" w14:textId="77777777" w:rsidR="00362315" w:rsidRPr="00790DFA" w:rsidRDefault="003623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26A83BF" w14:textId="0D31B03B" w:rsidR="00220308" w:rsidRPr="00790DFA" w:rsidRDefault="006755D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</w:t>
      </w:r>
      <w:r w:rsidR="00E70D1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eđunarodna institucionalna suradnja Europske unije temelji se na zakonodavstvu Europske unije, a sadržajno obuhvaća suradnju i tehničku pomoć u razumijevanju EU zakonodavstva, njegovoj implementaciji u nacionalno zakonodavstvo kao i uspješnoj provedbi odredaba </w:t>
      </w:r>
      <w:r w:rsidR="005C1A4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pravne stečevine Europske unije</w:t>
      </w:r>
      <w:r w:rsidR="00E70D1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B22D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Twinning je instrument Europske unije za institucionalnu suradnju između tijela </w:t>
      </w:r>
      <w:r w:rsidR="00823FF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javne </w:t>
      </w:r>
      <w:r w:rsidR="00AB22D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uprave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država članica Europske unije</w:t>
      </w:r>
      <w:r w:rsidR="00AB22D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država korisnica. Osmišljen je 1998. kako bi se pomoglo tadašnjim državama kandidatkinjama za članstvo u EU u stjecanju potrebnih znanja i iskustava za usvajanje i provedbu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pravne stečevine Europske unije</w:t>
      </w:r>
      <w:r w:rsidR="00AB22D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742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TAIEX je instrument kratkoročne tehničke pomoći Europske unije namijenjen institucionalnoj suradnji između tijela </w:t>
      </w:r>
      <w:r w:rsidR="00355C8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</w:t>
      </w:r>
      <w:r w:rsidR="000742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vne uprave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država članica Europske unije</w:t>
      </w:r>
      <w:r w:rsidR="000742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država korisnica. S djelovanjem je započeo 1996. kao pomoć i podrška tadašnjim državama kandidatkinjam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 za članstvo u Europskoj uniji</w:t>
      </w:r>
      <w:r w:rsidR="008338B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stjecanju </w:t>
      </w:r>
      <w:r w:rsidR="00DE7E8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znanja i </w:t>
      </w:r>
      <w:r w:rsidR="00DE593B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razmjeni informacija i</w:t>
      </w:r>
      <w:r w:rsidR="000742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iskustava potr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ebnih za usvajanje, primjenu i </w:t>
      </w:r>
      <w:r w:rsidR="000742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provedbu EU zakonodavstva i politika u nacionalno zakonodavstvo. </w:t>
      </w:r>
      <w:r w:rsidR="009A32C0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Projekt tehničke pomoći je međunarodna suradnja dviju ili više institucija financirana sredstvima državnog proračuna, EU ili drugih donatora s ciljem prijenosa znanja u primjeni i provedbi pravne stečevine EU.</w:t>
      </w:r>
    </w:p>
    <w:p w14:paraId="717AEC08" w14:textId="77777777" w:rsidR="00220308" w:rsidRPr="00790DFA" w:rsidRDefault="00220308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62BCC0F" w14:textId="5A61BDDC" w:rsidR="00E70D1A" w:rsidRPr="00790DFA" w:rsidRDefault="000A66A4" w:rsidP="00B90EFF">
      <w:pPr>
        <w:spacing w:after="0" w:line="240" w:lineRule="auto"/>
        <w:jc w:val="both"/>
        <w:rPr>
          <w:color w:val="000000" w:themeColor="text1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</w:t>
      </w:r>
      <w:r w:rsidR="0099717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pregovaračkom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procesu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ulazak u</w:t>
      </w:r>
      <w:r w:rsidR="0099717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Europsk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99717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unij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R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epublika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rvatska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bila korisnik projekata međunarodne institucionalne suradnje Europske unije i projekata tehničke pomoći</w:t>
      </w:r>
      <w:r w:rsidR="009010E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</w:t>
      </w:r>
      <w:r w:rsidR="00E70D1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stekla vrijedna znanja i iskustva iz područja usklađivanja nacionalnog zakonodavstva s pravnom stečevinom Europske unije, a danas kao članica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Europske unije</w:t>
      </w:r>
      <w:r w:rsidR="00E70D1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ima pravo i pozvana</w:t>
      </w:r>
      <w:r w:rsidR="003D23D0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od strane Europske komisije </w:t>
      </w:r>
      <w:r w:rsidR="00E70D1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prenositi to znanje trećim zemljama.</w:t>
      </w:r>
      <w:r w:rsidR="00E70D1A" w:rsidRPr="00790DFA">
        <w:rPr>
          <w:color w:val="000000" w:themeColor="text1"/>
          <w:lang w:val="hr-HR"/>
        </w:rPr>
        <w:t xml:space="preserve"> </w:t>
      </w:r>
    </w:p>
    <w:p w14:paraId="19402841" w14:textId="77777777" w:rsidR="00E70D1A" w:rsidRPr="00790DFA" w:rsidRDefault="00E70D1A" w:rsidP="00B90EFF">
      <w:pPr>
        <w:spacing w:after="0" w:line="240" w:lineRule="auto"/>
        <w:jc w:val="both"/>
        <w:rPr>
          <w:color w:val="000000" w:themeColor="text1"/>
          <w:lang w:val="hr-HR"/>
        </w:rPr>
      </w:pPr>
    </w:p>
    <w:p w14:paraId="4D55000F" w14:textId="4183BABF" w:rsidR="00E70D1A" w:rsidRPr="00790DFA" w:rsidRDefault="00E70D1A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Interes za sudjelovanje hrvatskih institucija i stručnjaka u Twinningu</w:t>
      </w:r>
      <w:r w:rsidR="009010E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TAIEX-u </w:t>
      </w:r>
      <w:r w:rsidR="009010E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projektima tehničke pomoći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velik, a znanja i iskustva hrvatskih stručnjaka iz procesa pristupanja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EU iznimno su tražena i cijenjena među državama korisnicama</w:t>
      </w:r>
      <w:r w:rsidR="00A318D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0F00D00" w14:textId="77777777" w:rsidR="000A66A4" w:rsidRPr="00790DFA" w:rsidRDefault="000A66A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DBBC199" w14:textId="2C8EBEDA" w:rsidR="000A66A4" w:rsidRPr="00790DFA" w:rsidRDefault="003623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Republika Hrvatska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ubraja T</w:t>
      </w:r>
      <w:r w:rsidR="001033F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 i TAIEX među ključne strateške instrumente za unaprjeđenje međudržavne i međuinstitucionalne suradnje te pozicioniranje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="001033F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kao proaktivne i kompetentne države članice EU koja je spremna dijeliti svoja znanja i iskustva iz preuzimanja, provedbe pravne stečevine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Europske unije</w:t>
      </w:r>
      <w:r w:rsidR="001033F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usklađivanja </w:t>
      </w:r>
      <w:r w:rsidR="00D8536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 pravilima</w:t>
      </w:r>
      <w:r w:rsidR="001033F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Europske unije</w:t>
      </w:r>
      <w:r w:rsidR="001033F1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državama u procesu europskih integracija te državama obuhvaćenima</w:t>
      </w:r>
      <w:r w:rsidR="00F2796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</w:t>
      </w:r>
      <w:r w:rsidR="003960F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uropskom politikom susjedstva i s ostalim zemljama u skladu s pravilima EU.</w:t>
      </w:r>
    </w:p>
    <w:p w14:paraId="2C4CD1F7" w14:textId="77777777" w:rsidR="00927C64" w:rsidRPr="00790DFA" w:rsidRDefault="00927C6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6FED9DB" w14:textId="42295983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Značaj instrumenata institucionalne suradnje ogleda se u njihovom političkom i financijskom 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doprinosu za državu članicu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Europske unije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kao i doprinosu u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jačanju i unaprjeđenju prijateljskih odnosa između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država korisnica pomoći. Putem ovih instrumenata unaprjeđuju se postojeći i razvijaju novi modaliteti suradnje između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drugih država članica </w:t>
      </w:r>
      <w:r w:rsidR="0077303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Europske unije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kroz suradnju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zajedničkim projektima. Jačanje međudržavnih odnosa s državom korisnicom predstavlja mogućnost jačanja suradnje između dviju država, u smislu suradnje direktno uključenih institucija u provedbu projekata, ali i na razini jačanja suradnje s cjelokupnom upra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vom države partnera. Prenošenje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znanja i iskustava države članice EU može imati pozitivan učinak na pozitivan imidž same države putem personalizacije suradnje te </w:t>
      </w:r>
      <w:r w:rsidR="0072057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krajnjim ciljem jačanja suradnje između država uključenih u provedbu projekta.</w:t>
      </w:r>
    </w:p>
    <w:p w14:paraId="69F88724" w14:textId="77777777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E654F15" w14:textId="475BC916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Uspješnom provedbom projekata i korištenjem hrvatske ekspertize, pozicionira se i jača vidljivosti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njenih stručnjaka među državama članicama EU i državama korisnicama. Intenziviranjem provedbe većeg broja projekata međunarodne institucionalne suradnje i tehničke pomoći, doprinosi se osiguravanju šireg kruga stručnjaka u određenim područjima te dovodi do pozitivne percepcije institucija države članice EU u smislu raspoloživosti stručnih ljudskih resursa koji su stavljeni na raspolaganje s ciljem dos</w:t>
      </w:r>
      <w:r w:rsidR="009010E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izanja EU standarda </w:t>
      </w:r>
      <w:r w:rsidR="0072057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drugim zemljama, korisnicama pomoći. </w:t>
      </w:r>
    </w:p>
    <w:p w14:paraId="0F97E51F" w14:textId="77777777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13D9FEA" w14:textId="53BD176D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Jačanju međuinstitucionalne suradnje s institucijama države korisnice i drugim državama članicama EU jača međuinstitucionalne, kao i osobne odnose uključenih institucija i stručnjaka. Navedeno je izravno vidljivo iz niza primjera u kojima su institucije nekadašnjih država korisnica </w:t>
      </w:r>
      <w:r w:rsidR="00D5148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 instrumenta, po ulasku u EU, nastavile suradnju s tadašnjim </w:t>
      </w:r>
      <w:r w:rsidR="0072057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 partnerima iz država članica EU, na način da konzorcijski provode projekte u novim državama korisnicama. Ovakvi oblici suradnje dovode do stvaranja dugoročnih veza između institucija koje se pokazuju kao vrlo bitne u njihovom svakodnevnom radu, kao i čestom zajedničkom nastupu prema trećim zemljama. Jačanje suradnje s drugim državama članicama EU proizlazi iz zajedničke provedbe </w:t>
      </w:r>
      <w:r w:rsidR="0072057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 projekata unutar konzorcija država članica EU. </w:t>
      </w:r>
    </w:p>
    <w:p w14:paraId="442CC30D" w14:textId="77777777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443AAE9" w14:textId="4DDDDA0F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Aktivna provedba instrumenata institucionalne suradnje i tehničke pomoći pridonosi otvaranju i jačanju kapaciteta hrvatskih službenika s obzirom na stjecanje novih znanja i iskustava temeljem rada u međunarodnom okruženju. Imajući u vidu činjenicu da provedba projekata međunarodne institucionalne suradnje pretpostavlja suradnju i zajedničko ostvarivanje rezultata od strane države(a) članice</w:t>
      </w:r>
      <w:r w:rsidR="00E5792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(a)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EU i države korisnice, provedba svakog projekta, osim što neposredno jača kapacitete institucija države korisnice, posredno pozitivno utječe na kapacitete institucije koja provodi projekt ispred države članice. </w:t>
      </w:r>
      <w:r w:rsidR="00DD7F3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Nadalje, u okviru instrumenata institucionalne suradnje i tehničke pomoći, kao što su twinning projekti, jača se i suradnja među institucijama Republike Hrvatske koje mogu zajednički pripremati ponude i provoditi projekte u državama korisnicama.</w:t>
      </w:r>
    </w:p>
    <w:p w14:paraId="4D697A37" w14:textId="77777777" w:rsidR="00927C64" w:rsidRPr="00790DFA" w:rsidRDefault="00927C6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3005050" w14:textId="1A1FB4D8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Unaprjeđenje kapaciteta ogleda se u usvajanju iskustava drugih država (kako korisnice tako i potencijalnih drugih </w:t>
      </w:r>
      <w:r w:rsidR="009655E0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članica konzorcija), upoznavanje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radom sustava različitih od onih u državi članici EU i usvajanje metodologija koje mogu biti prilagođene sustavima uspostavljenima u državi članici EU. Ovim projektima doprinosi se osobnoj izgradnji kroz sudjelovanje u projektima koji se provode u drugim državama, pri čemu 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stručnjaci iz države članice EU dodatno profiliraju u određenim područjima, jačaju sposobnosti prenošenja znanja i metodologija, kao i nadograđuju od prije stečeno znanje. </w:t>
      </w:r>
    </w:p>
    <w:p w14:paraId="2E15D239" w14:textId="77777777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62EA149" w14:textId="54B0D0FA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Sukladno praksi drugih država članica EU, sudjelovanje u ovakvim projektima predstavlja način motiviranja zaposlenika ne samo u financijskom smislu, već i zbog činjenice da sudjelovanje u projektima ima pozitivan utjecaj na razvoj karijere te se kroz sustav vrednovanja i napredovanja honorira u smislu pozitivnog utjecaja na ocjenjivanje</w:t>
      </w:r>
      <w:r w:rsidR="00DD7F3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samih zaposlenika, stoga ima i pozitivan utjecaj na zadržavanje kvalitetnog kadra u javnoj upravi.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 projekti imaju pozitivan učinak i na cjelokupnu administraciju i njeno osuvremenjivanje. Uključivanje stručnjaka iz javne administracije u provedbu projekata podrazumijeva razmjenu informacija, znanja i iskustava, pridonosi razvijanju kulture otvorenosti kod zaposlenika i za posljedicu ima otvoreniju i neposredniju komunikaciju institucija s javnosti.</w:t>
      </w:r>
    </w:p>
    <w:p w14:paraId="15EE396D" w14:textId="77777777" w:rsidR="001033F1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3149071" w14:textId="4BF9EA00" w:rsidR="009655E0" w:rsidRPr="00790DFA" w:rsidRDefault="001033F1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Osim predočenog političkog doprinosa, instrumentima međunarodne institucionalne suradnje, odnosno </w:t>
      </w:r>
      <w:r w:rsidR="00445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winningom i TAIEX-om te </w:t>
      </w:r>
      <w:r w:rsidR="00927C6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projektima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tehničke pomoći ostvaruje se i financijski doprinos za državu članicu EU koje sudjeluje u provedbi projekata. Provedba Twinning projekata jedan je od načina na koje države članice „vraćaju“ novac iz proračuna Europske unije u nacionalne proračune (npr. jedan twinning projekt može donositi prihod o</w:t>
      </w:r>
      <w:r w:rsidR="009655E0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 milijun eura, a često i više)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Instituciji države članice EU koja provodi projekt nadoknađuju se troškovi </w:t>
      </w:r>
      <w:r w:rsidR="00745C0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podrške provedbi </w:t>
      </w:r>
      <w:r w:rsidR="00DA6BA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F4567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476</w:t>
      </w:r>
      <w:r w:rsidR="00745C0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€ po danu odsustva stručnjaka), </w:t>
      </w:r>
      <w:r w:rsidR="00DD7F3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koji pokrivaju </w:t>
      </w:r>
      <w:r w:rsidR="00745C0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nadoknadu troškova pripreme stručnih misija i izvještavanja po povratku sa stručnih misija; troškova financijskog upravljanja projektom i računovodstvenih troškova; troškove organizacije studijskih posjeta, organizacije i provedbe treninga te druge logističke troškove povezane s </w:t>
      </w:r>
      <w:r w:rsidR="00F4567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="00745C0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winning instrumentom. Također, nadoknađuje se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trošak zamjene djelatnika - tzv. dugoročnog twinning savjetnika</w:t>
      </w:r>
      <w:r w:rsidR="00745C0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koji se upućuje u državu korisnicu na provedbu projekta. </w:t>
      </w:r>
      <w:r w:rsidR="0034062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 proračuna projekta nadoknađuje se paušalna dnevna naknada kratkoročnom stručnjaku uključenom u provedbu projekata (350€ dnevno za svakog stručnjaka) te podmiruju troškovi dnevnice i putovanja. </w:t>
      </w:r>
      <w:r w:rsidR="00DB59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Jačanje institucionalne suradnje s državama korisnicama može potaknuti suradnju i na drugim područjima (nabava roba i usluga) u vidu npr</w:t>
      </w:r>
      <w:r w:rsidR="00010DF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B590E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izrade web stranice, IT baze od strane pravnog subjekta države koja provodi projekt.</w:t>
      </w:r>
      <w:r w:rsidR="00EA4C9B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Dodatno, sudjelovanje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hrvatskih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tijela </w:t>
      </w:r>
      <w:r w:rsidR="008F1D99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avn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 uprave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provedbi TAIEX studijskih posjeta instituciji domaćinu također donosi prihod </w:t>
      </w:r>
      <w:r w:rsidR="00D8536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 danu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studijskog posjeta koji uplaćuje Europska komisija. Kada je riječ o projektima tehničke pomoći, jačanje institucionalne suradnje s državama korisnicama može potaknuti suradnju i na drugim područjima te doprinijeti daljnjem razvoju gospodarske suradnje te sklapanju ugovora za nabavu roba i usluga.</w:t>
      </w:r>
    </w:p>
    <w:p w14:paraId="0F5A159A" w14:textId="77777777" w:rsidR="00FA13D0" w:rsidRPr="00790DFA" w:rsidRDefault="00FA13D0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10CA691" w14:textId="7DCE448E" w:rsidR="00C3211D" w:rsidRPr="00790DFA" w:rsidRDefault="00F01FBB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Postojeći zakonodavni okvir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="00E3172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ne uređuje </w:t>
      </w:r>
      <w:r w:rsidR="00C321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pitanje 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sudjelovanja javne uprave</w:t>
      </w:r>
      <w:r w:rsidR="00C321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međunarodnim projektima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2D5EB496" w14:textId="77777777" w:rsidR="006755DF" w:rsidRPr="00790DFA" w:rsidRDefault="006755D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E676E60" w14:textId="7F33D9F1" w:rsidR="00A939D3" w:rsidRPr="00790DFA" w:rsidRDefault="00857518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kontekstu nepostojanja unificiranog i krovnog pravnog rješenja za sudjelovanje</w:t>
      </w:r>
      <w:r w:rsidR="00D426F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twinning 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TAIEX </w:t>
      </w:r>
      <w:r w:rsidR="00D426F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projektima,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pojedine </w:t>
      </w:r>
      <w:r w:rsidR="00D426F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institucije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426F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izgradile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 svoje individualne modalitete sudjelovanja te internim aktima 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parcijalno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regulirali </w:t>
      </w:r>
      <w:r w:rsidR="00A939D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sudjelovanje u međunarodnim projektima. </w:t>
      </w:r>
    </w:p>
    <w:p w14:paraId="274DD722" w14:textId="77777777" w:rsidR="00C05B55" w:rsidRPr="00790DFA" w:rsidRDefault="00C05B5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042FC2E" w14:textId="530347D7" w:rsidR="006755DF" w:rsidRPr="00790DFA" w:rsidRDefault="000B40B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Zbog velikog broja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različitih modaliteta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sudjelovanja koje institucije u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Republici Hrvatskoj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primjenjuju te pojačanog interesa hrvatskih institucija </w:t>
      </w:r>
      <w:r w:rsidR="00303582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prijavu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nove twinning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TAIEX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projekte</w:t>
      </w:r>
      <w:r w:rsidR="006755D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zaključeno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</w:t>
      </w:r>
      <w:r w:rsidR="006755D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kako je donošenje </w:t>
      </w:r>
      <w:r w:rsidR="0085751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posebnog zakona koji će regulirati provedbu</w:t>
      </w:r>
      <w:r w:rsidR="006755D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projekata međunarodne institucionalne suradnje i programa tehničke pomoći najučinkovitije rješenje koje će na standardizirani način regulirati problemska pitanja.</w:t>
      </w:r>
    </w:p>
    <w:p w14:paraId="54D15FD4" w14:textId="38679682" w:rsidR="00254F78" w:rsidRPr="00790DFA" w:rsidRDefault="00254F78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905BC82" w14:textId="5306159F" w:rsidR="005C1A43" w:rsidRPr="00790DFA" w:rsidRDefault="005C1A43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Svrha je ovog zakona omogućiti ravnopravno sudjelovanje tijela javne uprave u provedbi spomenutih instrumenata EU. Uređenje sudjelovanja institucija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Republike Hrvatske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ovim instrumentima pridonijet će učinkovitijoj, učestalijoj i kompetitivnijoj provedbi projekata međunarodne institucionalne suradnje od strane hrvatskih institucija, a samim time i pospješiti </w:t>
      </w:r>
      <w:r w:rsidR="00F4567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korištenje EU financijskih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sredstava</w:t>
      </w:r>
      <w:r w:rsidR="00F4567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Sudjelovanjem u ovim projektima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Republika Hrvatska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će se potvrditi kao članica EU, aktivna u promicanju svojih kvaliteta, prednosti, interesa ali i EU vrijednosti.  </w:t>
      </w:r>
    </w:p>
    <w:p w14:paraId="4E1F5135" w14:textId="77777777" w:rsidR="005C1A43" w:rsidRPr="00790DFA" w:rsidRDefault="005C1A43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F56303D" w14:textId="71C1B955" w:rsidR="00E31728" w:rsidRPr="00790DFA" w:rsidRDefault="0037079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Također</w:t>
      </w:r>
      <w:r w:rsidR="00AD796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izradi Zakona se pristupilo i iz razloga kako bi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Republika Hrvatska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maksimalno iskoristila prednosti koje donosi sudjelovanje u projektima međunarodne institucionalne suradnje i tehničke pomoći te sveobuhvatno i sustavno regulirala </w:t>
      </w:r>
      <w:r w:rsidR="00A5787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pravno-statusna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pitanja </w:t>
      </w:r>
      <w:r w:rsidR="00A5787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stručnjaka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hrvatskih institucija </w:t>
      </w:r>
      <w:r w:rsidR="00A5787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koji sudjeluju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njihovoj provedbi.</w:t>
      </w:r>
    </w:p>
    <w:p w14:paraId="28858767" w14:textId="77777777" w:rsidR="00A5787F" w:rsidRPr="00790DFA" w:rsidRDefault="00A5787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5A83BFB" w14:textId="19BB336D" w:rsidR="0037079D" w:rsidRPr="00790DFA" w:rsidRDefault="00A5787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Republiku Hrvatsku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posebno važno uspostaviti </w:t>
      </w:r>
      <w:r w:rsidR="00DC711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pravni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okvir kojim će </w:t>
      </w:r>
      <w:r w:rsidR="00DC711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hrvatske institucije moći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sudjelovati u projektima u svojstvu vodećeg partnera, što podrazumijeva dodatne administrativne odgovornosti, ali donosi i</w:t>
      </w:r>
      <w:r w:rsidR="00AC67E8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značajnije financijske koristi te veću političku prisutnost hrvatskih institucija i stručnjaka u zemljama korisnicama.</w:t>
      </w:r>
    </w:p>
    <w:p w14:paraId="4211E38D" w14:textId="77777777" w:rsidR="00A5787F" w:rsidRPr="00790DFA" w:rsidRDefault="00A5787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3536A1F" w14:textId="77777777" w:rsidR="00A73190" w:rsidRPr="00790DFA" w:rsidRDefault="0037079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Očekuje se kako će se Zakonom dodatno potaknuti</w:t>
      </w:r>
      <w:r w:rsidR="00A5787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D23A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sudjelovanje hrvatskih institucija </w:t>
      </w:r>
      <w:r w:rsidR="00A5787F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(posebice u svojstvu vodećih partnera)</w:t>
      </w:r>
      <w:r w:rsidR="006D23A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regulirati modaliteti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D23A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njihovog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sudjelovanja u Twinningu i TAIEX-u te maksimalno iskoristiti potencijal ovih instrumenata u cilju promicanja interesa hrvatske vanjske politike. </w:t>
      </w:r>
    </w:p>
    <w:p w14:paraId="6E56BCDB" w14:textId="77777777" w:rsidR="00DE593B" w:rsidRPr="00790DFA" w:rsidRDefault="00DE593B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</w:p>
    <w:p w14:paraId="721AEF31" w14:textId="443252AD" w:rsidR="0037079D" w:rsidRPr="00790DFA" w:rsidRDefault="003D093B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Nadalje, Z</w:t>
      </w:r>
      <w:r w:rsidR="00A73190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akon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će omogućiti </w:t>
      </w:r>
      <w:r w:rsidR="00864FC1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Hrvatskoj da iskoristi priliku i da se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potvrdi i istakne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kao prior</w:t>
      </w:r>
      <w:r w:rsidR="00864FC1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itetni odabir za tehničku pomoć, jer je Hrvatska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zbog recentnog iskustva </w:t>
      </w:r>
      <w:r w:rsidR="00D030B5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EU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pristupnih pregovora</w:t>
      </w:r>
      <w:r w:rsidR="00A73190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, </w:t>
      </w:r>
      <w:r w:rsidR="00864FC1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važan pružatelj tehničke pomoći. P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osebno u </w:t>
      </w:r>
      <w:r w:rsidR="00864FC1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držav</w:t>
      </w:r>
      <w:r w:rsidR="00AF5788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ama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susjedstva s kojima </w:t>
      </w:r>
      <w:r w:rsidR="00A73190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Hrvatska dijeli naslijeđene osnove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za zakonodavne i administrativne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prila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godbe koje</w:t>
      </w:r>
      <w:r w:rsidR="00A73190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je potrebno provesti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.  Kao prednost </w:t>
      </w:r>
      <w:r w:rsidR="00B7127B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Hrvatske </w:t>
      </w:r>
      <w:r w:rsidR="0003287A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u suradnji sa susjednim zemljama</w:t>
      </w:r>
      <w:r w:rsidR="00AD7965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,</w:t>
      </w:r>
      <w:r w:rsidR="0003287A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treba istaknuti i sličnost</w:t>
      </w:r>
      <w:r w:rsidR="00A73190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jezika što uz sve navedeno doprinosi  lakšem razumijevanju i učinkovitosti provedbe tehničke pomoći. 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Osim toga</w:t>
      </w:r>
      <w:r w:rsidR="00AD7965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,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s ciljem podrobnijeg informiranja o natječajima i uvjetima sudjelovanja u slučaju </w:t>
      </w:r>
      <w:r w:rsidR="00AD7965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T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/>
        </w:rPr>
        <w:t>winning instrumenta te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mogućnostima sudjelovanja kratkoročnih stručnjaka u okviru TAIEX-a, a sve kako bi </w:t>
      </w:r>
      <w:r w:rsidR="003623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Republika Hrvatska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bila što kvalitetnije pripremljena za participaciju u navedenim instrumentima EU pomoći, Ministarstvo vanjskih i europskih poslova kontinuirano pro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vodi edukacije </w:t>
      </w:r>
      <w:r w:rsidR="00A03EE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savjetovanja </w:t>
      </w:r>
      <w:r w:rsidR="00723C47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navedene teme</w:t>
      </w:r>
      <w:r w:rsidR="0037079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jednom godišnje izvještava tijela državne uprave o participaciji hrvatskih institucija u ovim instrumentima.</w:t>
      </w:r>
    </w:p>
    <w:p w14:paraId="0E571308" w14:textId="77777777" w:rsidR="00E31728" w:rsidRPr="00790DFA" w:rsidRDefault="00E31728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D81C07F" w14:textId="77777777" w:rsidR="0037079D" w:rsidRPr="00790DFA" w:rsidRDefault="0037079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Ovim Zakonom uređuje se način provedbe projekata međunarodne institucionalne suradnje EU koje provode tijela državne uprave i </w:t>
      </w:r>
      <w:r w:rsidR="00006F3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druge institucije predviđene i opisane zakonom, a koje su prema pravilima EU prihvatljive provoditi ove projekte.</w:t>
      </w:r>
    </w:p>
    <w:p w14:paraId="1AAAEBA4" w14:textId="2E15537A" w:rsidR="0037079D" w:rsidRPr="00790DFA" w:rsidRDefault="0037079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86F15BE" w14:textId="399FE23A" w:rsidR="00A01517" w:rsidRPr="00790DFA" w:rsidRDefault="00DE593B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Prva skupina pitanja koja će se regulirati ovim Zakonom odnosi se na </w:t>
      </w:r>
      <w:r w:rsidR="00AD796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winning instrument EU za institucionalnu suradnju, s posebnim naglaskom na uređivanje prava i obveza kratkoročnih i dugoročnih stručnjaka te tzv.</w:t>
      </w:r>
      <w:r w:rsidRPr="00790DFA">
        <w:rPr>
          <w:color w:val="000000" w:themeColor="text1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dugoročnog twinning savjetnika koji će sudjelovati u projektima, uključujući pravo na dnevnu paušalnu naknadu i troškove podrške provedbi projekta. Druga skupina pitanja bavi se TAIEX kratkoročnim instrumentom EU za tehničku pomoć te uređuje pravo na naknadu kratkoročnih i dugoročnih TAIEX stručnjaka. Treća skupina pitanja obuhvaćena ovim Zakonom odnosi se na zajedničke odredbe kojima se, uz obveze svih sudionika u projektu, ponajviše htjelo utvrditi jasno vremensko ograničenje sudjelovanja kratkoročnih stručnjaka u projektu, čime se jasno razlikuju od dugoročnih stručnjaka. Također, Zakon jasno utvrđuje da se njegove odredbe na odgovarajući način primjenjuju i na projekte tehničke pomoći, s izuzetkom odredaba o paušalnim naknadama.</w:t>
      </w:r>
    </w:p>
    <w:p w14:paraId="4C5A1356" w14:textId="7C3A7410" w:rsidR="00B8751B" w:rsidRDefault="00B8751B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98385D1" w14:textId="77777777" w:rsidR="00B90EFF" w:rsidRPr="00790DFA" w:rsidRDefault="00B90EFF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8A219B4" w14:textId="77777777" w:rsidR="00A01517" w:rsidRPr="00790DFA" w:rsidRDefault="00A01517" w:rsidP="00B90EF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OCJENA I IZVORI POTREBNIH SREDSTAVA ZA PROVOĐENJE ZAKONA</w:t>
      </w:r>
    </w:p>
    <w:p w14:paraId="4DC0D5A6" w14:textId="77777777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9D1112D" w14:textId="6F206AD0" w:rsidR="00A01517" w:rsidRPr="00790DFA" w:rsidRDefault="0037079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provedbu </w:t>
      </w:r>
      <w:r w:rsidR="00D85363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ovoga Zakona nije potrebno osigurati dodatna sredstva državnog proračuna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A91BF9D" w14:textId="77777777" w:rsidR="00D85363" w:rsidRPr="00790DFA" w:rsidRDefault="00D85363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8EE2B5C" w14:textId="77777777" w:rsidR="00F80814" w:rsidRPr="00F80814" w:rsidRDefault="00F8081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provedbu ovoga Zakona nije potrebno osigurati dodatna sredstva državnog proračuna za projekte međunarodne institucionalne suradnje EU.</w:t>
      </w:r>
    </w:p>
    <w:p w14:paraId="74024C00" w14:textId="77777777" w:rsidR="00F80814" w:rsidRPr="00F80814" w:rsidRDefault="00F80814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470E8E4" w14:textId="48F5D7F7" w:rsidR="00D85363" w:rsidRPr="0099211E" w:rsidRDefault="00F80814" w:rsidP="00992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Vezano uz projekte tehničke pomoći, 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skladu s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22B05" w:rsidRP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Uredb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om</w:t>
      </w:r>
      <w:r w:rsidR="00C22B05" w:rsidRP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 unutarnjem ustrojstvu Ministarstva vanjskih i europskih poslova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</w:t>
      </w:r>
      <w:r w:rsidR="00C22B05" w:rsidRP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NN 20/2017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), MVEP-u je 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povjerena zadaća pružanja tehničke pomoći državama koje se nalaze u pristupnom procesu 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način da im 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Republika Hrvatska prenosi svoje znanje i iskustvo iz tranzicijskog procesa, 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uključujući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prijenos znanja iz pregovora o pristupanju EU i drugim područjima u kojima hrvatski stručnjaci posjeduju stručnost i komparativnu prednost pred drugim donatorima. Projekti tehničke pomoći provode se samostalno ili u suradnji s drugim većim donatorima i institucijama pružateljima tehničke pomoći s kojima se osmišljavaju programi koji najbolje odgovaraju potrebama država korisnica. Za provedbu navedenih aktivnosti u MVEP-u su osigurana sredstva državnog proračuna na aktivnosti </w:t>
      </w:r>
      <w:r w:rsidRP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A778059 Savjet za tranzicijske procese-Centar izvrsnosti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za izvršenje istih neće biti potrebna dodatna proračunska sredstva budući</w:t>
      </w:r>
      <w:r w:rsidR="00C22B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</w:t>
      </w:r>
      <w:r w:rsidRPr="00F8081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ona uobičajeno planiraju u okviru proračunskog plana za naredna razdoblja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Poslovi kontakt točki</w:t>
      </w:r>
      <w:r w:rsidR="0099211E" w:rsidRP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projekte međunarodne institucionalne suradnje</w:t>
      </w:r>
      <w:r w:rsidR="0099211E" w:rsidRPr="0099211E">
        <w:rPr>
          <w:lang w:val="hr-HR"/>
        </w:rPr>
        <w:t xml:space="preserve"> </w:t>
      </w:r>
      <w:r w:rsidR="0099211E" w:rsidRP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 </w:t>
      </w:r>
      <w:r w:rsid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redovni </w:t>
      </w:r>
      <w:r w:rsidR="0099211E" w:rsidRP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poslovi definirani uredbom o unutarnjem ustrojstvu i sistematizacijom radnih mjesta</w:t>
      </w:r>
      <w:r w:rsidR="0099211E" w:rsidRPr="0099211E">
        <w:rPr>
          <w:lang w:val="hr-HR"/>
        </w:rPr>
        <w:t xml:space="preserve"> </w:t>
      </w:r>
      <w:r w:rsidR="0099211E" w:rsidRP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Ministarstvo vanjskih i europskih poslova</w:t>
      </w:r>
      <w:r w:rsidR="0099211E" w:rsidRPr="0099211E">
        <w:rPr>
          <w:lang w:val="hr-HR"/>
        </w:rPr>
        <w:t xml:space="preserve"> </w:t>
      </w:r>
      <w:r w:rsid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 nisu</w:t>
      </w:r>
      <w:r w:rsidR="0099211E" w:rsidRP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potrebna dodatna proračunska sredstva</w:t>
      </w:r>
      <w:r w:rsidR="009921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648CDD50" w14:textId="77777777" w:rsidR="00A01517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A7C5F84" w14:textId="77777777" w:rsidR="00C22B05" w:rsidRPr="00790DFA" w:rsidRDefault="00C22B0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B132A8B" w14:textId="77777777" w:rsidR="00A01517" w:rsidRPr="00790DFA" w:rsidRDefault="00A01517" w:rsidP="00B90EF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TEKST KONAČNOG PRIJEDLOGA ZAKONA</w:t>
      </w:r>
    </w:p>
    <w:p w14:paraId="7953E039" w14:textId="77777777" w:rsidR="00A01517" w:rsidRPr="00790DFA" w:rsidRDefault="00A01517" w:rsidP="00B90E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1CDE0B9" w14:textId="77777777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Prilaže se tekst Prijedloga zakona o provedbi projekata međunarodne institucionalne suradnje Europske unije i projekata tehničke pomoći.</w:t>
      </w:r>
    </w:p>
    <w:p w14:paraId="7232CFFA" w14:textId="385D8085" w:rsidR="00A01517" w:rsidRPr="00790DFA" w:rsidRDefault="00A01517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618430F" w14:textId="36A4A069" w:rsidR="00B8751B" w:rsidRPr="00790DFA" w:rsidRDefault="00B8751B" w:rsidP="00B90E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br w:type="page"/>
      </w:r>
    </w:p>
    <w:p w14:paraId="18B458A4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PRIJEDLOG ZAKONA O PROVEDBI PROJEKATA MEĐUNARODNE INSTITUCIONALNE SURADNJE EUROPSKE UNIJE I PROJEKATA TEHNIČKE POMOĆI</w:t>
      </w:r>
    </w:p>
    <w:p w14:paraId="59B94C3D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4AEB6FF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I. UVODNE ODREDBE</w:t>
      </w:r>
    </w:p>
    <w:p w14:paraId="2DAF31A0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50F8A90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1.</w:t>
      </w:r>
    </w:p>
    <w:p w14:paraId="30437C12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7FB9C80" w14:textId="124CFF0A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Ovim se Zakonom uređuje način provedbe projekata međunarodne institucionalne suradnje Europske unije koje provode tijela javne uprave te projekata tehničke pomoći i način sudjelovanja</w:t>
      </w:r>
      <w:r w:rsidR="009B768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te prava i obveze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stručnjaka u tim projektima.</w:t>
      </w:r>
    </w:p>
    <w:p w14:paraId="7AAFABCB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05E8E0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Pri provedbi projekata iz stavka 1. ovoga članka tijela koja sudjeluju u projektima i stručnjaci dužni su poštovati pravila koja za provedbu projekata propisuje Europska unija (u daljnjem tekstu: pravila EU).</w:t>
      </w:r>
    </w:p>
    <w:p w14:paraId="067B38A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039022F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2.</w:t>
      </w:r>
    </w:p>
    <w:p w14:paraId="6615A2A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70E023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Pojmovi koji se koriste u ovom Zakonu i u provedbi ovoga Zakona i propisa donesenih na temelju ovoga Zakona imaju sljedeće značenje:</w:t>
      </w:r>
    </w:p>
    <w:p w14:paraId="1F77C323" w14:textId="49AEA5BF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Međunarodna institucionalna suradnja obuhvaća:</w:t>
      </w:r>
    </w:p>
    <w:p w14:paraId="1F2DC072" w14:textId="77777777" w:rsidR="00E45FCE" w:rsidRPr="00790DFA" w:rsidRDefault="006155F8" w:rsidP="00B90EF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Twinning instrument EU za institucionalnu suradnju kojim države članice EU pružaju pomoć državama partnerima pri izgradnji i jačanju administrativnih kapaciteta njihove javne uprave s ciljem prijenosa znanja u primjeni i provedbi pravne stečevine EU ili njihovom pripremom za članstvo u EU.</w:t>
      </w:r>
    </w:p>
    <w:p w14:paraId="182B08D7" w14:textId="2184217C" w:rsidR="00E45FCE" w:rsidRPr="00790DFA" w:rsidRDefault="006155F8" w:rsidP="00B90EF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TAIEX (Technical Assistance and Information Exchange) </w:t>
      </w:r>
      <w:r w:rsidR="00E45FCE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je kratkoročni instrument EU za tehničku pomoć, razmjenu informacija i iskustava u primjeni i provedbi pravne stečevine i politika EU u svrhu izgradnje i jačanja administrativnih kapaciteta tijela javne uprave država korisnica ovog instrumenta. TAIEX tehnička pomoć se provodi između tijela javne uprave država članica EU kao pružatelja tehničke pomoći i  tijela javne uprave država korisnica TAIEX-a.  Korisnici TAIEX-a su države koje se pripremaju za članstvo u EU, države europskog susjedstva, države članice EU i ostale zemlje u skladu s pravilima EU.</w:t>
      </w:r>
    </w:p>
    <w:p w14:paraId="5118FCF5" w14:textId="45FEDAB3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Tijela javne uprave, u smislu ovoga Zakona, su tijela državne uprave, druga državna tijela, pravne osobe i druga tijela koja imaju javne ovlasti, pravne osobe čiji je osnivač Republika Hrvatska, pravne osobe koje obavljaju javnu službu, pravne osobe koje se temeljem posebnog propisa financiraju pretežito ili u cijelosti iz državnog proračuna odnosno iz javnih sredstava (nameta, davanja, i sl.).</w:t>
      </w:r>
    </w:p>
    <w:p w14:paraId="46AD34D2" w14:textId="0142EF5E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Projekt tehničke pomoći je</w:t>
      </w:r>
      <w:r w:rsidR="00E61FCD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međunarodna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61FCD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suradnja dviju ili više institucija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financiran</w:t>
      </w:r>
      <w:r w:rsidR="00E61FCD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sredstvima državnog proračuna, EU ili drugih donatora s ciljem prijenosa znanja u primjeni i provedbi pravne stečevine EU.</w:t>
      </w:r>
    </w:p>
    <w:p w14:paraId="7DD032C1" w14:textId="2872808B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Nositelj projekta je </w:t>
      </w:r>
      <w:r w:rsidR="004F3C50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tijelo javne uprave koje sudjeluje u Twinning instrumentu EU i projektu tehničke pomoći kao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potpisnik ugovora o projektu ili potpisnik ugovora o zajednici ponuditelja.</w:t>
      </w:r>
    </w:p>
    <w:p w14:paraId="3738077B" w14:textId="01BFCBC5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Zajednica ponuditelja (Consortium) je ugovorni odnos između nositelja projekta i drugih </w:t>
      </w:r>
      <w:r w:rsidR="00C2273F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institucija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država članica EU u kojoj nositelj projekta nastupa kao vodeći ili sudjelujući partner.</w:t>
      </w:r>
    </w:p>
    <w:p w14:paraId="7B83CCC7" w14:textId="2DAFEA4B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lastRenderedPageBreak/>
        <w:t>Vodeći partner (Member State Lead Partner) je institucija države članice EU koja je u zajednici ponuditelja sa sudjelujućim partnerima i snosi sveukupnu odgovornost provedbe projekta te djeluje i odgovara samostalno ugovornom tijelu države partnerice, predstavnicima Delegacije EU u državi partnerici te korisnicima iz države partnerice.</w:t>
      </w:r>
    </w:p>
    <w:p w14:paraId="0A53D8FF" w14:textId="29E2C073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Sudjelujući partner (Member State Junior Partner) je država članica EU koja djeluje kao partner u zajednici ponuditelja i koja time obvezuje svoju instituciju ili institucije na provedbu aktivnosti projekta koje su u njenoj nadležnosti.</w:t>
      </w:r>
    </w:p>
    <w:p w14:paraId="7AFDC31B" w14:textId="3C954786" w:rsidR="004F3C50" w:rsidRPr="00790DFA" w:rsidRDefault="004F3C50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Stručnjak je osoba zaposlena u tijelu javne uprave koja posjeduje iskustvo u primjeni i provedbi pravne stečevine EU ili pripremi država korisnica za članstvo u EU. Za potrebe ovoga Zakona, stručnjaci su: kratkoročni, dugoročni i dugoročni twinning savjetnik.</w:t>
      </w:r>
    </w:p>
    <w:p w14:paraId="4DB854ED" w14:textId="58B12E78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Kratkoročni stručnjaci (Experts) su svi stručnjaci koji u skladu s pravilima EU i/ili ugovorom o projektu provode projekt unutar vremenskih ograničenja propisanih ovim Zakonom.</w:t>
      </w:r>
    </w:p>
    <w:p w14:paraId="339EDAF8" w14:textId="20508EA8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Dugoročni stručnjaci su svi stručnjaci koji u skladu s pravilima EU i ugovorom o projektu provode projekt u trajanju dužem od maksimalnih vremenskih ograničenja propisanih za kratkoročne stručnjake, a u skladu s vremenskim ograničenjima određenima ugovorom o projektu.</w:t>
      </w:r>
    </w:p>
    <w:p w14:paraId="704331E2" w14:textId="4D7D8D6F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Voditelj projekta (Member State Project Leader/PL) je stručnjak zaposlen u tijelu nositelja projekta u svojstvu glavnog i višeg rukovoditelja zadužen za upravljanje i sadržajnu provedbu projekta.</w:t>
      </w:r>
    </w:p>
    <w:p w14:paraId="5CDDAA7A" w14:textId="12FD257D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Dugoročni </w:t>
      </w:r>
      <w:r w:rsidR="00C40BC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twinning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savjetnik (Resident Twinning Adviser/ RTA) – je stručnjak koji je upućen u državu partnericu te je zadužen za cjelokupnu koordinaciju projektnih aktivnosti na najmanje 12 uzastopnih mjeseci ili može biti privremeno angažiran temeljem ugovora s nositeljem projekta.</w:t>
      </w:r>
    </w:p>
    <w:p w14:paraId="3EE2026E" w14:textId="1493FA30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Tijelo administrator projekta je tijelo javne uprave koje služi drugom tijelu državne ili javne uprave kao administrativna, financijska, pravna ili druga vrsta podrške pri pripremi i provedbi projekta međunarodne institucionalne suradnje i programa tehničke pomoći.</w:t>
      </w:r>
    </w:p>
    <w:p w14:paraId="7F841651" w14:textId="0BF1CBBF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Nacionalna kontakt točka (National Contact Point) za projekte međunarodne institucionalne suradnje je zaposlenik ministarstva nadležnog za vanjske i europske poslove.</w:t>
      </w:r>
    </w:p>
    <w:p w14:paraId="095911E6" w14:textId="75B4EA34" w:rsidR="006155F8" w:rsidRPr="00790DFA" w:rsidRDefault="006155F8" w:rsidP="00B90E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Kontakt točka je zaposlenik tijela javne uprave imenovan za izvješćivanje 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acionalne kontakt točke o svim pitanjima povezanim s projektima međunarodne institucionalne suradnje.</w:t>
      </w:r>
    </w:p>
    <w:p w14:paraId="39104A6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102D41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Izrazi koji se koriste u ovome Zakonu, a imaju rodno značenje, odnose se jednako na muški i ženski rod.</w:t>
      </w:r>
    </w:p>
    <w:p w14:paraId="24904B0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E9C2EDA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II. TWINNING</w:t>
      </w:r>
    </w:p>
    <w:p w14:paraId="58BE4812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6DFC37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Obavijest o namjeri sudjelovanja</w:t>
      </w:r>
    </w:p>
    <w:p w14:paraId="215984EB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24CEE10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3.</w:t>
      </w:r>
    </w:p>
    <w:p w14:paraId="5C558240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73680E1" w14:textId="30BC78B8" w:rsidR="00DD7F35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DD7F35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Nacionalna kontakt točka putem kontaktne točke prosljeđuje poziv za sudjelovanje u projektu relevantnim tijelima javne uprave. </w:t>
      </w:r>
    </w:p>
    <w:p w14:paraId="42FF2718" w14:textId="77777777" w:rsidR="00DD7F35" w:rsidRPr="00790DFA" w:rsidRDefault="00DD7F35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18BA8B9" w14:textId="12212165" w:rsidR="00DD7F35" w:rsidRPr="00790DFA" w:rsidRDefault="00DD7F35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lastRenderedPageBreak/>
        <w:t>(2) Obavijest o namjeri sudjelovanja u projektu dostavlja se nacionalnoj kontakt točki u roku od 14 dana od dana</w:t>
      </w:r>
      <w:r w:rsidR="00E45FCE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kada je tijelo javne uprave zaprimilo projektni sažetak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od nacionalne kontakt točke.</w:t>
      </w:r>
    </w:p>
    <w:p w14:paraId="6625CE00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35CCD0F" w14:textId="4C3D02DF" w:rsidR="006155F8" w:rsidRPr="00790DFA" w:rsidRDefault="00DD7F35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) Ako u roku od 14 dana od dana dostave obavijesti iz stavka 1. ovoga članka 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acionalna kontakt točka ne dostavi obrazloženi odgovor o razlozima odbijanja namjere sudjelovanja, smatra se da je dana suglasnost za sudjelovanje u projektu.</w:t>
      </w:r>
    </w:p>
    <w:p w14:paraId="2A33AA5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B1AA90B" w14:textId="0DD0DA10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DD7F35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4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Ako se nakon d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obivanja suglasnosti </w:t>
      </w:r>
      <w:r w:rsidR="00F64E56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odnosno u slučaju 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iz stavka 3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. ovoga članka bitno promijene uvjeti koji utječu ili bi mogli utjecati na provedbu projekta ili ako tijelo javne uprave odustane od namjere sudjelovanja u projektu, o tome mora pisanim putem izvijestiti 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acionalnu kontakt točku.</w:t>
      </w:r>
    </w:p>
    <w:p w14:paraId="68D3D1E0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1277823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Ponuda za projekt</w:t>
      </w:r>
    </w:p>
    <w:p w14:paraId="02389090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F0EA07B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4.</w:t>
      </w:r>
    </w:p>
    <w:p w14:paraId="7F2F630D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7F7EECB" w14:textId="2ECA26E9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(1) Ponuda za projekt, u kojem nositelj projekta nastupa samostalno ili kao vodeći partner, podnosi se putem 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acionalne kontakt točke.</w:t>
      </w:r>
    </w:p>
    <w:p w14:paraId="5D90D25D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7E313DA" w14:textId="1C4396D5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(2) Prijedlog ponude iz stavka 1. ovoga članka dostavlja se 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acionalnoj kontakt točki najkasnije dva radna dana prije isteka roka koji je u projektnoj dokumentaciji određen kao rok za podnošenje ponude.</w:t>
      </w:r>
    </w:p>
    <w:p w14:paraId="7D7D526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BCF532C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Potpisivanje projektne dokumentacije</w:t>
      </w:r>
    </w:p>
    <w:p w14:paraId="6BB68E5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57F3A6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5.</w:t>
      </w:r>
    </w:p>
    <w:p w14:paraId="0CF16901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455F314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Potpisnik projektne dokumentacije je čelnik nositelja projekta, odnosno osoba koju on za to ovlasti.</w:t>
      </w:r>
    </w:p>
    <w:p w14:paraId="105B041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EB86DDA" w14:textId="2F1077F1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Supotpisnik projektne dokumentacije može biti tijelo administrator projekta, kojeg je tijelo nositelj projekta ovlastilo za pružanje administrativne podrške u pripremi i provedbi projekta</w:t>
      </w:r>
      <w:r w:rsidR="00D5148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45AFDF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1CDC84B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Voditelj projekta je potpisnik onih dokumenata za koje pravila EU tako zahtijevaju.</w:t>
      </w:r>
    </w:p>
    <w:p w14:paraId="0E89BDBD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540C2F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Projektna skupina</w:t>
      </w:r>
    </w:p>
    <w:p w14:paraId="3085611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7EB8362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6.</w:t>
      </w:r>
    </w:p>
    <w:p w14:paraId="711C0504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AF9500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Nakon dobivene obavijesti o odabiru za sudjelovanje u projektu čelnik nositelja projekta osniva projektnu skupinu za provedbu projekta odlukom o osnivanju projektne skupine.</w:t>
      </w:r>
    </w:p>
    <w:p w14:paraId="29810E9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71A7B9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Odlukom iz stavka 1. ovoga članka čelnik nositelja projekta imenuje voditelja projekta i kratkoročne stručnjake koji će sudjelovati u provedbi aktivnosti projekta te službenike koji će sudjelovati u tehničkoj provedbi projekta uz naznaku funkcije u projektu.</w:t>
      </w:r>
    </w:p>
    <w:p w14:paraId="2E0458E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7D351DC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Čelnik nositelja projekta imenuje voditelja projekta koji vodi projektnu skupinu.</w:t>
      </w:r>
    </w:p>
    <w:p w14:paraId="00F84AC1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0587BE5" w14:textId="67FE293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(4) U odluci iz stavka 1. ovoga članka navodi se obveza obavljanja zadataka u projektu na stručan način, u skladu s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pravilima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EU te prema uputama voditelja projekta.</w:t>
      </w:r>
    </w:p>
    <w:p w14:paraId="6D95D95B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8C06335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Sudjelovanje dugoročnog twinning savjetnika u projektu</w:t>
      </w:r>
    </w:p>
    <w:p w14:paraId="77AAB880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B74F4F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7.</w:t>
      </w:r>
    </w:p>
    <w:p w14:paraId="00E5B7D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7CB6BEF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Čelnik nositelja projekta ili tijelo administrator projekta sklapa ugovor s dugoročnim twinning savjetnikom za provedbu projekta kojim se reguliraju međusobna prava i obveze u skladu s pravilima EU.</w:t>
      </w:r>
    </w:p>
    <w:p w14:paraId="21F870B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308E6FF" w14:textId="31D88583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Ugovor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iz stavka 1. ovoga članka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se sklapa na određeno vrijeme ovisno o trajanju sudjelovanja dugoročnog twinning savjetnika u projektu.</w:t>
      </w:r>
    </w:p>
    <w:p w14:paraId="1792A3E9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FA6E69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Dugoročni twinning savjetnik za vrijeme trajanja projekta prima naknadu za plaću iz proračuna projekta u visini plaće radnog mjesta s kojeg se upućuje na rad na projektu i ima pravo na druga primanja i naknade u skladu s pravilima EU.</w:t>
      </w:r>
    </w:p>
    <w:p w14:paraId="70E899CC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66125D1" w14:textId="55B8B795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(4) Dugoročni twinning savjetnik za vrijeme trajanja projekta ima prava iz obveznog mirovinskog osiguranja i pravo </w:t>
      </w:r>
      <w:r w:rsidR="00790D57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na plaćene doprinose koji se nadoknađuju poslodavcu iz proračuna projekta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7F47C6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95514B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009A626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Obveze u projektu i redovne poslovne obveze voditelja projekta i kratkoročnih stručnjaka</w:t>
      </w:r>
    </w:p>
    <w:p w14:paraId="1D37D3A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1BF6AF7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8.</w:t>
      </w:r>
    </w:p>
    <w:p w14:paraId="2777292C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173539B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Kratkoročni stručnjak mora ispunjavati obveze u projektu u skladu s uputama voditelja projekta i dugoročnog twinning savjetnika.</w:t>
      </w:r>
    </w:p>
    <w:p w14:paraId="605B2AE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4892E8B" w14:textId="796E23C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(2) Voditelj projekta dužan je 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pravovremeno </w:t>
      </w:r>
      <w:r w:rsidR="00FA2CB0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acionalnoj kontakt točki dostaviti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relevantnu dokumentaciju povezanu s provedbom projekta.</w:t>
      </w:r>
    </w:p>
    <w:p w14:paraId="3DCB4970" w14:textId="2821EEFD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8DA22F9" w14:textId="77777777" w:rsidR="00B90EFF" w:rsidRPr="00790DFA" w:rsidRDefault="00B90EFF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ACD1758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Plaćanje kratkoročnih stručnjaka i voditelja projekta</w:t>
      </w:r>
    </w:p>
    <w:p w14:paraId="415F8D41" w14:textId="77777777" w:rsidR="00E556CA" w:rsidRPr="00790DFA" w:rsidRDefault="00E556CA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90553A6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9.</w:t>
      </w:r>
    </w:p>
    <w:p w14:paraId="0C66E87D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90753D5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927E972" w14:textId="671774C3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1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Kratkoročni stručnjak i voditelj projekta su za rad u projektu plaćeni iz proračuna projekta u skladu s ovim Zakonom i pravilima EU.</w:t>
      </w:r>
    </w:p>
    <w:p w14:paraId="3B3396CD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52D0EE3" w14:textId="09E74AEA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2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Kratkoročnom stručnjaku pripada pravo na dnevnu paušalnu naknadu za dan rada u zemlji partneru u minimalnom iznosu od 350 eura bruto koji se isplaćuje iz proračuna projekta.</w:t>
      </w:r>
    </w:p>
    <w:p w14:paraId="6CA10130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7B78FC3" w14:textId="09319FF8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3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Voditelj projekta i kratkoročni stručnjak imaju pravo na naknadu troškova povezanih sa službenim putovanjem unutar projekta u visini i na način kako to određuju pravila EU.</w:t>
      </w:r>
    </w:p>
    <w:p w14:paraId="58131975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FC493D0" w14:textId="4FD29FF8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4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Troškovi iz stavka 4. ovoga članka nadoknađuju se iz proračuna projekta prije odlaska na službeno putovanje.</w:t>
      </w:r>
    </w:p>
    <w:p w14:paraId="63678B7F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65F6793" w14:textId="5E4FD3BE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5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) Plaćanje voditelja projekta i kratkoročnog stručnjaka vrši se u roku od 14 radnih dana od kada je nositelj projekta </w:t>
      </w:r>
      <w:r w:rsidR="00DD7F35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ili tijelo administrator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zaprimio sve dokumente potrebne za isplatu dnevne paušalne naknade za rad na projektu.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495B9096" w14:textId="59BA8DB7" w:rsidR="00427252" w:rsidRPr="00790DFA" w:rsidRDefault="00427252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4DB7B0C" w14:textId="011EDD43" w:rsidR="00427252" w:rsidRPr="00790DFA" w:rsidRDefault="00427252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(6)</w:t>
      </w:r>
      <w:r w:rsidRPr="00790DFA">
        <w:rPr>
          <w:color w:val="000000" w:themeColor="text1"/>
          <w:lang w:val="hr-HR"/>
        </w:rPr>
        <w:t xml:space="preserve">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Dokumenti potrebni za isplatu su izvješće s rada u zemlji partneru, potvrdu s rada u zemlji partneru i zahtjev za plaćanje.</w:t>
      </w:r>
    </w:p>
    <w:p w14:paraId="65151D1C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60AA98A" w14:textId="377B1A62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427252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7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Voditelj projekta i kratkoročni stručnjak u radnom odnosu koji sudjeluje u projektu za vrijeme boravka u inozemstvu prima plaću radnog mjesta na koje je raspoređen.</w:t>
      </w:r>
    </w:p>
    <w:p w14:paraId="21A51581" w14:textId="77777777" w:rsidR="00D85363" w:rsidRPr="00790DFA" w:rsidRDefault="00D8536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EA2934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Sredstva projekta</w:t>
      </w:r>
    </w:p>
    <w:p w14:paraId="5DF7F2C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C290DF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10.</w:t>
      </w:r>
    </w:p>
    <w:p w14:paraId="1E0A7303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1EAF43D" w14:textId="5536C2D0" w:rsidR="006155F8" w:rsidRPr="00790DFA" w:rsidRDefault="00D8536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(1) 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Sredstva za provedbu projekta osigurava EU, a njima upravlja nositelj projekta.</w:t>
      </w:r>
    </w:p>
    <w:p w14:paraId="7DA879D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356F0FE" w14:textId="30DC944F" w:rsidR="006155F8" w:rsidRPr="00790DFA" w:rsidRDefault="00D8536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(2) 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Nositelj projekta može sporazumom s tijelom administratorom projekta ovlastiti tijelo administratora projekta za korištenje sredstava za provedbu projekta.</w:t>
      </w:r>
    </w:p>
    <w:p w14:paraId="11589190" w14:textId="77777777" w:rsidR="00E45FCE" w:rsidRPr="00790DFA" w:rsidRDefault="00E45FCE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DD4F0F8" w14:textId="3E7FAD98" w:rsidR="00E45FCE" w:rsidRPr="00F80814" w:rsidRDefault="00E45FCE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(3) </w:t>
      </w:r>
      <w:r w:rsidRPr="002306A3"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  <w:t xml:space="preserve">Nositelj projekta </w:t>
      </w:r>
      <w:r w:rsidRPr="002306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ili tijelo administrator projekta </w:t>
      </w:r>
      <w:r w:rsidRPr="002306A3"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  <w:t>otvara zaseban projekt u državnom proračunu na kojem</w:t>
      </w:r>
      <w:r w:rsidR="00790DFA" w:rsidRPr="002306A3"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  <w:t>u</w:t>
      </w:r>
      <w:r w:rsidRPr="002306A3"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  <w:t xml:space="preserve"> se osiguravaju sredstva potrebna za provedbu projekta</w:t>
      </w:r>
      <w:r w:rsidR="00790DFA" w:rsidRPr="002306A3"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  <w:t>.</w:t>
      </w:r>
    </w:p>
    <w:p w14:paraId="24A8414F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34DA7B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Troškovi podrške provedbi projekata</w:t>
      </w:r>
    </w:p>
    <w:p w14:paraId="05272345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F3F3D3B" w14:textId="115D5D20" w:rsidR="00FA2CB0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1</w:t>
      </w:r>
      <w:r w:rsidR="00A7517D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09BADBC5" w14:textId="77777777" w:rsidR="00E556CA" w:rsidRPr="00790DFA" w:rsidRDefault="00E556CA" w:rsidP="00B90E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393DE7C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Troškovi podrške provedbi projekta nadoknađuju se nositelju projekta iz proračuna projekta u skladu s pravilima EU.</w:t>
      </w:r>
    </w:p>
    <w:p w14:paraId="3ACB182F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C6B947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Troškovi podrške provedbi projekta mogu se koristiti:</w:t>
      </w:r>
    </w:p>
    <w:p w14:paraId="662ABD4B" w14:textId="016E7D5A" w:rsidR="006155F8" w:rsidRPr="00790DFA" w:rsidRDefault="006155F8" w:rsidP="00B90EF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 pokrivanje dodatnih materijalnih i nematerijalnih troškova vezanih uz prov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edbu i administraciju projekata</w:t>
      </w:r>
    </w:p>
    <w:p w14:paraId="10ACC4F5" w14:textId="0F830D03" w:rsidR="006155F8" w:rsidRPr="00790DFA" w:rsidRDefault="006155F8" w:rsidP="00B90EF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 dodatno plaćanje kratkoročnih stručnjaka i ostalih članova projektne skupine iz članka 6. stavka 2. ovoga Zakona koji su uključeni u pripremu i provedbu projekata zbog povećanog opsega posla, a sukladno odluci čelnika tijela i</w:t>
      </w:r>
    </w:p>
    <w:p w14:paraId="4F0CB542" w14:textId="3196E4E3" w:rsidR="006155F8" w:rsidRPr="00790DFA" w:rsidRDefault="006155F8" w:rsidP="00B90EF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 druge namjene u skladu s pravilima EU.</w:t>
      </w:r>
    </w:p>
    <w:p w14:paraId="35927F0B" w14:textId="77777777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8CFB39D" w14:textId="77777777" w:rsidR="005B4B50" w:rsidRDefault="005B4B50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32A730B" w14:textId="77777777" w:rsidR="005B4B50" w:rsidRPr="00790DFA" w:rsidRDefault="005B4B50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0208935" w14:textId="7B59C955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2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0B3CA9A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144EE4B" w14:textId="04D7A62B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Nositelj projekta sporazumno uređuje način i iznos raspodjele troškova povezanih sa službenim putovanjem, dnevne paušalne naknade za rad i troškov</w:t>
      </w:r>
      <w:r w:rsidR="00FA2CB0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e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podrške provedbi projekta s ostalim institucijama koje sudjeluju u projektu sukladno ovom Zakonu i pravilima EU.</w:t>
      </w:r>
    </w:p>
    <w:p w14:paraId="3C76746F" w14:textId="77777777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65DE4BE3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75DA137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III. TAIEX</w:t>
      </w:r>
    </w:p>
    <w:p w14:paraId="4DFE7B1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6C61A52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Obavijest o namjeri sudjelovanja</w:t>
      </w:r>
    </w:p>
    <w:p w14:paraId="68EC8F42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640BE27" w14:textId="5C56343D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 xml:space="preserve">Članak 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13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0CCBBC9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F0E4E82" w14:textId="0591A655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(1) Nacionalna kontakt točka 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putem kontaktne točke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prosljeđuje poziv za sudjelovanje u projektu relevantnim tijelima javne uprave.</w:t>
      </w:r>
    </w:p>
    <w:p w14:paraId="62E6BBC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8BE8028" w14:textId="5AB0889B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Zai</w:t>
      </w:r>
      <w:r w:rsidR="002306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nteresirana tijela javne uprave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dužna su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u roku naznačenom u pozivu 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putem kontakt točke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obavijesti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ti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A2CB0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acionalnu kontakt točku o namjeri sudjelovanja u projektu.</w:t>
      </w:r>
    </w:p>
    <w:p w14:paraId="4F47679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15D8BEF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Obavijest o namjeri sudjelovanja iz stavka 2. ovoga članka mora sadržavati svu prijavnu dokumentaciju propisanu pozivom za sudjelovanje u projektu.</w:t>
      </w:r>
    </w:p>
    <w:p w14:paraId="7CCE0A44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76CC69F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Pravo na naknadu</w:t>
      </w:r>
    </w:p>
    <w:p w14:paraId="730C80C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1B522EB" w14:textId="273DFB40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4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5D0955E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A326D04" w14:textId="08AFECD5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Kratkoročni stručnjak koji sudjeluje u TAIEX projektu ima pravo na dnevnu paušalnu naknadu u skladu s pravilima EU.</w:t>
      </w:r>
    </w:p>
    <w:p w14:paraId="15973005" w14:textId="36A46EE3" w:rsidR="0052255B" w:rsidRPr="00790DFA" w:rsidRDefault="0052255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D3ECAB6" w14:textId="6A98FBC5" w:rsidR="0052255B" w:rsidRPr="00790DFA" w:rsidRDefault="0052255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Kratkoročni stručnjak u radnom odnosu koji sudjeluje u projektu za vrijeme boravka u inozemstvu prima plaću radnog mjesta na koje je raspoređen.</w:t>
      </w:r>
    </w:p>
    <w:p w14:paraId="0B8D1F54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FF78A12" w14:textId="38470000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52255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3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) </w:t>
      </w:r>
      <w:r w:rsidR="00F137E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roškov</w:t>
      </w:r>
      <w:r w:rsidR="00F137E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e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povezan</w:t>
      </w:r>
      <w:r w:rsidR="00F137E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e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sa službenim putovanjem </w:t>
      </w:r>
      <w:r w:rsidR="00F137E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kratkoročnog i dugoročnog stručnjaka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unutar projekta</w:t>
      </w:r>
      <w:r w:rsidR="00F137E9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snosi EU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u visini i na način kako to određuju pravila EU.</w:t>
      </w:r>
    </w:p>
    <w:p w14:paraId="1678A2F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D11A492" w14:textId="16D7C1DD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="0052255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4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Tijela javne uprave, kada sudjeluju u TAIEX projektu u svojstvu domaćina studijskog posjeta, imaju pravo na naknadu u skladu s pravilima EU.</w:t>
      </w:r>
    </w:p>
    <w:p w14:paraId="18E334A8" w14:textId="77777777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2F53969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F67CCAC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IV. PROJEKTI TEHNIČKE POMOĆI</w:t>
      </w:r>
    </w:p>
    <w:p w14:paraId="2C23D2CE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55AE706" w14:textId="1A364F3A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5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3B5DC83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7D7BE21" w14:textId="3AA72413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Ako tijelo javne uprave, dugoročni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stručnjak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ili kratkoročni stručnjak sudjeluju u projektima tehničke pomoći, odredbe ovoga Zakona primjenjuju se na odgovarajući način, ako drugim propisom nije drugačije određeno.</w:t>
      </w:r>
    </w:p>
    <w:p w14:paraId="4AA5B60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24513AB" w14:textId="6AB80F10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(2) Odredba ovoga Zakona o minimalnom iznosu dnevne paušalne naknade iz članka 9. 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stavka 3.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ovoga Zakona ne primjenjuje se na projekte tehničke pomoći ako je ugovorom o tehničkoj pomoći drugačije određeno.</w:t>
      </w:r>
    </w:p>
    <w:p w14:paraId="3F105AE4" w14:textId="77777777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C123BA7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17BB983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V. ZAJEDNIČKE ODREDBE</w:t>
      </w:r>
    </w:p>
    <w:p w14:paraId="3288CAE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4DBEFFB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Vremensko ograničenje sudjelovanja u projektu</w:t>
      </w:r>
    </w:p>
    <w:p w14:paraId="44924CA5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B933553" w14:textId="3BF2B053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6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197193C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16F70AB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(1) Kratkoročni stručnjak može sudjelovati u projektima najduže 40 radnih dana u kalendarskoj godini. </w:t>
      </w:r>
    </w:p>
    <w:p w14:paraId="1B421176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0A49E54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Rad na projektima mora se organizirati na način da ne utječe na redovno ispunjavanje poslovnih obveza prema tijelu u kojemu je kratkoročni stručnjak zaposlen.</w:t>
      </w:r>
    </w:p>
    <w:p w14:paraId="565ADAC6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687CB19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Po odobrenju čelnika tijela, radi dinamike projekata, kratkoročni stručnjak može u kalendarskoj godini sudjelovati u projektima duže od roka iz stavka 1. ovoga članka, ali ne duže od 60 radnih dana.</w:t>
      </w:r>
    </w:p>
    <w:p w14:paraId="528770DF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14AA6BC" w14:textId="57250191" w:rsidR="003C136B" w:rsidRPr="00790DFA" w:rsidRDefault="004D2CF5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 w:rsidDel="004D2C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C136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4</w:t>
      </w:r>
      <w:r w:rsidR="002306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) </w:t>
      </w:r>
      <w:r w:rsidR="003C136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Odredbe ovoga članka ne odnose se na dugoročnog twinning savjetnika i dugoročnog stručnjaka.</w:t>
      </w:r>
    </w:p>
    <w:p w14:paraId="27EB303F" w14:textId="77777777" w:rsidR="003C136B" w:rsidRPr="00790DFA" w:rsidRDefault="003C136B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278A4A6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Sudjelovanje dugoročnog stručnjaka u projektu</w:t>
      </w:r>
    </w:p>
    <w:p w14:paraId="09513AE4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C4CF45A" w14:textId="4363C38C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1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7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7F46EB05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EB3263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Dugoročni stručnjak s nositeljem projekta sklapa ugovor o provedbi projekta kojim se uređuju međusobna prava i obveze u skladu s pravilima EU.</w:t>
      </w:r>
    </w:p>
    <w:p w14:paraId="19CDC827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6842E2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(2) Dugoročnom stručnjaku za vrijeme trajanja ugovora iz stavka 1. ovoga članka miruju prava i obveze iz radnog odnosa.</w:t>
      </w:r>
    </w:p>
    <w:p w14:paraId="17EC3C0F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CC8B86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(3) Vrijeme iz stavka 1. ovog članka priznaje se kao neprekidni rad i kao stečeno radno iskustvo u struci.</w:t>
      </w:r>
    </w:p>
    <w:p w14:paraId="1B57470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E4C7177" w14:textId="04AF4A9D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(4) Dugoročni stručnjak po povratku sa sudjelovanja na projektu </w:t>
      </w:r>
      <w:r w:rsidR="004F03C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vraća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se na radno mjesto s kojeg je upućen.</w:t>
      </w:r>
    </w:p>
    <w:p w14:paraId="55A9DC9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0805828" w14:textId="385BDA5D" w:rsidR="006155F8" w:rsidRPr="00790DFA" w:rsidRDefault="004F03C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(5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) Iznimno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od stavka 4. ovoga članka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ako se dugoročni stručnjak po povratku sa sudjelovanja na projektu ne može 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vratiti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na radno mjesto s kojeg je upućen, rasporedit će se na odgovarajuće </w:t>
      </w:r>
      <w:r w:rsidR="00F64E56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drugo </w:t>
      </w:r>
      <w:r w:rsidR="006155F8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radno mjesto za koje ispunjava propisane uvjete.</w:t>
      </w:r>
    </w:p>
    <w:p w14:paraId="7DE859D7" w14:textId="45BFB74F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AC52957" w14:textId="77777777" w:rsidR="005B4B50" w:rsidRPr="00790DFA" w:rsidRDefault="005B4B50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55CB85BD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Odobrenje za službeno putovanje</w:t>
      </w:r>
    </w:p>
    <w:p w14:paraId="7BD68E94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128CBAF" w14:textId="087CCBFB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 xml:space="preserve">Članak 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18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451AE598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3E6DD26" w14:textId="79324000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Čelnik tijela javne uprave odobrava voditelju projekta,</w:t>
      </w:r>
      <w:r w:rsidR="00C54201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dugoročnom twinning savjetniku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te kratkoročnom stručnjaku odlazak na službeno putovanje radi izvršenja stručne misije u okviru projekta.</w:t>
      </w:r>
    </w:p>
    <w:p w14:paraId="63A821C9" w14:textId="77777777" w:rsidR="00C54201" w:rsidRPr="00790DFA" w:rsidRDefault="00C54201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4250E6F" w14:textId="77777777" w:rsidR="00C54201" w:rsidRPr="00790DFA" w:rsidRDefault="00C54201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ABEC7FB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40AC578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Obveze u projektu</w:t>
      </w:r>
    </w:p>
    <w:p w14:paraId="6C466BE6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4A6588E" w14:textId="345E611F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 xml:space="preserve">Članak 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19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5CA01F1E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5D6B272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(1) Tijelo javne uprave i/ili voditelj projekta, dugoročni twinning savjetnik, dugoročni stručnjak te kratkoročni stručnjak koji sudjeluju u projektu obvezni su obavljati zadatke u projektu na stručan način i u skladu s pravilima EU.</w:t>
      </w:r>
    </w:p>
    <w:p w14:paraId="18886C26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4A9B224" w14:textId="6DE4AF9E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(2) Tijelo javne </w:t>
      </w:r>
      <w:r w:rsidR="002306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uprave i/ili voditelj projekta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, dugoročni stručnjak te kratkoročni stručnjak koji sudjeluju u projektu predstavljaju interese Republike Hrvatske.</w:t>
      </w:r>
    </w:p>
    <w:p w14:paraId="67E81FA0" w14:textId="5C92CE74" w:rsidR="006155F8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28736A3" w14:textId="77777777" w:rsidR="002306A3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1847AAD6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4F123C81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VI. PRIJELAZNE I ZAVRŠNE ODREDBE</w:t>
      </w:r>
    </w:p>
    <w:p w14:paraId="09A7F29D" w14:textId="77777777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B132B09" w14:textId="3128A3B5" w:rsidR="006155F8" w:rsidRPr="00790DFA" w:rsidRDefault="006155F8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2</w:t>
      </w:r>
      <w:r w:rsidR="00790DFA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0</w:t>
      </w: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79669C02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707BEB37" w14:textId="60C18DDE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Odredbe ovoga Zakona primjenjuju se na sve projekte </w:t>
      </w:r>
      <w:r w:rsidR="00C2273F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 koje je provedba počela nakon stupanja na snagu ovoga Zakona</w:t>
      </w: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CFB8BCC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392F03D3" w14:textId="1E344503" w:rsidR="006155F8" w:rsidRPr="00790DFA" w:rsidRDefault="00790DFA" w:rsidP="00B90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Članak 21</w:t>
      </w:r>
      <w:r w:rsidR="006155F8" w:rsidRPr="00790D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5BB29303" w14:textId="77777777" w:rsidR="006155F8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016CD8B3" w14:textId="300B8A27" w:rsidR="00C47415" w:rsidRPr="00790DFA" w:rsidRDefault="006155F8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Ovaj Zakon stupa na snagu osmog dana od dana objave u Narodnim novinama.</w:t>
      </w:r>
    </w:p>
    <w:p w14:paraId="76DA9D37" w14:textId="77777777" w:rsidR="00C47415" w:rsidRPr="00790DFA" w:rsidRDefault="00C47415" w:rsidP="00B90E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br w:type="page"/>
      </w:r>
    </w:p>
    <w:p w14:paraId="34F7D9FD" w14:textId="47C1F4D6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OBRAZLOŽENJE UZ POJEDINE ČLANKE</w:t>
      </w:r>
    </w:p>
    <w:p w14:paraId="5A40E8CB" w14:textId="77777777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FEC1D75" w14:textId="60BA0D11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I</w:t>
      </w:r>
      <w:r w:rsidR="00C40BCB"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.</w:t>
      </w: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 UVODNE ODREDBE </w:t>
      </w:r>
    </w:p>
    <w:p w14:paraId="10504F0E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1.</w:t>
      </w:r>
    </w:p>
    <w:p w14:paraId="2BFD8B0E" w14:textId="21F3587C" w:rsidR="00AC4A3F" w:rsidRPr="00790DFA" w:rsidRDefault="00AC4A3F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Ovom odredbom utvrđuju se pitanja koja se uređuju ovim Zakonom</w:t>
      </w:r>
      <w:r w:rsidR="00D85363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te se propisuje </w:t>
      </w:r>
      <w:r w:rsidR="00C40BC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obveza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tijela i stručnja</w:t>
      </w:r>
      <w:r w:rsidR="00C40BC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ka koji sudjeluju u projektima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40BC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na poštovanje</w:t>
      </w:r>
      <w:r w:rsidR="00D85363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pravila koja za provedbu projekata propisuje</w:t>
      </w:r>
      <w:r w:rsidR="00C40BCB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Europska unija.</w:t>
      </w:r>
      <w:r w:rsidR="008C499A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Pravila Europske unije za provedbu projekata međunarodne institucionalne suradnje i projekata tehničke pomoći određuje i propisuje Europska komisija u smjernicama i priručnicima koji detaljno i tehnički utvrđuju pravila provedbe i uvjete sudjelovanja u </w:t>
      </w:r>
      <w:r w:rsidR="008B4C41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pojedinom </w:t>
      </w:r>
      <w:r w:rsidR="008C499A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projektima.</w:t>
      </w:r>
    </w:p>
    <w:p w14:paraId="38CC66D6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491F5EA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Uz članak 2. </w:t>
      </w:r>
    </w:p>
    <w:p w14:paraId="45653F38" w14:textId="7F1F76AD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Ovom odredbom utvrđuju se sljedeći pojmovi: međunarodna institucionalna suradnja, projekt tehničke pomoći, nositelj projekta, zajednica ponuditelja, vodeći partner, sudjelujući partner, 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stručnjaci,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kratkoročni stručnjaci, dugoročni stručnjaci, voditelj projekta, dugoročni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t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winning savjetnik, tijelo administrator projekta, nacionalna kontakt točka i kontakt točka. </w:t>
      </w:r>
    </w:p>
    <w:p w14:paraId="58372993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E8C1AC7" w14:textId="5C943AE3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II. TWINNING</w:t>
      </w:r>
    </w:p>
    <w:p w14:paraId="02987854" w14:textId="3DA3FE04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Obavijest o namjeri sudjelovanja</w:t>
      </w:r>
    </w:p>
    <w:p w14:paraId="2E73770A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3.</w:t>
      </w:r>
    </w:p>
    <w:p w14:paraId="0F0F0EA7" w14:textId="6567B0EE" w:rsidR="00AC4A3F" w:rsidRPr="00790DFA" w:rsidRDefault="00454546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Ovom odredbom utvrđuje se način informiranja tijela javne uprave o pozivu za sudjelovanje  u twinning projektima. U</w:t>
      </w:r>
      <w:r w:rsidR="00AC4A3F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tvrđuje se obveza dostave obavijest o namjeri sudjelovanja u projektu </w:t>
      </w:r>
      <w:r w:rsidR="00622EC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n</w:t>
      </w:r>
      <w:r w:rsidR="00AC4A3F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acionalnoj kontakt točki te obveza izvještavanja </w:t>
      </w:r>
      <w:r w:rsidR="00622EC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n</w:t>
      </w:r>
      <w:r w:rsidR="00AC4A3F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acionalne kontakt točke u slučaju promjene uvjeta provedbe ili sudjelovanja u projektu. </w:t>
      </w:r>
    </w:p>
    <w:p w14:paraId="4FB1D457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E4CD82D" w14:textId="36B88918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Ponuda za projekt </w:t>
      </w:r>
    </w:p>
    <w:p w14:paraId="5273BFC0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Uz članak 4. </w:t>
      </w:r>
    </w:p>
    <w:p w14:paraId="5C9FDFE9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Ovim člankom utvrđuje se način i vremenski rok podnošenja ponude za projekt. </w:t>
      </w:r>
    </w:p>
    <w:p w14:paraId="7C5DC4B5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50E0FE3" w14:textId="2694D4E8" w:rsidR="005B4B50" w:rsidRPr="00790DFA" w:rsidRDefault="005B4B50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Potpi</w:t>
      </w:r>
      <w:r w:rsidR="00AC4A3F"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sivanje projektne dokumentacije</w:t>
      </w:r>
    </w:p>
    <w:p w14:paraId="490A4964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5.</w:t>
      </w:r>
    </w:p>
    <w:p w14:paraId="7D795776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Ovom odredbom utvrđuju se potpisnik i supotpisnik projektne dokumentacije. Također, utvrđuje se da je voditelj projekta potpisnik onih dokumenata za koje pravila EU tako zahtijevaju. </w:t>
      </w:r>
    </w:p>
    <w:p w14:paraId="149B9054" w14:textId="77777777" w:rsidR="002306A3" w:rsidRPr="00790DFA" w:rsidRDefault="002306A3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7846AA2" w14:textId="5754BA57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Projektna skupina</w:t>
      </w:r>
    </w:p>
    <w:p w14:paraId="6C3FE572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6.</w:t>
      </w:r>
    </w:p>
    <w:p w14:paraId="6D0DBF87" w14:textId="6305BC19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Ovim člankom utvrđuje se osnivanje projektne skupine za provedbu projekta odlukom o osnivanju projektne skupine. Odlukom o osnivanju projektne skupine imenuju se voditelj projekta, kratkoročni stručnjaci te službenici koji će sudjelovati u tehničkoj provedbi projekta. Ujedno, određuje se odveza obavljanja zadataka na stručan način, u skladu </w:t>
      </w:r>
      <w:r w:rsidR="00D85363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s pravilima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EU i uputama voditelja projekta.</w:t>
      </w:r>
    </w:p>
    <w:p w14:paraId="26C501BE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DFB834C" w14:textId="60703C20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Sudjelovanje dugoročnog twinning savjetnika u projektu</w:t>
      </w:r>
    </w:p>
    <w:p w14:paraId="102F77E3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7.</w:t>
      </w:r>
    </w:p>
    <w:p w14:paraId="4CB486FF" w14:textId="2F0A8D35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Ovom odredbom uređuje se sudjelovanje dugoročnog twinning savjetnika u projektu. Utvrđuje se da čelnik nositelja projekta ili tijelo administrator projekta sklapa s dugoročnim twinning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lastRenderedPageBreak/>
        <w:t xml:space="preserve">savjetnikom ugovor na određeno vrijeme kojim se reguliraju međusobna prava i obveze u skladu s pravilima EU. Određuje se da dugoročni twinning savjetnik za vrijeme trajanja projekta prima naknadu za plaću, u visini radnog mjesta s kojeg se upućuje na rad na projektu, iz proračuna projekta i ima pravo na druga primanja i naknade u skladu s pravilima EU. Također, utvrđuje se da dugoročni twinning savjetnik za vrijeme trajanja projekta ima prava iz obveznog mirovinskog osiguranja i pravo 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na plaćene doprinose koji se nadoknađuju poslodavcu iz proračuna projekta. </w:t>
      </w:r>
    </w:p>
    <w:p w14:paraId="2B261D32" w14:textId="77777777" w:rsidR="00B3387B" w:rsidRDefault="00B3387B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</w:p>
    <w:p w14:paraId="44E8C829" w14:textId="4CBF92BB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Obveze u projektu i redovne poslovne obveze voditelja projekta i kratkoročnih stručnjaka</w:t>
      </w:r>
    </w:p>
    <w:p w14:paraId="1107D8DC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8.</w:t>
      </w:r>
    </w:p>
    <w:p w14:paraId="1248C227" w14:textId="13D62055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Ovim člankom utvrđuje se da kratkoročni stručnjak mora ispunjavati obveze u projektu u skladu s uputama voditelja projekta i dugoročnog twinning savjetnika. Određuje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obveza voditelja projekta na pravovremeno izvještavanje </w:t>
      </w:r>
      <w:r w:rsidR="00622EC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n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acionaln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e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kontakt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točke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 tijeku provedbe projekta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te na dostavu relevantne dokumentacije. Pod potonjom, misli se na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sljedeću dokumentaciju: kopiju twinning ugovora, kopiju službenog pisma o odabranom projektu </w:t>
      </w:r>
      <w:r w:rsidRPr="00790DFA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(notification letter),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dodatke ugovoru, kopiju konzorcijskog ugovora, ako je primjenjivo,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završno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izvješće, kopiju ugovora s dugoročnim twinning savjetnikom,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ako je primjenjivo i druge akte kojima nositelj projekta uređuje sudjelovanje u twinning projektu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(poput odluke o projektnoj skupini i ugovora s kratkoročnim stručnjacima).</w:t>
      </w:r>
    </w:p>
    <w:p w14:paraId="0C4D1DED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153A6A9" w14:textId="6C6CFA7B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Plaćanje kratkoročnih stručnjaka i voditelja projekta</w:t>
      </w:r>
    </w:p>
    <w:p w14:paraId="4FABC185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9.</w:t>
      </w:r>
    </w:p>
    <w:p w14:paraId="24EAD768" w14:textId="50AD587E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Ovom odredbom 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utvrđuje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se da su kratkoročni stručnjak i voditelj projekta za rad u projektu plaćeni iz proračuna projekta.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Ujedno se utvrđuje da se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k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ratkoročnom stručnjaku iz proračuna projekta 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isplaćuje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dnevna paušalna naknada za dan rada u zemlji partneru u minimalnom iznosu od 350 eura bruto</w:t>
      </w:r>
      <w:r w:rsidR="00454546" w:rsidRPr="00790DFA">
        <w:rPr>
          <w:color w:val="000000" w:themeColor="text1"/>
          <w:lang w:val="hr-HR"/>
        </w:rPr>
        <w:t xml:space="preserve"> 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koji se isplaćuje iz proračuna projekta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. Također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propisuje</w:t>
      </w:r>
      <w:r w:rsidR="00C40BCB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se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da voditelj projekta i kratkoročni stručnjak imaju pravo na naknadu troškova povezanih sa službenim putovanjem unutar projekta u visini i na način kako to određuju pravila EU. Troškovi povezani sa službenim putovanjem nadoknađuju se iz proračuna projekta prije odlaska na službeno putovanje. Dodatno, propisuje se da se plaćanje voditelja projekta i kratkoročnog stručnjaka vrši se u roku od 14 radnih dana od kada je nositelj projekta 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ili tijelo administrator projekta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zaprimio sve dokumente potrebne za isplatu dnevne paušalne naknade za rad na projektu. Utvrđuje se da voditelj projekta i kratkoročni stručnjak u radnom odnosu</w:t>
      </w:r>
      <w:r w:rsidR="005A5A1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koji sudjeluje u projektu prima plaću radnog mjesta na koje je raspoređen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za vrijeme boravka u inozemstvu.</w:t>
      </w:r>
      <w:r w:rsidR="005A5A1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Kratkoročni stručnjaci i voditelj projekta ostvaruju pravo na isplatu dnevne paušalne naknade nakon što nositelju projekta ili tijelu administrator</w:t>
      </w:r>
      <w:r w:rsidR="005A5A1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u projekta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dostave izvješće s rada u zemlji partneru (</w:t>
      </w:r>
      <w:r w:rsidRPr="00790DFA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mission report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), </w:t>
      </w:r>
      <w:r w:rsidR="005A5A14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potvrdu 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s rada u zemlji partneru (</w:t>
      </w:r>
      <w:r w:rsidRPr="00790DFA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mission certificate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), zahtjev za plaćanje (</w:t>
      </w:r>
      <w:r w:rsidRPr="00790DFA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request for payment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  <w:r w:rsidR="00454546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</w:p>
    <w:p w14:paraId="6E2E5FB0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</w:p>
    <w:p w14:paraId="712D6C18" w14:textId="2BD225C3" w:rsidR="005B4B50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Sredstva projekta</w:t>
      </w:r>
    </w:p>
    <w:p w14:paraId="60D93DBC" w14:textId="77777777" w:rsidR="00AC4A3F" w:rsidRPr="00790DFA" w:rsidRDefault="00AC4A3F" w:rsidP="00B90E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10.</w:t>
      </w:r>
    </w:p>
    <w:p w14:paraId="7FDE9EBA" w14:textId="6772E9C9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Ovim člankom se uređuje da nositelj projekta može sporazumom ovlastiti tijelo administratora projekta za korištenje sredstava za provedbu projekta.</w:t>
      </w:r>
      <w:r w:rsidR="00790DFA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Također, ovom odredbom uređuje se otvaranje zasebnog projekta u državnom proračunu na kojemu se osiguravaju sredstva potrebna za provedbu projekta.</w:t>
      </w:r>
    </w:p>
    <w:p w14:paraId="5D66DD3B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E42085C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Troškovi podrške provedbi projekata</w:t>
      </w:r>
    </w:p>
    <w:p w14:paraId="11577F48" w14:textId="38785ECC" w:rsidR="00AC4A3F" w:rsidRPr="00790DFA" w:rsidRDefault="00AC4A3F" w:rsidP="00B90E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1</w:t>
      </w:r>
      <w:r w:rsidR="00790DFA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1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</w:p>
    <w:p w14:paraId="69C1F537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lastRenderedPageBreak/>
        <w:t>Ovim člankom utvrđuje se da se troškovi podrške provedbi projekta nadoknađuju nositelju pro</w:t>
      </w:r>
      <w:bookmarkStart w:id="0" w:name="_GoBack"/>
      <w:bookmarkEnd w:id="0"/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jekta iz proračuna projekta u skladu s pravilima EU. Također, utvrđuju se namjene za korištenje troškova podrške provedbi projekta. </w:t>
      </w:r>
    </w:p>
    <w:p w14:paraId="50E93238" w14:textId="77777777" w:rsidR="00AC4A3F" w:rsidRPr="00790DFA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D38761F" w14:textId="40DDD32B" w:rsidR="00AC4A3F" w:rsidRPr="00790DFA" w:rsidRDefault="00AC4A3F" w:rsidP="00B90E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Uz članak 1</w:t>
      </w:r>
      <w:r w:rsidR="00790DFA"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2</w:t>
      </w: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</w:p>
    <w:p w14:paraId="74625E3F" w14:textId="2EFC9BB7" w:rsidR="00C47415" w:rsidRDefault="00AC4A3F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/>
          <w:color w:val="000000" w:themeColor="text1"/>
          <w:sz w:val="24"/>
          <w:szCs w:val="24"/>
          <w:lang w:val="hr-HR"/>
        </w:rPr>
        <w:t>Ovom odredbom se uređuje da nositelj projekta sporazumno uređuje način i iznos raspodjele troškova povezanih sa službenim putovanjem, dnevne paušalne naknade za rad i troškova podrške provedbi projekta s ostalim institucijama koje sudjeluju u projektu sukladno ovom Zakonu i pravilima EU.</w:t>
      </w:r>
    </w:p>
    <w:p w14:paraId="2BEE93F9" w14:textId="77777777" w:rsidR="002306A3" w:rsidRPr="002306A3" w:rsidRDefault="002306A3" w:rsidP="00B90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5A24D2B" w14:textId="3BCE4CBA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III. TAIEX</w:t>
      </w:r>
    </w:p>
    <w:p w14:paraId="6E77716A" w14:textId="77777777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Obavijest o namjeri sudjelovanja</w:t>
      </w:r>
    </w:p>
    <w:p w14:paraId="7746E704" w14:textId="6B320D32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61979DD" w14:textId="369FF24E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Ovom odredbom utvrđuje se način informiranja tijela javne uprave o pozivu za sudjelovanje u projektima TAIEX te se definiraju uvjeti i način prijave stručnjaka ili tijela javne uprave za sudjelovanje u projektu. </w:t>
      </w:r>
    </w:p>
    <w:p w14:paraId="29F9C60E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A650567" w14:textId="44E540F5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Pravo na naknadu </w:t>
      </w:r>
    </w:p>
    <w:p w14:paraId="208D0C79" w14:textId="4BDE31A3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E243F71" w14:textId="650563DE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se propisuje pravo kratkoročnog stručnjaka na dnevnu paušalnu naknadu za sudjelovanje u TAIEX projektu</w:t>
      </w:r>
      <w:r w:rsidR="00454546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skladu s pravilima EU. Utvrđuje se da </w:t>
      </w:r>
      <w:r w:rsidR="00454546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kratkoročni stručnjak u radnom odnosu koji sudjeluje u projektu prima plaću radnog mjesta na koje je raspoređen za cijelo vrijeme boravka u inozemstvu.</w:t>
      </w:r>
      <w:r w:rsidR="00C4221D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Također, određuje se da troškove</w:t>
      </w:r>
      <w:r w:rsidR="00454546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povezane sa službenim putovanjem kratkoročnog i dugoročnog stručnjaka unutar projekta snosi EU u visini i na način kako to određuju pravila EU.</w:t>
      </w:r>
      <w:r w:rsidR="00C4221D" w:rsidRPr="00790D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uređuje se i</w:t>
      </w:r>
      <w:r w:rsidR="005B4B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pravo tijela javne uprave na naknadu za sudjelovanje u projektu u svojstvu domaćina studijskog posjeta u skladu s pravilima EU.  </w:t>
      </w:r>
    </w:p>
    <w:p w14:paraId="54A6AB8B" w14:textId="77777777" w:rsidR="00C4221D" w:rsidRPr="00790DFA" w:rsidRDefault="00C4221D" w:rsidP="00B90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14:paraId="2FA2C8D0" w14:textId="77777777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IV. PROJEKTI TEHNIČKE POMOĆI</w:t>
      </w:r>
    </w:p>
    <w:p w14:paraId="12FEA995" w14:textId="2D2C5315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4EBC80AF" w14:textId="777FB8D0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utvrđuje se da se odredbe ovog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Zakona primjenjuju, na odgovarajući način i ako drugim propisom nije drugačije određeno, na tijela i/ili kratkoročne stručnjake koji sudjeluju u projektima tehničke pomoći.</w:t>
      </w:r>
    </w:p>
    <w:p w14:paraId="30A1A553" w14:textId="77777777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određuje se da se minimalni iznos dnevne paušalne naknade iz stavka 3. članka 9. ovoga Zakona ne primjenjuje na projekte tehničke pomoći ako je ugovorom o tehničkoj pomoći drugačije određeno.</w:t>
      </w:r>
    </w:p>
    <w:p w14:paraId="327C8F55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4501C45" w14:textId="72E0BB41" w:rsidR="00C47415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V. ZAJEDNIČKE ODREDBE</w:t>
      </w:r>
    </w:p>
    <w:p w14:paraId="7698D897" w14:textId="77777777" w:rsidR="005B4B50" w:rsidRPr="00790DFA" w:rsidRDefault="005B4B50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05968F8" w14:textId="77777777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Vremensko ograničenje sudjelovanja u projektu</w:t>
      </w:r>
    </w:p>
    <w:p w14:paraId="111CCD23" w14:textId="6DDC9B43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Uz </w:t>
      </w:r>
      <w:r w:rsidR="00C40BCB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8F65F6E" w14:textId="1AD522FA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utvrđuje se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kratkoročni stručnjak može sudjelovati u projektima maksimalno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40 radnih dana u jednoj kalendarskoj godini te se utvrđuje da iznimno i po odobrenju čelnika tijela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 radi dinamike projekata, kratkoročni stručnjak može u kalendarskoj godini sudjelovati u projektima duže od 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navedenoga roka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ali ne duže od 60 radnih dana.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Također.</w:t>
      </w:r>
      <w:r w:rsidR="005B4B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definira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da rad na projektima ne smije utjecati na redovno ispunjavanje poslovnih obveza prema tijelu u kojemu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je kratkoročni stručnjak zaposlen. Odredbe ovoga članka ne odnose se na dugoročnog twinning savjetnika niti 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dugoročnog stručnjaka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306D05D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EB7BCC7" w14:textId="20986FD4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Sudjelovanje dugoročnog stručnjaka u projektu</w:t>
      </w:r>
    </w:p>
    <w:p w14:paraId="29D1F284" w14:textId="58D58343" w:rsidR="00C47415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</w:t>
      </w:r>
      <w:r w:rsidR="00C474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="00C474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6516BB8" w14:textId="121974AA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odredbom definira se sklapanje ugovora o provedbi projekta između dugoročnog stručnjaka i nositelja projekta kojim se uređuju međusobna prava i obveze u skladu s pravilima EU te se dugoročnom stručnjaku za vrijeme trajanja ugovora iz stavka 1. ovog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članka određuje mirovanje prava i obvez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 radnog odnosa, a vrijeme iz stavka 1. ovog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članka se priznaje kao neprekidni rad i kao stečeno radno iskustvo u struci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Ujedno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propisuje da će se dugoročni stručnjak po povratku sa sudjelovanja na projektu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vratiti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rad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 mjesto s kojeg je upućen te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iznimno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slučaju ako povratak na to radno mjesto 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ne bude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moguć</w:t>
      </w:r>
      <w:r w:rsidR="005A5A14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rasporedit će se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drugo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radno mjesto za koje ispunjava propisane uvjete.</w:t>
      </w:r>
    </w:p>
    <w:p w14:paraId="56DD4D49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C9E73C5" w14:textId="74C579C4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Odobrenje za službeno putovanje</w:t>
      </w:r>
    </w:p>
    <w:p w14:paraId="55CC2535" w14:textId="759D50A2" w:rsidR="00C47415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</w:t>
      </w:r>
      <w:r w:rsidR="00C474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lanak 1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</w:t>
      </w:r>
      <w:r w:rsidR="00C474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2BEB090" w14:textId="278931BA" w:rsidR="00B3387B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Ovom odredbom utvrđuje se 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 č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elnik tijela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odobrava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voditelju projekta, dugoročnom twinning savjetniku</w:t>
      </w:r>
      <w:r w:rsidR="00B3387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 kratkoročnom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stručnjaku odlazak na službeno putovanje radi izvršenja stručne misije u okviru projekta.</w:t>
      </w:r>
    </w:p>
    <w:p w14:paraId="6CD91261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6AADE48" w14:textId="4374A48A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Obveze u projektu</w:t>
      </w:r>
    </w:p>
    <w:p w14:paraId="541E3863" w14:textId="7DD6C2B4" w:rsidR="00C47415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Uz članak 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19</w:t>
      </w:r>
      <w:r w:rsidR="00C4741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33DBB4C9" w14:textId="7AAF7EC9" w:rsidR="00C47415" w:rsidRPr="00790DFA" w:rsidRDefault="00C47415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Ovom odred</w:t>
      </w:r>
      <w:r w:rsidR="00A55A25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bom načelno se utvrđuje da su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tijelo i/ili voditelj projekta, dugoročni twinning savjetnik, dugoročni stručnjak te kratkoročni stručnjak, koji sudjeluju u projektu obvezni obavljati zadatke u projektu na stručan način i u skladu s pravilima EU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Također, određuje se da</w:t>
      </w:r>
      <w:r w:rsidR="00C4221D" w:rsidRPr="00790DFA">
        <w:rPr>
          <w:color w:val="000000" w:themeColor="text1"/>
          <w:lang w:val="hr-HR"/>
        </w:rPr>
        <w:t xml:space="preserve"> </w:t>
      </w:r>
      <w:r w:rsidR="00C4221D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tijelo i/ili voditelj projekta, dugoročni stručnjak te kratkoročni stručnjak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svojim sudjelovanjem predstavljaju interese Republike Hrvatske.</w:t>
      </w:r>
    </w:p>
    <w:p w14:paraId="57035F5B" w14:textId="77777777" w:rsidR="005D7D2B" w:rsidRDefault="005D7D2B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C4FA6F5" w14:textId="252351BC" w:rsidR="00C47415" w:rsidRPr="002306A3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306A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VI. PRIJELAZNE I ZAVRŠNE ODREDBE</w:t>
      </w:r>
    </w:p>
    <w:p w14:paraId="742EA33E" w14:textId="0DD11D6D" w:rsidR="00C4221D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članak 2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0782B8FF" w14:textId="358802E2" w:rsidR="00C4221D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Ovim člankom utvrđuje se da će se odredbe ovoga Zakona primjenjivati na</w:t>
      </w:r>
      <w:r w:rsidRPr="00790DFA">
        <w:rPr>
          <w:color w:val="000000" w:themeColor="text1"/>
          <w:lang w:val="hr-HR"/>
        </w:rPr>
        <w:t xml:space="preserve"> 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projekte čija će provedba započeti nakon stupanja na snagu ovoga Zakona.</w:t>
      </w:r>
    </w:p>
    <w:p w14:paraId="3DE369D9" w14:textId="77777777" w:rsidR="00C4221D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8608A30" w14:textId="25ACB07F" w:rsidR="00C4221D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članak 2</w:t>
      </w:r>
      <w:r w:rsidR="00790DFA"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2CA16F9A" w14:textId="48433339" w:rsidR="00C4221D" w:rsidRPr="00790DFA" w:rsidRDefault="00C4221D" w:rsidP="00B90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DF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Ovim člankom utvrđuje se stupanje na snagu ovoga Zakona.</w:t>
      </w:r>
    </w:p>
    <w:sectPr w:rsidR="00C4221D" w:rsidRPr="00790DFA" w:rsidSect="00815858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CB471" w16cid:durableId="1EBB94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661C" w14:textId="77777777" w:rsidR="00F81F11" w:rsidRDefault="00F81F11" w:rsidP="00CF2D61">
      <w:pPr>
        <w:spacing w:after="0" w:line="240" w:lineRule="auto"/>
      </w:pPr>
      <w:r>
        <w:separator/>
      </w:r>
    </w:p>
  </w:endnote>
  <w:endnote w:type="continuationSeparator" w:id="0">
    <w:p w14:paraId="3914D4E1" w14:textId="77777777" w:rsidR="00F81F11" w:rsidRDefault="00F81F11" w:rsidP="00CF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2D7B7" w14:textId="7E484426" w:rsidR="00815858" w:rsidRDefault="00815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B5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1E9BA96" w14:textId="77777777" w:rsidR="00815858" w:rsidRDefault="0081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A6E3" w14:textId="77777777" w:rsidR="00F81F11" w:rsidRDefault="00F81F11" w:rsidP="00CF2D61">
      <w:pPr>
        <w:spacing w:after="0" w:line="240" w:lineRule="auto"/>
      </w:pPr>
      <w:r>
        <w:separator/>
      </w:r>
    </w:p>
  </w:footnote>
  <w:footnote w:type="continuationSeparator" w:id="0">
    <w:p w14:paraId="5029DD7E" w14:textId="77777777" w:rsidR="00F81F11" w:rsidRDefault="00F81F11" w:rsidP="00CF2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E9B"/>
    <w:multiLevelType w:val="hybridMultilevel"/>
    <w:tmpl w:val="A0987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145"/>
    <w:multiLevelType w:val="hybridMultilevel"/>
    <w:tmpl w:val="DBC8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EA8"/>
    <w:multiLevelType w:val="hybridMultilevel"/>
    <w:tmpl w:val="30DAA924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5E678CE"/>
    <w:multiLevelType w:val="hybridMultilevel"/>
    <w:tmpl w:val="B6EACAD8"/>
    <w:lvl w:ilvl="0" w:tplc="4A18FC9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B4B"/>
    <w:multiLevelType w:val="hybridMultilevel"/>
    <w:tmpl w:val="BB6831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907CF"/>
    <w:multiLevelType w:val="hybridMultilevel"/>
    <w:tmpl w:val="A606B718"/>
    <w:lvl w:ilvl="0" w:tplc="041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0BDF2AE7"/>
    <w:multiLevelType w:val="hybridMultilevel"/>
    <w:tmpl w:val="FC1A2B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4267D"/>
    <w:multiLevelType w:val="hybridMultilevel"/>
    <w:tmpl w:val="02C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133B7"/>
    <w:multiLevelType w:val="hybridMultilevel"/>
    <w:tmpl w:val="71AAD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D79D8"/>
    <w:multiLevelType w:val="hybridMultilevel"/>
    <w:tmpl w:val="6B90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1F4790"/>
    <w:multiLevelType w:val="hybridMultilevel"/>
    <w:tmpl w:val="684CB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47FB"/>
    <w:multiLevelType w:val="hybridMultilevel"/>
    <w:tmpl w:val="64AA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9C19A3"/>
    <w:multiLevelType w:val="hybridMultilevel"/>
    <w:tmpl w:val="7800FE20"/>
    <w:lvl w:ilvl="0" w:tplc="3B8CB5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6A63"/>
    <w:multiLevelType w:val="hybridMultilevel"/>
    <w:tmpl w:val="4B66E8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A278CF"/>
    <w:multiLevelType w:val="hybridMultilevel"/>
    <w:tmpl w:val="C22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7904"/>
    <w:multiLevelType w:val="hybridMultilevel"/>
    <w:tmpl w:val="A44E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A25C3"/>
    <w:multiLevelType w:val="hybridMultilevel"/>
    <w:tmpl w:val="C75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D05BF"/>
    <w:multiLevelType w:val="hybridMultilevel"/>
    <w:tmpl w:val="24121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D022B"/>
    <w:multiLevelType w:val="hybridMultilevel"/>
    <w:tmpl w:val="60C6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2F92"/>
    <w:multiLevelType w:val="hybridMultilevel"/>
    <w:tmpl w:val="56EC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13B73"/>
    <w:multiLevelType w:val="hybridMultilevel"/>
    <w:tmpl w:val="F1B8C0FA"/>
    <w:lvl w:ilvl="0" w:tplc="F0E64B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07637"/>
    <w:multiLevelType w:val="hybridMultilevel"/>
    <w:tmpl w:val="E26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2765"/>
    <w:multiLevelType w:val="hybridMultilevel"/>
    <w:tmpl w:val="0244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64119"/>
    <w:multiLevelType w:val="hybridMultilevel"/>
    <w:tmpl w:val="36C2F8B2"/>
    <w:lvl w:ilvl="0" w:tplc="FD1A9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643"/>
    <w:multiLevelType w:val="hybridMultilevel"/>
    <w:tmpl w:val="EF7E336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0D3568"/>
    <w:multiLevelType w:val="hybridMultilevel"/>
    <w:tmpl w:val="45AAF6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F46B3A"/>
    <w:multiLevelType w:val="hybridMultilevel"/>
    <w:tmpl w:val="50B2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15CF9"/>
    <w:multiLevelType w:val="hybridMultilevel"/>
    <w:tmpl w:val="128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7861"/>
    <w:multiLevelType w:val="hybridMultilevel"/>
    <w:tmpl w:val="F78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12AD"/>
    <w:multiLevelType w:val="hybridMultilevel"/>
    <w:tmpl w:val="5F2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06931"/>
    <w:multiLevelType w:val="hybridMultilevel"/>
    <w:tmpl w:val="958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625FD"/>
    <w:multiLevelType w:val="hybridMultilevel"/>
    <w:tmpl w:val="3FA86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FA4CB2"/>
    <w:multiLevelType w:val="hybridMultilevel"/>
    <w:tmpl w:val="94E2230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085A24"/>
    <w:multiLevelType w:val="hybridMultilevel"/>
    <w:tmpl w:val="FAFA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E551FF"/>
    <w:multiLevelType w:val="hybridMultilevel"/>
    <w:tmpl w:val="BAB44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230159"/>
    <w:multiLevelType w:val="hybridMultilevel"/>
    <w:tmpl w:val="D53E4B9A"/>
    <w:lvl w:ilvl="0" w:tplc="6D8AE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E3F6F"/>
    <w:multiLevelType w:val="hybridMultilevel"/>
    <w:tmpl w:val="76D8A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9810E6"/>
    <w:multiLevelType w:val="hybridMultilevel"/>
    <w:tmpl w:val="EFC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65CD8"/>
    <w:multiLevelType w:val="hybridMultilevel"/>
    <w:tmpl w:val="86FCFD12"/>
    <w:lvl w:ilvl="0" w:tplc="4C048E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BD6E46"/>
    <w:multiLevelType w:val="hybridMultilevel"/>
    <w:tmpl w:val="AE54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95012"/>
    <w:multiLevelType w:val="hybridMultilevel"/>
    <w:tmpl w:val="FCD6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F6102"/>
    <w:multiLevelType w:val="hybridMultilevel"/>
    <w:tmpl w:val="2E92F680"/>
    <w:lvl w:ilvl="0" w:tplc="3B8CB5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C7ECB28">
      <w:start w:val="14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41BE5"/>
    <w:multiLevelType w:val="hybridMultilevel"/>
    <w:tmpl w:val="ECEA87A0"/>
    <w:lvl w:ilvl="0" w:tplc="00F4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0A64"/>
    <w:multiLevelType w:val="hybridMultilevel"/>
    <w:tmpl w:val="7C00AE7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5A212F"/>
    <w:multiLevelType w:val="hybridMultilevel"/>
    <w:tmpl w:val="74A0BD40"/>
    <w:lvl w:ilvl="0" w:tplc="041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5" w15:restartNumberingAfterBreak="0">
    <w:nsid w:val="7B8F62E5"/>
    <w:multiLevelType w:val="hybridMultilevel"/>
    <w:tmpl w:val="90C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E5899"/>
    <w:multiLevelType w:val="hybridMultilevel"/>
    <w:tmpl w:val="727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9"/>
  </w:num>
  <w:num w:numId="4">
    <w:abstractNumId w:val="26"/>
  </w:num>
  <w:num w:numId="5">
    <w:abstractNumId w:val="30"/>
  </w:num>
  <w:num w:numId="6">
    <w:abstractNumId w:val="16"/>
  </w:num>
  <w:num w:numId="7">
    <w:abstractNumId w:val="11"/>
  </w:num>
  <w:num w:numId="8">
    <w:abstractNumId w:val="19"/>
  </w:num>
  <w:num w:numId="9">
    <w:abstractNumId w:val="36"/>
  </w:num>
  <w:num w:numId="10">
    <w:abstractNumId w:val="27"/>
  </w:num>
  <w:num w:numId="11">
    <w:abstractNumId w:val="15"/>
  </w:num>
  <w:num w:numId="12">
    <w:abstractNumId w:val="3"/>
  </w:num>
  <w:num w:numId="13">
    <w:abstractNumId w:val="40"/>
  </w:num>
  <w:num w:numId="14">
    <w:abstractNumId w:val="45"/>
  </w:num>
  <w:num w:numId="15">
    <w:abstractNumId w:val="28"/>
  </w:num>
  <w:num w:numId="16">
    <w:abstractNumId w:val="8"/>
  </w:num>
  <w:num w:numId="17">
    <w:abstractNumId w:val="37"/>
  </w:num>
  <w:num w:numId="18">
    <w:abstractNumId w:val="29"/>
  </w:num>
  <w:num w:numId="19">
    <w:abstractNumId w:val="35"/>
  </w:num>
  <w:num w:numId="20">
    <w:abstractNumId w:val="20"/>
  </w:num>
  <w:num w:numId="21">
    <w:abstractNumId w:val="1"/>
  </w:num>
  <w:num w:numId="22">
    <w:abstractNumId w:val="39"/>
  </w:num>
  <w:num w:numId="23">
    <w:abstractNumId w:val="34"/>
  </w:num>
  <w:num w:numId="24">
    <w:abstractNumId w:val="10"/>
  </w:num>
  <w:num w:numId="25">
    <w:abstractNumId w:val="38"/>
  </w:num>
  <w:num w:numId="26">
    <w:abstractNumId w:val="32"/>
  </w:num>
  <w:num w:numId="27">
    <w:abstractNumId w:val="24"/>
  </w:num>
  <w:num w:numId="28">
    <w:abstractNumId w:val="17"/>
  </w:num>
  <w:num w:numId="29">
    <w:abstractNumId w:val="6"/>
  </w:num>
  <w:num w:numId="30">
    <w:abstractNumId w:val="13"/>
  </w:num>
  <w:num w:numId="31">
    <w:abstractNumId w:val="5"/>
  </w:num>
  <w:num w:numId="32">
    <w:abstractNumId w:val="4"/>
  </w:num>
  <w:num w:numId="33">
    <w:abstractNumId w:val="31"/>
  </w:num>
  <w:num w:numId="34">
    <w:abstractNumId w:val="2"/>
  </w:num>
  <w:num w:numId="35">
    <w:abstractNumId w:val="0"/>
  </w:num>
  <w:num w:numId="36">
    <w:abstractNumId w:val="44"/>
  </w:num>
  <w:num w:numId="37">
    <w:abstractNumId w:val="43"/>
  </w:num>
  <w:num w:numId="38">
    <w:abstractNumId w:val="25"/>
  </w:num>
  <w:num w:numId="39">
    <w:abstractNumId w:val="33"/>
  </w:num>
  <w:num w:numId="40">
    <w:abstractNumId w:val="7"/>
  </w:num>
  <w:num w:numId="41">
    <w:abstractNumId w:val="23"/>
  </w:num>
  <w:num w:numId="42">
    <w:abstractNumId w:val="42"/>
  </w:num>
  <w:num w:numId="43">
    <w:abstractNumId w:val="22"/>
  </w:num>
  <w:num w:numId="44">
    <w:abstractNumId w:val="18"/>
  </w:num>
  <w:num w:numId="45">
    <w:abstractNumId w:val="21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NLIwNjI1MTM1NTZV0lEKTi0uzszPAykwrAUAPyvrqCwAAAA="/>
  </w:docVars>
  <w:rsids>
    <w:rsidRoot w:val="00C7409D"/>
    <w:rsid w:val="00006F3D"/>
    <w:rsid w:val="00010DF4"/>
    <w:rsid w:val="0002018B"/>
    <w:rsid w:val="00022B40"/>
    <w:rsid w:val="000230BD"/>
    <w:rsid w:val="00030718"/>
    <w:rsid w:val="0003287A"/>
    <w:rsid w:val="0003677A"/>
    <w:rsid w:val="0004313D"/>
    <w:rsid w:val="00045AE0"/>
    <w:rsid w:val="00046AEF"/>
    <w:rsid w:val="00053A60"/>
    <w:rsid w:val="00053E35"/>
    <w:rsid w:val="0005691E"/>
    <w:rsid w:val="000628E9"/>
    <w:rsid w:val="00064DE6"/>
    <w:rsid w:val="00066899"/>
    <w:rsid w:val="00071AF2"/>
    <w:rsid w:val="00072BC7"/>
    <w:rsid w:val="0007420E"/>
    <w:rsid w:val="000816FB"/>
    <w:rsid w:val="00081B54"/>
    <w:rsid w:val="000822E8"/>
    <w:rsid w:val="0008518F"/>
    <w:rsid w:val="000878D0"/>
    <w:rsid w:val="00091A5F"/>
    <w:rsid w:val="0009234C"/>
    <w:rsid w:val="0009266C"/>
    <w:rsid w:val="00095CB3"/>
    <w:rsid w:val="000A58F7"/>
    <w:rsid w:val="000A66A4"/>
    <w:rsid w:val="000B2A1B"/>
    <w:rsid w:val="000B3515"/>
    <w:rsid w:val="000B40BF"/>
    <w:rsid w:val="000C0792"/>
    <w:rsid w:val="000C27A7"/>
    <w:rsid w:val="000C6DA7"/>
    <w:rsid w:val="000D05AD"/>
    <w:rsid w:val="000E072A"/>
    <w:rsid w:val="000E405D"/>
    <w:rsid w:val="000F4074"/>
    <w:rsid w:val="000F68C1"/>
    <w:rsid w:val="000F6DCE"/>
    <w:rsid w:val="001033F1"/>
    <w:rsid w:val="00107B69"/>
    <w:rsid w:val="0011353B"/>
    <w:rsid w:val="00113731"/>
    <w:rsid w:val="001140E1"/>
    <w:rsid w:val="00114B85"/>
    <w:rsid w:val="00116335"/>
    <w:rsid w:val="00117BD6"/>
    <w:rsid w:val="00130BE7"/>
    <w:rsid w:val="00136C33"/>
    <w:rsid w:val="00142518"/>
    <w:rsid w:val="001518BA"/>
    <w:rsid w:val="0016271B"/>
    <w:rsid w:val="001813E3"/>
    <w:rsid w:val="0018176F"/>
    <w:rsid w:val="00184880"/>
    <w:rsid w:val="00191EB3"/>
    <w:rsid w:val="001943B5"/>
    <w:rsid w:val="00196558"/>
    <w:rsid w:val="00196834"/>
    <w:rsid w:val="001A3688"/>
    <w:rsid w:val="001A71E3"/>
    <w:rsid w:val="001B01EB"/>
    <w:rsid w:val="001B3EBA"/>
    <w:rsid w:val="001B473C"/>
    <w:rsid w:val="001B6C75"/>
    <w:rsid w:val="001B71DC"/>
    <w:rsid w:val="001D101D"/>
    <w:rsid w:val="001D158E"/>
    <w:rsid w:val="001D4673"/>
    <w:rsid w:val="001E0400"/>
    <w:rsid w:val="001E0E8A"/>
    <w:rsid w:val="001E6048"/>
    <w:rsid w:val="001F1DF2"/>
    <w:rsid w:val="00201212"/>
    <w:rsid w:val="00210A0A"/>
    <w:rsid w:val="00211A62"/>
    <w:rsid w:val="00220308"/>
    <w:rsid w:val="002306A3"/>
    <w:rsid w:val="00232FC9"/>
    <w:rsid w:val="00241840"/>
    <w:rsid w:val="0024459D"/>
    <w:rsid w:val="00244D6A"/>
    <w:rsid w:val="002512C6"/>
    <w:rsid w:val="00253A24"/>
    <w:rsid w:val="00254F78"/>
    <w:rsid w:val="0025586B"/>
    <w:rsid w:val="002560EE"/>
    <w:rsid w:val="00261883"/>
    <w:rsid w:val="00272E26"/>
    <w:rsid w:val="0027353A"/>
    <w:rsid w:val="0027783A"/>
    <w:rsid w:val="00285BF6"/>
    <w:rsid w:val="002864E8"/>
    <w:rsid w:val="002873E3"/>
    <w:rsid w:val="00292B05"/>
    <w:rsid w:val="002B3FC4"/>
    <w:rsid w:val="002B4A7B"/>
    <w:rsid w:val="002B60F9"/>
    <w:rsid w:val="002C5981"/>
    <w:rsid w:val="002D1C37"/>
    <w:rsid w:val="002D4271"/>
    <w:rsid w:val="002D5F66"/>
    <w:rsid w:val="002E378D"/>
    <w:rsid w:val="002F43CE"/>
    <w:rsid w:val="002F4603"/>
    <w:rsid w:val="002F7E38"/>
    <w:rsid w:val="00301686"/>
    <w:rsid w:val="00303582"/>
    <w:rsid w:val="00304918"/>
    <w:rsid w:val="00313FC1"/>
    <w:rsid w:val="00315497"/>
    <w:rsid w:val="00317082"/>
    <w:rsid w:val="00320653"/>
    <w:rsid w:val="00321926"/>
    <w:rsid w:val="0032565E"/>
    <w:rsid w:val="0033004B"/>
    <w:rsid w:val="00331DB1"/>
    <w:rsid w:val="00340622"/>
    <w:rsid w:val="00341B37"/>
    <w:rsid w:val="0034222A"/>
    <w:rsid w:val="00344B5A"/>
    <w:rsid w:val="00353CD5"/>
    <w:rsid w:val="00355C89"/>
    <w:rsid w:val="0036112B"/>
    <w:rsid w:val="00362315"/>
    <w:rsid w:val="00362651"/>
    <w:rsid w:val="00366FEF"/>
    <w:rsid w:val="0037079D"/>
    <w:rsid w:val="0037274A"/>
    <w:rsid w:val="00373E92"/>
    <w:rsid w:val="0037607E"/>
    <w:rsid w:val="00376C7D"/>
    <w:rsid w:val="00386076"/>
    <w:rsid w:val="003960F5"/>
    <w:rsid w:val="003A4735"/>
    <w:rsid w:val="003A5258"/>
    <w:rsid w:val="003B3AEA"/>
    <w:rsid w:val="003C136B"/>
    <w:rsid w:val="003C1FB6"/>
    <w:rsid w:val="003C2BE3"/>
    <w:rsid w:val="003D093B"/>
    <w:rsid w:val="003D23D0"/>
    <w:rsid w:val="003E3687"/>
    <w:rsid w:val="003E6E3F"/>
    <w:rsid w:val="003F4E00"/>
    <w:rsid w:val="003F5E61"/>
    <w:rsid w:val="003F618B"/>
    <w:rsid w:val="00400BE9"/>
    <w:rsid w:val="004056AA"/>
    <w:rsid w:val="00410CEE"/>
    <w:rsid w:val="004110B2"/>
    <w:rsid w:val="0041142D"/>
    <w:rsid w:val="00412F84"/>
    <w:rsid w:val="004159DF"/>
    <w:rsid w:val="00416283"/>
    <w:rsid w:val="00426397"/>
    <w:rsid w:val="00426D7D"/>
    <w:rsid w:val="00427252"/>
    <w:rsid w:val="0043170E"/>
    <w:rsid w:val="00443AE0"/>
    <w:rsid w:val="004457E8"/>
    <w:rsid w:val="0045291B"/>
    <w:rsid w:val="004544D0"/>
    <w:rsid w:val="00454546"/>
    <w:rsid w:val="00456EA8"/>
    <w:rsid w:val="004572C3"/>
    <w:rsid w:val="00471B4A"/>
    <w:rsid w:val="00473FDB"/>
    <w:rsid w:val="0047413D"/>
    <w:rsid w:val="00491B95"/>
    <w:rsid w:val="004929BE"/>
    <w:rsid w:val="004A08D7"/>
    <w:rsid w:val="004A65E1"/>
    <w:rsid w:val="004A708E"/>
    <w:rsid w:val="004A7B05"/>
    <w:rsid w:val="004B0A99"/>
    <w:rsid w:val="004B3AB5"/>
    <w:rsid w:val="004B75FC"/>
    <w:rsid w:val="004D2C12"/>
    <w:rsid w:val="004D2CF5"/>
    <w:rsid w:val="004D749A"/>
    <w:rsid w:val="004E6FB8"/>
    <w:rsid w:val="004F03C8"/>
    <w:rsid w:val="004F3C50"/>
    <w:rsid w:val="00505F98"/>
    <w:rsid w:val="0050629C"/>
    <w:rsid w:val="00510D59"/>
    <w:rsid w:val="00511FE6"/>
    <w:rsid w:val="00514F1A"/>
    <w:rsid w:val="005150E9"/>
    <w:rsid w:val="00517219"/>
    <w:rsid w:val="00521972"/>
    <w:rsid w:val="0052255B"/>
    <w:rsid w:val="00525D67"/>
    <w:rsid w:val="0053217F"/>
    <w:rsid w:val="005369BF"/>
    <w:rsid w:val="00541DDF"/>
    <w:rsid w:val="00547B06"/>
    <w:rsid w:val="005539C7"/>
    <w:rsid w:val="00556689"/>
    <w:rsid w:val="00560B09"/>
    <w:rsid w:val="005650C5"/>
    <w:rsid w:val="005663B8"/>
    <w:rsid w:val="0056681E"/>
    <w:rsid w:val="00570F36"/>
    <w:rsid w:val="0058092C"/>
    <w:rsid w:val="00583EE8"/>
    <w:rsid w:val="00584193"/>
    <w:rsid w:val="0058570D"/>
    <w:rsid w:val="00587928"/>
    <w:rsid w:val="00591727"/>
    <w:rsid w:val="005A3AD2"/>
    <w:rsid w:val="005A53CB"/>
    <w:rsid w:val="005A57DC"/>
    <w:rsid w:val="005A5A14"/>
    <w:rsid w:val="005B32D7"/>
    <w:rsid w:val="005B4B50"/>
    <w:rsid w:val="005B59F1"/>
    <w:rsid w:val="005B72C0"/>
    <w:rsid w:val="005C1A43"/>
    <w:rsid w:val="005C31C3"/>
    <w:rsid w:val="005C50B7"/>
    <w:rsid w:val="005D0527"/>
    <w:rsid w:val="005D1B46"/>
    <w:rsid w:val="005D7D2B"/>
    <w:rsid w:val="005E6CA0"/>
    <w:rsid w:val="005F2083"/>
    <w:rsid w:val="005F28A5"/>
    <w:rsid w:val="005F62F5"/>
    <w:rsid w:val="00601D8E"/>
    <w:rsid w:val="00602975"/>
    <w:rsid w:val="00611F4D"/>
    <w:rsid w:val="006155F8"/>
    <w:rsid w:val="00622026"/>
    <w:rsid w:val="00622EC4"/>
    <w:rsid w:val="00634C98"/>
    <w:rsid w:val="00642E14"/>
    <w:rsid w:val="00644A9B"/>
    <w:rsid w:val="006462F7"/>
    <w:rsid w:val="00651CC1"/>
    <w:rsid w:val="00661E8A"/>
    <w:rsid w:val="0066670F"/>
    <w:rsid w:val="006730C8"/>
    <w:rsid w:val="00674ECB"/>
    <w:rsid w:val="006755DF"/>
    <w:rsid w:val="00685364"/>
    <w:rsid w:val="00685973"/>
    <w:rsid w:val="0069022B"/>
    <w:rsid w:val="006A0AC6"/>
    <w:rsid w:val="006A1582"/>
    <w:rsid w:val="006A68F5"/>
    <w:rsid w:val="006B6130"/>
    <w:rsid w:val="006C1C42"/>
    <w:rsid w:val="006C4489"/>
    <w:rsid w:val="006C4A01"/>
    <w:rsid w:val="006C6470"/>
    <w:rsid w:val="006C705B"/>
    <w:rsid w:val="006D23A4"/>
    <w:rsid w:val="006D77DB"/>
    <w:rsid w:val="006E1E26"/>
    <w:rsid w:val="006E2230"/>
    <w:rsid w:val="006E6A0A"/>
    <w:rsid w:val="006F4332"/>
    <w:rsid w:val="007068D3"/>
    <w:rsid w:val="00712BC0"/>
    <w:rsid w:val="00715243"/>
    <w:rsid w:val="0071706C"/>
    <w:rsid w:val="00720576"/>
    <w:rsid w:val="00722D96"/>
    <w:rsid w:val="00723C47"/>
    <w:rsid w:val="00732A06"/>
    <w:rsid w:val="00745C04"/>
    <w:rsid w:val="007476D1"/>
    <w:rsid w:val="007548FB"/>
    <w:rsid w:val="0075580A"/>
    <w:rsid w:val="00757EEC"/>
    <w:rsid w:val="00761E7C"/>
    <w:rsid w:val="007626E0"/>
    <w:rsid w:val="007635A5"/>
    <w:rsid w:val="0076387B"/>
    <w:rsid w:val="00764B40"/>
    <w:rsid w:val="0076613D"/>
    <w:rsid w:val="00767932"/>
    <w:rsid w:val="0077303A"/>
    <w:rsid w:val="00774EF2"/>
    <w:rsid w:val="00777989"/>
    <w:rsid w:val="00780A3F"/>
    <w:rsid w:val="007822AE"/>
    <w:rsid w:val="00790D57"/>
    <w:rsid w:val="00790DFA"/>
    <w:rsid w:val="00792E9D"/>
    <w:rsid w:val="00793C01"/>
    <w:rsid w:val="0079780D"/>
    <w:rsid w:val="007B3121"/>
    <w:rsid w:val="007B404E"/>
    <w:rsid w:val="007B6C00"/>
    <w:rsid w:val="007B7C08"/>
    <w:rsid w:val="007C4C24"/>
    <w:rsid w:val="007C644A"/>
    <w:rsid w:val="007E798D"/>
    <w:rsid w:val="007F1EB8"/>
    <w:rsid w:val="00815858"/>
    <w:rsid w:val="00823590"/>
    <w:rsid w:val="00823968"/>
    <w:rsid w:val="00823FF3"/>
    <w:rsid w:val="00825AD1"/>
    <w:rsid w:val="00830A04"/>
    <w:rsid w:val="00830D8A"/>
    <w:rsid w:val="00832DC8"/>
    <w:rsid w:val="008338B7"/>
    <w:rsid w:val="00835A42"/>
    <w:rsid w:val="00836374"/>
    <w:rsid w:val="00844E52"/>
    <w:rsid w:val="00844E93"/>
    <w:rsid w:val="008506EF"/>
    <w:rsid w:val="00851EE4"/>
    <w:rsid w:val="00855681"/>
    <w:rsid w:val="00855E6A"/>
    <w:rsid w:val="00857518"/>
    <w:rsid w:val="00864FC1"/>
    <w:rsid w:val="00867980"/>
    <w:rsid w:val="008843AA"/>
    <w:rsid w:val="00884EBC"/>
    <w:rsid w:val="00891106"/>
    <w:rsid w:val="008A3C40"/>
    <w:rsid w:val="008B341C"/>
    <w:rsid w:val="008B45E3"/>
    <w:rsid w:val="008B4AFA"/>
    <w:rsid w:val="008B4C41"/>
    <w:rsid w:val="008B670B"/>
    <w:rsid w:val="008C0206"/>
    <w:rsid w:val="008C12D6"/>
    <w:rsid w:val="008C3DF0"/>
    <w:rsid w:val="008C499A"/>
    <w:rsid w:val="008C5F0D"/>
    <w:rsid w:val="008D1D7E"/>
    <w:rsid w:val="008D519A"/>
    <w:rsid w:val="008D68E5"/>
    <w:rsid w:val="008F1D99"/>
    <w:rsid w:val="008F25C2"/>
    <w:rsid w:val="008F365F"/>
    <w:rsid w:val="008F7B6F"/>
    <w:rsid w:val="009010E5"/>
    <w:rsid w:val="00901FBE"/>
    <w:rsid w:val="00905D86"/>
    <w:rsid w:val="00911BD5"/>
    <w:rsid w:val="00927C64"/>
    <w:rsid w:val="00927C68"/>
    <w:rsid w:val="00942977"/>
    <w:rsid w:val="00945103"/>
    <w:rsid w:val="00951532"/>
    <w:rsid w:val="0095717E"/>
    <w:rsid w:val="00960F93"/>
    <w:rsid w:val="00962AAF"/>
    <w:rsid w:val="00963919"/>
    <w:rsid w:val="009655E0"/>
    <w:rsid w:val="00965F40"/>
    <w:rsid w:val="00972180"/>
    <w:rsid w:val="009837A8"/>
    <w:rsid w:val="00984020"/>
    <w:rsid w:val="00985E12"/>
    <w:rsid w:val="00991EFD"/>
    <w:rsid w:val="0099211E"/>
    <w:rsid w:val="00995A4F"/>
    <w:rsid w:val="0099663D"/>
    <w:rsid w:val="00997174"/>
    <w:rsid w:val="009A1D75"/>
    <w:rsid w:val="009A32C0"/>
    <w:rsid w:val="009B14E7"/>
    <w:rsid w:val="009B585D"/>
    <w:rsid w:val="009B5FE7"/>
    <w:rsid w:val="009B7688"/>
    <w:rsid w:val="009C1B7A"/>
    <w:rsid w:val="009C35F5"/>
    <w:rsid w:val="009C621A"/>
    <w:rsid w:val="009C6A77"/>
    <w:rsid w:val="009C7B6A"/>
    <w:rsid w:val="009D19B0"/>
    <w:rsid w:val="009E29A4"/>
    <w:rsid w:val="009E4D4C"/>
    <w:rsid w:val="009F29B2"/>
    <w:rsid w:val="009F43E9"/>
    <w:rsid w:val="009F611A"/>
    <w:rsid w:val="00A01517"/>
    <w:rsid w:val="00A021D9"/>
    <w:rsid w:val="00A03EE6"/>
    <w:rsid w:val="00A05CBB"/>
    <w:rsid w:val="00A2024A"/>
    <w:rsid w:val="00A26394"/>
    <w:rsid w:val="00A308CF"/>
    <w:rsid w:val="00A318D7"/>
    <w:rsid w:val="00A31AD8"/>
    <w:rsid w:val="00A32670"/>
    <w:rsid w:val="00A346B9"/>
    <w:rsid w:val="00A3502D"/>
    <w:rsid w:val="00A4644A"/>
    <w:rsid w:val="00A52C8B"/>
    <w:rsid w:val="00A55A25"/>
    <w:rsid w:val="00A55A52"/>
    <w:rsid w:val="00A5787F"/>
    <w:rsid w:val="00A64A29"/>
    <w:rsid w:val="00A66D3F"/>
    <w:rsid w:val="00A67E23"/>
    <w:rsid w:val="00A72404"/>
    <w:rsid w:val="00A73190"/>
    <w:rsid w:val="00A738C4"/>
    <w:rsid w:val="00A7517D"/>
    <w:rsid w:val="00A75EFB"/>
    <w:rsid w:val="00A76411"/>
    <w:rsid w:val="00A7744C"/>
    <w:rsid w:val="00A77D48"/>
    <w:rsid w:val="00A87BC0"/>
    <w:rsid w:val="00A87D2C"/>
    <w:rsid w:val="00A905F8"/>
    <w:rsid w:val="00A939D3"/>
    <w:rsid w:val="00AA243F"/>
    <w:rsid w:val="00AA4A5D"/>
    <w:rsid w:val="00AA4EF6"/>
    <w:rsid w:val="00AB0BEC"/>
    <w:rsid w:val="00AB22D9"/>
    <w:rsid w:val="00AB6D0F"/>
    <w:rsid w:val="00AC4A3F"/>
    <w:rsid w:val="00AC67E8"/>
    <w:rsid w:val="00AD1674"/>
    <w:rsid w:val="00AD2346"/>
    <w:rsid w:val="00AD3B23"/>
    <w:rsid w:val="00AD7965"/>
    <w:rsid w:val="00AE00A6"/>
    <w:rsid w:val="00AE1656"/>
    <w:rsid w:val="00AF11CE"/>
    <w:rsid w:val="00AF5788"/>
    <w:rsid w:val="00AF653C"/>
    <w:rsid w:val="00B00150"/>
    <w:rsid w:val="00B0539E"/>
    <w:rsid w:val="00B058B1"/>
    <w:rsid w:val="00B1236A"/>
    <w:rsid w:val="00B14C45"/>
    <w:rsid w:val="00B166D5"/>
    <w:rsid w:val="00B26F0E"/>
    <w:rsid w:val="00B3387B"/>
    <w:rsid w:val="00B33B64"/>
    <w:rsid w:val="00B35182"/>
    <w:rsid w:val="00B41C48"/>
    <w:rsid w:val="00B4213D"/>
    <w:rsid w:val="00B42418"/>
    <w:rsid w:val="00B45F9B"/>
    <w:rsid w:val="00B51E50"/>
    <w:rsid w:val="00B5218D"/>
    <w:rsid w:val="00B52DC5"/>
    <w:rsid w:val="00B63FB6"/>
    <w:rsid w:val="00B7127B"/>
    <w:rsid w:val="00B717CA"/>
    <w:rsid w:val="00B71FB3"/>
    <w:rsid w:val="00B759C9"/>
    <w:rsid w:val="00B764E1"/>
    <w:rsid w:val="00B83F65"/>
    <w:rsid w:val="00B8751B"/>
    <w:rsid w:val="00B90EFF"/>
    <w:rsid w:val="00B91818"/>
    <w:rsid w:val="00B952E2"/>
    <w:rsid w:val="00B956C2"/>
    <w:rsid w:val="00BB061C"/>
    <w:rsid w:val="00BB30DA"/>
    <w:rsid w:val="00BB78F6"/>
    <w:rsid w:val="00BE15B5"/>
    <w:rsid w:val="00BE38C4"/>
    <w:rsid w:val="00BF3A1E"/>
    <w:rsid w:val="00C05B55"/>
    <w:rsid w:val="00C05F98"/>
    <w:rsid w:val="00C136CB"/>
    <w:rsid w:val="00C2273F"/>
    <w:rsid w:val="00C22B05"/>
    <w:rsid w:val="00C3211D"/>
    <w:rsid w:val="00C33DDC"/>
    <w:rsid w:val="00C36477"/>
    <w:rsid w:val="00C40BCB"/>
    <w:rsid w:val="00C4221D"/>
    <w:rsid w:val="00C43EEF"/>
    <w:rsid w:val="00C45849"/>
    <w:rsid w:val="00C47415"/>
    <w:rsid w:val="00C507D2"/>
    <w:rsid w:val="00C52B31"/>
    <w:rsid w:val="00C54201"/>
    <w:rsid w:val="00C57326"/>
    <w:rsid w:val="00C66A7E"/>
    <w:rsid w:val="00C66C6D"/>
    <w:rsid w:val="00C66DC2"/>
    <w:rsid w:val="00C73D9B"/>
    <w:rsid w:val="00C7409D"/>
    <w:rsid w:val="00C757DB"/>
    <w:rsid w:val="00C77135"/>
    <w:rsid w:val="00C916B9"/>
    <w:rsid w:val="00C95279"/>
    <w:rsid w:val="00C963BB"/>
    <w:rsid w:val="00CA4546"/>
    <w:rsid w:val="00CA78FB"/>
    <w:rsid w:val="00CB0678"/>
    <w:rsid w:val="00CB183C"/>
    <w:rsid w:val="00CB2769"/>
    <w:rsid w:val="00CB2DF2"/>
    <w:rsid w:val="00CC05DA"/>
    <w:rsid w:val="00CC1682"/>
    <w:rsid w:val="00CC4CE6"/>
    <w:rsid w:val="00CC5B51"/>
    <w:rsid w:val="00CD171E"/>
    <w:rsid w:val="00CE6F15"/>
    <w:rsid w:val="00CE7A4C"/>
    <w:rsid w:val="00CF16C8"/>
    <w:rsid w:val="00CF1AA8"/>
    <w:rsid w:val="00CF2D61"/>
    <w:rsid w:val="00D030B5"/>
    <w:rsid w:val="00D0407D"/>
    <w:rsid w:val="00D13B27"/>
    <w:rsid w:val="00D15EE0"/>
    <w:rsid w:val="00D2129E"/>
    <w:rsid w:val="00D27B60"/>
    <w:rsid w:val="00D31330"/>
    <w:rsid w:val="00D35B5A"/>
    <w:rsid w:val="00D426F2"/>
    <w:rsid w:val="00D46E36"/>
    <w:rsid w:val="00D51489"/>
    <w:rsid w:val="00D57839"/>
    <w:rsid w:val="00D57920"/>
    <w:rsid w:val="00D603D2"/>
    <w:rsid w:val="00D6564E"/>
    <w:rsid w:val="00D719C6"/>
    <w:rsid w:val="00D7454E"/>
    <w:rsid w:val="00D751C1"/>
    <w:rsid w:val="00D833BA"/>
    <w:rsid w:val="00D85363"/>
    <w:rsid w:val="00D962AF"/>
    <w:rsid w:val="00D965FA"/>
    <w:rsid w:val="00D977F3"/>
    <w:rsid w:val="00DA6BAF"/>
    <w:rsid w:val="00DB590E"/>
    <w:rsid w:val="00DC2AE5"/>
    <w:rsid w:val="00DC5E80"/>
    <w:rsid w:val="00DC711F"/>
    <w:rsid w:val="00DC78DD"/>
    <w:rsid w:val="00DD0BC3"/>
    <w:rsid w:val="00DD1CB2"/>
    <w:rsid w:val="00DD491B"/>
    <w:rsid w:val="00DD7F35"/>
    <w:rsid w:val="00DE1B8F"/>
    <w:rsid w:val="00DE593B"/>
    <w:rsid w:val="00DE7E81"/>
    <w:rsid w:val="00DF0C63"/>
    <w:rsid w:val="00DF6E3C"/>
    <w:rsid w:val="00E05D22"/>
    <w:rsid w:val="00E1372F"/>
    <w:rsid w:val="00E31728"/>
    <w:rsid w:val="00E33913"/>
    <w:rsid w:val="00E3461E"/>
    <w:rsid w:val="00E422AE"/>
    <w:rsid w:val="00E427E1"/>
    <w:rsid w:val="00E44602"/>
    <w:rsid w:val="00E45603"/>
    <w:rsid w:val="00E45FCE"/>
    <w:rsid w:val="00E556CA"/>
    <w:rsid w:val="00E56E3B"/>
    <w:rsid w:val="00E57927"/>
    <w:rsid w:val="00E61FCD"/>
    <w:rsid w:val="00E621F1"/>
    <w:rsid w:val="00E63E46"/>
    <w:rsid w:val="00E70D1A"/>
    <w:rsid w:val="00E72701"/>
    <w:rsid w:val="00E756E3"/>
    <w:rsid w:val="00E76CBB"/>
    <w:rsid w:val="00E85763"/>
    <w:rsid w:val="00E8602B"/>
    <w:rsid w:val="00E86C3F"/>
    <w:rsid w:val="00E9242A"/>
    <w:rsid w:val="00E936FC"/>
    <w:rsid w:val="00EA06D1"/>
    <w:rsid w:val="00EA36EF"/>
    <w:rsid w:val="00EA3B82"/>
    <w:rsid w:val="00EA4C9B"/>
    <w:rsid w:val="00EC0B5C"/>
    <w:rsid w:val="00EC4D46"/>
    <w:rsid w:val="00EC546C"/>
    <w:rsid w:val="00ED1AAE"/>
    <w:rsid w:val="00ED7C30"/>
    <w:rsid w:val="00EF19E9"/>
    <w:rsid w:val="00EF7DDD"/>
    <w:rsid w:val="00F00ED1"/>
    <w:rsid w:val="00F01FBB"/>
    <w:rsid w:val="00F137E9"/>
    <w:rsid w:val="00F14B93"/>
    <w:rsid w:val="00F2511A"/>
    <w:rsid w:val="00F26CCE"/>
    <w:rsid w:val="00F2796E"/>
    <w:rsid w:val="00F30D8C"/>
    <w:rsid w:val="00F35C02"/>
    <w:rsid w:val="00F401BE"/>
    <w:rsid w:val="00F40D54"/>
    <w:rsid w:val="00F45491"/>
    <w:rsid w:val="00F45677"/>
    <w:rsid w:val="00F54B8B"/>
    <w:rsid w:val="00F64E56"/>
    <w:rsid w:val="00F71578"/>
    <w:rsid w:val="00F7380D"/>
    <w:rsid w:val="00F7511F"/>
    <w:rsid w:val="00F80814"/>
    <w:rsid w:val="00F81F11"/>
    <w:rsid w:val="00F824B6"/>
    <w:rsid w:val="00F85A9A"/>
    <w:rsid w:val="00F87617"/>
    <w:rsid w:val="00F87CA1"/>
    <w:rsid w:val="00F94D9F"/>
    <w:rsid w:val="00FA0681"/>
    <w:rsid w:val="00FA13D0"/>
    <w:rsid w:val="00FA1B1D"/>
    <w:rsid w:val="00FA2CB0"/>
    <w:rsid w:val="00FB46E7"/>
    <w:rsid w:val="00FC0426"/>
    <w:rsid w:val="00FC5334"/>
    <w:rsid w:val="00FD2692"/>
    <w:rsid w:val="00FD7451"/>
    <w:rsid w:val="00FE212E"/>
    <w:rsid w:val="00FE3139"/>
    <w:rsid w:val="00FE4207"/>
    <w:rsid w:val="00FE74E8"/>
    <w:rsid w:val="00FF454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C2D2D"/>
  <w15:docId w15:val="{DB32DFFF-C5C8-4FDE-9261-9873909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C0"/>
  </w:style>
  <w:style w:type="paragraph" w:styleId="Heading1">
    <w:name w:val="heading 1"/>
    <w:basedOn w:val="Normal"/>
    <w:next w:val="Normal"/>
    <w:link w:val="Heading1Char"/>
    <w:uiPriority w:val="9"/>
    <w:qFormat/>
    <w:rsid w:val="00A01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2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D61"/>
    <w:rPr>
      <w:vertAlign w:val="superscript"/>
    </w:rPr>
  </w:style>
  <w:style w:type="paragraph" w:customStyle="1" w:styleId="Default">
    <w:name w:val="Default"/>
    <w:basedOn w:val="Normal"/>
    <w:uiPriority w:val="99"/>
    <w:rsid w:val="00064DE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E3"/>
  </w:style>
  <w:style w:type="paragraph" w:styleId="Footer">
    <w:name w:val="footer"/>
    <w:basedOn w:val="Normal"/>
    <w:link w:val="FooterChar"/>
    <w:uiPriority w:val="99"/>
    <w:unhideWhenUsed/>
    <w:rsid w:val="0028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E3"/>
  </w:style>
  <w:style w:type="character" w:styleId="CommentReference">
    <w:name w:val="annotation reference"/>
    <w:basedOn w:val="DefaultParagraphFont"/>
    <w:uiPriority w:val="99"/>
    <w:semiHidden/>
    <w:unhideWhenUsed/>
    <w:rsid w:val="00B05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B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EDC5-5532-4A43-B43E-89A3DB06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6236</Words>
  <Characters>35548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41701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Domitrović</dc:creator>
  <cp:lastModifiedBy>Ivana Budimir</cp:lastModifiedBy>
  <cp:revision>2</cp:revision>
  <cp:lastPrinted>2018-04-03T13:09:00Z</cp:lastPrinted>
  <dcterms:created xsi:type="dcterms:W3CDTF">2018-06-06T08:56:00Z</dcterms:created>
  <dcterms:modified xsi:type="dcterms:W3CDTF">2018-06-06T08:56:00Z</dcterms:modified>
</cp:coreProperties>
</file>