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F89" w:rsidRDefault="00E34F89" w:rsidP="00E34F89">
      <w:pPr>
        <w:numPr>
          <w:ilvl w:val="0"/>
          <w:numId w:val="69"/>
        </w:numPr>
        <w:spacing w:after="120"/>
        <w:jc w:val="center"/>
        <w:rPr>
          <w:color w:val="000000"/>
        </w:rPr>
      </w:pPr>
      <w:bookmarkStart w:id="0" w:name="_GoBack"/>
      <w:bookmarkEnd w:id="0"/>
      <w:r>
        <w:rPr>
          <w:color w:val="000000"/>
        </w:rPr>
        <w:t>P</w:t>
      </w:r>
      <w:r w:rsidR="0080190F">
        <w:rPr>
          <w:color w:val="000000"/>
        </w:rPr>
        <w:t xml:space="preserve"> </w:t>
      </w:r>
      <w:r>
        <w:rPr>
          <w:color w:val="000000"/>
        </w:rPr>
        <w:t>R</w:t>
      </w:r>
      <w:r w:rsidR="0080190F">
        <w:rPr>
          <w:color w:val="000000"/>
        </w:rPr>
        <w:t xml:space="preserve"> </w:t>
      </w:r>
      <w:r>
        <w:rPr>
          <w:color w:val="000000"/>
        </w:rPr>
        <w:t>I</w:t>
      </w:r>
      <w:r w:rsidR="0080190F">
        <w:rPr>
          <w:color w:val="000000"/>
        </w:rPr>
        <w:t xml:space="preserve"> </w:t>
      </w:r>
      <w:r>
        <w:rPr>
          <w:color w:val="000000"/>
        </w:rPr>
        <w:t>J</w:t>
      </w:r>
      <w:r w:rsidR="0080190F">
        <w:rPr>
          <w:color w:val="000000"/>
        </w:rPr>
        <w:t xml:space="preserve"> </w:t>
      </w:r>
      <w:r>
        <w:rPr>
          <w:color w:val="000000"/>
        </w:rPr>
        <w:t>E</w:t>
      </w:r>
      <w:r w:rsidR="0080190F">
        <w:rPr>
          <w:color w:val="000000"/>
        </w:rPr>
        <w:t xml:space="preserve"> </w:t>
      </w:r>
      <w:r>
        <w:rPr>
          <w:color w:val="000000"/>
        </w:rPr>
        <w:t>D</w:t>
      </w:r>
      <w:r w:rsidR="0080190F">
        <w:rPr>
          <w:color w:val="000000"/>
        </w:rPr>
        <w:t xml:space="preserve"> </w:t>
      </w:r>
      <w:r>
        <w:rPr>
          <w:color w:val="000000"/>
        </w:rPr>
        <w:t>L</w:t>
      </w:r>
      <w:r w:rsidR="0080190F">
        <w:rPr>
          <w:color w:val="000000"/>
        </w:rPr>
        <w:t xml:space="preserve"> </w:t>
      </w:r>
      <w:r>
        <w:rPr>
          <w:color w:val="000000"/>
        </w:rPr>
        <w:t>O</w:t>
      </w:r>
      <w:r w:rsidR="0080190F">
        <w:rPr>
          <w:color w:val="000000"/>
        </w:rPr>
        <w:t xml:space="preserve"> </w:t>
      </w:r>
      <w:r>
        <w:rPr>
          <w:color w:val="000000"/>
        </w:rPr>
        <w:t xml:space="preserve">G </w:t>
      </w:r>
      <w:r w:rsidR="009871BC">
        <w:rPr>
          <w:color w:val="000000"/>
        </w:rPr>
        <w:t xml:space="preserve"> </w:t>
      </w:r>
      <w:r>
        <w:rPr>
          <w:color w:val="000000"/>
        </w:rPr>
        <w:t>-</w:t>
      </w:r>
    </w:p>
    <w:p w:rsidR="00E34F89" w:rsidRDefault="00E34F89" w:rsidP="00DB0E0F">
      <w:pPr>
        <w:spacing w:after="120"/>
        <w:jc w:val="both"/>
        <w:rPr>
          <w:color w:val="000000"/>
        </w:rPr>
      </w:pPr>
    </w:p>
    <w:p w:rsidR="00DB0E0F" w:rsidRPr="00510528" w:rsidRDefault="00DB0E0F" w:rsidP="00DB0E0F">
      <w:pPr>
        <w:spacing w:after="120"/>
        <w:jc w:val="both"/>
        <w:rPr>
          <w:color w:val="000000"/>
        </w:rPr>
      </w:pPr>
      <w:r w:rsidRPr="00510528">
        <w:rPr>
          <w:color w:val="000000"/>
        </w:rPr>
        <w:t xml:space="preserve">Na temelju članka </w:t>
      </w:r>
      <w:r w:rsidR="00926F6B" w:rsidRPr="00510528">
        <w:rPr>
          <w:color w:val="000000"/>
        </w:rPr>
        <w:t>55. stavka 6. Zakona o morskom ribarstvu („Narodne novine“, broj 62/</w:t>
      </w:r>
      <w:r w:rsidR="00250031" w:rsidRPr="00510528">
        <w:rPr>
          <w:color w:val="000000"/>
        </w:rPr>
        <w:t>20</w:t>
      </w:r>
      <w:r w:rsidR="00926F6B" w:rsidRPr="00510528">
        <w:rPr>
          <w:color w:val="000000"/>
        </w:rPr>
        <w:t>17)</w:t>
      </w:r>
      <w:r w:rsidRPr="00510528">
        <w:rPr>
          <w:color w:val="000000"/>
        </w:rPr>
        <w:t>, ministar poljoprivrede donosi</w:t>
      </w:r>
    </w:p>
    <w:p w:rsidR="00DB0E0F" w:rsidRPr="00510528" w:rsidRDefault="00DB0E0F" w:rsidP="00DB0E0F">
      <w:pPr>
        <w:autoSpaceDE w:val="0"/>
        <w:autoSpaceDN w:val="0"/>
        <w:spacing w:after="120"/>
        <w:jc w:val="both"/>
        <w:rPr>
          <w:color w:val="000000"/>
        </w:rPr>
      </w:pPr>
    </w:p>
    <w:p w:rsidR="00DB0E0F" w:rsidRPr="00510528" w:rsidRDefault="00DB0E0F" w:rsidP="00DB0E0F">
      <w:pPr>
        <w:spacing w:after="120"/>
        <w:jc w:val="center"/>
        <w:rPr>
          <w:b/>
          <w:spacing w:val="5"/>
          <w:kern w:val="28"/>
        </w:rPr>
      </w:pPr>
      <w:r w:rsidRPr="00510528">
        <w:rPr>
          <w:b/>
          <w:spacing w:val="5"/>
          <w:kern w:val="28"/>
        </w:rPr>
        <w:t>PRAVILNIK</w:t>
      </w:r>
    </w:p>
    <w:p w:rsidR="00DB0E0F" w:rsidRPr="00510528" w:rsidRDefault="00DB0E0F" w:rsidP="00DB0E0F">
      <w:pPr>
        <w:spacing w:after="120"/>
        <w:jc w:val="center"/>
        <w:rPr>
          <w:b/>
          <w:spacing w:val="5"/>
          <w:kern w:val="28"/>
          <w:sz w:val="28"/>
          <w:szCs w:val="52"/>
        </w:rPr>
      </w:pPr>
      <w:r w:rsidRPr="00510528">
        <w:rPr>
          <w:b/>
          <w:spacing w:val="5"/>
          <w:kern w:val="28"/>
        </w:rPr>
        <w:t xml:space="preserve">O UVJETIMA, KRITERIJIMA I NAČINU DODJELE POTPORE U OKVIRU MJERE I.20. „ENERGETSKA UČINKOVITOST I UBLAŽAVANJE KLIMATSKIH PROMJENA“ </w:t>
      </w:r>
    </w:p>
    <w:p w:rsidR="00DB0E0F" w:rsidRPr="00510528" w:rsidRDefault="00DB0E0F" w:rsidP="00DB0E0F">
      <w:pPr>
        <w:tabs>
          <w:tab w:val="left" w:pos="3544"/>
          <w:tab w:val="left" w:pos="4111"/>
        </w:tabs>
        <w:autoSpaceDE w:val="0"/>
        <w:autoSpaceDN w:val="0"/>
        <w:spacing w:after="120"/>
        <w:ind w:left="992" w:hanging="425"/>
        <w:jc w:val="center"/>
        <w:rPr>
          <w:bCs/>
          <w:color w:val="000000"/>
        </w:rPr>
      </w:pPr>
    </w:p>
    <w:p w:rsidR="00DB0E0F" w:rsidRPr="00510528" w:rsidRDefault="00DB0E0F" w:rsidP="00DB0E0F">
      <w:pPr>
        <w:keepNext/>
        <w:keepLines/>
        <w:spacing w:after="120"/>
        <w:jc w:val="center"/>
        <w:outlineLvl w:val="0"/>
        <w:rPr>
          <w:bCs/>
          <w:color w:val="000000"/>
          <w:szCs w:val="28"/>
        </w:rPr>
      </w:pPr>
      <w:r w:rsidRPr="00510528">
        <w:rPr>
          <w:bCs/>
          <w:color w:val="000000"/>
          <w:szCs w:val="28"/>
        </w:rPr>
        <w:t>I. OPĆE ODREDBE</w:t>
      </w:r>
    </w:p>
    <w:p w:rsidR="00DB0E0F" w:rsidRPr="00510528" w:rsidRDefault="00DB0E0F" w:rsidP="00DB0E0F">
      <w:pPr>
        <w:autoSpaceDE w:val="0"/>
        <w:autoSpaceDN w:val="0"/>
        <w:spacing w:after="120"/>
        <w:jc w:val="center"/>
        <w:rPr>
          <w:color w:val="000000"/>
        </w:rPr>
      </w:pPr>
      <w:r w:rsidRPr="00510528">
        <w:rPr>
          <w:color w:val="000000"/>
        </w:rPr>
        <w:t>Članak 1.</w:t>
      </w:r>
    </w:p>
    <w:p w:rsidR="00DB0E0F" w:rsidRPr="00510528" w:rsidRDefault="00DB0E0F" w:rsidP="00DB0E0F">
      <w:pPr>
        <w:spacing w:after="120"/>
        <w:jc w:val="both"/>
        <w:rPr>
          <w:color w:val="000000"/>
        </w:rPr>
      </w:pPr>
      <w:r w:rsidRPr="00510528">
        <w:rPr>
          <w:color w:val="000000"/>
        </w:rPr>
        <w:t>Ovim se Pravilnikom utvrđuju uvjeti, kriteriji i način dodjele potpore u okviru Prioriteta Europske unije „Poticanje okolišno održivog, resursno učinkovitog, inovativnog, konkurentnog i na znanju utemeljenog ribarstva“</w:t>
      </w:r>
      <w:r w:rsidRPr="00510528">
        <w:t xml:space="preserve">, </w:t>
      </w:r>
      <w:r w:rsidRPr="00510528">
        <w:rPr>
          <w:color w:val="000000"/>
        </w:rPr>
        <w:t xml:space="preserve">mjere I.20. „Energetska učinkovitost i ublažavanje klimatskih promjena“ u okviru Operativnog programa za pomorstvo i ribarstvo Republike Hrvatske za programsko razdoblje 2014.-2020. (u daljnjem tekstu: Operativni program), a u skladu s člankom 41. stavkom 1. i člankom 44. stavkom 1. točkom d) Uredbe (EU) br. 508/2014 Europskog parlamenta i Vijeća od 15. svibnja 2014. o Europskom fondu za pomorstvo i ribarstvo i stavljanju izvan snage uredbi Vijeća (EZ) br. 2328/2003, (EZ) br. 861/2006, (EZ) br. 1198/2006, (EZ) br. 791/2007 i Uredbe (EU) br. 1255/2011 Europskog parlamenta i Vijeća (SL L 149 od 20.05.2014.) (u daljnjem tekstu: Uredba (EU) br. 508/2014) te u skladu sa Delegiranom uredbom Komisije (EU) br. 2015/531 od 24. studenoga 2014. o dopuni Uredbe (EU) br. 508/2014 Europskog parlamenta i Vijeća utvrđivanjem troškova prihvatljivih za potporu iz Europskog fonda za pomorstvo i ribarstvo u cilju poboljšanja higijenskih, zdravstvenih, sigurnosnih i radnih uvjeta ribara, zaštite i obnove morske bioraznolikosti i ekosustava, ublažavanja klimatskih promjena i poboljšanja energetske učinkovitosti ribarskih plovila (SL L 86 od 31.03.2015.) (u daljnjem tekstu: Uredba (EU) br. 531/2015).  </w:t>
      </w:r>
    </w:p>
    <w:p w:rsidR="00DB0E0F" w:rsidRPr="00510528" w:rsidRDefault="00DB0E0F" w:rsidP="00DB0E0F">
      <w:pPr>
        <w:autoSpaceDE w:val="0"/>
        <w:autoSpaceDN w:val="0"/>
        <w:spacing w:after="120"/>
        <w:jc w:val="center"/>
        <w:rPr>
          <w:color w:val="000000"/>
        </w:rPr>
      </w:pPr>
    </w:p>
    <w:p w:rsidR="00DB0E0F" w:rsidRPr="00510528" w:rsidRDefault="00DB0E0F" w:rsidP="00DB0E0F">
      <w:pPr>
        <w:autoSpaceDE w:val="0"/>
        <w:autoSpaceDN w:val="0"/>
        <w:spacing w:after="120"/>
        <w:jc w:val="center"/>
        <w:rPr>
          <w:color w:val="000000"/>
        </w:rPr>
      </w:pPr>
      <w:r w:rsidRPr="00510528">
        <w:rPr>
          <w:color w:val="000000"/>
        </w:rPr>
        <w:t>Članak 2.</w:t>
      </w:r>
    </w:p>
    <w:p w:rsidR="00DB0E0F" w:rsidRPr="00510528" w:rsidRDefault="00DB0E0F" w:rsidP="00DB0E0F">
      <w:pPr>
        <w:numPr>
          <w:ilvl w:val="0"/>
          <w:numId w:val="1"/>
        </w:numPr>
        <w:autoSpaceDE w:val="0"/>
        <w:autoSpaceDN w:val="0"/>
        <w:spacing w:after="120"/>
        <w:rPr>
          <w:color w:val="000000"/>
        </w:rPr>
      </w:pPr>
      <w:r w:rsidRPr="00510528">
        <w:rPr>
          <w:color w:val="000000"/>
        </w:rPr>
        <w:t>Pojedini pojmovi u smislu ovoga Pravilnika imaju sljedeće značenje:</w:t>
      </w:r>
    </w:p>
    <w:p w:rsidR="00DB0E0F" w:rsidRPr="00510528" w:rsidRDefault="00DB0E0F" w:rsidP="00DB0E0F">
      <w:pPr>
        <w:numPr>
          <w:ilvl w:val="0"/>
          <w:numId w:val="2"/>
        </w:numPr>
        <w:autoSpaceDE w:val="0"/>
        <w:autoSpaceDN w:val="0"/>
        <w:spacing w:after="120"/>
        <w:ind w:left="714" w:hanging="357"/>
        <w:jc w:val="both"/>
        <w:rPr>
          <w:i/>
          <w:iCs/>
          <w:color w:val="000000"/>
        </w:rPr>
      </w:pPr>
      <w:r w:rsidRPr="00510528">
        <w:rPr>
          <w:i/>
          <w:iCs/>
        </w:rPr>
        <w:t xml:space="preserve">„Agencija za plaćanja u poljoprivredi, ribarstvu i ruralnom razvoju (u daljnjem tekstu: Agencija </w:t>
      </w:r>
      <w:r w:rsidRPr="00510528">
        <w:rPr>
          <w:color w:val="000000"/>
        </w:rPr>
        <w:t xml:space="preserve">za plaćanja)“ </w:t>
      </w:r>
      <w:r w:rsidRPr="00510528">
        <w:rPr>
          <w:i/>
          <w:iCs/>
        </w:rPr>
        <w:t>-</w:t>
      </w:r>
      <w:r w:rsidRPr="00510528">
        <w:rPr>
          <w:color w:val="000000"/>
        </w:rPr>
        <w:t xml:space="preserve"> Posredničko tijelo Upravljačkog tijela</w:t>
      </w:r>
      <w:r w:rsidR="0066180F" w:rsidRPr="00510528">
        <w:rPr>
          <w:color w:val="000000"/>
        </w:rPr>
        <w:t xml:space="preserve"> koje vrši isplate korisnicima</w:t>
      </w:r>
      <w:r w:rsidRPr="00510528">
        <w:rPr>
          <w:color w:val="000000"/>
        </w:rPr>
        <w:t>;</w:t>
      </w:r>
    </w:p>
    <w:p w:rsidR="0059096B" w:rsidRPr="00510528" w:rsidRDefault="0059096B" w:rsidP="00641271">
      <w:pPr>
        <w:numPr>
          <w:ilvl w:val="0"/>
          <w:numId w:val="2"/>
        </w:numPr>
        <w:autoSpaceDE w:val="0"/>
        <w:autoSpaceDN w:val="0"/>
        <w:spacing w:after="120"/>
        <w:ind w:left="709" w:hanging="283"/>
        <w:jc w:val="both"/>
        <w:rPr>
          <w:iCs/>
          <w:color w:val="000000"/>
        </w:rPr>
      </w:pPr>
      <w:r w:rsidRPr="00510528">
        <w:rPr>
          <w:i/>
          <w:iCs/>
          <w:color w:val="000000"/>
        </w:rPr>
        <w:t xml:space="preserve">„Ex-post kontrola“ -  </w:t>
      </w:r>
      <w:r w:rsidRPr="00510528">
        <w:rPr>
          <w:iCs/>
          <w:color w:val="000000"/>
        </w:rPr>
        <w:t>kontrola koju provodi Upravljačko tijelo u razdoblju od pet godina od završnog plaćanja korisniku;</w:t>
      </w:r>
    </w:p>
    <w:p w:rsidR="00DB0E0F" w:rsidRPr="00510528" w:rsidRDefault="00DB0E0F" w:rsidP="00DB0E0F">
      <w:pPr>
        <w:numPr>
          <w:ilvl w:val="0"/>
          <w:numId w:val="2"/>
        </w:numPr>
        <w:autoSpaceDE w:val="0"/>
        <w:autoSpaceDN w:val="0"/>
        <w:spacing w:after="120"/>
        <w:ind w:left="714" w:hanging="357"/>
        <w:jc w:val="both"/>
        <w:rPr>
          <w:i/>
          <w:iCs/>
          <w:color w:val="000000"/>
        </w:rPr>
      </w:pPr>
      <w:r w:rsidRPr="00510528">
        <w:rPr>
          <w:i/>
          <w:iCs/>
        </w:rPr>
        <w:t xml:space="preserve">„Fizički dovršena ili u cijelosti provedena operacija“ - </w:t>
      </w:r>
      <w:r w:rsidRPr="00510528">
        <w:rPr>
          <w:color w:val="000000"/>
        </w:rPr>
        <w:t>operacija u okviru koje su radnje/aktivnosti koje vode do rezultata u potpunosti provedene, neovisno o tome da li su izvršena sva plaćanja vezana uz tu operaciju;</w:t>
      </w:r>
    </w:p>
    <w:p w:rsidR="00DB0E0F" w:rsidRPr="00510528" w:rsidRDefault="00DB0E0F" w:rsidP="00DB0E0F">
      <w:pPr>
        <w:numPr>
          <w:ilvl w:val="0"/>
          <w:numId w:val="2"/>
        </w:numPr>
        <w:autoSpaceDE w:val="0"/>
        <w:autoSpaceDN w:val="0"/>
        <w:spacing w:after="120"/>
        <w:ind w:left="714" w:hanging="357"/>
        <w:jc w:val="both"/>
        <w:rPr>
          <w:i/>
          <w:iCs/>
          <w:color w:val="000000"/>
        </w:rPr>
      </w:pPr>
      <w:r w:rsidRPr="00510528">
        <w:rPr>
          <w:i/>
          <w:iCs/>
          <w:color w:val="000000"/>
        </w:rPr>
        <w:t xml:space="preserve">„Gospodarski subjekt“ - </w:t>
      </w:r>
      <w:r w:rsidRPr="00510528">
        <w:rPr>
          <w:color w:val="000000"/>
        </w:rPr>
        <w:t xml:space="preserve">svaka fizička ili pravna osoba ili drugi subjekt koji sudjeluje u provedbi dodjele potpore na temelju ovoga Pravilnika i Natječaja za dodjelu potpore u okviru mjere I.20. „Energetska učinkovitost i ublažavanje klimatskih promjena“ (u </w:t>
      </w:r>
      <w:r w:rsidRPr="00510528">
        <w:rPr>
          <w:color w:val="000000"/>
        </w:rPr>
        <w:lastRenderedPageBreak/>
        <w:t>daljnjem tekstu: Natječaj) osim država članica koje obavljaju svoje ovlasti kao javna tijela;</w:t>
      </w:r>
    </w:p>
    <w:p w:rsidR="00DB0E0F" w:rsidRPr="00510528" w:rsidRDefault="00DB0E0F" w:rsidP="00DB0E0F">
      <w:pPr>
        <w:numPr>
          <w:ilvl w:val="0"/>
          <w:numId w:val="2"/>
        </w:numPr>
        <w:autoSpaceDE w:val="0"/>
        <w:autoSpaceDN w:val="0"/>
        <w:spacing w:after="120"/>
        <w:ind w:left="714" w:hanging="357"/>
        <w:jc w:val="both"/>
        <w:rPr>
          <w:i/>
          <w:iCs/>
        </w:rPr>
      </w:pPr>
      <w:r w:rsidRPr="00510528" w:rsidDel="000C41CA">
        <w:rPr>
          <w:i/>
          <w:iCs/>
        </w:rPr>
        <w:t xml:space="preserve"> </w:t>
      </w:r>
      <w:r w:rsidRPr="00510528">
        <w:rPr>
          <w:i/>
          <w:iCs/>
        </w:rPr>
        <w:t xml:space="preserve">„Javni izdatak” - </w:t>
      </w:r>
      <w:r w:rsidRPr="00510528">
        <w:rPr>
          <w:iCs/>
        </w:rPr>
        <w:t>sve javne potpore u financiranju operacija, koje potječu iz proračuna nacionalnih, regionalnih ili lokalnih tijela javne vlasti, proračuna Europske unije povezanog s europskim strukturnim i investicijskim fondovima (ESI fondovi), proračuna tijela javnog prava ili proračuna udruga javnih tijela vlasti ili tijela javnog prava te koje, u svrhu određivanja stope sufinancirana za programe ili prioritete Europskog socijalnog fonda, mogu obuhvaćati sva financijska sredstva kojima zajednički doprinose poslodavci i radnici</w:t>
      </w:r>
      <w:r w:rsidRPr="00510528">
        <w:t>;</w:t>
      </w:r>
    </w:p>
    <w:p w:rsidR="00D94A8C" w:rsidRPr="00510528" w:rsidRDefault="00D94A8C" w:rsidP="006D66EA">
      <w:pPr>
        <w:numPr>
          <w:ilvl w:val="0"/>
          <w:numId w:val="2"/>
        </w:numPr>
        <w:autoSpaceDE w:val="0"/>
        <w:autoSpaceDN w:val="0"/>
        <w:spacing w:after="120"/>
        <w:ind w:left="709" w:hanging="283"/>
        <w:jc w:val="both"/>
        <w:rPr>
          <w:iCs/>
        </w:rPr>
      </w:pPr>
      <w:r w:rsidRPr="00510528">
        <w:rPr>
          <w:i/>
          <w:iCs/>
        </w:rPr>
        <w:t xml:space="preserve">„Kontrola u ranijoj fazi“ - </w:t>
      </w:r>
      <w:r w:rsidRPr="00510528">
        <w:rPr>
          <w:iCs/>
        </w:rPr>
        <w:t>kontrola koju Upravljačko tijelo provodi za radove/opremu koje zbog prirode tih radova odnosno tipa/namjene opreme nije moguće provjeriti redovnom kontrolom;</w:t>
      </w:r>
    </w:p>
    <w:p w:rsidR="00DB0E0F" w:rsidRPr="00510528" w:rsidRDefault="00DB0E0F" w:rsidP="00DB0E0F">
      <w:pPr>
        <w:numPr>
          <w:ilvl w:val="0"/>
          <w:numId w:val="2"/>
        </w:numPr>
        <w:autoSpaceDE w:val="0"/>
        <w:autoSpaceDN w:val="0"/>
        <w:spacing w:after="120"/>
        <w:ind w:left="714" w:hanging="357"/>
        <w:jc w:val="both"/>
      </w:pPr>
      <w:r w:rsidRPr="00510528">
        <w:rPr>
          <w:i/>
          <w:iCs/>
        </w:rPr>
        <w:t xml:space="preserve">„Korisnik“ - </w:t>
      </w:r>
      <w:r w:rsidRPr="00510528">
        <w:rPr>
          <w:iCs/>
        </w:rPr>
        <w:t>javno ili privatno tijelo te fizička osoba odgovorna za pokretanje ili i za pokretanje i za provedbu operacija;</w:t>
      </w:r>
      <w:r w:rsidRPr="00510528">
        <w:t xml:space="preserve"> </w:t>
      </w:r>
    </w:p>
    <w:p w:rsidR="00DB0E0F" w:rsidRPr="00510528" w:rsidRDefault="00DB0E0F" w:rsidP="00DB0E0F">
      <w:pPr>
        <w:numPr>
          <w:ilvl w:val="0"/>
          <w:numId w:val="2"/>
        </w:numPr>
        <w:autoSpaceDE w:val="0"/>
        <w:autoSpaceDN w:val="0"/>
        <w:spacing w:after="120"/>
        <w:ind w:left="714" w:hanging="357"/>
        <w:jc w:val="both"/>
        <w:rPr>
          <w:i/>
          <w:iCs/>
        </w:rPr>
      </w:pPr>
      <w:r w:rsidRPr="00510528">
        <w:rPr>
          <w:i/>
          <w:iCs/>
        </w:rPr>
        <w:t xml:space="preserve">„Nepravilnost” - </w:t>
      </w:r>
      <w:r w:rsidRPr="00510528">
        <w:rPr>
          <w:iCs/>
        </w:rPr>
        <w:t xml:space="preserve">svako kršenje prava Europske unije ili Republike Hrvatske u vezi s njegovom primjenom koje proizlazi iz djelovanja ili propusta gospodarskog subjekta uključenog u provedbu ESI fondova koje šteti, ili bi moglo naštetiti proračunu Europske unije ili Republike Hrvatske, tako da optereti proračun Europske unije ili Republike Hrvatske neopravdanim </w:t>
      </w:r>
      <w:r w:rsidR="0066180F" w:rsidRPr="00510528">
        <w:rPr>
          <w:iCs/>
        </w:rPr>
        <w:t>troškom</w:t>
      </w:r>
      <w:r w:rsidRPr="00510528">
        <w:t>;</w:t>
      </w:r>
    </w:p>
    <w:p w:rsidR="00DB0E0F" w:rsidRPr="00510528" w:rsidRDefault="00DB0E0F" w:rsidP="00DB0E0F">
      <w:pPr>
        <w:numPr>
          <w:ilvl w:val="0"/>
          <w:numId w:val="2"/>
        </w:numPr>
        <w:autoSpaceDE w:val="0"/>
        <w:autoSpaceDN w:val="0"/>
        <w:spacing w:after="120"/>
        <w:ind w:left="714" w:hanging="357"/>
        <w:jc w:val="both"/>
        <w:rPr>
          <w:iCs/>
        </w:rPr>
      </w:pPr>
      <w:r w:rsidRPr="00510528">
        <w:rPr>
          <w:i/>
          <w:iCs/>
        </w:rPr>
        <w:t xml:space="preserve">„Operacija” - </w:t>
      </w:r>
      <w:r w:rsidRPr="00510528">
        <w:rPr>
          <w:color w:val="000000"/>
        </w:rPr>
        <w:t>projekt, ugovor, aktivnost ili skupina projekata koje je odobrilo Upravljačko tijelo prema uvjetima i kriterijima ovog Pravilnika ili koji su pod njihovom odgovornošću te koji doprinose ostvarivanju ciljeva prioriteta Europske unije „Poticanje okolišno održivog, resursno učinkovitog, inovativnog, konkurentnog i na znanju utemeljenog ribarstva“ u okviru Europskog fonda za pomorstvo i ribarstvo te koji je/su odabran/i prema kriterijima za odabir koje je odobrio Odbor za praćenje provedbe Operativnog programa za pomorstvo i ribarstvo Republike Hrvatske za programsko razdoblje 2014-2020.;</w:t>
      </w:r>
    </w:p>
    <w:p w:rsidR="00DB0E0F" w:rsidRPr="00510528" w:rsidRDefault="00DB0E0F" w:rsidP="00DB0E0F">
      <w:pPr>
        <w:numPr>
          <w:ilvl w:val="0"/>
          <w:numId w:val="2"/>
        </w:numPr>
        <w:autoSpaceDE w:val="0"/>
        <w:autoSpaceDN w:val="0"/>
        <w:spacing w:after="120"/>
        <w:ind w:left="714" w:hanging="357"/>
        <w:jc w:val="both"/>
        <w:rPr>
          <w:iCs/>
        </w:rPr>
      </w:pPr>
      <w:r w:rsidRPr="00510528">
        <w:rPr>
          <w:i/>
          <w:iCs/>
        </w:rPr>
        <w:t>„Ponuditelj“ -</w:t>
      </w:r>
      <w:r w:rsidRPr="00510528">
        <w:rPr>
          <w:iCs/>
        </w:rPr>
        <w:t xml:space="preserve"> </w:t>
      </w:r>
      <w:r w:rsidRPr="00510528">
        <w:rPr>
          <w:color w:val="000000"/>
        </w:rPr>
        <w:t>poslovni subjekt od kojeg korisnik pribavlja ponudu za određenu robu i/ili radove i/ili usluge;</w:t>
      </w:r>
    </w:p>
    <w:p w:rsidR="00DB0E0F" w:rsidRPr="00510528" w:rsidRDefault="00DB0E0F" w:rsidP="00DB0E0F">
      <w:pPr>
        <w:numPr>
          <w:ilvl w:val="0"/>
          <w:numId w:val="2"/>
        </w:numPr>
        <w:autoSpaceDE w:val="0"/>
        <w:autoSpaceDN w:val="0"/>
        <w:spacing w:after="120"/>
        <w:ind w:left="714" w:hanging="357"/>
        <w:jc w:val="both"/>
      </w:pPr>
      <w:r w:rsidRPr="00510528">
        <w:rPr>
          <w:i/>
          <w:iCs/>
        </w:rPr>
        <w:t xml:space="preserve">„Povlastica za gospodarski ribolov“ - </w:t>
      </w:r>
      <w:r w:rsidRPr="00510528">
        <w:rPr>
          <w:color w:val="000000"/>
        </w:rPr>
        <w:t>isprava na temelju koje pravne ili fizičke osobe smiju obavljati gospodarski ribolov na moru sukladno Zakonu o morskom ribarstvu odnosno gospodarski ribolov na slatkim vodama sukladno Zakonu o slatkovodnom ribarstvu (u daljnjem tekstu: povlastica);</w:t>
      </w:r>
    </w:p>
    <w:p w:rsidR="00DB0E0F" w:rsidRPr="00510528" w:rsidRDefault="00DB0E0F" w:rsidP="00DB0E0F">
      <w:pPr>
        <w:numPr>
          <w:ilvl w:val="0"/>
          <w:numId w:val="2"/>
        </w:numPr>
        <w:autoSpaceDE w:val="0"/>
        <w:autoSpaceDN w:val="0"/>
        <w:spacing w:after="120"/>
        <w:ind w:left="714" w:hanging="357"/>
        <w:jc w:val="both"/>
        <w:rPr>
          <w:i/>
        </w:rPr>
      </w:pPr>
      <w:r w:rsidRPr="00510528">
        <w:rPr>
          <w:i/>
          <w:iCs/>
        </w:rPr>
        <w:t>„Projekt“</w:t>
      </w:r>
      <w:r w:rsidRPr="00510528">
        <w:rPr>
          <w:i/>
        </w:rPr>
        <w:t>-</w:t>
      </w:r>
      <w:r w:rsidRPr="00510528">
        <w:rPr>
          <w:color w:val="000000"/>
        </w:rPr>
        <w:t xml:space="preserve"> cjelokupna sveobuhvatna investicijska aktivnost koju provodi korisnik, a koja se sastoji od prihvatljivog i neprihvatljivog dijela troškova za sufinanciranje iz Operativnog programa;</w:t>
      </w:r>
    </w:p>
    <w:p w:rsidR="00CA301E" w:rsidRPr="00510528" w:rsidRDefault="00CA301E" w:rsidP="00CA301E">
      <w:pPr>
        <w:numPr>
          <w:ilvl w:val="0"/>
          <w:numId w:val="2"/>
        </w:numPr>
        <w:autoSpaceDE w:val="0"/>
        <w:autoSpaceDN w:val="0"/>
        <w:spacing w:after="120"/>
        <w:ind w:left="709"/>
        <w:jc w:val="both"/>
        <w:rPr>
          <w:i/>
        </w:rPr>
      </w:pPr>
      <w:r w:rsidRPr="00510528">
        <w:rPr>
          <w:i/>
        </w:rPr>
        <w:t xml:space="preserve">„Redovna kontrola“ - </w:t>
      </w:r>
      <w:r w:rsidRPr="00510528">
        <w:t xml:space="preserve">kontrola koju provodi Upravljačko tijelo nakon završetka operacije, tj. nakon podnošenja Zahtjeva za isplatu;   </w:t>
      </w:r>
    </w:p>
    <w:p w:rsidR="00DB0E0F" w:rsidRPr="00510528" w:rsidRDefault="00DB0E0F" w:rsidP="00DB0E0F">
      <w:pPr>
        <w:numPr>
          <w:ilvl w:val="0"/>
          <w:numId w:val="2"/>
        </w:numPr>
        <w:autoSpaceDE w:val="0"/>
        <w:autoSpaceDN w:val="0"/>
        <w:spacing w:after="120"/>
        <w:ind w:left="714" w:hanging="357"/>
        <w:jc w:val="both"/>
      </w:pPr>
      <w:r w:rsidRPr="00510528">
        <w:rPr>
          <w:i/>
        </w:rPr>
        <w:t>„Ribolovna aktivnost“</w:t>
      </w:r>
      <w:r w:rsidRPr="00510528">
        <w:t xml:space="preserve"> - potraga za ribom, bacanje, polaganje, povlačenje i potezanje ribolovne opreme, izvlačenje ulova na palubu, prekrcaj, zadržavanje na palubi, prerada na brodu, prebačaj, stavljanje u kaveze, tov i iskrcaj ribe i proizvoda ribarstva;</w:t>
      </w:r>
    </w:p>
    <w:p w:rsidR="00DB0E0F" w:rsidRPr="00510528" w:rsidRDefault="00DB0E0F" w:rsidP="00DB0E0F">
      <w:pPr>
        <w:numPr>
          <w:ilvl w:val="0"/>
          <w:numId w:val="39"/>
        </w:numPr>
        <w:autoSpaceDE w:val="0"/>
        <w:autoSpaceDN w:val="0"/>
        <w:spacing w:after="120"/>
        <w:jc w:val="both"/>
        <w:rPr>
          <w:rFonts w:eastAsia="Calibri"/>
          <w:lang w:eastAsia="en-US"/>
        </w:rPr>
      </w:pPr>
      <w:r w:rsidRPr="00510528">
        <w:rPr>
          <w:i/>
        </w:rPr>
        <w:t>„Ribolovni dan“ -</w:t>
      </w:r>
      <w:r w:rsidRPr="00510528">
        <w:t xml:space="preserve"> svaki kalendarski dan kada se obavlja ribolovna aktivnost, </w:t>
      </w:r>
      <w:r w:rsidRPr="00510528">
        <w:rPr>
          <w:rFonts w:eastAsia="Calibri"/>
          <w:lang w:eastAsia="en-US"/>
        </w:rPr>
        <w:t xml:space="preserve">a koji je evidentiran sukladno Zakonu o morskom ribarstvu odnosno Zakonu o slatkovodnom ribarstvu te u skladu sa propisima iz područja dostave očevidnika i/ili </w:t>
      </w:r>
      <w:r w:rsidRPr="00510528">
        <w:rPr>
          <w:rFonts w:eastAsia="Calibri"/>
          <w:color w:val="000000"/>
          <w:lang w:eastAsia="en-US"/>
        </w:rPr>
        <w:t>izvješća o ulovu odnosno popisa ulova u gospodarskom ribolovu</w:t>
      </w:r>
      <w:r w:rsidRPr="00510528">
        <w:rPr>
          <w:rFonts w:eastAsia="Calibri"/>
          <w:lang w:eastAsia="en-US"/>
        </w:rPr>
        <w:t>;</w:t>
      </w:r>
    </w:p>
    <w:p w:rsidR="00250031" w:rsidRPr="00510528" w:rsidRDefault="00DB0E0F" w:rsidP="00250031">
      <w:pPr>
        <w:numPr>
          <w:ilvl w:val="0"/>
          <w:numId w:val="2"/>
        </w:numPr>
        <w:autoSpaceDE w:val="0"/>
        <w:autoSpaceDN w:val="0"/>
        <w:spacing w:after="120"/>
        <w:ind w:left="714" w:hanging="357"/>
        <w:jc w:val="both"/>
      </w:pPr>
      <w:r w:rsidRPr="00510528">
        <w:rPr>
          <w:i/>
        </w:rPr>
        <w:lastRenderedPageBreak/>
        <w:t xml:space="preserve">„Sukob interesa“ </w:t>
      </w:r>
      <w:r w:rsidRPr="00510528">
        <w:t xml:space="preserve">- </w:t>
      </w:r>
      <w:r w:rsidRPr="00510528">
        <w:rPr>
          <w:color w:val="000000"/>
        </w:rPr>
        <w:t>svaki slučaj koji utječe na sposobnost ponuditelja da dostavi objektivnu i nepristranu ponudu i svaki razlog povezan s mogućim ugovorima u budućnosti ili konflikt s drugim prošlim ili sadašnjim obvezama ponuditelja</w:t>
      </w:r>
      <w:r w:rsidR="0066180F" w:rsidRPr="00510528">
        <w:rPr>
          <w:color w:val="000000"/>
        </w:rPr>
        <w:t xml:space="preserve"> odnosno svaki slučaj kako je definirano Natječajem</w:t>
      </w:r>
      <w:r w:rsidRPr="00510528">
        <w:rPr>
          <w:color w:val="000000"/>
        </w:rPr>
        <w:t>;</w:t>
      </w:r>
    </w:p>
    <w:p w:rsidR="00250031" w:rsidRPr="00510528" w:rsidRDefault="00250031" w:rsidP="00250031">
      <w:pPr>
        <w:numPr>
          <w:ilvl w:val="0"/>
          <w:numId w:val="2"/>
        </w:numPr>
        <w:autoSpaceDE w:val="0"/>
        <w:autoSpaceDN w:val="0"/>
        <w:spacing w:after="120"/>
        <w:ind w:left="714" w:hanging="357"/>
        <w:jc w:val="both"/>
      </w:pPr>
      <w:r w:rsidRPr="00510528">
        <w:rPr>
          <w:i/>
          <w:iCs/>
          <w:color w:val="000000"/>
        </w:rPr>
        <w:t xml:space="preserve">„Tijelo za ovjeravanje“ </w:t>
      </w:r>
      <w:r w:rsidRPr="00510528">
        <w:rPr>
          <w:color w:val="000000"/>
        </w:rPr>
        <w:t>– tijelo nadležno za obavljanje funkcija i dužnosti iz članka 126. Uredbe (EU) br. 1303/2013 u okviru sustava upravljanja i kontrole provedbe Operativnog programa;</w:t>
      </w:r>
    </w:p>
    <w:p w:rsidR="00250031" w:rsidRPr="00510528" w:rsidRDefault="00250031" w:rsidP="00250031">
      <w:pPr>
        <w:numPr>
          <w:ilvl w:val="0"/>
          <w:numId w:val="2"/>
        </w:numPr>
        <w:autoSpaceDE w:val="0"/>
        <w:autoSpaceDN w:val="0"/>
        <w:spacing w:after="120"/>
        <w:ind w:left="714" w:hanging="357"/>
        <w:jc w:val="both"/>
      </w:pPr>
      <w:r w:rsidRPr="00510528">
        <w:rPr>
          <w:i/>
          <w:iCs/>
          <w:color w:val="000000"/>
        </w:rPr>
        <w:t xml:space="preserve">„Tijelo za reviziju“ </w:t>
      </w:r>
      <w:r w:rsidRPr="00510528">
        <w:rPr>
          <w:color w:val="000000"/>
        </w:rPr>
        <w:t xml:space="preserve">– </w:t>
      </w:r>
      <w:r w:rsidRPr="00510528">
        <w:rPr>
          <w:rFonts w:eastAsia="Calibri"/>
          <w:color w:val="000000"/>
          <w:lang w:eastAsia="en-US"/>
        </w:rPr>
        <w:t>tijelo nadležno za obavljanje funkcija i dužnosti iz članka 127. Uredbe (EU) br. 1303/2013 u okviru sustava upravljanja i kontrole provedbe Operativnog programa</w:t>
      </w:r>
      <w:r w:rsidRPr="00510528">
        <w:rPr>
          <w:color w:val="000000"/>
        </w:rPr>
        <w:t>;</w:t>
      </w:r>
    </w:p>
    <w:p w:rsidR="00DB0E0F" w:rsidRPr="00510528" w:rsidRDefault="00DB0E0F" w:rsidP="00250031">
      <w:pPr>
        <w:numPr>
          <w:ilvl w:val="0"/>
          <w:numId w:val="2"/>
        </w:numPr>
        <w:autoSpaceDE w:val="0"/>
        <w:autoSpaceDN w:val="0"/>
        <w:spacing w:after="120"/>
        <w:ind w:left="714" w:hanging="357"/>
        <w:jc w:val="both"/>
      </w:pPr>
      <w:r w:rsidRPr="00510528">
        <w:rPr>
          <w:i/>
          <w:iCs/>
          <w:color w:val="000000"/>
        </w:rPr>
        <w:t xml:space="preserve">„Ulaganje“- </w:t>
      </w:r>
      <w:r w:rsidRPr="00510528">
        <w:rPr>
          <w:color w:val="000000"/>
        </w:rPr>
        <w:t>prihvatljiv dio projekta za koji se traži potpora;</w:t>
      </w:r>
    </w:p>
    <w:p w:rsidR="00DB0E0F" w:rsidRPr="00510528" w:rsidRDefault="00250031" w:rsidP="00DB0E0F">
      <w:pPr>
        <w:numPr>
          <w:ilvl w:val="0"/>
          <w:numId w:val="2"/>
        </w:numPr>
        <w:autoSpaceDE w:val="0"/>
        <w:autoSpaceDN w:val="0"/>
        <w:spacing w:after="120"/>
        <w:ind w:left="714" w:hanging="357"/>
        <w:jc w:val="both"/>
        <w:rPr>
          <w:i/>
          <w:iCs/>
          <w:color w:val="000000"/>
        </w:rPr>
      </w:pPr>
      <w:r w:rsidRPr="00510528">
        <w:rPr>
          <w:bCs/>
          <w:i/>
          <w:color w:val="000000"/>
        </w:rPr>
        <w:t xml:space="preserve">„Upravljačko tijelo“ </w:t>
      </w:r>
      <w:r w:rsidRPr="00510528">
        <w:rPr>
          <w:bCs/>
          <w:color w:val="000000"/>
        </w:rPr>
        <w:t>- tijelo nadležno za obavljanje funkcija i dužnosti iz članka 125. Uredbe (EU) br. 1303/2013 u okviru sustava upravljanja i kontrole provedbe Operativnog programa</w:t>
      </w:r>
      <w:r w:rsidR="00DB0E0F" w:rsidRPr="00510528">
        <w:rPr>
          <w:i/>
          <w:iCs/>
          <w:color w:val="000000"/>
        </w:rPr>
        <w:t>.</w:t>
      </w:r>
    </w:p>
    <w:p w:rsidR="00DB0E0F" w:rsidRPr="00510528" w:rsidRDefault="00DB0E0F" w:rsidP="00DB0E0F">
      <w:pPr>
        <w:numPr>
          <w:ilvl w:val="0"/>
          <w:numId w:val="1"/>
        </w:numPr>
        <w:spacing w:after="120"/>
        <w:jc w:val="both"/>
        <w:rPr>
          <w:color w:val="000000"/>
        </w:rPr>
      </w:pPr>
      <w:r w:rsidRPr="00510528">
        <w:rPr>
          <w:color w:val="000000"/>
        </w:rPr>
        <w:t>Ostali pojmovi u smislu ovoga Pravilnika imaju jednako značenje kao pojmovi uporabljeni u Uredbi (EU) br. 1380/2013 Europskog Parlamenta i Vijeća od 11. prosinca 2013. o zajedničkoj ribarstvenoj politici, izmjeni uredaba Vijeća (EZ) br. 1954/2003 i (EZ) br. 1224/2009 i stavljanju izvan snage uredaba (EZ) br. 2371/2002 i (EZ) br. 639/2004 i Odluke Vijeća 2004/585/EZ (SL L 354 od 28.12.2013.) (u daljnjem tekstu: Uredba (EU) br. 1380/2013), Uredbi (EU) br. 508/2014, Uredbi Vijeća (EZ) br. 1224/2009 od 20. studenoga 2009. o uspostavi sustava kontrole Zajednice za osiguranje sukladnosti s pravilima zajedničke ribarstvene politike, o izmjeni uredbi (EZ) br. 847/96, (EZ) br. 2371/2002, (EZ) br. 811/2004, (EZ) br. 768/2005, (EZ) br. 2115/2005, (EZ) br. 2166/2005, (EZ) br. 388/2006, (EZ) br. 509/2007, (EZ) br. 676/2007, (EZ) br. 1098/2007, (EZ) br. 1300/2008, (EZ) br. 1342/2008 i o stavljanju izvan snage uredbi (EEZ) br. 2847/93, (EZ) br. 1627/94 i (EZ) br. 1966/2006 (SL L 343 od 22.12.2009.) (u daljnjem tekstu: Uredba (EZ) br. 1224/2009), Uredbi (EU)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(SL L 347 od 20.12.2013.) (u daljnjem tekstu: Uredba (EU) br. 1303/2013) i Uredbi (EU) br. 531/2015.</w:t>
      </w:r>
    </w:p>
    <w:p w:rsidR="00DB0E0F" w:rsidRPr="00510528" w:rsidRDefault="00DB0E0F" w:rsidP="00DB0E0F">
      <w:pPr>
        <w:autoSpaceDE w:val="0"/>
        <w:autoSpaceDN w:val="0"/>
        <w:spacing w:after="120"/>
        <w:ind w:left="360"/>
        <w:jc w:val="center"/>
        <w:rPr>
          <w:i/>
          <w:iCs/>
          <w:color w:val="000000"/>
        </w:rPr>
      </w:pPr>
    </w:p>
    <w:p w:rsidR="00DB0E0F" w:rsidRPr="00510528" w:rsidRDefault="00DB0E0F" w:rsidP="00DB0E0F">
      <w:pPr>
        <w:autoSpaceDE w:val="0"/>
        <w:autoSpaceDN w:val="0"/>
        <w:spacing w:after="120"/>
        <w:jc w:val="center"/>
        <w:rPr>
          <w:i/>
          <w:iCs/>
          <w:color w:val="000000"/>
        </w:rPr>
      </w:pPr>
      <w:r w:rsidRPr="00510528">
        <w:rPr>
          <w:i/>
          <w:iCs/>
          <w:color w:val="000000"/>
        </w:rPr>
        <w:t xml:space="preserve">Predmet i namjena potpore </w:t>
      </w:r>
    </w:p>
    <w:p w:rsidR="00DB0E0F" w:rsidRPr="00510528" w:rsidRDefault="00DB0E0F" w:rsidP="00DB0E0F">
      <w:pPr>
        <w:autoSpaceDE w:val="0"/>
        <w:autoSpaceDN w:val="0"/>
        <w:spacing w:after="120"/>
        <w:jc w:val="center"/>
        <w:rPr>
          <w:color w:val="000000"/>
        </w:rPr>
      </w:pPr>
      <w:r w:rsidRPr="00510528">
        <w:rPr>
          <w:color w:val="000000"/>
        </w:rPr>
        <w:t>Članak 3.</w:t>
      </w:r>
    </w:p>
    <w:p w:rsidR="00DB0E0F" w:rsidRPr="00510528" w:rsidRDefault="00DB0E0F" w:rsidP="00DB0E0F">
      <w:pPr>
        <w:numPr>
          <w:ilvl w:val="0"/>
          <w:numId w:val="3"/>
        </w:numPr>
        <w:autoSpaceDE w:val="0"/>
        <w:autoSpaceDN w:val="0"/>
        <w:spacing w:after="120"/>
        <w:ind w:left="357" w:hanging="357"/>
        <w:jc w:val="both"/>
        <w:rPr>
          <w:color w:val="000000"/>
        </w:rPr>
      </w:pPr>
      <w:r w:rsidRPr="00510528">
        <w:rPr>
          <w:color w:val="000000"/>
        </w:rPr>
        <w:t>Predmet potpore su ulaganja i aktivnosti u svrhu ublažavanja učinaka klimatskih promjena i poboljšanja energetske učinkovitosti ribarskih plovila.</w:t>
      </w:r>
    </w:p>
    <w:p w:rsidR="00DB0E0F" w:rsidRPr="00510528" w:rsidRDefault="00DB0E0F" w:rsidP="00DB0E0F">
      <w:pPr>
        <w:numPr>
          <w:ilvl w:val="0"/>
          <w:numId w:val="3"/>
        </w:numPr>
        <w:autoSpaceDE w:val="0"/>
        <w:autoSpaceDN w:val="0"/>
        <w:spacing w:after="120"/>
        <w:ind w:left="357" w:hanging="357"/>
        <w:jc w:val="both"/>
        <w:rPr>
          <w:color w:val="000000"/>
        </w:rPr>
      </w:pPr>
      <w:r w:rsidRPr="00510528">
        <w:rPr>
          <w:color w:val="000000"/>
        </w:rPr>
        <w:t>Korisnik potpore iz stavka 1. ovoga članka je vlasnik ribarskog plovila.</w:t>
      </w:r>
      <w:r w:rsidRPr="00510528">
        <w:t xml:space="preserve"> </w:t>
      </w:r>
    </w:p>
    <w:p w:rsidR="00DB0E0F" w:rsidRPr="00510528" w:rsidRDefault="00DB0E0F" w:rsidP="00DB0E0F">
      <w:pPr>
        <w:numPr>
          <w:ilvl w:val="0"/>
          <w:numId w:val="3"/>
        </w:numPr>
        <w:autoSpaceDE w:val="0"/>
        <w:autoSpaceDN w:val="0"/>
        <w:spacing w:after="120"/>
        <w:ind w:left="357" w:hanging="357"/>
        <w:jc w:val="both"/>
      </w:pPr>
      <w:r w:rsidRPr="00510528">
        <w:rPr>
          <w:color w:val="000000"/>
        </w:rPr>
        <w:t>Potpora se dodjeljuje za ribarska plovila koja viju zastavu Republike Hrvatske.</w:t>
      </w:r>
    </w:p>
    <w:p w:rsidR="00DB0E0F" w:rsidRPr="00510528" w:rsidRDefault="00DB0E0F" w:rsidP="00DB0E0F">
      <w:pPr>
        <w:autoSpaceDE w:val="0"/>
        <w:autoSpaceDN w:val="0"/>
        <w:spacing w:after="120"/>
        <w:jc w:val="center"/>
        <w:rPr>
          <w:iCs/>
          <w:color w:val="000000"/>
        </w:rPr>
      </w:pPr>
    </w:p>
    <w:p w:rsidR="00DB0E0F" w:rsidRPr="00510528" w:rsidRDefault="00DB0E0F" w:rsidP="00DB0E0F">
      <w:pPr>
        <w:keepNext/>
        <w:keepLines/>
        <w:spacing w:after="120"/>
        <w:jc w:val="center"/>
        <w:outlineLvl w:val="0"/>
        <w:rPr>
          <w:bCs/>
          <w:color w:val="000000"/>
          <w:szCs w:val="28"/>
        </w:rPr>
      </w:pPr>
      <w:r w:rsidRPr="00510528">
        <w:rPr>
          <w:bCs/>
          <w:color w:val="000000"/>
          <w:szCs w:val="28"/>
        </w:rPr>
        <w:t>II. UVJETI PRIHVATLJIVOSTI I OBVEZE KORISNIKA</w:t>
      </w:r>
    </w:p>
    <w:p w:rsidR="00DB0E0F" w:rsidRPr="00510528" w:rsidRDefault="00DB0E0F" w:rsidP="00DB0E0F">
      <w:pPr>
        <w:autoSpaceDE w:val="0"/>
        <w:autoSpaceDN w:val="0"/>
        <w:spacing w:after="120"/>
        <w:jc w:val="center"/>
        <w:rPr>
          <w:i/>
          <w:iCs/>
          <w:color w:val="000000"/>
        </w:rPr>
      </w:pPr>
      <w:r w:rsidRPr="00510528">
        <w:rPr>
          <w:i/>
          <w:iCs/>
          <w:color w:val="000000"/>
        </w:rPr>
        <w:t>Uvjeti prihvatljivosti</w:t>
      </w:r>
    </w:p>
    <w:p w:rsidR="00DB0E0F" w:rsidRPr="00510528" w:rsidRDefault="00DB0E0F" w:rsidP="00DB0E0F">
      <w:pPr>
        <w:autoSpaceDE w:val="0"/>
        <w:autoSpaceDN w:val="0"/>
        <w:spacing w:after="120"/>
        <w:jc w:val="center"/>
        <w:rPr>
          <w:iCs/>
          <w:color w:val="000000"/>
        </w:rPr>
      </w:pPr>
      <w:r w:rsidRPr="00510528">
        <w:rPr>
          <w:iCs/>
          <w:color w:val="000000"/>
        </w:rPr>
        <w:lastRenderedPageBreak/>
        <w:t>Članak 4.</w:t>
      </w:r>
    </w:p>
    <w:p w:rsidR="00DB0E0F" w:rsidRPr="00510528" w:rsidRDefault="00DB0E0F" w:rsidP="00DB0E0F">
      <w:pPr>
        <w:numPr>
          <w:ilvl w:val="1"/>
          <w:numId w:val="7"/>
        </w:numPr>
        <w:spacing w:after="120"/>
        <w:ind w:left="357" w:hanging="357"/>
        <w:jc w:val="both"/>
        <w:rPr>
          <w:rFonts w:eastAsia="Calibri"/>
          <w:lang w:eastAsia="en-US"/>
        </w:rPr>
      </w:pPr>
      <w:r w:rsidRPr="00510528">
        <w:rPr>
          <w:rFonts w:eastAsia="Calibri"/>
          <w:lang w:eastAsia="en-US"/>
        </w:rPr>
        <w:t>Za ostvarivanje potpore moraju biti ispunjeni sljedeći uvjeti:</w:t>
      </w:r>
    </w:p>
    <w:p w:rsidR="00DB0E0F" w:rsidRPr="00510528" w:rsidRDefault="00DB0E0F" w:rsidP="00DB0E0F">
      <w:pPr>
        <w:numPr>
          <w:ilvl w:val="0"/>
          <w:numId w:val="6"/>
        </w:numPr>
        <w:spacing w:after="120"/>
        <w:ind w:left="714" w:hanging="357"/>
        <w:jc w:val="both"/>
        <w:rPr>
          <w:rFonts w:eastAsia="Calibri"/>
          <w:lang w:eastAsia="en-US"/>
        </w:rPr>
      </w:pPr>
      <w:r w:rsidRPr="00510528">
        <w:rPr>
          <w:rFonts w:eastAsia="Calibri"/>
          <w:lang w:eastAsia="en-US"/>
        </w:rPr>
        <w:t>korisnik mora biti vlasnik važeće povlastice;</w:t>
      </w:r>
    </w:p>
    <w:p w:rsidR="00DB0E0F" w:rsidRPr="00510528" w:rsidRDefault="00DB0E0F" w:rsidP="00DB0E0F">
      <w:pPr>
        <w:numPr>
          <w:ilvl w:val="0"/>
          <w:numId w:val="6"/>
        </w:numPr>
        <w:spacing w:after="120"/>
        <w:ind w:left="714" w:hanging="357"/>
        <w:jc w:val="both"/>
        <w:rPr>
          <w:rFonts w:eastAsia="Calibri"/>
          <w:lang w:eastAsia="en-US"/>
        </w:rPr>
      </w:pPr>
      <w:r w:rsidRPr="00510528">
        <w:rPr>
          <w:color w:val="000000"/>
        </w:rPr>
        <w:t>ribarsko plovilo mora posjedovati dozvolu za plovidbu brodice odnosno svjedodžbu o sposobnosti broda za plovidbu, važeću u trenutku podnošenja Zahtjeva za potporu, čime se dokazuje da je plovilo u funkciji;</w:t>
      </w:r>
    </w:p>
    <w:p w:rsidR="00DB0E0F" w:rsidRPr="00510528" w:rsidRDefault="00DB0E0F" w:rsidP="00DB0E0F">
      <w:pPr>
        <w:numPr>
          <w:ilvl w:val="0"/>
          <w:numId w:val="6"/>
        </w:numPr>
        <w:spacing w:after="120"/>
        <w:jc w:val="both"/>
        <w:rPr>
          <w:color w:val="000000"/>
        </w:rPr>
      </w:pPr>
      <w:r w:rsidRPr="00510528">
        <w:rPr>
          <w:color w:val="000000"/>
        </w:rPr>
        <w:t>ribarsko plovilo koje obavlja gospodarski ribolov na moru mora biti upisano u Registar ribarske flote Republike Hrvatske najmanje pet godina;</w:t>
      </w:r>
    </w:p>
    <w:p w:rsidR="00DB0E0F" w:rsidRPr="00510528" w:rsidRDefault="00DB0E0F" w:rsidP="00DB0E0F">
      <w:pPr>
        <w:numPr>
          <w:ilvl w:val="0"/>
          <w:numId w:val="6"/>
        </w:numPr>
        <w:spacing w:after="120"/>
        <w:jc w:val="both"/>
        <w:rPr>
          <w:color w:val="000000"/>
        </w:rPr>
      </w:pPr>
      <w:r w:rsidRPr="00510528">
        <w:rPr>
          <w:color w:val="000000"/>
        </w:rPr>
        <w:t>ribarsko plovilo mora imati dostatnu ribolovnu aktivnost od najmanje 20 ribolovnih dana ostvarenih u godini koja prethodi podnošenju Zahtjeva za potporu;</w:t>
      </w:r>
    </w:p>
    <w:p w:rsidR="00DB0E0F" w:rsidRPr="00510528" w:rsidRDefault="00DB0E0F" w:rsidP="00DB0E0F">
      <w:pPr>
        <w:numPr>
          <w:ilvl w:val="0"/>
          <w:numId w:val="6"/>
        </w:numPr>
        <w:spacing w:after="120"/>
        <w:ind w:left="714" w:hanging="357"/>
        <w:jc w:val="both"/>
        <w:rPr>
          <w:rFonts w:eastAsia="Calibri"/>
          <w:lang w:eastAsia="en-US"/>
        </w:rPr>
      </w:pPr>
      <w:r w:rsidRPr="00510528">
        <w:rPr>
          <w:color w:val="000000"/>
        </w:rPr>
        <w:t>korisnik mora dati suglasnost za uvrštavanje u popis korisnika koji se objavljuje u skladu s člankom 119. stavkom 2. Uredbe (EU) br. 508/2014;</w:t>
      </w:r>
    </w:p>
    <w:p w:rsidR="00DB0E0F" w:rsidRPr="00510528" w:rsidRDefault="00DB0E0F" w:rsidP="00DB0E0F">
      <w:pPr>
        <w:numPr>
          <w:ilvl w:val="0"/>
          <w:numId w:val="6"/>
        </w:numPr>
        <w:spacing w:after="120"/>
        <w:ind w:left="714" w:hanging="357"/>
        <w:jc w:val="both"/>
        <w:rPr>
          <w:rFonts w:eastAsia="Calibri"/>
          <w:lang w:eastAsia="en-US"/>
        </w:rPr>
      </w:pPr>
      <w:r w:rsidRPr="00510528">
        <w:rPr>
          <w:color w:val="000000"/>
        </w:rPr>
        <w:t>korisnik mora imati podmirene financijske obveze prema Državnom proračunu Republike Hrvatske;</w:t>
      </w:r>
    </w:p>
    <w:p w:rsidR="00DB0E0F" w:rsidRPr="00510528" w:rsidRDefault="00DB0E0F" w:rsidP="00DB0E0F">
      <w:pPr>
        <w:numPr>
          <w:ilvl w:val="0"/>
          <w:numId w:val="6"/>
        </w:numPr>
        <w:spacing w:after="120"/>
        <w:ind w:left="714" w:hanging="357"/>
        <w:jc w:val="both"/>
        <w:rPr>
          <w:rFonts w:eastAsia="Calibri"/>
          <w:lang w:eastAsia="en-US"/>
        </w:rPr>
      </w:pPr>
      <w:r w:rsidRPr="00510528">
        <w:rPr>
          <w:color w:val="000000"/>
        </w:rPr>
        <w:t>korisnik ne smije biti u stečaju, predstečajnom postupku, likvidaciji ili blokadi;</w:t>
      </w:r>
    </w:p>
    <w:p w:rsidR="002C4D0B" w:rsidRPr="00510528" w:rsidRDefault="002C4D0B" w:rsidP="00DB0E0F">
      <w:pPr>
        <w:numPr>
          <w:ilvl w:val="0"/>
          <w:numId w:val="6"/>
        </w:numPr>
        <w:spacing w:after="120"/>
        <w:ind w:left="714" w:hanging="357"/>
        <w:jc w:val="both"/>
        <w:rPr>
          <w:rFonts w:eastAsia="Calibri"/>
          <w:lang w:eastAsia="en-US"/>
        </w:rPr>
      </w:pPr>
      <w:r w:rsidRPr="00510528">
        <w:rPr>
          <w:color w:val="000000"/>
        </w:rPr>
        <w:t>korisnik mora osigurati nepostojanje sukoba interesa s izvođačima radova i/ili ponuditeljima/dobavljačima roba i/ili usluga koji su predmet ulaganja odnosno nepostojanje ostalih slučajeva sukoba interesa u postupcima nabave predmeta ulaganja u skladu sa Natječajem;</w:t>
      </w:r>
    </w:p>
    <w:p w:rsidR="00DB0E0F" w:rsidRPr="00510528" w:rsidRDefault="00DB0E0F" w:rsidP="00DB0E0F">
      <w:pPr>
        <w:numPr>
          <w:ilvl w:val="0"/>
          <w:numId w:val="6"/>
        </w:numPr>
        <w:spacing w:after="120"/>
        <w:ind w:left="714" w:hanging="357"/>
        <w:jc w:val="both"/>
        <w:rPr>
          <w:rFonts w:eastAsia="Calibri"/>
          <w:lang w:eastAsia="en-US"/>
        </w:rPr>
      </w:pPr>
      <w:r w:rsidRPr="00510528">
        <w:rPr>
          <w:color w:val="000000"/>
        </w:rPr>
        <w:t>ulaganje koje je predmet potpore ne smije biti financirano nikakvim drugim javnim izdacima;</w:t>
      </w:r>
    </w:p>
    <w:p w:rsidR="00DB0E0F" w:rsidRPr="00510528" w:rsidRDefault="002C4D0B" w:rsidP="002C4D0B">
      <w:pPr>
        <w:numPr>
          <w:ilvl w:val="0"/>
          <w:numId w:val="6"/>
        </w:numPr>
        <w:spacing w:after="120"/>
        <w:ind w:left="714" w:hanging="357"/>
        <w:rPr>
          <w:rFonts w:eastAsia="Calibri"/>
          <w:lang w:eastAsia="en-US"/>
        </w:rPr>
      </w:pPr>
      <w:r w:rsidRPr="00510528">
        <w:rPr>
          <w:rFonts w:eastAsia="Calibri"/>
          <w:lang w:eastAsia="en-US"/>
        </w:rPr>
        <w:t>operacija ne smije biti fizički završena ili provedena u cijelosti u trenutku podnošenja Zahtjeva za potporu.</w:t>
      </w:r>
    </w:p>
    <w:p w:rsidR="00DB0E0F" w:rsidRPr="00510528" w:rsidRDefault="00065956" w:rsidP="00DB0E0F">
      <w:pPr>
        <w:numPr>
          <w:ilvl w:val="0"/>
          <w:numId w:val="8"/>
        </w:numPr>
        <w:spacing w:after="120"/>
        <w:ind w:left="357" w:hanging="357"/>
        <w:jc w:val="both"/>
        <w:rPr>
          <w:rFonts w:eastAsia="Calibri"/>
          <w:lang w:eastAsia="en-US"/>
        </w:rPr>
      </w:pPr>
      <w:r w:rsidRPr="00510528">
        <w:rPr>
          <w:color w:val="000000"/>
        </w:rPr>
        <w:t>Na temelju članka</w:t>
      </w:r>
      <w:r w:rsidR="00DB0E0F" w:rsidRPr="00510528">
        <w:rPr>
          <w:color w:val="000000"/>
        </w:rPr>
        <w:t xml:space="preserve">10. Uredbe (EU) br. 508/2014 neprihvatljivi su Zahtjevi za potporu korisnika </w:t>
      </w:r>
      <w:r w:rsidRPr="00510528">
        <w:rPr>
          <w:color w:val="000000"/>
        </w:rPr>
        <w:t xml:space="preserve">ako </w:t>
      </w:r>
      <w:r w:rsidR="00DB0E0F" w:rsidRPr="00510528">
        <w:rPr>
          <w:color w:val="000000"/>
        </w:rPr>
        <w:t>je:</w:t>
      </w:r>
    </w:p>
    <w:p w:rsidR="00DB0E0F" w:rsidRPr="00510528" w:rsidRDefault="00DB0E0F" w:rsidP="00DB0E0F">
      <w:pPr>
        <w:numPr>
          <w:ilvl w:val="0"/>
          <w:numId w:val="34"/>
        </w:numPr>
        <w:autoSpaceDE w:val="0"/>
        <w:autoSpaceDN w:val="0"/>
        <w:spacing w:after="120"/>
        <w:ind w:left="714" w:hanging="357"/>
        <w:jc w:val="both"/>
      </w:pPr>
      <w:r w:rsidRPr="00510528">
        <w:t>počinio teški prekršaj na temelju članka 42. stavka 1. Uredbe Vijeća (EZ) br. 1005/2008 od 29. rujna 2008. o uspostavi sustava Zajednice za sprečavanje, suzbijanje i zaustavljanje nezakonitog, neprijavljenog i nereguliranog ribolova, o izmjeni uredaba (EEZ) br. 2847/93, (EZ) br. 1936/2001 i (EZ) br. 601/2004 i o stavljanju izvan snage uredaba (EZ) br. 1093/94 i (EZ) br. 1447/1999 (SL L 286 od 29.10.2008.) (u daljnjem tekstu: Uredba (EZ) br. 1005/2008) ili članka 90. stavka 1. Uredbe (EZ) br. 1224/2009, a što je utvrđeno od strane nadležnog tijela;</w:t>
      </w:r>
    </w:p>
    <w:p w:rsidR="00DB0E0F" w:rsidRPr="00510528" w:rsidRDefault="00DB0E0F" w:rsidP="00DB0E0F">
      <w:pPr>
        <w:numPr>
          <w:ilvl w:val="0"/>
          <w:numId w:val="34"/>
        </w:numPr>
        <w:autoSpaceDE w:val="0"/>
        <w:autoSpaceDN w:val="0"/>
        <w:spacing w:after="120"/>
        <w:ind w:left="714" w:hanging="357"/>
        <w:jc w:val="both"/>
      </w:pPr>
      <w:r w:rsidRPr="00510528">
        <w:t xml:space="preserve">vlasnik plovila i/ili ovlaštenik povlastice plovila koje je na Unijinom popisu </w:t>
      </w:r>
      <w:r w:rsidRPr="00510528">
        <w:rPr>
          <w:color w:val="000000"/>
        </w:rPr>
        <w:t xml:space="preserve">nezakonitih, neprijavljenih i nereguliranih </w:t>
      </w:r>
      <w:r w:rsidRPr="00510528">
        <w:t>plovila kako je određeno u članku 40. stavku 3. Uredbe (EZ) br. 1005/2008 ili plovi pod zastavom zemlje s popisa nekooperativnih trećih zemalja iz članka 33. te Uredbe;</w:t>
      </w:r>
    </w:p>
    <w:p w:rsidR="00DB0E0F" w:rsidRPr="00510528" w:rsidRDefault="00DB0E0F" w:rsidP="00DB0E0F">
      <w:pPr>
        <w:numPr>
          <w:ilvl w:val="0"/>
          <w:numId w:val="34"/>
        </w:numPr>
        <w:autoSpaceDE w:val="0"/>
        <w:autoSpaceDN w:val="0"/>
        <w:spacing w:after="120"/>
        <w:ind w:left="714" w:hanging="357"/>
        <w:jc w:val="both"/>
      </w:pPr>
      <w:r w:rsidRPr="00510528">
        <w:t>počinio teški prekršaj Zajedničke ribarstvene politike koji je kao takav određen u drugom zakonodavstvu koje su donijeli Europski parlament i Vijeće;</w:t>
      </w:r>
    </w:p>
    <w:p w:rsidR="00DB0E0F" w:rsidRPr="00510528" w:rsidRDefault="00DB0E0F" w:rsidP="00DB0E0F">
      <w:pPr>
        <w:numPr>
          <w:ilvl w:val="0"/>
          <w:numId w:val="34"/>
        </w:numPr>
        <w:autoSpaceDE w:val="0"/>
        <w:autoSpaceDN w:val="0"/>
        <w:spacing w:after="120"/>
        <w:ind w:left="714" w:hanging="357"/>
        <w:jc w:val="both"/>
      </w:pPr>
      <w:r w:rsidRPr="00510528">
        <w:t>počinio prijevaru u okviru Europskog fonda za ribarstvo ili Europskog fonda za pomorstvo i ribarstvo, a sukladno članku 1. Konvencije o zaštiti financijskih interesa Zajednice sastavljene Aktom Vijeća od 26. srpnja 1995 o sastavljanju Konvencije o zaštiti financijskih interesa Zajednice (SL C316, 27.11.1995.).</w:t>
      </w:r>
    </w:p>
    <w:p w:rsidR="00DB0E0F" w:rsidRPr="00510528" w:rsidRDefault="00DB0E0F" w:rsidP="00DB0E0F">
      <w:pPr>
        <w:numPr>
          <w:ilvl w:val="0"/>
          <w:numId w:val="8"/>
        </w:numPr>
        <w:spacing w:after="120"/>
        <w:ind w:left="357" w:hanging="357"/>
        <w:jc w:val="both"/>
        <w:rPr>
          <w:rFonts w:eastAsia="Calibri"/>
          <w:lang w:eastAsia="en-US"/>
        </w:rPr>
      </w:pPr>
      <w:r w:rsidRPr="00510528">
        <w:rPr>
          <w:color w:val="000000"/>
        </w:rPr>
        <w:lastRenderedPageBreak/>
        <w:t xml:space="preserve">Iznimno od stavka 2. točke a) ovog članka, Zahtjev za potporu može biti prihvatljiv </w:t>
      </w:r>
      <w:r w:rsidR="00065956" w:rsidRPr="00510528">
        <w:rPr>
          <w:color w:val="000000"/>
        </w:rPr>
        <w:t xml:space="preserve">ako </w:t>
      </w:r>
      <w:r w:rsidRPr="00510528">
        <w:rPr>
          <w:color w:val="000000"/>
        </w:rPr>
        <w:t>je korisniku, u odnosu na plovilo koje je predmet tog Zahtjeva za potporu, dodijeljeno manje od devet kaznenih bodova za teške prekršaje navedene u točkama 1., 2. i 5. Priloga XXX. Provedbene uredbe Komisije (EU) br. 404/2011 od 8. travnja 2011. o detaljnim pravilima za provedbu Uredbe Vijeća (EZ) br. 1224/2009 o uspostavi sustava kontrole Zajednice za osiguranje sukladnosti s pravilima zajedničke ribarstvene politike (SL L 112, 30. 4. 2011.) (u daljnjem tekstu: Uredba (EU) br. 404/2011).</w:t>
      </w:r>
    </w:p>
    <w:p w:rsidR="00DB0E0F" w:rsidRPr="00510528" w:rsidRDefault="00065956" w:rsidP="00DB0E0F">
      <w:pPr>
        <w:numPr>
          <w:ilvl w:val="0"/>
          <w:numId w:val="8"/>
        </w:numPr>
        <w:spacing w:after="120"/>
        <w:ind w:left="357" w:hanging="357"/>
        <w:jc w:val="both"/>
        <w:rPr>
          <w:rFonts w:eastAsia="Calibri"/>
          <w:lang w:eastAsia="en-US"/>
        </w:rPr>
      </w:pPr>
      <w:r w:rsidRPr="00510528">
        <w:rPr>
          <w:color w:val="000000"/>
        </w:rPr>
        <w:t xml:space="preserve">Ako </w:t>
      </w:r>
      <w:r w:rsidR="00DB0E0F" w:rsidRPr="00510528">
        <w:rPr>
          <w:color w:val="000000"/>
        </w:rPr>
        <w:t>korisnik podnosi više Zahtjeva za potporu za više različitih ribarskih plovila, odredbe stavka 2. točki a) i b) te stavka 3. ovoga članka se primjenjuju u odnosu na pojedinačna plovila koja su predmet potpore, tj. na pojedinačne Zahtjeve za potporu.</w:t>
      </w:r>
    </w:p>
    <w:p w:rsidR="00DB0E0F" w:rsidRPr="00510528" w:rsidRDefault="00DB0E0F" w:rsidP="00DB0E0F">
      <w:pPr>
        <w:numPr>
          <w:ilvl w:val="0"/>
          <w:numId w:val="8"/>
        </w:numPr>
        <w:spacing w:after="120"/>
        <w:ind w:left="357" w:hanging="357"/>
        <w:jc w:val="both"/>
        <w:rPr>
          <w:rFonts w:eastAsia="Calibri"/>
          <w:lang w:eastAsia="en-US"/>
        </w:rPr>
      </w:pPr>
      <w:r w:rsidRPr="00510528">
        <w:rPr>
          <w:rFonts w:eastAsia="Calibri"/>
          <w:bCs/>
          <w:color w:val="000000"/>
          <w:lang w:eastAsia="en-US"/>
        </w:rPr>
        <w:t xml:space="preserve">Iznimno od stavka 4. ovoga članka, svi Zahtjevi za potporu koje podnosi korisnik su neprihvatljivi </w:t>
      </w:r>
      <w:r w:rsidR="00065956" w:rsidRPr="00510528">
        <w:rPr>
          <w:rFonts w:eastAsia="Calibri"/>
          <w:bCs/>
          <w:color w:val="000000"/>
          <w:lang w:eastAsia="en-US"/>
        </w:rPr>
        <w:t xml:space="preserve">ako </w:t>
      </w:r>
      <w:r w:rsidRPr="00510528">
        <w:rPr>
          <w:rFonts w:eastAsia="Calibri"/>
          <w:bCs/>
          <w:color w:val="000000"/>
          <w:lang w:eastAsia="en-US"/>
        </w:rPr>
        <w:t>je:</w:t>
      </w:r>
    </w:p>
    <w:p w:rsidR="00DB0E0F" w:rsidRPr="00510528" w:rsidRDefault="00DB0E0F" w:rsidP="00DB0E0F">
      <w:pPr>
        <w:numPr>
          <w:ilvl w:val="0"/>
          <w:numId w:val="9"/>
        </w:numPr>
        <w:spacing w:after="120"/>
        <w:ind w:left="714" w:hanging="357"/>
        <w:jc w:val="both"/>
        <w:rPr>
          <w:rFonts w:eastAsia="Calibri"/>
          <w:bCs/>
          <w:color w:val="000000"/>
          <w:lang w:eastAsia="en-US"/>
        </w:rPr>
      </w:pPr>
      <w:r w:rsidRPr="00510528">
        <w:rPr>
          <w:rFonts w:eastAsia="Calibri"/>
          <w:bCs/>
          <w:color w:val="000000"/>
          <w:lang w:eastAsia="en-US"/>
        </w:rPr>
        <w:t>više od polovice tih Zahtjeva neprihvatljivo temeljem stavka 2. točki a) i b) te stavka 3. ovoga članka;</w:t>
      </w:r>
    </w:p>
    <w:p w:rsidR="00DB0E0F" w:rsidRPr="00510528" w:rsidRDefault="00DB0E0F" w:rsidP="00DB0E0F">
      <w:pPr>
        <w:numPr>
          <w:ilvl w:val="0"/>
          <w:numId w:val="9"/>
        </w:numPr>
        <w:spacing w:after="120"/>
        <w:ind w:left="714" w:hanging="357"/>
        <w:jc w:val="both"/>
        <w:rPr>
          <w:rFonts w:eastAsia="Calibri"/>
          <w:bCs/>
          <w:color w:val="000000"/>
          <w:lang w:eastAsia="en-US"/>
        </w:rPr>
      </w:pPr>
      <w:r w:rsidRPr="00510528">
        <w:rPr>
          <w:rFonts w:eastAsia="Calibri"/>
          <w:bCs/>
          <w:color w:val="000000"/>
          <w:lang w:eastAsia="en-US"/>
        </w:rPr>
        <w:t>prosječan broj kaznenih bodova po plovilu, u odnosu na sva plovila kojima je korisnik vlasnik i/ili ovlaštenik povlastice, neovisno o tome da li su ta plovila predmet potpore, iznosi sedam ili više bodova;</w:t>
      </w:r>
    </w:p>
    <w:p w:rsidR="00DB0E0F" w:rsidRPr="00510528" w:rsidRDefault="00DB0E0F" w:rsidP="00DB0E0F">
      <w:pPr>
        <w:numPr>
          <w:ilvl w:val="0"/>
          <w:numId w:val="9"/>
        </w:numPr>
        <w:spacing w:after="120"/>
        <w:ind w:left="714" w:hanging="357"/>
        <w:jc w:val="both"/>
        <w:rPr>
          <w:rFonts w:eastAsia="Calibri"/>
          <w:bCs/>
          <w:color w:val="000000"/>
          <w:lang w:eastAsia="en-US"/>
        </w:rPr>
      </w:pPr>
      <w:r w:rsidRPr="00510528">
        <w:rPr>
          <w:rFonts w:eastAsia="Calibri"/>
          <w:bCs/>
          <w:color w:val="000000"/>
          <w:lang w:eastAsia="en-US"/>
        </w:rPr>
        <w:t>korisnik počinio teški prekršaj koji nije vezan uz niti jedno plovilo kojima je taj korisnik vlasnik i/ili ovlaštenik povlastice;</w:t>
      </w:r>
    </w:p>
    <w:p w:rsidR="00DB0E0F" w:rsidRPr="00510528" w:rsidRDefault="00DB0E0F" w:rsidP="00DB0E0F">
      <w:pPr>
        <w:numPr>
          <w:ilvl w:val="0"/>
          <w:numId w:val="9"/>
        </w:numPr>
        <w:autoSpaceDE w:val="0"/>
        <w:autoSpaceDN w:val="0"/>
        <w:spacing w:after="120"/>
        <w:ind w:left="714" w:hanging="357"/>
        <w:jc w:val="both"/>
      </w:pPr>
      <w:r w:rsidRPr="00510528">
        <w:t>bilo kojem od plovila kojima je korisnik vlasnik i/ili ovlaštenik povlastice, trajno povučena povlastica sukladno članku 129. stavku 2. Uredbe (EU) br. 404/2011 ili gdje je to primjenjivo, te kao rezultat sankcija za teške prekršaje sukladno članku 45. Uredbe (EZ) br. 1005/2008.</w:t>
      </w:r>
    </w:p>
    <w:p w:rsidR="00DB0E0F" w:rsidRPr="00510528" w:rsidRDefault="00DB0E0F" w:rsidP="00DB0E0F">
      <w:pPr>
        <w:autoSpaceDE w:val="0"/>
        <w:autoSpaceDN w:val="0"/>
        <w:spacing w:after="120"/>
        <w:jc w:val="center"/>
        <w:rPr>
          <w:iCs/>
          <w:color w:val="000000"/>
        </w:rPr>
      </w:pPr>
    </w:p>
    <w:p w:rsidR="00DB0E0F" w:rsidRPr="00510528" w:rsidRDefault="00DB0E0F" w:rsidP="00DB0E0F">
      <w:pPr>
        <w:autoSpaceDE w:val="0"/>
        <w:autoSpaceDN w:val="0"/>
        <w:spacing w:after="120"/>
        <w:jc w:val="center"/>
        <w:rPr>
          <w:i/>
        </w:rPr>
      </w:pPr>
      <w:r w:rsidRPr="00510528">
        <w:rPr>
          <w:i/>
        </w:rPr>
        <w:t>Obveze korisnika</w:t>
      </w:r>
    </w:p>
    <w:p w:rsidR="00DB0E0F" w:rsidRPr="00510528" w:rsidRDefault="00DB0E0F" w:rsidP="00DB0E0F">
      <w:pPr>
        <w:autoSpaceDE w:val="0"/>
        <w:autoSpaceDN w:val="0"/>
        <w:spacing w:after="120"/>
        <w:jc w:val="center"/>
      </w:pPr>
      <w:r w:rsidRPr="00510528">
        <w:t>Članak 5.</w:t>
      </w:r>
    </w:p>
    <w:p w:rsidR="00DB0E0F" w:rsidRPr="00510528" w:rsidRDefault="00DB0E0F" w:rsidP="00DB0E0F">
      <w:pPr>
        <w:numPr>
          <w:ilvl w:val="0"/>
          <w:numId w:val="5"/>
        </w:numPr>
        <w:autoSpaceDE w:val="0"/>
        <w:autoSpaceDN w:val="0"/>
        <w:spacing w:after="120"/>
        <w:ind w:left="426" w:hanging="426"/>
        <w:jc w:val="both"/>
        <w:rPr>
          <w:color w:val="000000"/>
        </w:rPr>
      </w:pPr>
      <w:r w:rsidRPr="00510528">
        <w:rPr>
          <w:color w:val="000000"/>
        </w:rPr>
        <w:t>Korisnik je dužan djelovati u skladu s uvjetima iz članka 4. stavka 2. točaka a), b) i c) ovoga Pravilnika tijekom cijelog razdoblja provedbe operacije i tijekom pet godina nakon konačne uplate sredstava korisniku.</w:t>
      </w:r>
    </w:p>
    <w:p w:rsidR="00DB0E0F" w:rsidRPr="00510528" w:rsidRDefault="00DB0E0F" w:rsidP="00DB0E0F">
      <w:pPr>
        <w:numPr>
          <w:ilvl w:val="0"/>
          <w:numId w:val="5"/>
        </w:numPr>
        <w:autoSpaceDE w:val="0"/>
        <w:autoSpaceDN w:val="0"/>
        <w:spacing w:after="120"/>
        <w:ind w:left="426" w:hanging="426"/>
        <w:jc w:val="both"/>
        <w:rPr>
          <w:color w:val="000000"/>
        </w:rPr>
      </w:pPr>
      <w:r w:rsidRPr="00510528">
        <w:rPr>
          <w:color w:val="000000"/>
        </w:rPr>
        <w:t>Korisnik ne smije ribarsko plovilo koje je predmet potpore prenijeti izvan Europske unije najmanje pet godina od zadnje primljene uplate financijskih sredstava.</w:t>
      </w:r>
    </w:p>
    <w:p w:rsidR="00DB0E0F" w:rsidRPr="00510528" w:rsidRDefault="00DB0E0F" w:rsidP="00DB0E0F">
      <w:pPr>
        <w:numPr>
          <w:ilvl w:val="0"/>
          <w:numId w:val="5"/>
        </w:numPr>
        <w:autoSpaceDE w:val="0"/>
        <w:autoSpaceDN w:val="0"/>
        <w:spacing w:after="120"/>
        <w:ind w:left="426" w:hanging="426"/>
        <w:jc w:val="both"/>
        <w:rPr>
          <w:color w:val="000000"/>
        </w:rPr>
      </w:pPr>
      <w:r w:rsidRPr="00510528">
        <w:rPr>
          <w:color w:val="000000"/>
        </w:rPr>
        <w:t>Ribarsko plovilo u segmentu gospodarskog ribolova na slatkim vodama, koje je predmet potpore, mora djelovati isključivo na slatkim vodama tijekom pet godina nakon konačne uplate sredstava korisniku.</w:t>
      </w:r>
    </w:p>
    <w:p w:rsidR="00DB0E0F" w:rsidRPr="00510528" w:rsidRDefault="00DB0E0F" w:rsidP="00DB0E0F">
      <w:pPr>
        <w:numPr>
          <w:ilvl w:val="0"/>
          <w:numId w:val="5"/>
        </w:numPr>
        <w:autoSpaceDE w:val="0"/>
        <w:autoSpaceDN w:val="0"/>
        <w:spacing w:after="120"/>
        <w:ind w:left="426" w:hanging="426"/>
        <w:jc w:val="both"/>
        <w:rPr>
          <w:color w:val="000000"/>
        </w:rPr>
      </w:pPr>
      <w:r w:rsidRPr="00510528">
        <w:rPr>
          <w:color w:val="000000"/>
        </w:rPr>
        <w:t>Korisnik</w:t>
      </w:r>
      <w:r w:rsidR="00B075C2" w:rsidRPr="00510528">
        <w:rPr>
          <w:color w:val="000000"/>
        </w:rPr>
        <w:t xml:space="preserve"> trajnu</w:t>
      </w:r>
      <w:r w:rsidRPr="00510528">
        <w:rPr>
          <w:color w:val="000000"/>
        </w:rPr>
        <w:t xml:space="preserve"> materijalnu imovinu koja je predmet potpore ne smije prodati, koristiti protivno svrsi za koju je namijenjena, dati u najam ili dati na bilo koje drugo raspolaganje i korištenje drugim pravnim ili fizičkim osobama najmanje pet godina od zadnje primljene uplate financijsk</w:t>
      </w:r>
      <w:r w:rsidR="00250031" w:rsidRPr="00510528">
        <w:rPr>
          <w:color w:val="000000"/>
        </w:rPr>
        <w:t>ih sredstava, sukladno članku 55. stavku 4</w:t>
      </w:r>
      <w:r w:rsidRPr="00510528">
        <w:rPr>
          <w:color w:val="000000"/>
        </w:rPr>
        <w:t>. Zakona o morskom ribarstvu.</w:t>
      </w:r>
    </w:p>
    <w:p w:rsidR="00DB0E0F" w:rsidRPr="00510528" w:rsidRDefault="00DB0E0F" w:rsidP="00DB0E0F">
      <w:pPr>
        <w:numPr>
          <w:ilvl w:val="0"/>
          <w:numId w:val="5"/>
        </w:numPr>
        <w:autoSpaceDE w:val="0"/>
        <w:autoSpaceDN w:val="0"/>
        <w:spacing w:after="120"/>
        <w:ind w:left="426" w:hanging="426"/>
        <w:jc w:val="both"/>
        <w:rPr>
          <w:color w:val="000000"/>
        </w:rPr>
      </w:pPr>
      <w:r w:rsidRPr="00510528">
        <w:rPr>
          <w:color w:val="000000"/>
        </w:rPr>
        <w:t>Iznimno od stavka 4. ovoga članka, korisnik uslijed nepredviđenih okolnosti ili više sile može obaviti navedene radnje uz prethodno pribavljeno odobrenje Upravljačkog tijela</w:t>
      </w:r>
      <w:r w:rsidR="002C4D0B" w:rsidRPr="00510528">
        <w:rPr>
          <w:color w:val="000000"/>
        </w:rPr>
        <w:t>,</w:t>
      </w:r>
      <w:r w:rsidR="00B075C2" w:rsidRPr="00510528">
        <w:rPr>
          <w:color w:val="000000"/>
        </w:rPr>
        <w:t xml:space="preserve"> ne dovodeći u pitanje odredbe članka 71. Uredbe (EU) br. 1303/2013</w:t>
      </w:r>
      <w:r w:rsidRPr="00510528">
        <w:rPr>
          <w:color w:val="000000"/>
        </w:rPr>
        <w:t>.</w:t>
      </w:r>
    </w:p>
    <w:p w:rsidR="00DB0E0F" w:rsidRPr="00510528" w:rsidRDefault="00DB0E0F" w:rsidP="00DB0E0F">
      <w:pPr>
        <w:numPr>
          <w:ilvl w:val="0"/>
          <w:numId w:val="5"/>
        </w:numPr>
        <w:autoSpaceDE w:val="0"/>
        <w:autoSpaceDN w:val="0"/>
        <w:spacing w:after="120"/>
        <w:ind w:left="426" w:hanging="426"/>
        <w:jc w:val="both"/>
        <w:rPr>
          <w:color w:val="000000"/>
        </w:rPr>
      </w:pPr>
      <w:r w:rsidRPr="00510528">
        <w:rPr>
          <w:color w:val="000000"/>
        </w:rPr>
        <w:t>Korisnik je dužan voditi odvojeni računovodstveni sustav ili primjereni računovodstveni kod/oznaku za sve transakcije vezane uz operaciju za koju mu je dodijeljena potpora.</w:t>
      </w:r>
    </w:p>
    <w:p w:rsidR="00DB0E0F" w:rsidRPr="00510528" w:rsidRDefault="00DB0E0F" w:rsidP="00DB0E0F">
      <w:pPr>
        <w:numPr>
          <w:ilvl w:val="0"/>
          <w:numId w:val="5"/>
        </w:numPr>
        <w:autoSpaceDE w:val="0"/>
        <w:autoSpaceDN w:val="0"/>
        <w:spacing w:after="120"/>
        <w:ind w:left="426" w:hanging="426"/>
        <w:jc w:val="both"/>
        <w:rPr>
          <w:color w:val="000000"/>
        </w:rPr>
      </w:pPr>
      <w:r w:rsidRPr="00510528">
        <w:rPr>
          <w:color w:val="000000"/>
        </w:rPr>
        <w:lastRenderedPageBreak/>
        <w:t>Korisnik je dužan omogućiti Upravljačkom tijelu, Tijelu za ovjeravanje, Tijelu za reviziju, Europskoj komisiji, Europskom revizorskom sudu, Europskom uredu za borbu protiv prijevara (OLAF) i drugim nadležnim nadzornim/revizorskim tijelima kontrolu na terenu ulaganja za koje je ostvario potporu temeljem ovoga Pravilnika i Natječaja od dana podnošenja Zahtjeva za potporu pa u razdoblju od pet godina od zadnje primljene uplate financijskih sredstava.</w:t>
      </w:r>
    </w:p>
    <w:p w:rsidR="00DB0E0F" w:rsidRPr="00510528" w:rsidRDefault="00DB0E0F" w:rsidP="00DB0E0F">
      <w:pPr>
        <w:numPr>
          <w:ilvl w:val="0"/>
          <w:numId w:val="5"/>
        </w:numPr>
        <w:autoSpaceDE w:val="0"/>
        <w:autoSpaceDN w:val="0"/>
        <w:spacing w:after="120"/>
        <w:ind w:left="426" w:hanging="426"/>
        <w:jc w:val="both"/>
        <w:rPr>
          <w:color w:val="000000"/>
        </w:rPr>
      </w:pPr>
      <w:r w:rsidRPr="00510528">
        <w:rPr>
          <w:color w:val="000000"/>
        </w:rPr>
        <w:t xml:space="preserve">Korisnik je dužan čuvati i omogućiti uvid u dokumentaciju o operaciji za koju je ostvario potporu, prilikom obavljanja inspekcijskog nadzora i kontrole na terenu te je na zahtjev dostaviti ovlaštenim osobama Upravljačkog tijela, Tijela za ovjeravanje, Tijela za reviziju kao i ovlaštenim predstavnicima Europske komisije, Europskog revizorskog suda, Europskog ureda za borbu protiv prijevara (OLAF) i drugih nadležnih nadzornih/revizorskih tijela. Uputa za čuvanje dokumentacije nalazi se u Prilogu III. ovoga </w:t>
      </w:r>
      <w:r w:rsidR="00B075C2" w:rsidRPr="00510528">
        <w:rPr>
          <w:color w:val="000000"/>
        </w:rPr>
        <w:t>P</w:t>
      </w:r>
      <w:r w:rsidRPr="00510528">
        <w:rPr>
          <w:color w:val="000000"/>
        </w:rPr>
        <w:t>ravilnika i njegov je sastavni dio.</w:t>
      </w:r>
    </w:p>
    <w:p w:rsidR="00DB0E0F" w:rsidRPr="00510528" w:rsidRDefault="00DB0E0F" w:rsidP="00DB0E0F">
      <w:pPr>
        <w:numPr>
          <w:ilvl w:val="0"/>
          <w:numId w:val="5"/>
        </w:numPr>
        <w:autoSpaceDE w:val="0"/>
        <w:autoSpaceDN w:val="0"/>
        <w:spacing w:after="120"/>
        <w:ind w:left="426" w:hanging="426"/>
        <w:jc w:val="both"/>
        <w:rPr>
          <w:color w:val="000000"/>
        </w:rPr>
      </w:pPr>
      <w:r w:rsidRPr="00510528">
        <w:rPr>
          <w:color w:val="000000"/>
        </w:rPr>
        <w:t>Rok za čuvanje dokumentacije iz stavka 8. ovoga članka je najmanje dvije godine od 31. prosinca nakon predaje računa Europskoj komisiji od strane Tijela za ovjeravanje, a u kojima su uključeni završni izdaci dovršene operacije.</w:t>
      </w:r>
    </w:p>
    <w:p w:rsidR="002C4D0B" w:rsidRPr="00510528" w:rsidRDefault="002C4D0B" w:rsidP="002C4D0B">
      <w:pPr>
        <w:numPr>
          <w:ilvl w:val="0"/>
          <w:numId w:val="5"/>
        </w:numPr>
        <w:autoSpaceDE w:val="0"/>
        <w:autoSpaceDN w:val="0"/>
        <w:spacing w:after="120"/>
        <w:ind w:left="425" w:hanging="425"/>
        <w:jc w:val="both"/>
        <w:rPr>
          <w:color w:val="000000"/>
        </w:rPr>
      </w:pPr>
      <w:r w:rsidRPr="00510528">
        <w:rPr>
          <w:color w:val="000000"/>
        </w:rPr>
        <w:t>Upravljačko tijelo obavještava korisnike o godini od koje počinje teći rok iz stavka 9. ovoga članka.</w:t>
      </w:r>
    </w:p>
    <w:p w:rsidR="002C4D0B" w:rsidRPr="00510528" w:rsidRDefault="007A0017" w:rsidP="002C4D0B">
      <w:pPr>
        <w:numPr>
          <w:ilvl w:val="0"/>
          <w:numId w:val="5"/>
        </w:numPr>
        <w:autoSpaceDE w:val="0"/>
        <w:autoSpaceDN w:val="0"/>
        <w:spacing w:after="120"/>
        <w:ind w:left="425" w:hanging="425"/>
        <w:jc w:val="both"/>
        <w:rPr>
          <w:color w:val="000000"/>
        </w:rPr>
      </w:pPr>
      <w:r w:rsidRPr="00510528">
        <w:rPr>
          <w:color w:val="000000"/>
        </w:rPr>
        <w:t xml:space="preserve">Za potrebe članka 2. stavka 1. točke f) ovoga Pravilnika, korisnik je dužan obavijestiti Upravljačko tijelo o provedbi radova/stavljanja u funkciju opreme koje nije moguće provjeriti redovnom kontrolom, najkasnije sedam radnih dana prije početka radova odnosno stavljanja opreme u namjenu/funkciju, putem elektroničke pošte: </w:t>
      </w:r>
      <w:hyperlink r:id="rId9" w:history="1">
        <w:r w:rsidR="003A1DD0" w:rsidRPr="00510528">
          <w:rPr>
            <w:rStyle w:val="Hiperveza"/>
          </w:rPr>
          <w:t>eufondovi.ribarstvo@mps.hr</w:t>
        </w:r>
      </w:hyperlink>
      <w:r w:rsidR="002C4D0B" w:rsidRPr="00510528">
        <w:rPr>
          <w:color w:val="000000"/>
        </w:rPr>
        <w:t>.</w:t>
      </w:r>
    </w:p>
    <w:p w:rsidR="002C4D0B" w:rsidRPr="00510528" w:rsidRDefault="002C4D0B" w:rsidP="002C4D0B">
      <w:pPr>
        <w:numPr>
          <w:ilvl w:val="0"/>
          <w:numId w:val="5"/>
        </w:numPr>
        <w:autoSpaceDE w:val="0"/>
        <w:autoSpaceDN w:val="0"/>
        <w:spacing w:after="120"/>
        <w:ind w:left="425" w:hanging="425"/>
        <w:jc w:val="both"/>
        <w:rPr>
          <w:color w:val="000000"/>
        </w:rPr>
      </w:pPr>
      <w:r w:rsidRPr="00510528">
        <w:rPr>
          <w:color w:val="000000"/>
        </w:rPr>
        <w:t xml:space="preserve">Korisnik je dužan u slučaju građevinskih radova, rekonstrukcija postojećih objekata, zemljanih radova i drugih infrastrukturnih radova obavijestiti Upravljačko tijelo najkasnije sedam radnih dana prije početka radova, putem elektroničke pošte: </w:t>
      </w:r>
      <w:hyperlink r:id="rId10" w:history="1">
        <w:r w:rsidRPr="00510528">
          <w:rPr>
            <w:rStyle w:val="Hiperveza"/>
          </w:rPr>
          <w:t>eufondovi.ribarstvo@mps.hr</w:t>
        </w:r>
      </w:hyperlink>
      <w:r w:rsidRPr="00510528">
        <w:rPr>
          <w:color w:val="000000"/>
        </w:rPr>
        <w:t xml:space="preserve">.   </w:t>
      </w:r>
    </w:p>
    <w:p w:rsidR="00B075C2" w:rsidRPr="00510528" w:rsidRDefault="003A1DD0" w:rsidP="00B075C2">
      <w:pPr>
        <w:numPr>
          <w:ilvl w:val="0"/>
          <w:numId w:val="5"/>
        </w:numPr>
        <w:autoSpaceDE w:val="0"/>
        <w:autoSpaceDN w:val="0"/>
        <w:spacing w:after="120"/>
        <w:ind w:left="425" w:hanging="425"/>
        <w:jc w:val="both"/>
        <w:rPr>
          <w:color w:val="000000"/>
        </w:rPr>
      </w:pPr>
      <w:r w:rsidRPr="00510528">
        <w:rPr>
          <w:color w:val="000000"/>
        </w:rPr>
        <w:t>Korisnik je dužan osigurati funkcionalnost i namjenu ulaganja (opreme, uređaja, objekata i ostalih stavki u sklopu operacije) prilikom redovne kontrole iz članka 2. stavka 1. točke m) ovoga Pravilnika.</w:t>
      </w:r>
    </w:p>
    <w:p w:rsidR="00DB0E0F" w:rsidRPr="00510528" w:rsidRDefault="00DB0E0F" w:rsidP="00B075C2">
      <w:pPr>
        <w:numPr>
          <w:ilvl w:val="0"/>
          <w:numId w:val="5"/>
        </w:numPr>
        <w:autoSpaceDE w:val="0"/>
        <w:autoSpaceDN w:val="0"/>
        <w:spacing w:after="120"/>
        <w:ind w:left="425" w:hanging="425"/>
        <w:jc w:val="both"/>
        <w:rPr>
          <w:color w:val="000000"/>
        </w:rPr>
      </w:pPr>
      <w:r w:rsidRPr="00510528">
        <w:rPr>
          <w:color w:val="000000"/>
        </w:rPr>
        <w:t>Korisnik mora provoditi mjere informiranja i promidžbe sukladno članku 119. i Prilogu V. Uredbe (EU) br. 508/2014 te odredbama Provedbene uredbe Komisije (EU) br. 763/2014 оd 11. srpnja 2014. o utvrđivanju pravila za primjenu Uredbe (EU) br. 508/2014 Europskog parlamenta i Vijeća o Europskom fondu za pomorstvo i ribarstvo u pogledu tehničkih obilježja mjera informiranja i promidžbe i uputa za izradu amblema Unije (SL L 209, 16.07.2014.). Pravila i upute za provedbu mjera informiranja i promidžbe nalaze se u Prilogu II. Pravilnika i njegov su sastavni dio.</w:t>
      </w:r>
    </w:p>
    <w:p w:rsidR="00DB0E0F" w:rsidRPr="00510528" w:rsidRDefault="00B4130A" w:rsidP="00B075C2">
      <w:pPr>
        <w:numPr>
          <w:ilvl w:val="0"/>
          <w:numId w:val="5"/>
        </w:numPr>
        <w:autoSpaceDE w:val="0"/>
        <w:autoSpaceDN w:val="0"/>
        <w:spacing w:after="120"/>
        <w:ind w:left="425" w:hanging="425"/>
        <w:jc w:val="both"/>
        <w:rPr>
          <w:color w:val="000000"/>
        </w:rPr>
      </w:pPr>
      <w:r w:rsidRPr="00510528">
        <w:rPr>
          <w:color w:val="000000"/>
        </w:rPr>
        <w:t>Ako</w:t>
      </w:r>
      <w:r w:rsidR="00DB0E0F" w:rsidRPr="00510528">
        <w:rPr>
          <w:color w:val="000000"/>
        </w:rPr>
        <w:t xml:space="preserve"> je korisnik obveznik provedbe postupka javne nabave, isti je dužan za nabavu roba i/ili radova i/ili usluga koje su predmet potpore obvezno provesti postupak javne nabave sukladno Zakonu o javnoj nabavi.</w:t>
      </w:r>
    </w:p>
    <w:p w:rsidR="00DB0E0F" w:rsidRPr="00510528" w:rsidRDefault="00B4130A" w:rsidP="00B4130A">
      <w:pPr>
        <w:numPr>
          <w:ilvl w:val="0"/>
          <w:numId w:val="5"/>
        </w:numPr>
        <w:autoSpaceDE w:val="0"/>
        <w:autoSpaceDN w:val="0"/>
        <w:spacing w:after="120"/>
        <w:ind w:left="425" w:hanging="425"/>
        <w:jc w:val="both"/>
        <w:rPr>
          <w:color w:val="000000"/>
        </w:rPr>
      </w:pPr>
      <w:r w:rsidRPr="00510528">
        <w:rPr>
          <w:color w:val="000000"/>
        </w:rPr>
        <w:t>Ako</w:t>
      </w:r>
      <w:r w:rsidR="00DB0E0F" w:rsidRPr="00510528">
        <w:rPr>
          <w:color w:val="000000"/>
        </w:rPr>
        <w:t xml:space="preserve"> korisnik nije obveznik provedbe nabave sukladno Zakonu o javnoj nabavi ili ukoliko je obveznik javne nabave, ali ima nabavu ispod pragova propisanih Zakonom o javnoj nabavi, obvezan je postupati sukladno postupcima definiranim </w:t>
      </w:r>
      <w:r w:rsidR="002C4D0B" w:rsidRPr="00510528">
        <w:rPr>
          <w:color w:val="000000"/>
        </w:rPr>
        <w:t>Natječajem</w:t>
      </w:r>
      <w:r w:rsidR="00DB0E0F" w:rsidRPr="00510528">
        <w:rPr>
          <w:color w:val="000000"/>
        </w:rPr>
        <w:t>.</w:t>
      </w:r>
    </w:p>
    <w:p w:rsidR="00DB0E0F" w:rsidRPr="00510528" w:rsidRDefault="00DB0E0F" w:rsidP="00B075C2">
      <w:pPr>
        <w:numPr>
          <w:ilvl w:val="0"/>
          <w:numId w:val="5"/>
        </w:numPr>
        <w:autoSpaceDE w:val="0"/>
        <w:autoSpaceDN w:val="0"/>
        <w:spacing w:after="120"/>
        <w:ind w:left="425" w:hanging="425"/>
        <w:jc w:val="both"/>
        <w:rPr>
          <w:color w:val="000000"/>
        </w:rPr>
      </w:pPr>
      <w:r w:rsidRPr="00510528">
        <w:rPr>
          <w:color w:val="000000"/>
        </w:rPr>
        <w:t xml:space="preserve">Korisnik za kojeg je utvrđeno da je sredstva potpore ostvario na temelju lažnih podataka i/ili izjava ili da nije postupao u skladu s odredbama ovoga Pravilnika i uvjetima </w:t>
      </w:r>
      <w:r w:rsidRPr="00510528">
        <w:rPr>
          <w:color w:val="000000"/>
        </w:rPr>
        <w:lastRenderedPageBreak/>
        <w:t>Natječaja, dužan je sva primljena sredstva vratiti u državni proračun Republike Hrvatske uključujući zakonske zatezne kamate od dana kada je ta sredstva primio.</w:t>
      </w:r>
    </w:p>
    <w:p w:rsidR="00DB0E0F" w:rsidRPr="00510528" w:rsidRDefault="00DB0E0F" w:rsidP="00DB0E0F">
      <w:pPr>
        <w:autoSpaceDE w:val="0"/>
        <w:autoSpaceDN w:val="0"/>
        <w:spacing w:after="120"/>
        <w:ind w:left="426"/>
        <w:jc w:val="both"/>
        <w:rPr>
          <w:color w:val="000000"/>
        </w:rPr>
      </w:pPr>
    </w:p>
    <w:p w:rsidR="00DB0E0F" w:rsidRPr="00510528" w:rsidRDefault="00DB0E0F" w:rsidP="00DB0E0F">
      <w:pPr>
        <w:keepNext/>
        <w:keepLines/>
        <w:spacing w:after="120"/>
        <w:jc w:val="center"/>
        <w:outlineLvl w:val="0"/>
        <w:rPr>
          <w:bCs/>
          <w:color w:val="000000"/>
          <w:szCs w:val="28"/>
        </w:rPr>
      </w:pPr>
      <w:r w:rsidRPr="00510528">
        <w:rPr>
          <w:bCs/>
          <w:color w:val="000000"/>
          <w:szCs w:val="28"/>
        </w:rPr>
        <w:t>III. PRIHVATLJIVI I NEPRIHVATLJIVI TROŠKOVI</w:t>
      </w:r>
    </w:p>
    <w:p w:rsidR="00DB0E0F" w:rsidRPr="00510528" w:rsidRDefault="00DB0E0F" w:rsidP="00DB0E0F">
      <w:pPr>
        <w:autoSpaceDE w:val="0"/>
        <w:autoSpaceDN w:val="0"/>
        <w:spacing w:after="120"/>
        <w:jc w:val="center"/>
        <w:rPr>
          <w:i/>
          <w:iCs/>
          <w:color w:val="000000"/>
        </w:rPr>
      </w:pPr>
      <w:r w:rsidRPr="00510528">
        <w:rPr>
          <w:i/>
          <w:iCs/>
          <w:color w:val="000000"/>
        </w:rPr>
        <w:t>Prihvatljiva ulaganja</w:t>
      </w:r>
    </w:p>
    <w:p w:rsidR="00DB0E0F" w:rsidRPr="00510528" w:rsidRDefault="00DB0E0F" w:rsidP="00DB0E0F">
      <w:pPr>
        <w:autoSpaceDE w:val="0"/>
        <w:autoSpaceDN w:val="0"/>
        <w:spacing w:after="120"/>
        <w:jc w:val="center"/>
        <w:rPr>
          <w:color w:val="000000"/>
        </w:rPr>
      </w:pPr>
      <w:r w:rsidRPr="00510528">
        <w:rPr>
          <w:color w:val="000000"/>
        </w:rPr>
        <w:t>Članak 6.</w:t>
      </w:r>
    </w:p>
    <w:p w:rsidR="00DB0E0F" w:rsidRPr="00510528" w:rsidRDefault="00DB0E0F" w:rsidP="00DB0E0F">
      <w:pPr>
        <w:numPr>
          <w:ilvl w:val="0"/>
          <w:numId w:val="57"/>
        </w:numPr>
        <w:spacing w:after="120"/>
        <w:ind w:left="426" w:hanging="426"/>
        <w:jc w:val="both"/>
      </w:pPr>
      <w:r w:rsidRPr="00510528">
        <w:t>Prihvatljiva ulaganja su:</w:t>
      </w:r>
    </w:p>
    <w:p w:rsidR="00DB0E0F" w:rsidRPr="00510528" w:rsidRDefault="00DB0E0F" w:rsidP="00DB0E0F">
      <w:pPr>
        <w:numPr>
          <w:ilvl w:val="5"/>
          <w:numId w:val="7"/>
        </w:numPr>
        <w:spacing w:after="120"/>
        <w:ind w:left="714" w:hanging="357"/>
        <w:jc w:val="both"/>
      </w:pPr>
      <w:r w:rsidRPr="00510528">
        <w:t>ulaganja u plovilo s ciljem smanjenja emisija onečišćivača ili stakleničkih plinova te povećanja energetske učinkovitosti ribarskih plovila, ulaganja u ribolovne alate i ribolovnu opremu su prihvatljiva ako se njima ne dovodi u pitanje selektivnost tog ribolovnog alata;</w:t>
      </w:r>
    </w:p>
    <w:p w:rsidR="00DB0E0F" w:rsidRPr="00510528" w:rsidRDefault="00DB0E0F" w:rsidP="00DB0E0F">
      <w:pPr>
        <w:numPr>
          <w:ilvl w:val="5"/>
          <w:numId w:val="7"/>
        </w:numPr>
        <w:spacing w:after="120"/>
        <w:ind w:left="714" w:hanging="357"/>
        <w:jc w:val="both"/>
      </w:pPr>
      <w:r w:rsidRPr="00510528">
        <w:t>revizije i sustavi energetske učinkovitosti;</w:t>
      </w:r>
    </w:p>
    <w:p w:rsidR="00DB0E0F" w:rsidRPr="00510528" w:rsidRDefault="00DB0E0F" w:rsidP="00DB0E0F">
      <w:pPr>
        <w:numPr>
          <w:ilvl w:val="5"/>
          <w:numId w:val="7"/>
        </w:numPr>
        <w:spacing w:after="120"/>
        <w:ind w:left="714" w:hanging="357"/>
        <w:jc w:val="both"/>
      </w:pPr>
      <w:r w:rsidRPr="00510528">
        <w:t>studije za ocjenu doprinosa alternativnih pogonskih sustava i dizajna oplate energetskoj učinkovitosti plovila.</w:t>
      </w:r>
    </w:p>
    <w:p w:rsidR="00DB0E0F" w:rsidRPr="00510528" w:rsidRDefault="00DB0E0F" w:rsidP="00DB0E0F">
      <w:pPr>
        <w:numPr>
          <w:ilvl w:val="0"/>
          <w:numId w:val="7"/>
        </w:numPr>
        <w:spacing w:after="120"/>
        <w:ind w:left="426" w:hanging="426"/>
        <w:jc w:val="both"/>
      </w:pPr>
      <w:r w:rsidRPr="00510528">
        <w:t>Prihvatljiva ulaganja iz stavka 1. točke a) ovoga obuhvaćaju ulaganja u poboljšanje hidrodinamike trupa plovila i pogonskog sustava plovila te u smanjenje potrošnje električne i termalne energije.</w:t>
      </w:r>
    </w:p>
    <w:p w:rsidR="00EA10BE" w:rsidRPr="00510528" w:rsidRDefault="00EA10BE" w:rsidP="00EA10BE">
      <w:pPr>
        <w:spacing w:after="120"/>
        <w:jc w:val="both"/>
      </w:pPr>
    </w:p>
    <w:p w:rsidR="00DB0E0F" w:rsidRPr="00510528" w:rsidRDefault="00DB0E0F" w:rsidP="00DB0E0F">
      <w:pPr>
        <w:autoSpaceDE w:val="0"/>
        <w:autoSpaceDN w:val="0"/>
        <w:spacing w:after="120"/>
        <w:rPr>
          <w:color w:val="000000"/>
        </w:rPr>
      </w:pPr>
    </w:p>
    <w:p w:rsidR="00DB0E0F" w:rsidRPr="00510528" w:rsidRDefault="00DB0E0F" w:rsidP="00DB0E0F">
      <w:pPr>
        <w:autoSpaceDE w:val="0"/>
        <w:autoSpaceDN w:val="0"/>
        <w:spacing w:after="120"/>
        <w:jc w:val="center"/>
        <w:rPr>
          <w:i/>
          <w:iCs/>
          <w:color w:val="000000"/>
        </w:rPr>
      </w:pPr>
      <w:r w:rsidRPr="00510528">
        <w:rPr>
          <w:i/>
          <w:iCs/>
          <w:color w:val="000000"/>
        </w:rPr>
        <w:t>Prihvatljivi troškovi povezani s hidrodinamikom trupa plovila</w:t>
      </w:r>
    </w:p>
    <w:p w:rsidR="00DB0E0F" w:rsidRPr="00510528" w:rsidRDefault="00DB0E0F" w:rsidP="00DB0E0F">
      <w:pPr>
        <w:autoSpaceDE w:val="0"/>
        <w:autoSpaceDN w:val="0"/>
        <w:spacing w:after="120"/>
        <w:jc w:val="center"/>
        <w:rPr>
          <w:iCs/>
          <w:color w:val="000000"/>
        </w:rPr>
      </w:pPr>
      <w:r w:rsidRPr="00510528">
        <w:rPr>
          <w:iCs/>
          <w:color w:val="000000"/>
        </w:rPr>
        <w:t>Članak 7.</w:t>
      </w:r>
    </w:p>
    <w:p w:rsidR="00DB0E0F" w:rsidRPr="00510528" w:rsidRDefault="00DB0E0F" w:rsidP="00DB0E0F">
      <w:pPr>
        <w:numPr>
          <w:ilvl w:val="0"/>
          <w:numId w:val="4"/>
        </w:numPr>
        <w:autoSpaceDE w:val="0"/>
        <w:autoSpaceDN w:val="0"/>
        <w:spacing w:after="120"/>
        <w:jc w:val="both"/>
        <w:rPr>
          <w:color w:val="000000"/>
        </w:rPr>
      </w:pPr>
      <w:r w:rsidRPr="00510528">
        <w:rPr>
          <w:color w:val="000000"/>
        </w:rPr>
        <w:t>Za ulaganja u poboljšanje hidrodinamike trupa plovila iz članka 6. stavka 1. točke a) ovoga Pravilnika, prihvatljivi su:</w:t>
      </w:r>
    </w:p>
    <w:p w:rsidR="00DB0E0F" w:rsidRPr="00510528" w:rsidRDefault="00DB0E0F" w:rsidP="00DB0E0F">
      <w:pPr>
        <w:numPr>
          <w:ilvl w:val="1"/>
          <w:numId w:val="4"/>
        </w:numPr>
        <w:autoSpaceDE w:val="0"/>
        <w:autoSpaceDN w:val="0"/>
        <w:spacing w:after="120"/>
        <w:ind w:left="714" w:hanging="357"/>
        <w:jc w:val="both"/>
        <w:rPr>
          <w:color w:val="000000"/>
        </w:rPr>
      </w:pPr>
      <w:r w:rsidRPr="00510528">
        <w:rPr>
          <w:color w:val="000000"/>
        </w:rPr>
        <w:t>troškovi nabave mehanizama za stabilnost kao što su ljuljna kobilica i gomoljasti pramac kojima se pridonosi poboljšanju pomorstvenosti i stabilnosti plovila;</w:t>
      </w:r>
    </w:p>
    <w:p w:rsidR="00DB0E0F" w:rsidRPr="00510528" w:rsidRDefault="00DB0E0F" w:rsidP="00DB0E0F">
      <w:pPr>
        <w:numPr>
          <w:ilvl w:val="1"/>
          <w:numId w:val="4"/>
        </w:numPr>
        <w:autoSpaceDE w:val="0"/>
        <w:autoSpaceDN w:val="0"/>
        <w:spacing w:after="120"/>
        <w:ind w:left="714" w:hanging="357"/>
        <w:jc w:val="both"/>
        <w:rPr>
          <w:color w:val="000000"/>
        </w:rPr>
      </w:pPr>
      <w:r w:rsidRPr="00510528">
        <w:rPr>
          <w:color w:val="000000"/>
        </w:rPr>
        <w:t>troškovi vezani uz upotrebu netoksičnih proizvoda za suzbijanje obrastanja, kao što je bakreni premaz radi smanjenja trenja;</w:t>
      </w:r>
    </w:p>
    <w:p w:rsidR="00DB0E0F" w:rsidRPr="00510528" w:rsidRDefault="00DB0E0F" w:rsidP="00DB0E0F">
      <w:pPr>
        <w:numPr>
          <w:ilvl w:val="1"/>
          <w:numId w:val="4"/>
        </w:numPr>
        <w:autoSpaceDE w:val="0"/>
        <w:autoSpaceDN w:val="0"/>
        <w:spacing w:after="120"/>
        <w:ind w:left="714" w:hanging="357"/>
        <w:jc w:val="both"/>
        <w:rPr>
          <w:color w:val="000000"/>
        </w:rPr>
      </w:pPr>
      <w:r w:rsidRPr="00510528">
        <w:rPr>
          <w:color w:val="000000"/>
        </w:rPr>
        <w:t>troškovi vezani uz kormilarski uređaj, kao što su sustavi za kontrolu kormilarskog uređaja i višestruka kormila za smanjenje aktivnosti kormila ovisno o vremenskim uvjetima i stanju mora;</w:t>
      </w:r>
    </w:p>
    <w:p w:rsidR="00DB0E0F" w:rsidRPr="00510528" w:rsidRDefault="00DB0E0F" w:rsidP="00DB0E0F">
      <w:pPr>
        <w:numPr>
          <w:ilvl w:val="1"/>
          <w:numId w:val="4"/>
        </w:numPr>
        <w:autoSpaceDE w:val="0"/>
        <w:autoSpaceDN w:val="0"/>
        <w:spacing w:after="120"/>
        <w:ind w:left="714" w:hanging="357"/>
        <w:jc w:val="both"/>
        <w:rPr>
          <w:color w:val="000000"/>
        </w:rPr>
      </w:pPr>
      <w:r w:rsidRPr="00510528">
        <w:rPr>
          <w:color w:val="000000"/>
        </w:rPr>
        <w:t>troškovi testiranja rezervoara kao osnova za poboljšanje hidrodinamike.</w:t>
      </w:r>
    </w:p>
    <w:p w:rsidR="00DB0E0F" w:rsidRPr="00510528" w:rsidRDefault="00DB0E0F" w:rsidP="00DB0E0F">
      <w:pPr>
        <w:numPr>
          <w:ilvl w:val="0"/>
          <w:numId w:val="4"/>
        </w:numPr>
        <w:autoSpaceDE w:val="0"/>
        <w:autoSpaceDN w:val="0"/>
        <w:spacing w:after="120"/>
        <w:ind w:left="357" w:hanging="357"/>
        <w:jc w:val="both"/>
        <w:rPr>
          <w:color w:val="000000"/>
        </w:rPr>
      </w:pPr>
      <w:r w:rsidRPr="00510528">
        <w:rPr>
          <w:color w:val="000000"/>
        </w:rPr>
        <w:t>Prihvatljivi su i troškovi koji su nužni i izravno povezani s ugradnjom/postavljanjem predmeta/opreme/sustava iz stavka 1. ovoga članka.</w:t>
      </w:r>
    </w:p>
    <w:p w:rsidR="00DB0E0F" w:rsidRPr="00510528" w:rsidRDefault="00DB0E0F" w:rsidP="00DB0E0F">
      <w:pPr>
        <w:numPr>
          <w:ilvl w:val="0"/>
          <w:numId w:val="4"/>
        </w:numPr>
        <w:autoSpaceDE w:val="0"/>
        <w:autoSpaceDN w:val="0"/>
        <w:spacing w:after="120"/>
        <w:jc w:val="both"/>
        <w:rPr>
          <w:color w:val="000000"/>
        </w:rPr>
      </w:pPr>
      <w:r w:rsidRPr="00510528">
        <w:rPr>
          <w:color w:val="000000"/>
        </w:rPr>
        <w:t xml:space="preserve">Troškovi povezani s osnovnim održavanjem trupa plovila nisu prihvatljivi temeljem ovoga članka. </w:t>
      </w:r>
    </w:p>
    <w:p w:rsidR="00DB0E0F" w:rsidRPr="00510528" w:rsidRDefault="00DB0E0F" w:rsidP="00DB0E0F">
      <w:pPr>
        <w:autoSpaceDE w:val="0"/>
        <w:autoSpaceDN w:val="0"/>
        <w:spacing w:after="120"/>
        <w:ind w:left="357"/>
        <w:jc w:val="center"/>
        <w:rPr>
          <w:i/>
          <w:color w:val="000000"/>
        </w:rPr>
      </w:pPr>
    </w:p>
    <w:p w:rsidR="00DB0E0F" w:rsidRPr="00510528" w:rsidRDefault="00DB0E0F" w:rsidP="00DB0E0F">
      <w:pPr>
        <w:autoSpaceDE w:val="0"/>
        <w:autoSpaceDN w:val="0"/>
        <w:spacing w:after="120"/>
        <w:ind w:left="357"/>
        <w:jc w:val="center"/>
        <w:rPr>
          <w:i/>
          <w:color w:val="000000"/>
        </w:rPr>
      </w:pPr>
      <w:r w:rsidRPr="00510528">
        <w:rPr>
          <w:i/>
          <w:color w:val="000000"/>
        </w:rPr>
        <w:t>Prihvatljivi troškovi povezani s poboljšanjem pogonskog sustava plovila</w:t>
      </w:r>
    </w:p>
    <w:p w:rsidR="00DB0E0F" w:rsidRPr="00510528" w:rsidRDefault="00DB0E0F" w:rsidP="00DB0E0F">
      <w:pPr>
        <w:autoSpaceDE w:val="0"/>
        <w:autoSpaceDN w:val="0"/>
        <w:spacing w:after="120"/>
        <w:jc w:val="center"/>
        <w:rPr>
          <w:iCs/>
          <w:color w:val="000000"/>
        </w:rPr>
      </w:pPr>
      <w:r w:rsidRPr="00510528">
        <w:rPr>
          <w:iCs/>
          <w:color w:val="000000"/>
        </w:rPr>
        <w:t>Članak 8.</w:t>
      </w:r>
    </w:p>
    <w:p w:rsidR="00DB0E0F" w:rsidRPr="00510528" w:rsidRDefault="00DB0E0F" w:rsidP="00DB0E0F">
      <w:pPr>
        <w:numPr>
          <w:ilvl w:val="0"/>
          <w:numId w:val="35"/>
        </w:numPr>
        <w:autoSpaceDE w:val="0"/>
        <w:autoSpaceDN w:val="0"/>
        <w:spacing w:after="120"/>
        <w:jc w:val="both"/>
        <w:rPr>
          <w:color w:val="000000"/>
        </w:rPr>
      </w:pPr>
      <w:r w:rsidRPr="00510528">
        <w:rPr>
          <w:color w:val="000000"/>
        </w:rPr>
        <w:t>Za ulaganja u poboljšanje pogonskog sustava plovila iz članka 6. stavka 1. točke a) ovoga Pravilnika, prihvatljivi su troškovi nabave:</w:t>
      </w:r>
    </w:p>
    <w:p w:rsidR="00DB0E0F" w:rsidRPr="00510528" w:rsidRDefault="00DB0E0F" w:rsidP="00DB0E0F">
      <w:pPr>
        <w:numPr>
          <w:ilvl w:val="1"/>
          <w:numId w:val="35"/>
        </w:numPr>
        <w:autoSpaceDE w:val="0"/>
        <w:autoSpaceDN w:val="0"/>
        <w:spacing w:after="120"/>
        <w:ind w:left="714" w:hanging="357"/>
        <w:jc w:val="both"/>
        <w:rPr>
          <w:color w:val="000000"/>
        </w:rPr>
      </w:pPr>
      <w:r w:rsidRPr="00510528">
        <w:rPr>
          <w:color w:val="000000"/>
        </w:rPr>
        <w:lastRenderedPageBreak/>
        <w:t>energetski učinkovitih propelera, uključujući pogonska vratila;</w:t>
      </w:r>
    </w:p>
    <w:p w:rsidR="00DB0E0F" w:rsidRPr="00510528" w:rsidRDefault="00DB0E0F" w:rsidP="00DB0E0F">
      <w:pPr>
        <w:numPr>
          <w:ilvl w:val="1"/>
          <w:numId w:val="35"/>
        </w:numPr>
        <w:autoSpaceDE w:val="0"/>
        <w:autoSpaceDN w:val="0"/>
        <w:spacing w:after="120"/>
        <w:ind w:left="714" w:hanging="357"/>
        <w:jc w:val="both"/>
        <w:rPr>
          <w:color w:val="000000"/>
        </w:rPr>
      </w:pPr>
      <w:r w:rsidRPr="00510528">
        <w:t>katalizatora;</w:t>
      </w:r>
    </w:p>
    <w:p w:rsidR="00DB0E0F" w:rsidRPr="00510528" w:rsidRDefault="00DB0E0F" w:rsidP="00DB0E0F">
      <w:pPr>
        <w:numPr>
          <w:ilvl w:val="1"/>
          <w:numId w:val="35"/>
        </w:numPr>
        <w:autoSpaceDE w:val="0"/>
        <w:autoSpaceDN w:val="0"/>
        <w:spacing w:after="120"/>
        <w:ind w:left="714" w:hanging="357"/>
        <w:jc w:val="both"/>
        <w:rPr>
          <w:color w:val="000000"/>
        </w:rPr>
      </w:pPr>
      <w:r w:rsidRPr="00510528">
        <w:rPr>
          <w:color w:val="000000"/>
        </w:rPr>
        <w:t>energetski učinkovitih generatora kao što su generatori koji upotrebljavaju vodik ili prirodni plin;</w:t>
      </w:r>
    </w:p>
    <w:p w:rsidR="00DB0E0F" w:rsidRPr="00510528" w:rsidRDefault="00DB0E0F" w:rsidP="00DB0E0F">
      <w:pPr>
        <w:numPr>
          <w:ilvl w:val="1"/>
          <w:numId w:val="35"/>
        </w:numPr>
        <w:autoSpaceDE w:val="0"/>
        <w:autoSpaceDN w:val="0"/>
        <w:spacing w:after="120"/>
        <w:ind w:left="714" w:hanging="357"/>
        <w:jc w:val="both"/>
        <w:rPr>
          <w:color w:val="000000"/>
        </w:rPr>
      </w:pPr>
      <w:r w:rsidRPr="00510528">
        <w:rPr>
          <w:color w:val="000000"/>
        </w:rPr>
        <w:t>pogonskih elemenata koji upotrebljavaju energiju iz obnovljivih izvora kao što su jedra, zmajevi, vjetrenjače, turbine ili solarne ploče;</w:t>
      </w:r>
    </w:p>
    <w:p w:rsidR="00DB0E0F" w:rsidRPr="00510528" w:rsidRDefault="00DB0E0F" w:rsidP="00DB0E0F">
      <w:pPr>
        <w:numPr>
          <w:ilvl w:val="1"/>
          <w:numId w:val="35"/>
        </w:numPr>
        <w:autoSpaceDE w:val="0"/>
        <w:autoSpaceDN w:val="0"/>
        <w:spacing w:after="120"/>
        <w:ind w:left="714" w:hanging="357"/>
        <w:jc w:val="both"/>
        <w:rPr>
          <w:color w:val="000000"/>
        </w:rPr>
      </w:pPr>
      <w:r w:rsidRPr="00510528">
        <w:rPr>
          <w:color w:val="000000"/>
        </w:rPr>
        <w:t>poprečnih propelera;</w:t>
      </w:r>
    </w:p>
    <w:p w:rsidR="00DB0E0F" w:rsidRPr="00510528" w:rsidRDefault="00DB0E0F" w:rsidP="00DB0E0F">
      <w:pPr>
        <w:numPr>
          <w:ilvl w:val="1"/>
          <w:numId w:val="35"/>
        </w:numPr>
        <w:autoSpaceDE w:val="0"/>
        <w:autoSpaceDN w:val="0"/>
        <w:spacing w:after="120"/>
        <w:ind w:left="714" w:hanging="357"/>
        <w:jc w:val="both"/>
        <w:rPr>
          <w:color w:val="000000"/>
        </w:rPr>
      </w:pPr>
      <w:r w:rsidRPr="00510528">
        <w:rPr>
          <w:color w:val="000000"/>
        </w:rPr>
        <w:t>opreme koja se koristi kod prilagodbe motora za upotrebu biogoriva;</w:t>
      </w:r>
    </w:p>
    <w:p w:rsidR="00DB0E0F" w:rsidRPr="00510528" w:rsidRDefault="00DB0E0F" w:rsidP="00DB0E0F">
      <w:pPr>
        <w:numPr>
          <w:ilvl w:val="1"/>
          <w:numId w:val="35"/>
        </w:numPr>
        <w:autoSpaceDE w:val="0"/>
        <w:autoSpaceDN w:val="0"/>
        <w:spacing w:after="120"/>
        <w:ind w:left="714" w:hanging="357"/>
        <w:jc w:val="both"/>
        <w:rPr>
          <w:color w:val="000000"/>
        </w:rPr>
      </w:pPr>
      <w:r w:rsidRPr="00510528">
        <w:rPr>
          <w:color w:val="000000"/>
        </w:rPr>
        <w:t>ekonometara, sustava za upravljanje gorivom i sustava za praćenje;</w:t>
      </w:r>
    </w:p>
    <w:p w:rsidR="00DB0E0F" w:rsidRPr="00510528" w:rsidRDefault="00DB0E0F" w:rsidP="00DB0E0F">
      <w:pPr>
        <w:numPr>
          <w:ilvl w:val="1"/>
          <w:numId w:val="35"/>
        </w:numPr>
        <w:autoSpaceDE w:val="0"/>
        <w:autoSpaceDN w:val="0"/>
        <w:spacing w:after="120"/>
        <w:ind w:left="714" w:hanging="357"/>
        <w:jc w:val="both"/>
        <w:rPr>
          <w:color w:val="000000"/>
        </w:rPr>
      </w:pPr>
      <w:r w:rsidRPr="00510528">
        <w:rPr>
          <w:color w:val="000000"/>
        </w:rPr>
        <w:t>sapnica za poboljšanje pogonskog sustava.</w:t>
      </w:r>
    </w:p>
    <w:p w:rsidR="00DB0E0F" w:rsidRPr="00510528" w:rsidRDefault="00DB0E0F" w:rsidP="00684D35">
      <w:pPr>
        <w:numPr>
          <w:ilvl w:val="0"/>
          <w:numId w:val="35"/>
        </w:numPr>
        <w:spacing w:after="120"/>
        <w:jc w:val="both"/>
        <w:rPr>
          <w:color w:val="000000"/>
        </w:rPr>
      </w:pPr>
      <w:r w:rsidRPr="00510528">
        <w:rPr>
          <w:color w:val="000000"/>
        </w:rPr>
        <w:t>Prihvatljivi su i troškovi koji su nužni i izravno povezani s ugradnjom/postavljanjem predmeta/opreme/sustava iz stavka 1. ovoga članka.</w:t>
      </w:r>
    </w:p>
    <w:p w:rsidR="00DB0E0F" w:rsidRPr="00510528" w:rsidRDefault="00DB0E0F" w:rsidP="00DB0E0F">
      <w:pPr>
        <w:autoSpaceDE w:val="0"/>
        <w:autoSpaceDN w:val="0"/>
        <w:spacing w:after="120"/>
        <w:ind w:left="360"/>
        <w:jc w:val="both"/>
        <w:rPr>
          <w:color w:val="000000"/>
        </w:rPr>
      </w:pPr>
    </w:p>
    <w:p w:rsidR="00DB0E0F" w:rsidRPr="00510528" w:rsidRDefault="00DB0E0F" w:rsidP="00DB0E0F">
      <w:pPr>
        <w:autoSpaceDE w:val="0"/>
        <w:autoSpaceDN w:val="0"/>
        <w:spacing w:after="120"/>
        <w:ind w:left="714"/>
        <w:jc w:val="center"/>
        <w:rPr>
          <w:i/>
          <w:color w:val="000000"/>
        </w:rPr>
      </w:pPr>
      <w:r w:rsidRPr="00510528">
        <w:rPr>
          <w:i/>
          <w:color w:val="000000"/>
        </w:rPr>
        <w:t>Prihvatljivi troškovi za ulaganja u ribolovni alat i opremu</w:t>
      </w:r>
    </w:p>
    <w:p w:rsidR="00DB0E0F" w:rsidRPr="00510528" w:rsidRDefault="00DB0E0F" w:rsidP="00DB0E0F">
      <w:pPr>
        <w:autoSpaceDE w:val="0"/>
        <w:autoSpaceDN w:val="0"/>
        <w:spacing w:after="120"/>
        <w:jc w:val="center"/>
        <w:rPr>
          <w:iCs/>
          <w:color w:val="000000"/>
        </w:rPr>
      </w:pPr>
      <w:r w:rsidRPr="00510528">
        <w:rPr>
          <w:iCs/>
          <w:color w:val="000000"/>
        </w:rPr>
        <w:t>Članak 9.</w:t>
      </w:r>
    </w:p>
    <w:p w:rsidR="00DB0E0F" w:rsidRPr="00510528" w:rsidRDefault="00DB0E0F" w:rsidP="00DB0E0F">
      <w:pPr>
        <w:numPr>
          <w:ilvl w:val="0"/>
          <w:numId w:val="36"/>
        </w:numPr>
        <w:autoSpaceDE w:val="0"/>
        <w:autoSpaceDN w:val="0"/>
        <w:spacing w:after="120"/>
        <w:jc w:val="both"/>
        <w:rPr>
          <w:color w:val="000000"/>
        </w:rPr>
      </w:pPr>
      <w:r w:rsidRPr="00510528">
        <w:rPr>
          <w:color w:val="000000"/>
        </w:rPr>
        <w:t>Za ulaganja u ribolovne alate i ribolovnu opremu iz članka 6. stavka 1. točke a) ovoga Pravilnika, prihvatljivi su troškovi:</w:t>
      </w:r>
    </w:p>
    <w:p w:rsidR="00DB0E0F" w:rsidRPr="00510528" w:rsidRDefault="00DB0E0F" w:rsidP="00DB0E0F">
      <w:pPr>
        <w:autoSpaceDE w:val="0"/>
        <w:autoSpaceDN w:val="0"/>
        <w:spacing w:after="120"/>
        <w:ind w:left="360"/>
        <w:jc w:val="both"/>
        <w:rPr>
          <w:color w:val="000000"/>
        </w:rPr>
      </w:pPr>
      <w:r w:rsidRPr="00510528">
        <w:rPr>
          <w:color w:val="000000"/>
        </w:rPr>
        <w:t>a)</w:t>
      </w:r>
      <w:r w:rsidRPr="00510528">
        <w:rPr>
          <w:color w:val="000000"/>
        </w:rPr>
        <w:tab/>
        <w:t>prelaska s povlačnog na alternativni ribolovni alat;</w:t>
      </w:r>
    </w:p>
    <w:p w:rsidR="00DB0E0F" w:rsidRPr="00510528" w:rsidRDefault="00DB0E0F" w:rsidP="00DB0E0F">
      <w:pPr>
        <w:autoSpaceDE w:val="0"/>
        <w:autoSpaceDN w:val="0"/>
        <w:spacing w:after="120"/>
        <w:ind w:left="360"/>
        <w:jc w:val="both"/>
        <w:rPr>
          <w:color w:val="000000"/>
        </w:rPr>
      </w:pPr>
      <w:r w:rsidRPr="00510528">
        <w:rPr>
          <w:color w:val="000000"/>
        </w:rPr>
        <w:t>b)</w:t>
      </w:r>
      <w:r w:rsidRPr="00510528">
        <w:rPr>
          <w:color w:val="000000"/>
        </w:rPr>
        <w:tab/>
        <w:t>preinaka povlačnog ribolovnog alata;</w:t>
      </w:r>
    </w:p>
    <w:p w:rsidR="00DB0E0F" w:rsidRPr="00510528" w:rsidRDefault="00DB0E0F" w:rsidP="00DB0E0F">
      <w:pPr>
        <w:autoSpaceDE w:val="0"/>
        <w:autoSpaceDN w:val="0"/>
        <w:spacing w:after="120"/>
        <w:ind w:left="360"/>
        <w:jc w:val="both"/>
        <w:rPr>
          <w:color w:val="000000"/>
        </w:rPr>
      </w:pPr>
      <w:r w:rsidRPr="00510528">
        <w:rPr>
          <w:color w:val="000000"/>
        </w:rPr>
        <w:t>c)</w:t>
      </w:r>
      <w:r w:rsidRPr="00510528">
        <w:rPr>
          <w:color w:val="000000"/>
        </w:rPr>
        <w:tab/>
        <w:t>nabave opreme za nadzor povlačnog ribolovnog alata.</w:t>
      </w:r>
    </w:p>
    <w:p w:rsidR="00DB0E0F" w:rsidRPr="00510528" w:rsidRDefault="00DB0E0F" w:rsidP="00DB0E0F">
      <w:pPr>
        <w:numPr>
          <w:ilvl w:val="0"/>
          <w:numId w:val="36"/>
        </w:numPr>
        <w:spacing w:after="120"/>
        <w:jc w:val="both"/>
        <w:rPr>
          <w:color w:val="000000"/>
        </w:rPr>
      </w:pPr>
      <w:r w:rsidRPr="00510528">
        <w:rPr>
          <w:color w:val="000000"/>
        </w:rPr>
        <w:t>Prihvatljivi su i troškovi koji su nužni i izravno povezani s ugradnjom/postavljanjem alata/opreme/predmeta iz stavka 1. ovoga članka.</w:t>
      </w:r>
    </w:p>
    <w:p w:rsidR="00A663C8" w:rsidRPr="00510528" w:rsidRDefault="00A663C8" w:rsidP="00DB0E0F">
      <w:pPr>
        <w:autoSpaceDE w:val="0"/>
        <w:autoSpaceDN w:val="0"/>
        <w:spacing w:after="120"/>
        <w:jc w:val="center"/>
        <w:rPr>
          <w:i/>
          <w:color w:val="000000"/>
        </w:rPr>
      </w:pPr>
    </w:p>
    <w:p w:rsidR="00DB0E0F" w:rsidRPr="00510528" w:rsidRDefault="00DB0E0F" w:rsidP="00DB0E0F">
      <w:pPr>
        <w:autoSpaceDE w:val="0"/>
        <w:autoSpaceDN w:val="0"/>
        <w:spacing w:after="120"/>
        <w:jc w:val="center"/>
        <w:rPr>
          <w:i/>
          <w:color w:val="000000"/>
        </w:rPr>
      </w:pPr>
      <w:r w:rsidRPr="00510528">
        <w:rPr>
          <w:i/>
          <w:color w:val="000000"/>
        </w:rPr>
        <w:t>Prihvatljivi troškovi povezani s ulaganjima u cilju smanjenja potrošnje električne i termalne energije</w:t>
      </w:r>
    </w:p>
    <w:p w:rsidR="00DB0E0F" w:rsidRPr="00510528" w:rsidRDefault="00DB0E0F" w:rsidP="00DB0E0F">
      <w:pPr>
        <w:autoSpaceDE w:val="0"/>
        <w:autoSpaceDN w:val="0"/>
        <w:spacing w:after="120"/>
        <w:jc w:val="center"/>
        <w:rPr>
          <w:iCs/>
          <w:color w:val="000000"/>
        </w:rPr>
      </w:pPr>
      <w:r w:rsidRPr="00510528">
        <w:rPr>
          <w:iCs/>
          <w:color w:val="000000"/>
        </w:rPr>
        <w:t>Članak 10.</w:t>
      </w:r>
    </w:p>
    <w:p w:rsidR="00DB0E0F" w:rsidRPr="00510528" w:rsidRDefault="00DB0E0F" w:rsidP="00DB0E0F">
      <w:pPr>
        <w:numPr>
          <w:ilvl w:val="0"/>
          <w:numId w:val="37"/>
        </w:numPr>
        <w:autoSpaceDE w:val="0"/>
        <w:autoSpaceDN w:val="0"/>
        <w:spacing w:after="120"/>
        <w:jc w:val="both"/>
        <w:rPr>
          <w:color w:val="000000"/>
        </w:rPr>
      </w:pPr>
      <w:r w:rsidRPr="00510528">
        <w:rPr>
          <w:color w:val="000000"/>
        </w:rPr>
        <w:t>Za ulaganja u smanjenje potrošnje električne i termalne energije iz članka 6. stavka 1. točke a) ovoga Pravilnika, prihvatljivi su:</w:t>
      </w:r>
    </w:p>
    <w:p w:rsidR="00DB0E0F" w:rsidRPr="00510528" w:rsidRDefault="00DB0E0F" w:rsidP="00DB0E0F">
      <w:pPr>
        <w:numPr>
          <w:ilvl w:val="1"/>
          <w:numId w:val="37"/>
        </w:numPr>
        <w:autoSpaceDE w:val="0"/>
        <w:autoSpaceDN w:val="0"/>
        <w:spacing w:after="120"/>
        <w:ind w:left="714" w:hanging="357"/>
        <w:jc w:val="both"/>
        <w:rPr>
          <w:color w:val="000000"/>
        </w:rPr>
      </w:pPr>
      <w:r w:rsidRPr="00510528">
        <w:rPr>
          <w:color w:val="000000"/>
        </w:rPr>
        <w:t>troškovi ulaganja u poboljšanje sustava za hlađenje, zamrzavanje ili izolaciju za plovila kraća od 18 m;</w:t>
      </w:r>
    </w:p>
    <w:p w:rsidR="00DB0E0F" w:rsidRPr="00510528" w:rsidRDefault="00DB0E0F" w:rsidP="00DB0E0F">
      <w:pPr>
        <w:numPr>
          <w:ilvl w:val="1"/>
          <w:numId w:val="37"/>
        </w:numPr>
        <w:autoSpaceDE w:val="0"/>
        <w:autoSpaceDN w:val="0"/>
        <w:spacing w:after="120"/>
        <w:ind w:left="714" w:hanging="357"/>
        <w:jc w:val="both"/>
        <w:rPr>
          <w:color w:val="000000"/>
        </w:rPr>
      </w:pPr>
      <w:r w:rsidRPr="00510528">
        <w:rPr>
          <w:color w:val="000000"/>
        </w:rPr>
        <w:t>troškovi ulaganja u poticanje ponovne upotrebe topline na plovilu pri čemu se toplina zadržava i ponovno upotrebljava za ostale pomoćne operacije na plovilu.</w:t>
      </w:r>
    </w:p>
    <w:p w:rsidR="00DB0E0F" w:rsidRPr="00510528" w:rsidRDefault="00DB0E0F" w:rsidP="00DB0E0F">
      <w:pPr>
        <w:numPr>
          <w:ilvl w:val="0"/>
          <w:numId w:val="37"/>
        </w:numPr>
        <w:spacing w:after="120"/>
        <w:jc w:val="both"/>
        <w:rPr>
          <w:color w:val="000000"/>
        </w:rPr>
      </w:pPr>
      <w:r w:rsidRPr="00510528">
        <w:rPr>
          <w:color w:val="000000"/>
        </w:rPr>
        <w:t>Prihvatljivi su i troškovi koji su nužni i izravno povezani s ugradnjom/postavljanjem predmeta/opreme/sustava iz stavka 1. ovoga članka.</w:t>
      </w:r>
    </w:p>
    <w:p w:rsidR="00DB0E0F" w:rsidRPr="00510528" w:rsidRDefault="00DB0E0F" w:rsidP="00DB0E0F">
      <w:pPr>
        <w:autoSpaceDE w:val="0"/>
        <w:autoSpaceDN w:val="0"/>
        <w:spacing w:after="120"/>
        <w:rPr>
          <w:i/>
          <w:color w:val="000000"/>
        </w:rPr>
      </w:pPr>
    </w:p>
    <w:p w:rsidR="00DB0E0F" w:rsidRPr="00510528" w:rsidRDefault="00DB0E0F" w:rsidP="00DB0E0F">
      <w:pPr>
        <w:autoSpaceDE w:val="0"/>
        <w:autoSpaceDN w:val="0"/>
        <w:spacing w:after="120"/>
        <w:jc w:val="center"/>
        <w:rPr>
          <w:i/>
          <w:color w:val="000000"/>
        </w:rPr>
      </w:pPr>
      <w:r w:rsidRPr="00510528">
        <w:rPr>
          <w:i/>
          <w:color w:val="000000"/>
        </w:rPr>
        <w:t>Prihvatljivi troškovi za ulaganja u revizije i sustave energetske učinkovitosti i studija za ocjenu doprinosa alternativnih pogonskih sustava i dizajna oplate energetskoj učinkovitosti</w:t>
      </w:r>
      <w:r w:rsidRPr="00510528">
        <w:rPr>
          <w:color w:val="000000"/>
        </w:rPr>
        <w:t xml:space="preserve"> </w:t>
      </w:r>
      <w:r w:rsidRPr="00510528">
        <w:rPr>
          <w:i/>
          <w:color w:val="000000"/>
        </w:rPr>
        <w:t>plovila</w:t>
      </w:r>
    </w:p>
    <w:p w:rsidR="00DB0E0F" w:rsidRPr="00510528" w:rsidRDefault="00DB0E0F" w:rsidP="00DB0E0F">
      <w:pPr>
        <w:autoSpaceDE w:val="0"/>
        <w:autoSpaceDN w:val="0"/>
        <w:spacing w:after="120"/>
        <w:jc w:val="center"/>
        <w:rPr>
          <w:color w:val="000000"/>
        </w:rPr>
      </w:pPr>
      <w:r w:rsidRPr="00510528">
        <w:rPr>
          <w:color w:val="000000"/>
        </w:rPr>
        <w:t>Članak 11.</w:t>
      </w:r>
    </w:p>
    <w:p w:rsidR="00DB0E0F" w:rsidRPr="00510528" w:rsidRDefault="00DB0E0F" w:rsidP="00DB0E0F">
      <w:pPr>
        <w:numPr>
          <w:ilvl w:val="0"/>
          <w:numId w:val="38"/>
        </w:numPr>
        <w:autoSpaceDE w:val="0"/>
        <w:autoSpaceDN w:val="0"/>
        <w:spacing w:after="120"/>
        <w:ind w:left="357" w:hanging="357"/>
        <w:jc w:val="both"/>
        <w:rPr>
          <w:color w:val="000000"/>
        </w:rPr>
      </w:pPr>
      <w:r w:rsidRPr="00510528">
        <w:rPr>
          <w:color w:val="000000"/>
        </w:rPr>
        <w:lastRenderedPageBreak/>
        <w:t>Za ulaganja u revizije i sustave energetske učinkovitosti iz članka 6. stavka 1. točke b) ovoga Pravilnika, prihvatljivi su troškovi revizije i sustava energetske učinkovitosti.</w:t>
      </w:r>
    </w:p>
    <w:p w:rsidR="00DB0E0F" w:rsidRPr="00510528" w:rsidRDefault="00DB0E0F" w:rsidP="00DB0E0F">
      <w:pPr>
        <w:numPr>
          <w:ilvl w:val="0"/>
          <w:numId w:val="38"/>
        </w:numPr>
        <w:autoSpaceDE w:val="0"/>
        <w:autoSpaceDN w:val="0"/>
        <w:spacing w:after="120"/>
        <w:ind w:left="357" w:hanging="357"/>
        <w:jc w:val="both"/>
        <w:rPr>
          <w:color w:val="000000"/>
        </w:rPr>
      </w:pPr>
      <w:r w:rsidRPr="00510528">
        <w:rPr>
          <w:color w:val="000000"/>
        </w:rPr>
        <w:t>Za ulaganja u studije za ocjenu doprinosa alternativnih pogonskih sustava i dizajna oplate energetskoj učinkovitosti plovila iz članka 6. stavka 1. točke c) ovoga Pravilnika, prihvatljivi su troškovi izrade navedenih studija.</w:t>
      </w:r>
    </w:p>
    <w:p w:rsidR="00DB0E0F" w:rsidRPr="00510528" w:rsidRDefault="00DB0E0F" w:rsidP="00DB0E0F">
      <w:pPr>
        <w:autoSpaceDE w:val="0"/>
        <w:autoSpaceDN w:val="0"/>
        <w:spacing w:after="120"/>
        <w:jc w:val="center"/>
      </w:pPr>
    </w:p>
    <w:p w:rsidR="00DB0E0F" w:rsidRPr="00510528" w:rsidRDefault="00DB0E0F" w:rsidP="00DB0E0F">
      <w:pPr>
        <w:autoSpaceDE w:val="0"/>
        <w:autoSpaceDN w:val="0"/>
        <w:spacing w:after="120"/>
        <w:jc w:val="center"/>
      </w:pPr>
      <w:r w:rsidRPr="00510528">
        <w:t>Članak 12.</w:t>
      </w:r>
    </w:p>
    <w:p w:rsidR="002C4D0B" w:rsidRPr="00510528" w:rsidRDefault="002C4D0B" w:rsidP="002C4D0B">
      <w:pPr>
        <w:spacing w:after="120"/>
        <w:jc w:val="both"/>
        <w:rPr>
          <w:color w:val="000000"/>
        </w:rPr>
      </w:pPr>
      <w:r w:rsidRPr="00510528">
        <w:rPr>
          <w:color w:val="000000"/>
        </w:rPr>
        <w:t>Prihvatljivi troškovi su troškovi nastali u razdoblju prihvatljivosti koje se definira Natječajem, izuzev troškova koji se ne mogu potvrditi kontrolom na terenu u skladu sa člankom 25. ovoga Pravilnika i ne dovodeći u pitanje članak 4. stavak 1. točku j) ovoga Pravilnika.</w:t>
      </w:r>
    </w:p>
    <w:p w:rsidR="00DB0E0F" w:rsidRPr="00510528" w:rsidRDefault="00DB0E0F" w:rsidP="00F56035">
      <w:pPr>
        <w:autoSpaceDE w:val="0"/>
        <w:autoSpaceDN w:val="0"/>
        <w:spacing w:after="120"/>
        <w:rPr>
          <w:i/>
          <w:color w:val="000000"/>
        </w:rPr>
      </w:pPr>
    </w:p>
    <w:p w:rsidR="00DB0E0F" w:rsidRPr="00510528" w:rsidRDefault="00DB0E0F" w:rsidP="00DB0E0F">
      <w:pPr>
        <w:autoSpaceDE w:val="0"/>
        <w:autoSpaceDN w:val="0"/>
        <w:spacing w:after="120"/>
        <w:ind w:left="357"/>
        <w:jc w:val="center"/>
        <w:rPr>
          <w:i/>
          <w:color w:val="000000"/>
        </w:rPr>
      </w:pPr>
      <w:r w:rsidRPr="00510528">
        <w:rPr>
          <w:i/>
          <w:color w:val="000000"/>
        </w:rPr>
        <w:t>Neprihvatljivi troškovi</w:t>
      </w:r>
    </w:p>
    <w:p w:rsidR="00DB0E0F" w:rsidRPr="00510528" w:rsidRDefault="00DB0E0F" w:rsidP="00DB0E0F">
      <w:pPr>
        <w:autoSpaceDE w:val="0"/>
        <w:autoSpaceDN w:val="0"/>
        <w:spacing w:after="120"/>
        <w:jc w:val="center"/>
        <w:rPr>
          <w:color w:val="000000"/>
        </w:rPr>
      </w:pPr>
      <w:r w:rsidRPr="00510528">
        <w:rPr>
          <w:color w:val="000000"/>
        </w:rPr>
        <w:t>Članak 13.</w:t>
      </w:r>
    </w:p>
    <w:p w:rsidR="00DB0E0F" w:rsidRPr="00510528" w:rsidRDefault="00DB0E0F" w:rsidP="00DB0E0F">
      <w:pPr>
        <w:autoSpaceDE w:val="0"/>
        <w:autoSpaceDN w:val="0"/>
        <w:spacing w:after="120"/>
        <w:jc w:val="both"/>
        <w:rPr>
          <w:color w:val="000000"/>
        </w:rPr>
      </w:pPr>
      <w:r w:rsidRPr="00510528">
        <w:rPr>
          <w:color w:val="000000"/>
        </w:rPr>
        <w:t>Neprihvatljivi troškovi su:</w:t>
      </w:r>
    </w:p>
    <w:p w:rsidR="00DB0E0F" w:rsidRPr="00510528" w:rsidRDefault="00DB0E0F" w:rsidP="00DB0E0F">
      <w:pPr>
        <w:numPr>
          <w:ilvl w:val="0"/>
          <w:numId w:val="40"/>
        </w:numPr>
        <w:spacing w:after="120"/>
        <w:jc w:val="both"/>
        <w:rPr>
          <w:color w:val="000000"/>
        </w:rPr>
      </w:pPr>
      <w:r w:rsidRPr="00510528">
        <w:rPr>
          <w:color w:val="000000"/>
        </w:rPr>
        <w:t>porez na dodanu vrijednost (u daljnjem tekstu: PDV), u slučaju da je korisnik porezni obveznik upisan u registar obveznika PDV-a te ima pravo na odbitak PDV-a;</w:t>
      </w:r>
    </w:p>
    <w:p w:rsidR="00DB0E0F" w:rsidRPr="00510528" w:rsidRDefault="00DB0E0F" w:rsidP="00DB0E0F">
      <w:pPr>
        <w:numPr>
          <w:ilvl w:val="0"/>
          <w:numId w:val="40"/>
        </w:numPr>
        <w:spacing w:after="120"/>
        <w:jc w:val="both"/>
        <w:rPr>
          <w:color w:val="000000"/>
        </w:rPr>
      </w:pPr>
      <w:r w:rsidRPr="00510528">
        <w:rPr>
          <w:color w:val="000000"/>
        </w:rPr>
        <w:t>drugi porezi, naknade i doprinosi;</w:t>
      </w:r>
    </w:p>
    <w:p w:rsidR="00DB0E0F" w:rsidRPr="00510528" w:rsidRDefault="00DB0E0F" w:rsidP="00DB0E0F">
      <w:pPr>
        <w:numPr>
          <w:ilvl w:val="0"/>
          <w:numId w:val="40"/>
        </w:numPr>
        <w:spacing w:after="120"/>
        <w:jc w:val="both"/>
        <w:rPr>
          <w:color w:val="000000"/>
        </w:rPr>
      </w:pPr>
      <w:r w:rsidRPr="00510528">
        <w:rPr>
          <w:color w:val="000000"/>
        </w:rPr>
        <w:t>potrošni materijal i troškovi kupnje primarne sirovine i repromaterijala, osim ako je drugačije navedeno u člancima 7. do 11. ovoga Pravilnika;</w:t>
      </w:r>
    </w:p>
    <w:p w:rsidR="00DB0E0F" w:rsidRPr="00510528" w:rsidRDefault="00DB0E0F" w:rsidP="00DB0E0F">
      <w:pPr>
        <w:numPr>
          <w:ilvl w:val="0"/>
          <w:numId w:val="40"/>
        </w:numPr>
        <w:spacing w:after="120"/>
        <w:jc w:val="both"/>
        <w:rPr>
          <w:color w:val="000000"/>
        </w:rPr>
      </w:pPr>
      <w:r w:rsidRPr="00510528">
        <w:rPr>
          <w:color w:val="000000"/>
        </w:rPr>
        <w:t>troškovi kamata i tečajnih razlika, refinanciranja kamata i amortizacije;</w:t>
      </w:r>
    </w:p>
    <w:p w:rsidR="00DB0E0F" w:rsidRPr="00510528" w:rsidRDefault="00DB0E0F" w:rsidP="00DB0E0F">
      <w:pPr>
        <w:numPr>
          <w:ilvl w:val="0"/>
          <w:numId w:val="40"/>
        </w:numPr>
        <w:spacing w:after="120"/>
        <w:jc w:val="both"/>
        <w:rPr>
          <w:color w:val="000000"/>
        </w:rPr>
      </w:pPr>
      <w:r w:rsidRPr="00510528">
        <w:rPr>
          <w:color w:val="000000"/>
        </w:rPr>
        <w:t>carinske i uvozne pristojbe i sve ostale naknade;</w:t>
      </w:r>
    </w:p>
    <w:p w:rsidR="00DB0E0F" w:rsidRPr="00510528" w:rsidRDefault="00DB0E0F" w:rsidP="00DB0E0F">
      <w:pPr>
        <w:numPr>
          <w:ilvl w:val="0"/>
          <w:numId w:val="40"/>
        </w:numPr>
        <w:spacing w:after="120"/>
        <w:jc w:val="both"/>
        <w:rPr>
          <w:color w:val="000000"/>
        </w:rPr>
      </w:pPr>
      <w:r w:rsidRPr="00510528">
        <w:rPr>
          <w:color w:val="000000"/>
        </w:rPr>
        <w:t>bankovni troškovi, troškovi jamstava i slične naknade;</w:t>
      </w:r>
    </w:p>
    <w:p w:rsidR="00DB0E0F" w:rsidRPr="00510528" w:rsidRDefault="00DB0E0F" w:rsidP="00DB0E0F">
      <w:pPr>
        <w:numPr>
          <w:ilvl w:val="0"/>
          <w:numId w:val="40"/>
        </w:numPr>
        <w:spacing w:after="120"/>
        <w:jc w:val="both"/>
        <w:rPr>
          <w:color w:val="000000"/>
        </w:rPr>
      </w:pPr>
      <w:r w:rsidRPr="00510528">
        <w:rPr>
          <w:color w:val="000000"/>
        </w:rPr>
        <w:t>troškovi pretvaranja, naknade i tečajni troškovi vezani uz račune u stranim valutama, kao i drugi isključivo financijski izdaci;</w:t>
      </w:r>
    </w:p>
    <w:p w:rsidR="00DB0E0F" w:rsidRPr="00510528" w:rsidRDefault="00DB0E0F" w:rsidP="00DB0E0F">
      <w:pPr>
        <w:numPr>
          <w:ilvl w:val="0"/>
          <w:numId w:val="40"/>
        </w:numPr>
        <w:spacing w:after="120"/>
        <w:jc w:val="both"/>
        <w:rPr>
          <w:color w:val="000000"/>
        </w:rPr>
      </w:pPr>
      <w:r w:rsidRPr="00510528">
        <w:rPr>
          <w:color w:val="000000"/>
        </w:rPr>
        <w:t>administrativne i upravne pristojbe;</w:t>
      </w:r>
    </w:p>
    <w:p w:rsidR="00DB0E0F" w:rsidRPr="00510528" w:rsidRDefault="00DB0E0F" w:rsidP="00DB0E0F">
      <w:pPr>
        <w:numPr>
          <w:ilvl w:val="0"/>
          <w:numId w:val="40"/>
        </w:numPr>
        <w:spacing w:after="120"/>
        <w:jc w:val="both"/>
        <w:rPr>
          <w:color w:val="000000"/>
        </w:rPr>
      </w:pPr>
      <w:r w:rsidRPr="00510528">
        <w:rPr>
          <w:color w:val="000000"/>
        </w:rPr>
        <w:t>plaćanja u gotovini;</w:t>
      </w:r>
    </w:p>
    <w:p w:rsidR="00DB0E0F" w:rsidRPr="00510528" w:rsidRDefault="00DB0E0F" w:rsidP="00DB0E0F">
      <w:pPr>
        <w:numPr>
          <w:ilvl w:val="0"/>
          <w:numId w:val="40"/>
        </w:numPr>
        <w:spacing w:after="120"/>
        <w:jc w:val="both"/>
        <w:rPr>
          <w:color w:val="000000"/>
        </w:rPr>
      </w:pPr>
      <w:r w:rsidRPr="00510528">
        <w:rPr>
          <w:color w:val="000000"/>
        </w:rPr>
        <w:t>doprinosi u naravi i plaćanja putem robne razmjene;</w:t>
      </w:r>
    </w:p>
    <w:p w:rsidR="00DB0E0F" w:rsidRPr="00510528" w:rsidRDefault="00DB0E0F" w:rsidP="00DB0E0F">
      <w:pPr>
        <w:numPr>
          <w:ilvl w:val="0"/>
          <w:numId w:val="40"/>
        </w:numPr>
        <w:spacing w:after="120"/>
        <w:jc w:val="both"/>
        <w:rPr>
          <w:color w:val="000000"/>
        </w:rPr>
      </w:pPr>
      <w:r w:rsidRPr="00510528">
        <w:rPr>
          <w:color w:val="000000"/>
        </w:rPr>
        <w:t>troškovi vlastitog rada;</w:t>
      </w:r>
    </w:p>
    <w:p w:rsidR="00AD0F07" w:rsidRPr="00510528" w:rsidRDefault="00AD0F07" w:rsidP="00DB0E0F">
      <w:pPr>
        <w:numPr>
          <w:ilvl w:val="0"/>
          <w:numId w:val="40"/>
        </w:numPr>
        <w:spacing w:after="120"/>
        <w:jc w:val="both"/>
        <w:rPr>
          <w:color w:val="000000"/>
        </w:rPr>
      </w:pPr>
      <w:r w:rsidRPr="00510528">
        <w:rPr>
          <w:color w:val="000000"/>
        </w:rPr>
        <w:t>troškovi financirani kroz operativni i/ili financijski leasing;</w:t>
      </w:r>
    </w:p>
    <w:p w:rsidR="00DB0E0F" w:rsidRPr="00510528" w:rsidRDefault="00DB0E0F" w:rsidP="00DB0E0F">
      <w:pPr>
        <w:numPr>
          <w:ilvl w:val="0"/>
          <w:numId w:val="40"/>
        </w:numPr>
        <w:spacing w:after="120"/>
        <w:jc w:val="both"/>
        <w:rPr>
          <w:color w:val="000000"/>
        </w:rPr>
      </w:pPr>
      <w:r w:rsidRPr="00510528">
        <w:rPr>
          <w:color w:val="000000"/>
        </w:rPr>
        <w:t>troškovi vezani uz ugovore o zakupu ili leasingu, kao što je marža najmodavca ili marža davatelja leasinga, režijski troškovi i troškovi osiguranja;</w:t>
      </w:r>
    </w:p>
    <w:p w:rsidR="00DB0E0F" w:rsidRPr="00510528" w:rsidRDefault="00DB0E0F" w:rsidP="00DB0E0F">
      <w:pPr>
        <w:numPr>
          <w:ilvl w:val="0"/>
          <w:numId w:val="40"/>
        </w:numPr>
        <w:spacing w:after="120"/>
        <w:jc w:val="both"/>
        <w:rPr>
          <w:color w:val="000000"/>
        </w:rPr>
      </w:pPr>
      <w:r w:rsidRPr="00510528">
        <w:rPr>
          <w:color w:val="000000"/>
        </w:rPr>
        <w:t>operativni troškovi, troškovi povezani sa redovitim ili preventivnim održavanjem bilo kojeg dijela opreme koje je potrebno za održavanje uređaja u radnom stanju, amortizacije i najma;</w:t>
      </w:r>
    </w:p>
    <w:p w:rsidR="00DB0E0F" w:rsidRPr="00510528" w:rsidRDefault="00DB0E0F" w:rsidP="00DB0E0F">
      <w:pPr>
        <w:numPr>
          <w:ilvl w:val="0"/>
          <w:numId w:val="40"/>
        </w:numPr>
        <w:spacing w:after="120"/>
        <w:jc w:val="both"/>
        <w:rPr>
          <w:color w:val="000000"/>
        </w:rPr>
      </w:pPr>
      <w:r w:rsidRPr="00510528">
        <w:rPr>
          <w:color w:val="000000"/>
        </w:rPr>
        <w:t>troškovi postavljanja/ugradnje koji nisu nužni i izravno povezani s ugradnjom/postavljanjem prihvatljivih</w:t>
      </w:r>
      <w:r w:rsidR="006E3E9A" w:rsidRPr="00510528">
        <w:rPr>
          <w:color w:val="000000"/>
        </w:rPr>
        <w:t xml:space="preserve"> troškova navedenim u člancima 7. do 11</w:t>
      </w:r>
      <w:r w:rsidRPr="00510528">
        <w:rPr>
          <w:color w:val="000000"/>
        </w:rPr>
        <w:t>. ovoga Pravilnika;</w:t>
      </w:r>
    </w:p>
    <w:p w:rsidR="00DB0E0F" w:rsidRPr="00510528" w:rsidRDefault="00DB0E0F" w:rsidP="00DB0E0F">
      <w:pPr>
        <w:numPr>
          <w:ilvl w:val="0"/>
          <w:numId w:val="40"/>
        </w:numPr>
        <w:spacing w:after="120"/>
        <w:jc w:val="both"/>
        <w:rPr>
          <w:color w:val="000000"/>
        </w:rPr>
      </w:pPr>
      <w:r w:rsidRPr="00510528">
        <w:rPr>
          <w:color w:val="000000"/>
        </w:rPr>
        <w:t>rabljeni strojevi, rabljena oprema, rabljeni uređaji, rabljeni materijali, rabljeni instrumenti, kao i svi rabljeni sastavni dijelovi naprijed navedenog;</w:t>
      </w:r>
    </w:p>
    <w:p w:rsidR="00DB0E0F" w:rsidRPr="00510528" w:rsidRDefault="00DB0E0F" w:rsidP="00DB0E0F">
      <w:pPr>
        <w:numPr>
          <w:ilvl w:val="0"/>
          <w:numId w:val="40"/>
        </w:numPr>
        <w:spacing w:after="120"/>
        <w:jc w:val="both"/>
        <w:rPr>
          <w:color w:val="000000"/>
        </w:rPr>
      </w:pPr>
      <w:r w:rsidRPr="00510528">
        <w:rPr>
          <w:color w:val="000000"/>
        </w:rPr>
        <w:lastRenderedPageBreak/>
        <w:t>troškovi kupnje i</w:t>
      </w:r>
      <w:r w:rsidR="002C4D0B" w:rsidRPr="00510528">
        <w:rPr>
          <w:color w:val="000000"/>
        </w:rPr>
        <w:t xml:space="preserve">/ili </w:t>
      </w:r>
      <w:r w:rsidRPr="00510528">
        <w:rPr>
          <w:color w:val="000000"/>
        </w:rPr>
        <w:t>gradnje plovila;</w:t>
      </w:r>
    </w:p>
    <w:p w:rsidR="00DB0E0F" w:rsidRPr="00510528" w:rsidRDefault="00DB0E0F" w:rsidP="00DB0E0F">
      <w:pPr>
        <w:numPr>
          <w:ilvl w:val="0"/>
          <w:numId w:val="40"/>
        </w:numPr>
        <w:spacing w:after="120"/>
        <w:jc w:val="both"/>
        <w:rPr>
          <w:color w:val="000000"/>
        </w:rPr>
      </w:pPr>
      <w:r w:rsidRPr="00510528">
        <w:rPr>
          <w:color w:val="000000"/>
        </w:rPr>
        <w:t>troškovi kupnje rezervnih dijelova, popravaka i servisiranja;</w:t>
      </w:r>
    </w:p>
    <w:p w:rsidR="00DB0E0F" w:rsidRPr="00510528" w:rsidRDefault="00DB0E0F" w:rsidP="00DB0E0F">
      <w:pPr>
        <w:numPr>
          <w:ilvl w:val="0"/>
          <w:numId w:val="40"/>
        </w:numPr>
        <w:spacing w:after="120"/>
        <w:jc w:val="both"/>
        <w:rPr>
          <w:color w:val="000000"/>
        </w:rPr>
      </w:pPr>
      <w:r w:rsidRPr="00510528">
        <w:rPr>
          <w:color w:val="000000"/>
        </w:rPr>
        <w:t>nabava patenata, licenci, posebnih znanja i vještina ili nepatentiranog tehničkog znanja;</w:t>
      </w:r>
    </w:p>
    <w:p w:rsidR="00DB0E0F" w:rsidRPr="00510528" w:rsidRDefault="00DB0E0F" w:rsidP="00DB0E0F">
      <w:pPr>
        <w:numPr>
          <w:ilvl w:val="0"/>
          <w:numId w:val="40"/>
        </w:numPr>
        <w:spacing w:after="120"/>
        <w:jc w:val="both"/>
        <w:rPr>
          <w:color w:val="000000"/>
        </w:rPr>
      </w:pPr>
      <w:r w:rsidRPr="00510528">
        <w:rPr>
          <w:color w:val="000000"/>
        </w:rPr>
        <w:t>novčane kazne, financijske kazne te troškovi parničnog i upravnog postupka;</w:t>
      </w:r>
    </w:p>
    <w:p w:rsidR="00DB0E0F" w:rsidRPr="00510528" w:rsidRDefault="00DB0E0F" w:rsidP="00DB0E0F">
      <w:pPr>
        <w:numPr>
          <w:ilvl w:val="0"/>
          <w:numId w:val="40"/>
        </w:numPr>
        <w:spacing w:after="120"/>
        <w:jc w:val="both"/>
        <w:rPr>
          <w:color w:val="000000"/>
        </w:rPr>
      </w:pPr>
      <w:r w:rsidRPr="00510528">
        <w:rPr>
          <w:color w:val="000000"/>
        </w:rPr>
        <w:t xml:space="preserve">troškovi nastali </w:t>
      </w:r>
      <w:r w:rsidR="00DE224B" w:rsidRPr="00510528">
        <w:rPr>
          <w:color w:val="000000"/>
        </w:rPr>
        <w:t>izvan razdoblja prihvatljivosti iz članka 12</w:t>
      </w:r>
      <w:r w:rsidR="002C4D0B" w:rsidRPr="00510528">
        <w:rPr>
          <w:color w:val="000000"/>
        </w:rPr>
        <w:t>.</w:t>
      </w:r>
      <w:r w:rsidR="00DE224B" w:rsidRPr="00510528">
        <w:rPr>
          <w:color w:val="000000"/>
        </w:rPr>
        <w:t xml:space="preserve"> </w:t>
      </w:r>
      <w:r w:rsidRPr="00510528">
        <w:rPr>
          <w:color w:val="000000"/>
        </w:rPr>
        <w:t xml:space="preserve">ovoga Pravilnika, kao i troškovi nastali </w:t>
      </w:r>
      <w:r w:rsidR="00DE224B" w:rsidRPr="00510528">
        <w:rPr>
          <w:color w:val="000000"/>
        </w:rPr>
        <w:t>unutar toga razdoblja</w:t>
      </w:r>
      <w:r w:rsidRPr="00510528">
        <w:rPr>
          <w:color w:val="000000"/>
        </w:rPr>
        <w:t xml:space="preserve"> </w:t>
      </w:r>
      <w:r w:rsidR="00DE224B" w:rsidRPr="00510528">
        <w:rPr>
          <w:color w:val="000000"/>
        </w:rPr>
        <w:t>ako</w:t>
      </w:r>
      <w:r w:rsidRPr="00510528">
        <w:rPr>
          <w:color w:val="000000"/>
        </w:rPr>
        <w:t xml:space="preserve"> se radi o troškovima</w:t>
      </w:r>
      <w:r w:rsidR="00DE224B" w:rsidRPr="00510528">
        <w:rPr>
          <w:color w:val="000000"/>
        </w:rPr>
        <w:t xml:space="preserve"> </w:t>
      </w:r>
      <w:r w:rsidRPr="00510528">
        <w:rPr>
          <w:color w:val="000000"/>
        </w:rPr>
        <w:t>koji ne mogu biti potvrđeni kontrolom na terenu</w:t>
      </w:r>
      <w:r w:rsidR="00DE224B" w:rsidRPr="00510528">
        <w:rPr>
          <w:color w:val="000000"/>
        </w:rPr>
        <w:t xml:space="preserve"> iz članka 25. ovoga Pravilnika</w:t>
      </w:r>
      <w:r w:rsidRPr="00510528">
        <w:rPr>
          <w:color w:val="000000"/>
        </w:rPr>
        <w:t>;</w:t>
      </w:r>
    </w:p>
    <w:p w:rsidR="00DB0E0F" w:rsidRPr="00510528" w:rsidRDefault="00DB0E0F" w:rsidP="00DB0E0F">
      <w:pPr>
        <w:numPr>
          <w:ilvl w:val="0"/>
          <w:numId w:val="40"/>
        </w:numPr>
        <w:spacing w:after="120"/>
        <w:jc w:val="both"/>
        <w:rPr>
          <w:color w:val="000000"/>
        </w:rPr>
      </w:pPr>
      <w:r w:rsidRPr="00510528">
        <w:rPr>
          <w:color w:val="000000"/>
        </w:rPr>
        <w:t>ostali troškovi koji nisu navedeni u člancima 7. do 11. ovoga Pravilnika.</w:t>
      </w:r>
    </w:p>
    <w:p w:rsidR="00DB0E0F" w:rsidRPr="00510528" w:rsidRDefault="00DB0E0F" w:rsidP="00DB0E0F">
      <w:pPr>
        <w:autoSpaceDE w:val="0"/>
        <w:autoSpaceDN w:val="0"/>
        <w:spacing w:after="120"/>
      </w:pPr>
    </w:p>
    <w:p w:rsidR="00DB0E0F" w:rsidRPr="00510528" w:rsidRDefault="00DB0E0F" w:rsidP="00DB0E0F">
      <w:pPr>
        <w:keepNext/>
        <w:keepLines/>
        <w:spacing w:after="120"/>
        <w:jc w:val="center"/>
        <w:outlineLvl w:val="0"/>
        <w:rPr>
          <w:rFonts w:eastAsia="Calibri"/>
          <w:bCs/>
          <w:color w:val="000000"/>
          <w:szCs w:val="28"/>
          <w:lang w:eastAsia="en-US"/>
        </w:rPr>
      </w:pPr>
      <w:r w:rsidRPr="00510528">
        <w:rPr>
          <w:rFonts w:eastAsia="Calibri"/>
          <w:bCs/>
          <w:color w:val="000000"/>
          <w:szCs w:val="28"/>
          <w:lang w:eastAsia="en-US"/>
        </w:rPr>
        <w:t>IV. FINANCIRANJE</w:t>
      </w:r>
    </w:p>
    <w:p w:rsidR="00DB0E0F" w:rsidRPr="00510528" w:rsidRDefault="00DB0E0F" w:rsidP="00DB0E0F">
      <w:pPr>
        <w:spacing w:after="120"/>
        <w:jc w:val="center"/>
        <w:rPr>
          <w:rFonts w:eastAsia="Calibri"/>
          <w:color w:val="000000"/>
          <w:lang w:eastAsia="en-US"/>
        </w:rPr>
      </w:pPr>
      <w:r w:rsidRPr="00510528">
        <w:rPr>
          <w:rFonts w:eastAsia="Calibri"/>
          <w:color w:val="000000"/>
          <w:lang w:eastAsia="en-US"/>
        </w:rPr>
        <w:t>Članak 14.</w:t>
      </w:r>
    </w:p>
    <w:p w:rsidR="002C4D0B" w:rsidRPr="00510528" w:rsidRDefault="00DB0E0F" w:rsidP="002C4D0B">
      <w:pPr>
        <w:numPr>
          <w:ilvl w:val="1"/>
          <w:numId w:val="10"/>
        </w:numPr>
        <w:spacing w:after="120"/>
        <w:ind w:left="357" w:hanging="357"/>
        <w:jc w:val="both"/>
      </w:pPr>
      <w:r w:rsidRPr="00510528">
        <w:t>Potpora podrazumijeva dodjelu namjenskih bespovratnih novčanih sredstava za sufinanciranje ulaganja koja su predm</w:t>
      </w:r>
      <w:r w:rsidR="002C4D0B" w:rsidRPr="00510528">
        <w:t>et ovoga Pravilnika i Natječaja.</w:t>
      </w:r>
    </w:p>
    <w:p w:rsidR="002C4D0B" w:rsidRPr="00510528" w:rsidRDefault="002C4D0B" w:rsidP="002C4D0B">
      <w:pPr>
        <w:numPr>
          <w:ilvl w:val="1"/>
          <w:numId w:val="10"/>
        </w:numPr>
        <w:spacing w:after="120"/>
        <w:ind w:left="357" w:hanging="357"/>
        <w:jc w:val="both"/>
      </w:pPr>
      <w:r w:rsidRPr="00510528">
        <w:rPr>
          <w:color w:val="000000"/>
        </w:rPr>
        <w:t xml:space="preserve">Intenzitet javne potpore određuje se na temelju članka 95. Uredbe (EU) br. 508/2014, a u skladu sa Prilogom II. ovoga Pravilnika.   </w:t>
      </w:r>
    </w:p>
    <w:p w:rsidR="00DB0E0F" w:rsidRPr="00510528" w:rsidRDefault="00DB0E0F" w:rsidP="00DB0E0F">
      <w:pPr>
        <w:numPr>
          <w:ilvl w:val="1"/>
          <w:numId w:val="10"/>
        </w:numPr>
        <w:spacing w:after="120"/>
        <w:ind w:left="357" w:hanging="357"/>
        <w:jc w:val="both"/>
      </w:pPr>
      <w:r w:rsidRPr="00510528">
        <w:rPr>
          <w:color w:val="000000"/>
        </w:rPr>
        <w:t>Sredstva javne potpore za sufinanciranje na temelju ovoga Pravilnika osiguravaju se iz proračuna Europske unije i državnog proračuna Republike Hrvatske, od čega Europska unija sudjeluje sa 75 posto udjela, a Republika Hrvatska s 25 posto udjela.</w:t>
      </w:r>
    </w:p>
    <w:p w:rsidR="00DB0E0F" w:rsidRPr="00510528" w:rsidRDefault="00DB0E0F" w:rsidP="00DB0E0F">
      <w:pPr>
        <w:numPr>
          <w:ilvl w:val="1"/>
          <w:numId w:val="10"/>
        </w:numPr>
        <w:spacing w:after="120"/>
        <w:ind w:left="357" w:hanging="357"/>
        <w:jc w:val="both"/>
      </w:pPr>
      <w:r w:rsidRPr="00510528">
        <w:rPr>
          <w:color w:val="000000"/>
        </w:rPr>
        <w:t>Sredstva javne potpore iz stavka 3. ovoga članka iznose ukupno 2.</w:t>
      </w:r>
      <w:r w:rsidR="009B0526" w:rsidRPr="00510528">
        <w:rPr>
          <w:color w:val="000000"/>
        </w:rPr>
        <w:t>557.300</w:t>
      </w:r>
      <w:r w:rsidRPr="00510528">
        <w:rPr>
          <w:color w:val="000000"/>
        </w:rPr>
        <w:t>,00 eura u protuvrijednosti u kunama, od čega:</w:t>
      </w:r>
    </w:p>
    <w:p w:rsidR="00DB0E0F" w:rsidRPr="00510528" w:rsidRDefault="009B0526" w:rsidP="00DB0E0F">
      <w:pPr>
        <w:numPr>
          <w:ilvl w:val="1"/>
          <w:numId w:val="11"/>
        </w:numPr>
        <w:autoSpaceDE w:val="0"/>
        <w:autoSpaceDN w:val="0"/>
        <w:spacing w:after="120"/>
        <w:ind w:left="714" w:hanging="357"/>
        <w:jc w:val="both"/>
        <w:rPr>
          <w:color w:val="000000"/>
        </w:rPr>
      </w:pPr>
      <w:r w:rsidRPr="00510528">
        <w:rPr>
          <w:color w:val="000000"/>
        </w:rPr>
        <w:t>1.917.975</w:t>
      </w:r>
      <w:r w:rsidR="00DB0E0F" w:rsidRPr="00510528">
        <w:rPr>
          <w:color w:val="000000"/>
        </w:rPr>
        <w:t xml:space="preserve">,00 eura, u protuvrijednosti u kunama – proračun Europske unije i </w:t>
      </w:r>
    </w:p>
    <w:p w:rsidR="00DB0E0F" w:rsidRPr="00510528" w:rsidRDefault="009B0526" w:rsidP="00DB0E0F">
      <w:pPr>
        <w:numPr>
          <w:ilvl w:val="1"/>
          <w:numId w:val="11"/>
        </w:numPr>
        <w:autoSpaceDE w:val="0"/>
        <w:autoSpaceDN w:val="0"/>
        <w:spacing w:after="120"/>
        <w:ind w:left="714" w:hanging="357"/>
        <w:jc w:val="both"/>
        <w:rPr>
          <w:color w:val="000000"/>
        </w:rPr>
      </w:pPr>
      <w:r w:rsidRPr="00510528">
        <w:rPr>
          <w:color w:val="000000"/>
        </w:rPr>
        <w:t>639.325</w:t>
      </w:r>
      <w:r w:rsidR="00DB0E0F" w:rsidRPr="00510528">
        <w:rPr>
          <w:color w:val="000000"/>
        </w:rPr>
        <w:t>,00 eura, u protuvrijednosti u kunama – državni proračun Republike Hrvatske.</w:t>
      </w:r>
    </w:p>
    <w:p w:rsidR="00DB0E0F" w:rsidRPr="00510528" w:rsidRDefault="00DB0E0F" w:rsidP="00DB0E0F">
      <w:pPr>
        <w:numPr>
          <w:ilvl w:val="1"/>
          <w:numId w:val="10"/>
        </w:numPr>
        <w:spacing w:after="120"/>
        <w:ind w:left="357" w:hanging="357"/>
        <w:jc w:val="both"/>
      </w:pPr>
      <w:r w:rsidRPr="00510528">
        <w:t>Sredstva javne potpore iz stavka 4. ovoga članka raspoređuju se i definiraju po pojedinom Natječaju.</w:t>
      </w:r>
    </w:p>
    <w:p w:rsidR="00DB0E0F" w:rsidRPr="00510528" w:rsidRDefault="00DB0E0F" w:rsidP="00DB0E0F">
      <w:pPr>
        <w:numPr>
          <w:ilvl w:val="1"/>
          <w:numId w:val="10"/>
        </w:numPr>
        <w:spacing w:after="120"/>
        <w:ind w:left="357" w:hanging="357"/>
        <w:jc w:val="both"/>
      </w:pPr>
      <w:r w:rsidRPr="00510528">
        <w:rPr>
          <w:color w:val="000000"/>
        </w:rPr>
        <w:t>Potpora se dodjeljuje po ribarskom plovilu, a najviši iznos koji se može ostvariti propisuje se Natječajem.</w:t>
      </w:r>
    </w:p>
    <w:p w:rsidR="00DB0E0F" w:rsidRPr="00510528" w:rsidRDefault="00DB0E0F" w:rsidP="00DB0E0F">
      <w:pPr>
        <w:numPr>
          <w:ilvl w:val="1"/>
          <w:numId w:val="10"/>
        </w:numPr>
        <w:spacing w:after="120"/>
        <w:ind w:left="357" w:hanging="357"/>
        <w:jc w:val="both"/>
      </w:pPr>
      <w:r w:rsidRPr="00510528">
        <w:rPr>
          <w:color w:val="000000"/>
        </w:rPr>
        <w:t>Potpora se za istu vrstu ulaganja za isto ribarsko plovilo može dodijeliti samo jedanput tijekom razdoblje provedbe Operativnog programa za pomorstvo i ribarstvo Republike Hrvatske za programsko razdoblje 2014.-2020.</w:t>
      </w:r>
    </w:p>
    <w:p w:rsidR="00DB0E0F" w:rsidRPr="00510528" w:rsidRDefault="00DB0E0F" w:rsidP="00DB0E0F">
      <w:pPr>
        <w:spacing w:after="120"/>
        <w:ind w:left="357"/>
        <w:jc w:val="both"/>
      </w:pPr>
    </w:p>
    <w:p w:rsidR="00DB0E0F" w:rsidRPr="00510528" w:rsidRDefault="00DB0E0F" w:rsidP="00DB0E0F">
      <w:pPr>
        <w:keepNext/>
        <w:keepLines/>
        <w:spacing w:after="120"/>
        <w:jc w:val="center"/>
        <w:outlineLvl w:val="0"/>
        <w:rPr>
          <w:rFonts w:eastAsia="Calibri"/>
          <w:bCs/>
          <w:color w:val="000000"/>
          <w:szCs w:val="28"/>
          <w:lang w:eastAsia="en-US"/>
        </w:rPr>
      </w:pPr>
      <w:r w:rsidRPr="00510528">
        <w:rPr>
          <w:rFonts w:eastAsia="Calibri"/>
          <w:bCs/>
          <w:color w:val="000000"/>
          <w:szCs w:val="28"/>
          <w:lang w:eastAsia="en-US"/>
        </w:rPr>
        <w:t>V. ZAHTJEV ZA POTPORU, POSTUPAK OBRADE I DONOŠENJE ODLUKA</w:t>
      </w:r>
    </w:p>
    <w:p w:rsidR="00DB0E0F" w:rsidRPr="00510528" w:rsidRDefault="00DB0E0F" w:rsidP="00DB0E0F">
      <w:pPr>
        <w:spacing w:after="120"/>
        <w:jc w:val="center"/>
        <w:rPr>
          <w:rFonts w:eastAsia="Calibri"/>
          <w:bCs/>
          <w:i/>
          <w:color w:val="000000"/>
          <w:lang w:eastAsia="en-US"/>
        </w:rPr>
      </w:pPr>
      <w:r w:rsidRPr="00510528">
        <w:rPr>
          <w:rFonts w:eastAsia="Calibri"/>
          <w:bCs/>
          <w:i/>
          <w:color w:val="000000"/>
          <w:lang w:eastAsia="en-US"/>
        </w:rPr>
        <w:t>Natječaj i podnošenje Zahtjeva za potporu</w:t>
      </w:r>
    </w:p>
    <w:p w:rsidR="00DB0E0F" w:rsidRPr="00510528" w:rsidRDefault="00DB0E0F" w:rsidP="00DB0E0F">
      <w:pPr>
        <w:spacing w:after="120"/>
        <w:jc w:val="center"/>
        <w:rPr>
          <w:rFonts w:eastAsia="Calibri"/>
          <w:color w:val="000000"/>
          <w:lang w:eastAsia="en-US"/>
        </w:rPr>
      </w:pPr>
      <w:r w:rsidRPr="00510528">
        <w:rPr>
          <w:rFonts w:eastAsia="Calibri"/>
          <w:color w:val="000000"/>
          <w:lang w:eastAsia="en-US"/>
        </w:rPr>
        <w:t>Članak 15.</w:t>
      </w:r>
    </w:p>
    <w:p w:rsidR="00DB0E0F" w:rsidRPr="00510528" w:rsidRDefault="00DB0E0F" w:rsidP="00DB0E0F">
      <w:pPr>
        <w:numPr>
          <w:ilvl w:val="1"/>
          <w:numId w:val="12"/>
        </w:numPr>
        <w:spacing w:after="120"/>
        <w:ind w:left="357" w:hanging="357"/>
        <w:jc w:val="both"/>
        <w:rPr>
          <w:rFonts w:eastAsia="Calibri"/>
          <w:lang w:eastAsia="en-US"/>
        </w:rPr>
      </w:pPr>
      <w:r w:rsidRPr="00510528">
        <w:rPr>
          <w:rFonts w:eastAsia="Calibri"/>
          <w:lang w:eastAsia="en-US"/>
        </w:rPr>
        <w:t>Zahtjev za potporu podnosi se u tiskanom obliku temeljem Natječaja kojega raspisuje Upravljačko tijelo.</w:t>
      </w:r>
    </w:p>
    <w:p w:rsidR="00DB0E0F" w:rsidRPr="00510528" w:rsidRDefault="00DB0E0F" w:rsidP="00DB0E0F">
      <w:pPr>
        <w:numPr>
          <w:ilvl w:val="1"/>
          <w:numId w:val="12"/>
        </w:numPr>
        <w:spacing w:after="120"/>
        <w:ind w:left="357" w:hanging="357"/>
        <w:jc w:val="both"/>
        <w:rPr>
          <w:rFonts w:eastAsia="Calibri"/>
          <w:lang w:eastAsia="en-US"/>
        </w:rPr>
      </w:pPr>
      <w:r w:rsidRPr="00510528">
        <w:rPr>
          <w:rFonts w:eastAsia="Calibri"/>
          <w:lang w:eastAsia="en-US"/>
        </w:rPr>
        <w:t>Natječaj se objavljuje u „Narodnim novinama“ i na mrežnim stranicama Ministarstva poljoprivrede, Uprave ribarstva</w:t>
      </w:r>
      <w:r w:rsidR="00250031" w:rsidRPr="00510528">
        <w:rPr>
          <w:rFonts w:eastAsia="Calibri"/>
          <w:lang w:eastAsia="en-US"/>
        </w:rPr>
        <w:t xml:space="preserve"> </w:t>
      </w:r>
      <w:r w:rsidR="00926F6B" w:rsidRPr="00510528">
        <w:rPr>
          <w:rFonts w:eastAsia="Calibri"/>
          <w:lang w:eastAsia="en-US"/>
        </w:rPr>
        <w:t>(</w:t>
      </w:r>
      <w:hyperlink r:id="rId11" w:history="1">
        <w:r w:rsidR="00250031" w:rsidRPr="00510528">
          <w:rPr>
            <w:rStyle w:val="Hiperveza"/>
            <w:rFonts w:eastAsia="Calibri"/>
            <w:lang w:eastAsia="en-US"/>
          </w:rPr>
          <w:t>https://euribarstvo.hr/</w:t>
        </w:r>
      </w:hyperlink>
      <w:r w:rsidR="00926F6B" w:rsidRPr="00510528">
        <w:rPr>
          <w:rFonts w:eastAsia="Calibri"/>
          <w:lang w:eastAsia="en-US"/>
        </w:rPr>
        <w:t>)</w:t>
      </w:r>
      <w:r w:rsidRPr="00510528">
        <w:rPr>
          <w:rFonts w:eastAsia="Calibri"/>
          <w:lang w:eastAsia="en-US"/>
        </w:rPr>
        <w:t>.</w:t>
      </w:r>
      <w:r w:rsidR="00250031" w:rsidRPr="00510528">
        <w:rPr>
          <w:rFonts w:eastAsia="Calibri"/>
          <w:lang w:eastAsia="en-US"/>
        </w:rPr>
        <w:t xml:space="preserve"> </w:t>
      </w:r>
    </w:p>
    <w:p w:rsidR="00DB0E0F" w:rsidRPr="00510528" w:rsidRDefault="00DB0E0F" w:rsidP="00DB0E0F">
      <w:pPr>
        <w:numPr>
          <w:ilvl w:val="1"/>
          <w:numId w:val="12"/>
        </w:numPr>
        <w:spacing w:after="120"/>
        <w:ind w:left="357" w:hanging="357"/>
        <w:jc w:val="both"/>
        <w:rPr>
          <w:rFonts w:eastAsia="Calibri"/>
          <w:lang w:eastAsia="en-US"/>
        </w:rPr>
      </w:pPr>
      <w:r w:rsidRPr="00510528">
        <w:rPr>
          <w:rFonts w:eastAsia="Calibri"/>
          <w:lang w:eastAsia="en-US"/>
        </w:rPr>
        <w:t xml:space="preserve">Natječajem se određuju rokovi i način podnošenja Zahtjeva za potporu i </w:t>
      </w:r>
      <w:r w:rsidR="00DE224B" w:rsidRPr="00510528">
        <w:rPr>
          <w:rFonts w:eastAsia="Calibri"/>
          <w:lang w:eastAsia="en-US"/>
        </w:rPr>
        <w:t xml:space="preserve">dokumentacija koja se dostavlja uz </w:t>
      </w:r>
      <w:r w:rsidRPr="00510528">
        <w:rPr>
          <w:rFonts w:eastAsia="Calibri"/>
          <w:lang w:eastAsia="en-US"/>
        </w:rPr>
        <w:t>Zahtjev za potporu</w:t>
      </w:r>
      <w:r w:rsidR="00DE224B" w:rsidRPr="00510528">
        <w:rPr>
          <w:rFonts w:eastAsia="Calibri"/>
          <w:lang w:eastAsia="en-US"/>
        </w:rPr>
        <w:t xml:space="preserve"> te propisuju postupci iz članka </w:t>
      </w:r>
      <w:r w:rsidR="00133CE2" w:rsidRPr="00510528">
        <w:rPr>
          <w:rFonts w:eastAsia="Calibri"/>
          <w:lang w:eastAsia="en-US"/>
        </w:rPr>
        <w:t>5</w:t>
      </w:r>
      <w:r w:rsidR="00DE224B" w:rsidRPr="00510528">
        <w:rPr>
          <w:rFonts w:eastAsia="Calibri"/>
          <w:lang w:eastAsia="en-US"/>
        </w:rPr>
        <w:t>. stavka 1</w:t>
      </w:r>
      <w:r w:rsidR="002C4D0B" w:rsidRPr="00510528">
        <w:rPr>
          <w:rFonts w:eastAsia="Calibri"/>
          <w:lang w:eastAsia="en-US"/>
        </w:rPr>
        <w:t>6</w:t>
      </w:r>
      <w:r w:rsidR="00DE224B" w:rsidRPr="00510528">
        <w:rPr>
          <w:rFonts w:eastAsia="Calibri"/>
          <w:lang w:eastAsia="en-US"/>
        </w:rPr>
        <w:t xml:space="preserve">., </w:t>
      </w:r>
      <w:r w:rsidR="00DE224B" w:rsidRPr="00510528">
        <w:rPr>
          <w:rFonts w:eastAsia="Calibri"/>
          <w:lang w:eastAsia="en-US"/>
        </w:rPr>
        <w:lastRenderedPageBreak/>
        <w:t xml:space="preserve">definiraju iznosi iz članka </w:t>
      </w:r>
      <w:r w:rsidR="00133CE2" w:rsidRPr="00510528">
        <w:rPr>
          <w:rFonts w:eastAsia="Calibri"/>
          <w:lang w:eastAsia="en-US"/>
        </w:rPr>
        <w:t>14</w:t>
      </w:r>
      <w:r w:rsidR="00DE224B" w:rsidRPr="00510528">
        <w:rPr>
          <w:rFonts w:eastAsia="Calibri"/>
          <w:lang w:eastAsia="en-US"/>
        </w:rPr>
        <w:t>. stav</w:t>
      </w:r>
      <w:r w:rsidR="002C4D0B" w:rsidRPr="00510528">
        <w:rPr>
          <w:rFonts w:eastAsia="Calibri"/>
          <w:lang w:eastAsia="en-US"/>
        </w:rPr>
        <w:t>a</w:t>
      </w:r>
      <w:r w:rsidR="00DE224B" w:rsidRPr="00510528">
        <w:rPr>
          <w:rFonts w:eastAsia="Calibri"/>
          <w:lang w:eastAsia="en-US"/>
        </w:rPr>
        <w:t>ka 5.</w:t>
      </w:r>
      <w:r w:rsidR="002C4D0B" w:rsidRPr="00510528">
        <w:rPr>
          <w:rFonts w:eastAsia="Calibri"/>
          <w:lang w:eastAsia="en-US"/>
        </w:rPr>
        <w:t xml:space="preserve"> i 6.,</w:t>
      </w:r>
      <w:r w:rsidR="00DE224B" w:rsidRPr="00510528">
        <w:rPr>
          <w:rFonts w:eastAsia="Calibri"/>
          <w:lang w:eastAsia="en-US"/>
        </w:rPr>
        <w:t xml:space="preserve"> </w:t>
      </w:r>
      <w:r w:rsidR="002C4D0B" w:rsidRPr="00510528">
        <w:rPr>
          <w:rFonts w:eastAsia="Calibri"/>
          <w:lang w:eastAsia="en-US"/>
        </w:rPr>
        <w:t>razdoblje</w:t>
      </w:r>
      <w:r w:rsidR="00DE224B" w:rsidRPr="00510528">
        <w:rPr>
          <w:rFonts w:eastAsia="Calibri"/>
          <w:lang w:eastAsia="en-US"/>
        </w:rPr>
        <w:t xml:space="preserve"> iz članka </w:t>
      </w:r>
      <w:r w:rsidR="00133CE2" w:rsidRPr="00510528">
        <w:rPr>
          <w:rFonts w:eastAsia="Calibri"/>
          <w:lang w:eastAsia="en-US"/>
        </w:rPr>
        <w:t>12</w:t>
      </w:r>
      <w:r w:rsidR="002C4D0B" w:rsidRPr="00510528">
        <w:rPr>
          <w:rFonts w:eastAsia="Calibri"/>
          <w:lang w:eastAsia="en-US"/>
        </w:rPr>
        <w:t>. te rok iz</w:t>
      </w:r>
      <w:r w:rsidR="00DE224B" w:rsidRPr="00510528">
        <w:rPr>
          <w:rFonts w:eastAsia="Calibri"/>
          <w:lang w:eastAsia="en-US"/>
        </w:rPr>
        <w:t xml:space="preserve"> članka </w:t>
      </w:r>
      <w:r w:rsidR="000A0B0F" w:rsidRPr="00510528">
        <w:rPr>
          <w:rFonts w:eastAsia="Calibri"/>
          <w:lang w:eastAsia="en-US"/>
        </w:rPr>
        <w:t>22</w:t>
      </w:r>
      <w:r w:rsidRPr="00510528">
        <w:rPr>
          <w:rFonts w:eastAsia="Calibri"/>
          <w:lang w:eastAsia="en-US"/>
        </w:rPr>
        <w:t>.</w:t>
      </w:r>
      <w:r w:rsidR="00133CE2" w:rsidRPr="00510528">
        <w:rPr>
          <w:rFonts w:eastAsia="Calibri"/>
          <w:lang w:eastAsia="en-US"/>
        </w:rPr>
        <w:t xml:space="preserve"> stavka </w:t>
      </w:r>
      <w:r w:rsidR="000A0B0F" w:rsidRPr="00510528">
        <w:rPr>
          <w:rFonts w:eastAsia="Calibri"/>
          <w:lang w:eastAsia="en-US"/>
        </w:rPr>
        <w:t>2</w:t>
      </w:r>
      <w:r w:rsidR="00133CE2" w:rsidRPr="00510528">
        <w:rPr>
          <w:rFonts w:eastAsia="Calibri"/>
          <w:lang w:eastAsia="en-US"/>
        </w:rPr>
        <w:t>. ovoga Pravilnika.</w:t>
      </w:r>
    </w:p>
    <w:p w:rsidR="00DB0E0F" w:rsidRPr="00510528" w:rsidRDefault="00DB0E0F" w:rsidP="00DB0E0F">
      <w:pPr>
        <w:numPr>
          <w:ilvl w:val="1"/>
          <w:numId w:val="12"/>
        </w:numPr>
        <w:spacing w:after="120"/>
        <w:ind w:left="357" w:hanging="357"/>
        <w:jc w:val="both"/>
        <w:rPr>
          <w:rFonts w:eastAsia="Calibri"/>
          <w:lang w:eastAsia="en-US"/>
        </w:rPr>
      </w:pPr>
      <w:r w:rsidRPr="00510528">
        <w:rPr>
          <w:rFonts w:eastAsia="Calibri"/>
          <w:lang w:eastAsia="en-US"/>
        </w:rPr>
        <w:t>Natječaj se može raspisivati do potpunog iskorištenja financijskih sredstava iz članka 14. stavka 4. ovoga Pravilnika.</w:t>
      </w:r>
    </w:p>
    <w:p w:rsidR="00DB0E0F" w:rsidRPr="00510528" w:rsidRDefault="00DB0E0F" w:rsidP="00DB0E0F">
      <w:pPr>
        <w:numPr>
          <w:ilvl w:val="1"/>
          <w:numId w:val="12"/>
        </w:numPr>
        <w:spacing w:after="120"/>
        <w:ind w:left="357" w:hanging="357"/>
        <w:jc w:val="both"/>
        <w:rPr>
          <w:rFonts w:eastAsia="Calibri"/>
          <w:lang w:eastAsia="en-US"/>
        </w:rPr>
      </w:pPr>
      <w:r w:rsidRPr="00510528">
        <w:rPr>
          <w:rFonts w:eastAsia="Calibri"/>
          <w:lang w:eastAsia="en-US"/>
        </w:rPr>
        <w:t>Zahtjev za potporu iz stavka 1. ovog</w:t>
      </w:r>
      <w:r w:rsidR="006E3E9A" w:rsidRPr="00510528">
        <w:rPr>
          <w:rFonts w:eastAsia="Calibri"/>
          <w:lang w:eastAsia="en-US"/>
        </w:rPr>
        <w:t>a</w:t>
      </w:r>
      <w:r w:rsidRPr="00510528">
        <w:rPr>
          <w:rFonts w:eastAsia="Calibri"/>
          <w:lang w:eastAsia="en-US"/>
        </w:rPr>
        <w:t xml:space="preserve"> članka se podnosi po ribarskom plovilu.</w:t>
      </w:r>
    </w:p>
    <w:p w:rsidR="00DB0E0F" w:rsidRPr="00510528" w:rsidRDefault="00DB0E0F" w:rsidP="00DB0E0F">
      <w:pPr>
        <w:spacing w:after="120"/>
        <w:ind w:left="720"/>
        <w:jc w:val="center"/>
        <w:rPr>
          <w:rFonts w:eastAsia="Calibri"/>
          <w:bCs/>
          <w:i/>
          <w:color w:val="000000"/>
          <w:lang w:eastAsia="en-US"/>
        </w:rPr>
      </w:pPr>
    </w:p>
    <w:p w:rsidR="00DB0E0F" w:rsidRPr="00510528" w:rsidRDefault="00DB0E0F" w:rsidP="00DB0E0F">
      <w:pPr>
        <w:spacing w:after="120"/>
        <w:ind w:left="720"/>
        <w:jc w:val="center"/>
        <w:rPr>
          <w:rFonts w:eastAsia="Calibri"/>
          <w:bCs/>
          <w:i/>
          <w:color w:val="000000"/>
          <w:lang w:eastAsia="en-US"/>
        </w:rPr>
      </w:pPr>
      <w:r w:rsidRPr="00510528">
        <w:rPr>
          <w:rFonts w:eastAsia="Calibri"/>
          <w:bCs/>
          <w:i/>
          <w:color w:val="000000"/>
          <w:lang w:eastAsia="en-US"/>
        </w:rPr>
        <w:t>Administrativna obrada Zahtjeva za potporu</w:t>
      </w:r>
    </w:p>
    <w:p w:rsidR="00DB0E0F" w:rsidRPr="00510528" w:rsidRDefault="00DB0E0F" w:rsidP="00DB0E0F">
      <w:pPr>
        <w:spacing w:after="120"/>
        <w:jc w:val="center"/>
        <w:rPr>
          <w:rFonts w:eastAsia="Calibri"/>
          <w:color w:val="000000"/>
          <w:lang w:eastAsia="en-US"/>
        </w:rPr>
      </w:pPr>
      <w:r w:rsidRPr="00510528">
        <w:rPr>
          <w:rFonts w:eastAsia="Calibri"/>
          <w:color w:val="000000"/>
          <w:lang w:eastAsia="en-US"/>
        </w:rPr>
        <w:t>Članak 16.</w:t>
      </w:r>
    </w:p>
    <w:p w:rsidR="00DB0E0F" w:rsidRPr="00510528" w:rsidRDefault="00DB0E0F" w:rsidP="00DB0E0F">
      <w:pPr>
        <w:numPr>
          <w:ilvl w:val="0"/>
          <w:numId w:val="41"/>
        </w:numPr>
        <w:spacing w:after="120"/>
        <w:ind w:left="425" w:hanging="425"/>
        <w:jc w:val="both"/>
        <w:rPr>
          <w:color w:val="000000"/>
        </w:rPr>
      </w:pPr>
      <w:r w:rsidRPr="00510528">
        <w:rPr>
          <w:rFonts w:eastAsia="Calibri"/>
          <w:lang w:eastAsia="en-US"/>
        </w:rPr>
        <w:t>Administrativnu obradu Zahtjeva za potporu obavlja Upravljačko tijelo</w:t>
      </w:r>
      <w:r w:rsidRPr="00510528">
        <w:rPr>
          <w:color w:val="000000"/>
        </w:rPr>
        <w:t xml:space="preserve"> dok tehničke analize odnosno utvrđivanje opravdanosti visine troškova, obavlja Agencija za plaćanja.</w:t>
      </w:r>
    </w:p>
    <w:p w:rsidR="00DB0E0F" w:rsidRPr="00510528" w:rsidRDefault="00DB0E0F" w:rsidP="00DB0E0F">
      <w:pPr>
        <w:numPr>
          <w:ilvl w:val="0"/>
          <w:numId w:val="41"/>
        </w:numPr>
        <w:spacing w:after="120"/>
        <w:ind w:left="426" w:hanging="426"/>
        <w:jc w:val="both"/>
        <w:rPr>
          <w:rFonts w:eastAsia="Calibri"/>
          <w:lang w:eastAsia="en-US"/>
        </w:rPr>
      </w:pPr>
      <w:r w:rsidRPr="00510528">
        <w:rPr>
          <w:rFonts w:eastAsia="Calibri"/>
          <w:lang w:eastAsia="en-US"/>
        </w:rPr>
        <w:t>Prilikom administrativne kontrole Zahtjeva za potporu utvrđuje se pravovremenost, potpunost te udovoljavanje propisanim uvjetima i kriterijima.</w:t>
      </w:r>
    </w:p>
    <w:p w:rsidR="00DB0E0F" w:rsidRPr="00510528" w:rsidRDefault="006230BB" w:rsidP="00DB0E0F">
      <w:pPr>
        <w:numPr>
          <w:ilvl w:val="0"/>
          <w:numId w:val="41"/>
        </w:numPr>
        <w:spacing w:after="120"/>
        <w:ind w:left="426" w:hanging="426"/>
        <w:jc w:val="both"/>
        <w:rPr>
          <w:rFonts w:eastAsia="Calibri"/>
          <w:lang w:eastAsia="en-US"/>
        </w:rPr>
      </w:pPr>
      <w:r w:rsidRPr="00510528">
        <w:rPr>
          <w:rFonts w:eastAsia="Calibri"/>
          <w:lang w:eastAsia="en-US"/>
        </w:rPr>
        <w:t xml:space="preserve">Ako </w:t>
      </w:r>
      <w:r w:rsidR="00DB0E0F" w:rsidRPr="00510528">
        <w:rPr>
          <w:rFonts w:eastAsia="Calibri"/>
          <w:lang w:eastAsia="en-US"/>
        </w:rPr>
        <w:t xml:space="preserve">je Zahtjev za potporu nepotpun ili ukoliko je potrebno tražiti dodatna obrazloženja/ispravke vezane uz dostavljenu dokumentaciju, Upravljačko tijelo će korisniku izdati Zahtjev za dopunu/obrazloženje/ispravak (u daljnjem tekstu: Zahtjev za dopunu). Korisnik je dužan dostaviti traženu dokumentaciju preporučenom poštom s povratnicom ili osobno Upravljačkom tijelu u roku od deset </w:t>
      </w:r>
      <w:r w:rsidR="002C4D0B" w:rsidRPr="00510528">
        <w:rPr>
          <w:rFonts w:eastAsia="Calibri"/>
          <w:lang w:eastAsia="en-US"/>
        </w:rPr>
        <w:t xml:space="preserve">radnih </w:t>
      </w:r>
      <w:r w:rsidR="00DB0E0F" w:rsidRPr="00510528">
        <w:rPr>
          <w:rFonts w:eastAsia="Calibri"/>
          <w:lang w:eastAsia="en-US"/>
        </w:rPr>
        <w:t xml:space="preserve">dana. </w:t>
      </w:r>
    </w:p>
    <w:p w:rsidR="00DB0E0F" w:rsidRPr="00510528" w:rsidRDefault="00DB0E0F" w:rsidP="00DB0E0F">
      <w:pPr>
        <w:numPr>
          <w:ilvl w:val="0"/>
          <w:numId w:val="41"/>
        </w:numPr>
        <w:spacing w:after="120"/>
        <w:ind w:left="426" w:hanging="426"/>
        <w:jc w:val="both"/>
        <w:rPr>
          <w:rFonts w:eastAsia="Calibri"/>
          <w:lang w:eastAsia="en-US"/>
        </w:rPr>
      </w:pPr>
      <w:r w:rsidRPr="00510528">
        <w:rPr>
          <w:rFonts w:eastAsia="Calibri"/>
          <w:lang w:eastAsia="en-US"/>
        </w:rPr>
        <w:t>Vremenom zaprimanja Zahtjeva za dopunu smatra se datum kada korisnik zaprimi preporučenu pošiljku.</w:t>
      </w:r>
    </w:p>
    <w:p w:rsidR="00DB0E0F" w:rsidRPr="00510528" w:rsidRDefault="006230BB" w:rsidP="00DB0E0F">
      <w:pPr>
        <w:numPr>
          <w:ilvl w:val="0"/>
          <w:numId w:val="41"/>
        </w:numPr>
        <w:spacing w:after="120"/>
        <w:ind w:left="426" w:hanging="426"/>
        <w:jc w:val="both"/>
        <w:rPr>
          <w:rFonts w:eastAsia="Calibri"/>
          <w:lang w:eastAsia="en-US"/>
        </w:rPr>
      </w:pPr>
      <w:r w:rsidRPr="00510528">
        <w:t>Ako</w:t>
      </w:r>
      <w:r w:rsidR="00DB0E0F" w:rsidRPr="00510528">
        <w:t xml:space="preserve"> korisnik nije preuzeo Zahtjev za dopunu prilikom prve dostave, dostava preporučene pošiljke bit će ponovljena još jednom. </w:t>
      </w:r>
      <w:r w:rsidR="00EB3B2C" w:rsidRPr="00510528">
        <w:t xml:space="preserve">Ako </w:t>
      </w:r>
      <w:r w:rsidR="00DB0E0F" w:rsidRPr="00510528">
        <w:t>korisnik ne preuzme Zahtjev za dopunu niti nakon ponovljene dostave, Zahtjev za dopunu će se objaviti na oglasnoj ploči Ministarstva p</w:t>
      </w:r>
      <w:r w:rsidR="00AD0F07" w:rsidRPr="00510528">
        <w:t xml:space="preserve">oljoprivrede, Uprave ribarstva u </w:t>
      </w:r>
      <w:r w:rsidR="00DB0E0F" w:rsidRPr="00510528">
        <w:t>Zagreb</w:t>
      </w:r>
      <w:r w:rsidR="00AD0F07" w:rsidRPr="00510528">
        <w:t>u</w:t>
      </w:r>
      <w:r w:rsidRPr="00510528">
        <w:t xml:space="preserve"> </w:t>
      </w:r>
      <w:r w:rsidR="00DB0E0F" w:rsidRPr="00510528">
        <w:t>te će se dostava smatrati obavljenom istekom osmoga dana od dana objave Zahtjeva za dopunu na oglasnoj ploči.</w:t>
      </w:r>
    </w:p>
    <w:p w:rsidR="00DB0E0F" w:rsidRPr="00510528" w:rsidRDefault="00DB0E0F" w:rsidP="00DB0E0F">
      <w:pPr>
        <w:numPr>
          <w:ilvl w:val="0"/>
          <w:numId w:val="41"/>
        </w:numPr>
        <w:spacing w:after="120"/>
        <w:ind w:left="426" w:hanging="426"/>
        <w:jc w:val="both"/>
        <w:rPr>
          <w:rFonts w:eastAsia="Calibri"/>
          <w:lang w:eastAsia="en-US"/>
        </w:rPr>
      </w:pPr>
      <w:r w:rsidRPr="00510528">
        <w:rPr>
          <w:rFonts w:eastAsia="Calibri"/>
          <w:lang w:eastAsia="en-US"/>
        </w:rPr>
        <w:t>Datumom podnošenja potpunog Zahtjeva za potporu smatra se datum dostave tražene dokumentacije i/ili tražene dopune/o</w:t>
      </w:r>
      <w:r w:rsidR="006230BB" w:rsidRPr="00510528">
        <w:rPr>
          <w:rFonts w:eastAsia="Calibri"/>
          <w:lang w:eastAsia="en-US"/>
        </w:rPr>
        <w:t>brazloženja/ispravka iz stavka 3</w:t>
      </w:r>
      <w:r w:rsidRPr="00510528">
        <w:rPr>
          <w:rFonts w:eastAsia="Calibri"/>
          <w:lang w:eastAsia="en-US"/>
        </w:rPr>
        <w:t>. ovoga članka.</w:t>
      </w:r>
    </w:p>
    <w:p w:rsidR="00DB0E0F" w:rsidRPr="00510528" w:rsidRDefault="00DB0E0F" w:rsidP="00DB0E0F">
      <w:pPr>
        <w:numPr>
          <w:ilvl w:val="0"/>
          <w:numId w:val="41"/>
        </w:numPr>
        <w:spacing w:after="120"/>
        <w:ind w:left="426" w:hanging="426"/>
        <w:jc w:val="both"/>
        <w:rPr>
          <w:rFonts w:eastAsia="Calibri"/>
          <w:lang w:eastAsia="en-US"/>
        </w:rPr>
      </w:pPr>
      <w:r w:rsidRPr="00510528">
        <w:rPr>
          <w:rFonts w:eastAsia="Calibri"/>
          <w:lang w:eastAsia="en-US"/>
        </w:rPr>
        <w:t>Za nepravovremeno podnesene i</w:t>
      </w:r>
      <w:r w:rsidR="002C4D0B" w:rsidRPr="00510528">
        <w:rPr>
          <w:rFonts w:eastAsia="Calibri"/>
          <w:lang w:eastAsia="en-US"/>
        </w:rPr>
        <w:t>/ili</w:t>
      </w:r>
      <w:r w:rsidRPr="00510528">
        <w:rPr>
          <w:rFonts w:eastAsia="Calibri"/>
          <w:lang w:eastAsia="en-US"/>
        </w:rPr>
        <w:t xml:space="preserve"> nepotpuno dopunjene Zahtjeve za potporu Upravljačko tijelo će korisniku izdati Odluku o odbijanju.</w:t>
      </w:r>
    </w:p>
    <w:p w:rsidR="00DB0E0F" w:rsidRPr="00510528" w:rsidRDefault="00DB0E0F" w:rsidP="00DB0E0F">
      <w:pPr>
        <w:numPr>
          <w:ilvl w:val="0"/>
          <w:numId w:val="41"/>
        </w:numPr>
        <w:spacing w:after="120"/>
        <w:ind w:left="426" w:hanging="426"/>
        <w:jc w:val="both"/>
        <w:rPr>
          <w:rFonts w:eastAsia="Calibri"/>
          <w:lang w:eastAsia="en-US"/>
        </w:rPr>
      </w:pPr>
      <w:r w:rsidRPr="00510528">
        <w:t>Potpuni i pravovremeno dopunjeni Zahtjevi za potporu ulaze u daljnju obradu.</w:t>
      </w:r>
    </w:p>
    <w:p w:rsidR="00DB0E0F" w:rsidRPr="00510528" w:rsidRDefault="00DB0E0F" w:rsidP="00DB0E0F">
      <w:pPr>
        <w:autoSpaceDE w:val="0"/>
        <w:autoSpaceDN w:val="0"/>
        <w:spacing w:after="120"/>
      </w:pPr>
    </w:p>
    <w:p w:rsidR="00DB0E0F" w:rsidRPr="00510528" w:rsidRDefault="00DB0E0F" w:rsidP="00DB0E0F">
      <w:pPr>
        <w:autoSpaceDE w:val="0"/>
        <w:autoSpaceDN w:val="0"/>
        <w:spacing w:after="120"/>
        <w:jc w:val="center"/>
        <w:rPr>
          <w:i/>
        </w:rPr>
      </w:pPr>
      <w:r w:rsidRPr="00510528">
        <w:rPr>
          <w:i/>
        </w:rPr>
        <w:t>Rangiranje zahtjeva za potporu</w:t>
      </w:r>
    </w:p>
    <w:p w:rsidR="00DB0E0F" w:rsidRPr="00510528" w:rsidRDefault="00DB0E0F" w:rsidP="00DB0E0F">
      <w:pPr>
        <w:autoSpaceDE w:val="0"/>
        <w:autoSpaceDN w:val="0"/>
        <w:spacing w:after="120"/>
        <w:jc w:val="center"/>
      </w:pPr>
      <w:r w:rsidRPr="00510528">
        <w:t>Članak 17.</w:t>
      </w:r>
    </w:p>
    <w:p w:rsidR="00DB0E0F" w:rsidRPr="00510528" w:rsidRDefault="00DB0E0F" w:rsidP="00DB0E0F">
      <w:pPr>
        <w:numPr>
          <w:ilvl w:val="3"/>
          <w:numId w:val="13"/>
        </w:numPr>
        <w:spacing w:after="120"/>
        <w:ind w:left="357" w:hanging="357"/>
        <w:jc w:val="both"/>
        <w:rPr>
          <w:rFonts w:eastAsia="Calibri"/>
          <w:lang w:eastAsia="en-US"/>
        </w:rPr>
      </w:pPr>
      <w:r w:rsidRPr="00510528">
        <w:rPr>
          <w:rFonts w:eastAsia="Calibri"/>
          <w:lang w:eastAsia="en-US"/>
        </w:rPr>
        <w:t xml:space="preserve">Nakon administrativne kontrole pristiglih Zahtjeva za potporu, svim Zahtjevima za potporu dodijelit će se bodovi temeljem kriterija za odabir koji su navedeni u Prilogu I. ovoga Pravilnika i njegov su sastavni dio. </w:t>
      </w:r>
    </w:p>
    <w:p w:rsidR="00DB0E0F" w:rsidRPr="00510528" w:rsidRDefault="00DB0E0F" w:rsidP="00DB0E0F">
      <w:pPr>
        <w:numPr>
          <w:ilvl w:val="3"/>
          <w:numId w:val="13"/>
        </w:numPr>
        <w:spacing w:after="120"/>
        <w:ind w:left="357" w:hanging="357"/>
        <w:jc w:val="both"/>
        <w:rPr>
          <w:rFonts w:eastAsia="Calibri"/>
          <w:lang w:eastAsia="en-US"/>
        </w:rPr>
      </w:pPr>
      <w:r w:rsidRPr="00510528">
        <w:rPr>
          <w:color w:val="000000"/>
        </w:rPr>
        <w:t>Za potpune, pravovremene i prihvatljive Zahtjeve za potporu bit će izrađena Rang-lista temeljem dodijeljenih bodova.</w:t>
      </w:r>
    </w:p>
    <w:p w:rsidR="00DB0E0F" w:rsidRPr="00510528" w:rsidRDefault="00DB0E0F" w:rsidP="00DB0E0F">
      <w:pPr>
        <w:numPr>
          <w:ilvl w:val="3"/>
          <w:numId w:val="13"/>
        </w:numPr>
        <w:spacing w:after="120"/>
        <w:ind w:left="357" w:hanging="357"/>
        <w:jc w:val="both"/>
        <w:rPr>
          <w:rFonts w:eastAsia="Calibri"/>
          <w:lang w:eastAsia="en-US"/>
        </w:rPr>
      </w:pPr>
      <w:r w:rsidRPr="00510528">
        <w:rPr>
          <w:color w:val="000000"/>
        </w:rPr>
        <w:t>U slučaju da dva ili više Zahtjeva za potporu nakon rangiranja sukladno stavku 2. ovoga članka imaju isti broj bodova, izvršit će se rangiranje tih zahtjeva na temelju ranijeg vremena podnošenja Zahtjeva za potporu na način da prioritet ide sljedećim redoslijedom.</w:t>
      </w:r>
    </w:p>
    <w:p w:rsidR="00DB0E0F" w:rsidRPr="00510528" w:rsidRDefault="00DB0E0F" w:rsidP="00DB0E0F">
      <w:pPr>
        <w:numPr>
          <w:ilvl w:val="0"/>
          <w:numId w:val="14"/>
        </w:numPr>
        <w:spacing w:after="120"/>
        <w:ind w:left="714" w:hanging="357"/>
        <w:jc w:val="both"/>
        <w:rPr>
          <w:rFonts w:eastAsia="Calibri"/>
          <w:lang w:eastAsia="en-US"/>
        </w:rPr>
      </w:pPr>
      <w:r w:rsidRPr="00510528">
        <w:rPr>
          <w:color w:val="000000"/>
        </w:rPr>
        <w:t>Zahtjevi za potporu zaprimljeni potpuni do roka za podnošenje Zahtjeva za potporu propisanoga Natječajem</w:t>
      </w:r>
      <w:r w:rsidR="006230BB" w:rsidRPr="00510528">
        <w:rPr>
          <w:color w:val="000000"/>
        </w:rPr>
        <w:t xml:space="preserve"> (za koje nije bilo potrebe za izdavanjem Zahtjeva za dopunu)</w:t>
      </w:r>
      <w:r w:rsidRPr="00510528">
        <w:rPr>
          <w:color w:val="000000"/>
        </w:rPr>
        <w:t>;</w:t>
      </w:r>
    </w:p>
    <w:p w:rsidR="00DB0E0F" w:rsidRPr="00510528" w:rsidRDefault="00DB0E0F" w:rsidP="00DB0E0F">
      <w:pPr>
        <w:numPr>
          <w:ilvl w:val="0"/>
          <w:numId w:val="14"/>
        </w:numPr>
        <w:spacing w:after="120"/>
        <w:ind w:left="714" w:hanging="357"/>
        <w:jc w:val="both"/>
        <w:rPr>
          <w:rFonts w:eastAsia="Calibri"/>
          <w:lang w:eastAsia="en-US"/>
        </w:rPr>
      </w:pPr>
      <w:r w:rsidRPr="00510528">
        <w:rPr>
          <w:color w:val="000000"/>
        </w:rPr>
        <w:lastRenderedPageBreak/>
        <w:t>Zahtjevi za potporu zaprimljeni nepotpuni (za koje je Upravljačko tijelo izdalo Zahtjev za dopunu).</w:t>
      </w:r>
    </w:p>
    <w:p w:rsidR="00DB0E0F" w:rsidRPr="00510528" w:rsidRDefault="00DB0E0F" w:rsidP="00DB0E0F">
      <w:pPr>
        <w:numPr>
          <w:ilvl w:val="3"/>
          <w:numId w:val="13"/>
        </w:numPr>
        <w:spacing w:after="120"/>
        <w:ind w:left="357" w:hanging="357"/>
        <w:jc w:val="both"/>
        <w:rPr>
          <w:rFonts w:eastAsia="Calibri"/>
          <w:lang w:eastAsia="en-US"/>
        </w:rPr>
      </w:pPr>
      <w:r w:rsidRPr="00510528">
        <w:rPr>
          <w:rFonts w:eastAsia="Calibri"/>
          <w:lang w:eastAsia="en-US"/>
        </w:rPr>
        <w:t>Vremenom podnošenja potpunog Zahtjeva za potporu za Zahtjeve sukladno stavku 3. točki a) ovoga članka smatra se trenutak slanja (datum, sat, minuta) potpunog Zahtjeva za potporu u slučaju slanja preporučenom poštom ili trenutak</w:t>
      </w:r>
      <w:r w:rsidR="006230BB" w:rsidRPr="00510528">
        <w:rPr>
          <w:rFonts w:eastAsia="Calibri"/>
          <w:lang w:eastAsia="en-US"/>
        </w:rPr>
        <w:t xml:space="preserve"> zaprimanja (datum, sat, minuta</w:t>
      </w:r>
      <w:r w:rsidRPr="00510528">
        <w:rPr>
          <w:rFonts w:eastAsia="Calibri"/>
          <w:lang w:eastAsia="en-US"/>
        </w:rPr>
        <w:t>) u Upravljačko ukoliko se dostavlja osobno.</w:t>
      </w:r>
    </w:p>
    <w:p w:rsidR="00DB0E0F" w:rsidRPr="00510528" w:rsidRDefault="00DB0E0F" w:rsidP="00DB0E0F">
      <w:pPr>
        <w:numPr>
          <w:ilvl w:val="3"/>
          <w:numId w:val="13"/>
        </w:numPr>
        <w:spacing w:after="120"/>
        <w:ind w:left="357" w:hanging="357"/>
        <w:jc w:val="both"/>
        <w:rPr>
          <w:rFonts w:eastAsia="Calibri"/>
          <w:lang w:eastAsia="en-US"/>
        </w:rPr>
      </w:pPr>
      <w:r w:rsidRPr="00510528">
        <w:rPr>
          <w:rFonts w:eastAsia="Calibri"/>
          <w:lang w:eastAsia="en-US"/>
        </w:rPr>
        <w:t>Vremenskim rokom potrebnim za podnošenje potpunog Zahtjeva za potporu za Zahtjeve sukladno stavku 3. točki b) ovoga članka smatra se vrijeme proteklo od dana zaprimanja Zahtjeva za dopunu od strane korisnika do trenutka podnošenja dopune/obrazloženja/ispra</w:t>
      </w:r>
      <w:r w:rsidR="006230BB" w:rsidRPr="00510528">
        <w:rPr>
          <w:rFonts w:eastAsia="Calibri"/>
          <w:lang w:eastAsia="en-US"/>
        </w:rPr>
        <w:t>vka (datum, sat, minuta</w:t>
      </w:r>
      <w:r w:rsidRPr="00510528">
        <w:rPr>
          <w:rFonts w:eastAsia="Calibri"/>
          <w:lang w:eastAsia="en-US"/>
        </w:rPr>
        <w:t>).</w:t>
      </w:r>
    </w:p>
    <w:p w:rsidR="00DB0E0F" w:rsidRPr="00510528" w:rsidRDefault="00EB3B2C" w:rsidP="00DB0E0F">
      <w:pPr>
        <w:numPr>
          <w:ilvl w:val="3"/>
          <w:numId w:val="13"/>
        </w:numPr>
        <w:spacing w:after="120"/>
        <w:ind w:left="357" w:hanging="357"/>
        <w:jc w:val="both"/>
        <w:rPr>
          <w:rFonts w:eastAsia="Calibri"/>
          <w:lang w:eastAsia="en-US"/>
        </w:rPr>
      </w:pPr>
      <w:r w:rsidRPr="00510528">
        <w:rPr>
          <w:rFonts w:eastAsia="Calibri"/>
          <w:lang w:eastAsia="en-US"/>
        </w:rPr>
        <w:t xml:space="preserve">Ako </w:t>
      </w:r>
      <w:r w:rsidR="00DB0E0F" w:rsidRPr="00510528">
        <w:rPr>
          <w:rFonts w:eastAsia="Calibri"/>
          <w:lang w:eastAsia="en-US"/>
        </w:rPr>
        <w:t>Zahtjevi iz stavka 3. točke b) ovoga članka imaju jednaki broj bodova i jednako vrijeme podnošenja dopune, prednost imaju Zahtjevi za potporu s ranijim vremenom podnošenja Zahtjeva za potporu na Natječaj (datum, sat, minuta).</w:t>
      </w:r>
    </w:p>
    <w:p w:rsidR="00DB0E0F" w:rsidRPr="00510528" w:rsidRDefault="00EB3B2C" w:rsidP="00DB0E0F">
      <w:pPr>
        <w:numPr>
          <w:ilvl w:val="3"/>
          <w:numId w:val="13"/>
        </w:numPr>
        <w:spacing w:after="120"/>
        <w:ind w:left="357" w:hanging="357"/>
        <w:jc w:val="both"/>
        <w:rPr>
          <w:rFonts w:eastAsia="Calibri"/>
          <w:lang w:eastAsia="en-US"/>
        </w:rPr>
      </w:pPr>
      <w:r w:rsidRPr="00510528">
        <w:rPr>
          <w:rFonts w:eastAsia="Calibri"/>
          <w:lang w:eastAsia="en-US"/>
        </w:rPr>
        <w:t xml:space="preserve">Ako </w:t>
      </w:r>
      <w:r w:rsidR="00DB0E0F" w:rsidRPr="00510528">
        <w:rPr>
          <w:rFonts w:eastAsia="Calibri"/>
          <w:lang w:eastAsia="en-US"/>
        </w:rPr>
        <w:t>dva ili više Zahtjeva za potporu imaju jednaki broj bodova i jednako vrijeme podnošenja dopune/obrazloženje/ispravka odnosno Zahtjeva za potporu provest će se postupak izvlačenja slučajnim odabirom, u prisutnosti javnog bilježnika.</w:t>
      </w:r>
    </w:p>
    <w:p w:rsidR="00DB0E0F" w:rsidRPr="00510528" w:rsidRDefault="00DB0E0F" w:rsidP="00DB0E0F">
      <w:pPr>
        <w:numPr>
          <w:ilvl w:val="3"/>
          <w:numId w:val="13"/>
        </w:numPr>
        <w:spacing w:after="120"/>
        <w:ind w:left="357" w:hanging="357"/>
        <w:jc w:val="both"/>
        <w:rPr>
          <w:rFonts w:eastAsia="Calibri"/>
          <w:lang w:eastAsia="en-US"/>
        </w:rPr>
      </w:pPr>
      <w:r w:rsidRPr="00510528">
        <w:rPr>
          <w:rFonts w:eastAsia="Calibri"/>
          <w:lang w:eastAsia="en-US"/>
        </w:rPr>
        <w:t>Izrađena Rang-lista bit će dostupna korisnicima u okviru Izvještaja o provedenom Natječaju.</w:t>
      </w:r>
    </w:p>
    <w:p w:rsidR="00DB0E0F" w:rsidRPr="00510528" w:rsidRDefault="00DB0E0F" w:rsidP="00DB0E0F">
      <w:pPr>
        <w:spacing w:after="120"/>
        <w:jc w:val="center"/>
        <w:rPr>
          <w:i/>
          <w:iCs/>
          <w:color w:val="000000"/>
        </w:rPr>
      </w:pPr>
    </w:p>
    <w:p w:rsidR="00DB0E0F" w:rsidRPr="00510528" w:rsidRDefault="00DB0E0F" w:rsidP="00DB0E0F">
      <w:pPr>
        <w:spacing w:after="120"/>
        <w:jc w:val="center"/>
        <w:rPr>
          <w:i/>
          <w:iCs/>
          <w:color w:val="000000"/>
        </w:rPr>
      </w:pPr>
      <w:r w:rsidRPr="00510528">
        <w:rPr>
          <w:i/>
          <w:iCs/>
          <w:color w:val="000000"/>
        </w:rPr>
        <w:t>Izdavanje Odluka</w:t>
      </w:r>
    </w:p>
    <w:p w:rsidR="00DB0E0F" w:rsidRPr="00510528" w:rsidRDefault="00DB0E0F" w:rsidP="00DB0E0F">
      <w:pPr>
        <w:spacing w:after="120"/>
        <w:jc w:val="center"/>
        <w:rPr>
          <w:color w:val="000000"/>
        </w:rPr>
      </w:pPr>
      <w:r w:rsidRPr="00510528">
        <w:rPr>
          <w:color w:val="000000"/>
        </w:rPr>
        <w:t>Članak 18.</w:t>
      </w:r>
    </w:p>
    <w:p w:rsidR="00DB0E0F" w:rsidRPr="00510528" w:rsidRDefault="00DB0E0F" w:rsidP="00DB0E0F">
      <w:pPr>
        <w:numPr>
          <w:ilvl w:val="0"/>
          <w:numId w:val="42"/>
        </w:numPr>
        <w:spacing w:after="120"/>
        <w:ind w:left="426" w:hanging="426"/>
        <w:jc w:val="both"/>
        <w:rPr>
          <w:color w:val="000000"/>
        </w:rPr>
      </w:pPr>
      <w:r w:rsidRPr="00510528">
        <w:rPr>
          <w:color w:val="000000"/>
        </w:rPr>
        <w:t>U slučaju kada se nakon zaprimanja svih zahtjeva za potporu i provjere ukupnog traženog iznosa potpore utvrdi da ima dovoljno raspoloživih sredstava, Upravljačko tijelo će izdati odluke po završetku administrativne kontrole svakoga pojedinačnog Zahtjeva za potporu.</w:t>
      </w:r>
    </w:p>
    <w:p w:rsidR="00DB0E0F" w:rsidRPr="00510528" w:rsidRDefault="00DB0E0F" w:rsidP="00DB0E0F">
      <w:pPr>
        <w:numPr>
          <w:ilvl w:val="0"/>
          <w:numId w:val="42"/>
        </w:numPr>
        <w:spacing w:after="120"/>
        <w:ind w:left="426" w:hanging="426"/>
        <w:jc w:val="both"/>
        <w:rPr>
          <w:color w:val="000000"/>
        </w:rPr>
      </w:pPr>
      <w:r w:rsidRPr="00510528">
        <w:rPr>
          <w:color w:val="000000"/>
        </w:rPr>
        <w:t>Nakon završetka administrativne kontrole Zahtjeva za potporu, Upravljačko tijelo će donijeti:</w:t>
      </w:r>
    </w:p>
    <w:p w:rsidR="00DB0E0F" w:rsidRPr="00510528" w:rsidRDefault="00DB0E0F" w:rsidP="00DB0E0F">
      <w:pPr>
        <w:numPr>
          <w:ilvl w:val="0"/>
          <w:numId w:val="43"/>
        </w:numPr>
        <w:spacing w:after="120"/>
        <w:ind w:left="714" w:hanging="357"/>
        <w:jc w:val="both"/>
        <w:rPr>
          <w:color w:val="000000"/>
        </w:rPr>
      </w:pPr>
      <w:r w:rsidRPr="00510528">
        <w:rPr>
          <w:color w:val="000000"/>
        </w:rPr>
        <w:t>Odluku o dodjeli sredstava u slučaju ispunjavanja uvjeta i kriterija propisanih ovim Pravilnikom i Natječajem ili</w:t>
      </w:r>
    </w:p>
    <w:p w:rsidR="00DB0E0F" w:rsidRPr="00510528" w:rsidRDefault="00DB0E0F" w:rsidP="00DB0E0F">
      <w:pPr>
        <w:numPr>
          <w:ilvl w:val="0"/>
          <w:numId w:val="43"/>
        </w:numPr>
        <w:spacing w:after="120"/>
        <w:ind w:left="714" w:hanging="357"/>
        <w:jc w:val="both"/>
        <w:rPr>
          <w:color w:val="000000"/>
        </w:rPr>
      </w:pPr>
      <w:r w:rsidRPr="00510528">
        <w:rPr>
          <w:color w:val="000000"/>
        </w:rPr>
        <w:t>Odluku o odbijanju u slučaju:</w:t>
      </w:r>
    </w:p>
    <w:p w:rsidR="00DB0E0F" w:rsidRPr="00510528" w:rsidRDefault="00DB0E0F" w:rsidP="00DB0E0F">
      <w:pPr>
        <w:numPr>
          <w:ilvl w:val="0"/>
          <w:numId w:val="44"/>
        </w:numPr>
        <w:spacing w:after="120"/>
        <w:jc w:val="both"/>
        <w:rPr>
          <w:color w:val="000000"/>
        </w:rPr>
      </w:pPr>
      <w:r w:rsidRPr="00510528">
        <w:rPr>
          <w:color w:val="000000"/>
        </w:rPr>
        <w:t>nepravovremeno podnesenih Zahtjeva za potporu,</w:t>
      </w:r>
    </w:p>
    <w:p w:rsidR="00DB0E0F" w:rsidRPr="00510528" w:rsidRDefault="00DB0E0F" w:rsidP="00DB0E0F">
      <w:pPr>
        <w:numPr>
          <w:ilvl w:val="0"/>
          <w:numId w:val="44"/>
        </w:numPr>
        <w:spacing w:after="120"/>
        <w:jc w:val="both"/>
        <w:rPr>
          <w:color w:val="000000"/>
        </w:rPr>
      </w:pPr>
      <w:r w:rsidRPr="00510528">
        <w:rPr>
          <w:color w:val="000000"/>
        </w:rPr>
        <w:t>nepotpunih Zahtjeva za potporu,</w:t>
      </w:r>
    </w:p>
    <w:p w:rsidR="00DB0E0F" w:rsidRPr="00510528" w:rsidRDefault="00DB0E0F" w:rsidP="00DB0E0F">
      <w:pPr>
        <w:numPr>
          <w:ilvl w:val="0"/>
          <w:numId w:val="44"/>
        </w:numPr>
        <w:spacing w:after="120"/>
        <w:jc w:val="both"/>
        <w:rPr>
          <w:color w:val="000000"/>
        </w:rPr>
      </w:pPr>
      <w:r w:rsidRPr="00510528">
        <w:rPr>
          <w:color w:val="000000"/>
        </w:rPr>
        <w:t>nepravovremeno dostavljenih i/ili nepotpunih odgovora na Zahtjev za dopunu/obrazloženje/ispravak,</w:t>
      </w:r>
    </w:p>
    <w:p w:rsidR="006230BB" w:rsidRPr="00510528" w:rsidRDefault="006230BB" w:rsidP="001252B4">
      <w:pPr>
        <w:numPr>
          <w:ilvl w:val="0"/>
          <w:numId w:val="44"/>
        </w:numPr>
        <w:spacing w:after="120"/>
        <w:ind w:left="1145" w:hanging="357"/>
        <w:jc w:val="both"/>
        <w:rPr>
          <w:color w:val="000000"/>
        </w:rPr>
      </w:pPr>
      <w:r w:rsidRPr="00510528">
        <w:rPr>
          <w:color w:val="000000"/>
        </w:rPr>
        <w:t xml:space="preserve">utvrđene nepravilnosti ako je odlukom o utvrđenoj nepravilnosti određeno odbijanje zahtjeva za potporu uzimajući u obzir težinu utvrđene nepravilnosti ili u slučaju ne poduzimanja korektivnih mjera određenih radi ispravljanja utvrđene nepravilnosti u zadanom roku, </w:t>
      </w:r>
    </w:p>
    <w:p w:rsidR="00DB0E0F" w:rsidRPr="00510528" w:rsidRDefault="00DB0E0F" w:rsidP="006230BB">
      <w:pPr>
        <w:numPr>
          <w:ilvl w:val="0"/>
          <w:numId w:val="44"/>
        </w:numPr>
        <w:spacing w:after="120"/>
        <w:ind w:left="1145" w:hanging="357"/>
        <w:jc w:val="both"/>
        <w:rPr>
          <w:color w:val="000000"/>
        </w:rPr>
      </w:pPr>
      <w:r w:rsidRPr="00510528">
        <w:rPr>
          <w:color w:val="000000"/>
        </w:rPr>
        <w:t>onemogućavanja obavljanja kontrole na terenu,</w:t>
      </w:r>
    </w:p>
    <w:p w:rsidR="00DB0E0F" w:rsidRPr="00510528" w:rsidRDefault="00DB0E0F" w:rsidP="00DB0E0F">
      <w:pPr>
        <w:numPr>
          <w:ilvl w:val="0"/>
          <w:numId w:val="44"/>
        </w:numPr>
        <w:spacing w:after="120"/>
        <w:jc w:val="both"/>
        <w:rPr>
          <w:color w:val="000000"/>
        </w:rPr>
      </w:pPr>
      <w:r w:rsidRPr="00510528">
        <w:rPr>
          <w:color w:val="000000"/>
        </w:rPr>
        <w:t>namjernog davanja neistinitih informacija od strane korisnika,</w:t>
      </w:r>
    </w:p>
    <w:p w:rsidR="00DB0E0F" w:rsidRPr="00510528" w:rsidRDefault="00DB0E0F" w:rsidP="00DB0E0F">
      <w:pPr>
        <w:numPr>
          <w:ilvl w:val="0"/>
          <w:numId w:val="44"/>
        </w:numPr>
        <w:spacing w:after="120"/>
        <w:jc w:val="both"/>
        <w:rPr>
          <w:color w:val="000000"/>
        </w:rPr>
      </w:pPr>
      <w:r w:rsidRPr="00510528">
        <w:rPr>
          <w:color w:val="000000"/>
        </w:rPr>
        <w:t>sufinanciranja troškova koji su financirani drugim javnim izdacima,</w:t>
      </w:r>
    </w:p>
    <w:p w:rsidR="00DB0E0F" w:rsidRPr="00510528" w:rsidRDefault="00DB0E0F" w:rsidP="00DB0E0F">
      <w:pPr>
        <w:numPr>
          <w:ilvl w:val="0"/>
          <w:numId w:val="44"/>
        </w:numPr>
        <w:spacing w:after="120"/>
        <w:jc w:val="both"/>
        <w:rPr>
          <w:color w:val="000000"/>
        </w:rPr>
      </w:pPr>
      <w:r w:rsidRPr="00510528">
        <w:rPr>
          <w:color w:val="000000"/>
        </w:rPr>
        <w:t>neispunjavanja drugih uvjeta i kriterija propisanih ovim Pravilnikom i Natječajem.</w:t>
      </w:r>
    </w:p>
    <w:p w:rsidR="00DB0E0F" w:rsidRPr="00510528" w:rsidRDefault="00DB0E0F" w:rsidP="00DB0E0F">
      <w:pPr>
        <w:numPr>
          <w:ilvl w:val="0"/>
          <w:numId w:val="58"/>
        </w:numPr>
        <w:spacing w:after="120"/>
        <w:ind w:left="426" w:hanging="426"/>
        <w:jc w:val="both"/>
        <w:rPr>
          <w:color w:val="000000"/>
        </w:rPr>
      </w:pPr>
      <w:r w:rsidRPr="00510528">
        <w:rPr>
          <w:color w:val="000000"/>
        </w:rPr>
        <w:lastRenderedPageBreak/>
        <w:t>Odlukom iz stavka 2. točke a) ovoga članka utvrđuje se:</w:t>
      </w:r>
    </w:p>
    <w:p w:rsidR="00DB0E0F" w:rsidRPr="00510528" w:rsidRDefault="00DB0E0F" w:rsidP="00DB0E0F">
      <w:pPr>
        <w:numPr>
          <w:ilvl w:val="0"/>
          <w:numId w:val="59"/>
        </w:numPr>
        <w:spacing w:after="120"/>
        <w:ind w:left="851" w:hanging="425"/>
        <w:jc w:val="both"/>
        <w:rPr>
          <w:color w:val="000000"/>
        </w:rPr>
      </w:pPr>
      <w:r w:rsidRPr="00510528">
        <w:rPr>
          <w:color w:val="000000"/>
        </w:rPr>
        <w:t>najviši iznos odobrene potpore;</w:t>
      </w:r>
    </w:p>
    <w:p w:rsidR="00DB0E0F" w:rsidRPr="00510528" w:rsidRDefault="00DB0E0F" w:rsidP="00DB0E0F">
      <w:pPr>
        <w:numPr>
          <w:ilvl w:val="0"/>
          <w:numId w:val="59"/>
        </w:numPr>
        <w:spacing w:after="120"/>
        <w:ind w:left="851" w:hanging="425"/>
        <w:jc w:val="both"/>
        <w:rPr>
          <w:color w:val="000000"/>
        </w:rPr>
      </w:pPr>
      <w:r w:rsidRPr="00510528">
        <w:rPr>
          <w:color w:val="000000"/>
        </w:rPr>
        <w:t>obveze korisnika na temelju ovoga Pravilnika i Natječaja</w:t>
      </w:r>
    </w:p>
    <w:p w:rsidR="00DB0E0F" w:rsidRPr="00510528" w:rsidRDefault="006230BB" w:rsidP="00DB0E0F">
      <w:pPr>
        <w:numPr>
          <w:ilvl w:val="0"/>
          <w:numId w:val="42"/>
        </w:numPr>
        <w:spacing w:after="120"/>
        <w:ind w:left="426" w:hanging="426"/>
        <w:jc w:val="both"/>
        <w:rPr>
          <w:color w:val="000000"/>
        </w:rPr>
      </w:pPr>
      <w:r w:rsidRPr="00510528">
        <w:rPr>
          <w:color w:val="000000"/>
        </w:rPr>
        <w:t>Ako</w:t>
      </w:r>
      <w:r w:rsidR="00DB0E0F" w:rsidRPr="00510528">
        <w:rPr>
          <w:color w:val="000000"/>
        </w:rPr>
        <w:t xml:space="preserve"> se tijekom obrade Zahtjeva za potporu utvrdi nepravilnost, </w:t>
      </w:r>
      <w:r w:rsidRPr="00510528">
        <w:rPr>
          <w:color w:val="000000"/>
        </w:rPr>
        <w:t>a za koju odlukom o utvrđenoj nepravilnosti nije određeno odbijanje zahtjeva za potporu u cijelosti, Upravljačko tijelo će odbi</w:t>
      </w:r>
      <w:r w:rsidR="00300ABA" w:rsidRPr="00510528">
        <w:rPr>
          <w:color w:val="000000"/>
        </w:rPr>
        <w:t>t</w:t>
      </w:r>
      <w:r w:rsidRPr="00510528">
        <w:rPr>
          <w:color w:val="000000"/>
        </w:rPr>
        <w:t>i iznos nepravilnog troška od ukupnih prihvatljivih troškova i izdati Odluku o dodjeli sredstava u kojoj će ukupan iznos za koji se dodjeljuje potpora biti umanjen za iznos nepravilnog troška.</w:t>
      </w:r>
    </w:p>
    <w:p w:rsidR="00DB0E0F" w:rsidRPr="00510528" w:rsidRDefault="00DB0E0F" w:rsidP="00DB0E0F">
      <w:pPr>
        <w:numPr>
          <w:ilvl w:val="0"/>
          <w:numId w:val="42"/>
        </w:numPr>
        <w:spacing w:after="120"/>
        <w:ind w:left="426" w:hanging="426"/>
        <w:jc w:val="both"/>
        <w:rPr>
          <w:color w:val="000000"/>
        </w:rPr>
      </w:pPr>
      <w:r w:rsidRPr="00510528">
        <w:rPr>
          <w:color w:val="000000"/>
        </w:rPr>
        <w:t>U slučaju izdavanja Odluka iz stavka 2. ovoga članka, Rang-lista će se izraditi nakon provedenog postupka rješavanja po prigovorima.</w:t>
      </w:r>
    </w:p>
    <w:p w:rsidR="00DB0E0F" w:rsidRPr="00510528" w:rsidRDefault="00DB0E0F" w:rsidP="00DB0E0F">
      <w:pPr>
        <w:numPr>
          <w:ilvl w:val="0"/>
          <w:numId w:val="42"/>
        </w:numPr>
        <w:spacing w:after="120"/>
        <w:ind w:left="426" w:hanging="426"/>
        <w:jc w:val="both"/>
        <w:rPr>
          <w:color w:val="000000"/>
        </w:rPr>
      </w:pPr>
      <w:r w:rsidRPr="00510528">
        <w:rPr>
          <w:color w:val="000000"/>
        </w:rPr>
        <w:t>Izrađena Rang-lista bit će dostupna korisnicima u okviru Izvještaja o provedenom Natječaju.</w:t>
      </w:r>
    </w:p>
    <w:p w:rsidR="00DB0E0F" w:rsidRPr="00510528" w:rsidRDefault="00DB0E0F" w:rsidP="00DB0E0F">
      <w:pPr>
        <w:spacing w:after="120"/>
        <w:jc w:val="center"/>
      </w:pPr>
    </w:p>
    <w:p w:rsidR="00DB0E0F" w:rsidRPr="00510528" w:rsidRDefault="00DB0E0F" w:rsidP="00DB0E0F">
      <w:pPr>
        <w:spacing w:after="120"/>
        <w:jc w:val="center"/>
      </w:pPr>
      <w:r w:rsidRPr="00510528">
        <w:t>Članak 19.</w:t>
      </w:r>
    </w:p>
    <w:p w:rsidR="00DB0E0F" w:rsidRPr="00510528" w:rsidRDefault="00DB0E0F" w:rsidP="00DB0E0F">
      <w:pPr>
        <w:numPr>
          <w:ilvl w:val="0"/>
          <w:numId w:val="45"/>
        </w:numPr>
        <w:spacing w:after="120"/>
        <w:ind w:left="426" w:hanging="426"/>
        <w:jc w:val="both"/>
        <w:rPr>
          <w:color w:val="000000"/>
        </w:rPr>
      </w:pPr>
      <w:r w:rsidRPr="00510528">
        <w:rPr>
          <w:color w:val="000000"/>
        </w:rPr>
        <w:t>U slučaju da se nakon zaprimanja svih Zahtjeva za potporu i provjere ukupnoga traženog iznosa potpore utvrdi da nema dovoljno raspoloživih sredstava za sve korisnike, Upravljačko tijelo će izdati odluke nakon završetka administrativne kontrole svih zaprimljenih Zahtjeva za potporu.</w:t>
      </w:r>
    </w:p>
    <w:p w:rsidR="00DB0E0F" w:rsidRPr="00510528" w:rsidRDefault="00DB0E0F" w:rsidP="00DB0E0F">
      <w:pPr>
        <w:numPr>
          <w:ilvl w:val="0"/>
          <w:numId w:val="45"/>
        </w:numPr>
        <w:spacing w:after="120"/>
        <w:ind w:left="426" w:hanging="426"/>
        <w:jc w:val="both"/>
        <w:rPr>
          <w:color w:val="000000"/>
        </w:rPr>
      </w:pPr>
      <w:r w:rsidRPr="00510528">
        <w:rPr>
          <w:color w:val="000000"/>
        </w:rPr>
        <w:t>Upravljačko tijelo će nakon obrade Zahtjeva za potporu donijeti:</w:t>
      </w:r>
    </w:p>
    <w:p w:rsidR="00DB0E0F" w:rsidRPr="00510528" w:rsidRDefault="00DB0E0F" w:rsidP="006E3E9A">
      <w:pPr>
        <w:numPr>
          <w:ilvl w:val="0"/>
          <w:numId w:val="46"/>
        </w:numPr>
        <w:spacing w:after="120"/>
        <w:ind w:left="714" w:hanging="357"/>
        <w:jc w:val="both"/>
        <w:rPr>
          <w:color w:val="000000"/>
        </w:rPr>
      </w:pPr>
      <w:r w:rsidRPr="00510528">
        <w:rPr>
          <w:color w:val="000000"/>
        </w:rPr>
        <w:t>Odluku o privremenoj raspodjeli sredstava, u slučaju ispunjavanja uvjeta i kriterija propisanih ovim Pravilnikom i Natječajem;</w:t>
      </w:r>
    </w:p>
    <w:p w:rsidR="00DB0E0F" w:rsidRPr="00510528" w:rsidRDefault="00DB0E0F" w:rsidP="006E3E9A">
      <w:pPr>
        <w:numPr>
          <w:ilvl w:val="0"/>
          <w:numId w:val="46"/>
        </w:numPr>
        <w:spacing w:after="120"/>
        <w:ind w:left="714" w:hanging="357"/>
        <w:jc w:val="both"/>
        <w:rPr>
          <w:color w:val="000000"/>
        </w:rPr>
      </w:pPr>
      <w:r w:rsidRPr="00510528">
        <w:rPr>
          <w:color w:val="000000"/>
        </w:rPr>
        <w:t>Odluku o odbijanju sukladno razlozima navedenim u članku 18. stavku 2. točki b) ovoga Pravilnika.</w:t>
      </w:r>
    </w:p>
    <w:p w:rsidR="00DB0E0F" w:rsidRPr="00510528" w:rsidRDefault="00DB0E0F" w:rsidP="00DB0E0F">
      <w:pPr>
        <w:numPr>
          <w:ilvl w:val="0"/>
          <w:numId w:val="45"/>
        </w:numPr>
        <w:spacing w:after="120"/>
        <w:ind w:left="426" w:hanging="426"/>
        <w:jc w:val="both"/>
        <w:rPr>
          <w:color w:val="000000"/>
        </w:rPr>
      </w:pPr>
      <w:r w:rsidRPr="00510528">
        <w:rPr>
          <w:color w:val="000000"/>
        </w:rPr>
        <w:t>Odlukom iz stavka 2. točke a) ovoga članka definira se privremena raspodjela ukupno raspoloživih sredstava po korisnicima za sve korisnike koji udovoljavaju uvjetima i kriterijima ovoga Pravilnika i Natječaja, neovisno o ostvarenom broju bodova i poziciji na Rang-listi.</w:t>
      </w:r>
    </w:p>
    <w:p w:rsidR="00DB0E0F" w:rsidRPr="00510528" w:rsidRDefault="00DB0E0F" w:rsidP="00DB0E0F">
      <w:pPr>
        <w:numPr>
          <w:ilvl w:val="0"/>
          <w:numId w:val="45"/>
        </w:numPr>
        <w:spacing w:after="120"/>
        <w:ind w:left="426" w:hanging="426"/>
        <w:jc w:val="both"/>
        <w:rPr>
          <w:color w:val="000000"/>
        </w:rPr>
      </w:pPr>
      <w:r w:rsidRPr="00510528">
        <w:rPr>
          <w:color w:val="000000"/>
        </w:rPr>
        <w:t>Rang-lista iz stavka 3. ovoga članka je privremena i nalazi se u sklopu Privremenog izvještaja o provedenom Natječaju koji je sastavni dio Odluka iz stavka 2. ovoga članka.</w:t>
      </w:r>
    </w:p>
    <w:p w:rsidR="00DB0E0F" w:rsidRPr="00510528" w:rsidRDefault="00DB0E0F" w:rsidP="00DB0E0F">
      <w:pPr>
        <w:numPr>
          <w:ilvl w:val="0"/>
          <w:numId w:val="45"/>
        </w:numPr>
        <w:spacing w:after="120"/>
        <w:ind w:left="426" w:hanging="426"/>
        <w:jc w:val="both"/>
        <w:rPr>
          <w:color w:val="000000"/>
        </w:rPr>
      </w:pPr>
      <w:r w:rsidRPr="00510528">
        <w:rPr>
          <w:color w:val="000000"/>
        </w:rPr>
        <w:t>Završetkom postupka rješavanja po prigovorima na Odluke iz stavka 2. ovoga članka i prema potrebi ponovne administrativne kontrole pozitivno riješenih prigovora, formirat će se konačna Rang-lista na temelju koje će Upravljačko tijelo donijeti konačne odluke kako slijedi:</w:t>
      </w:r>
    </w:p>
    <w:p w:rsidR="00DB0E0F" w:rsidRPr="00510528" w:rsidRDefault="00DB0E0F" w:rsidP="00DB0E0F">
      <w:pPr>
        <w:numPr>
          <w:ilvl w:val="0"/>
          <w:numId w:val="47"/>
        </w:numPr>
        <w:spacing w:after="120"/>
        <w:ind w:left="714" w:hanging="357"/>
        <w:jc w:val="both"/>
        <w:rPr>
          <w:color w:val="000000"/>
        </w:rPr>
      </w:pPr>
      <w:r w:rsidRPr="00510528">
        <w:rPr>
          <w:color w:val="000000"/>
        </w:rPr>
        <w:t>Odluku o dodijeli sredstava, u slučaju ispunjavanja uvjeta i kriterija propisanih ovim Pravilnikom i Natječajem;</w:t>
      </w:r>
    </w:p>
    <w:p w:rsidR="00DB0E0F" w:rsidRPr="00510528" w:rsidRDefault="00DB0E0F" w:rsidP="00DB0E0F">
      <w:pPr>
        <w:numPr>
          <w:ilvl w:val="0"/>
          <w:numId w:val="47"/>
        </w:numPr>
        <w:spacing w:after="120"/>
        <w:ind w:left="714" w:hanging="357"/>
        <w:jc w:val="both"/>
        <w:rPr>
          <w:color w:val="000000"/>
        </w:rPr>
      </w:pPr>
      <w:r w:rsidRPr="00510528">
        <w:rPr>
          <w:color w:val="000000"/>
        </w:rPr>
        <w:t>Odluku o odbijanju sukladno razlozima navedenim u članku 18. stavku 2. točki b) ovoga Pravilnika ili radi nedostatnosti raspoloživih sredstava.</w:t>
      </w:r>
    </w:p>
    <w:p w:rsidR="00DB0E0F" w:rsidRPr="00510528" w:rsidRDefault="00DB0E0F" w:rsidP="00DB0E0F">
      <w:pPr>
        <w:numPr>
          <w:ilvl w:val="0"/>
          <w:numId w:val="45"/>
        </w:numPr>
        <w:spacing w:after="120"/>
        <w:ind w:left="426" w:hanging="426"/>
        <w:jc w:val="both"/>
        <w:rPr>
          <w:color w:val="000000"/>
        </w:rPr>
      </w:pPr>
      <w:r w:rsidRPr="00510528">
        <w:rPr>
          <w:color w:val="000000"/>
        </w:rPr>
        <w:t>Rang-lista iz stavka 5. ovoga članka je konačna i nalazi se u sklopu Konačnog izvještaja o provedenom Natječaju koji je sastavni dio konačnih Odluka iz stavka 5. ovoga članka.</w:t>
      </w:r>
    </w:p>
    <w:p w:rsidR="00DB0E0F" w:rsidRPr="00510528" w:rsidRDefault="00DB0E0F" w:rsidP="00DB0E0F">
      <w:pPr>
        <w:numPr>
          <w:ilvl w:val="0"/>
          <w:numId w:val="45"/>
        </w:numPr>
        <w:spacing w:after="120"/>
        <w:ind w:left="426" w:hanging="426"/>
        <w:jc w:val="both"/>
        <w:rPr>
          <w:color w:val="000000"/>
        </w:rPr>
      </w:pPr>
      <w:r w:rsidRPr="00510528">
        <w:rPr>
          <w:color w:val="000000"/>
        </w:rPr>
        <w:t>Odlukom iz stavka 5. točke a) ovoga članka utvrđuje se:</w:t>
      </w:r>
    </w:p>
    <w:p w:rsidR="00DB0E0F" w:rsidRPr="00510528" w:rsidRDefault="00DB0E0F" w:rsidP="00DB0E0F">
      <w:pPr>
        <w:numPr>
          <w:ilvl w:val="0"/>
          <w:numId w:val="48"/>
        </w:numPr>
        <w:spacing w:after="120"/>
        <w:jc w:val="both"/>
        <w:rPr>
          <w:color w:val="000000"/>
        </w:rPr>
      </w:pPr>
      <w:r w:rsidRPr="00510528">
        <w:rPr>
          <w:color w:val="000000"/>
        </w:rPr>
        <w:t>najviši iznos odobrene potpore;</w:t>
      </w:r>
    </w:p>
    <w:p w:rsidR="00DB0E0F" w:rsidRPr="00510528" w:rsidRDefault="00DB0E0F" w:rsidP="00DB0E0F">
      <w:pPr>
        <w:numPr>
          <w:ilvl w:val="0"/>
          <w:numId w:val="48"/>
        </w:numPr>
        <w:spacing w:after="120"/>
        <w:jc w:val="both"/>
        <w:rPr>
          <w:color w:val="000000"/>
        </w:rPr>
      </w:pPr>
      <w:r w:rsidRPr="00510528">
        <w:rPr>
          <w:color w:val="000000"/>
        </w:rPr>
        <w:t>obveze korisnika na temelju ovoga Pravilnika i Natječaja.</w:t>
      </w:r>
    </w:p>
    <w:p w:rsidR="00DB0E0F" w:rsidRPr="00510528" w:rsidRDefault="00DB0E0F" w:rsidP="00DB0E0F">
      <w:pPr>
        <w:spacing w:after="120"/>
        <w:jc w:val="both"/>
        <w:rPr>
          <w:rFonts w:eastAsia="Calibri"/>
          <w:lang w:eastAsia="en-US"/>
        </w:rPr>
      </w:pPr>
    </w:p>
    <w:p w:rsidR="00DB0E0F" w:rsidRPr="00510528" w:rsidRDefault="00DB0E0F" w:rsidP="00DB0E0F">
      <w:pPr>
        <w:spacing w:after="120"/>
        <w:jc w:val="center"/>
        <w:rPr>
          <w:i/>
        </w:rPr>
      </w:pPr>
      <w:r w:rsidRPr="00510528">
        <w:rPr>
          <w:i/>
        </w:rPr>
        <w:t>Promjene zahtjeva za potporu</w:t>
      </w:r>
    </w:p>
    <w:p w:rsidR="00DB0E0F" w:rsidRPr="00510528" w:rsidRDefault="00DB0E0F" w:rsidP="00DB0E0F">
      <w:pPr>
        <w:spacing w:after="120"/>
        <w:jc w:val="center"/>
      </w:pPr>
      <w:r w:rsidRPr="00510528">
        <w:t>Članak 20.</w:t>
      </w:r>
    </w:p>
    <w:p w:rsidR="00DB0E0F" w:rsidRPr="00510528" w:rsidRDefault="00DB0E0F" w:rsidP="00DB0E0F">
      <w:pPr>
        <w:numPr>
          <w:ilvl w:val="0"/>
          <w:numId w:val="21"/>
        </w:numPr>
        <w:spacing w:after="120"/>
        <w:ind w:left="357" w:hanging="357"/>
        <w:jc w:val="both"/>
        <w:rPr>
          <w:rFonts w:eastAsia="Calibri"/>
          <w:lang w:eastAsia="en-US"/>
        </w:rPr>
      </w:pPr>
      <w:r w:rsidRPr="00510528">
        <w:rPr>
          <w:rFonts w:eastAsia="Calibri"/>
          <w:lang w:eastAsia="en-US"/>
        </w:rPr>
        <w:t>Promjene Zahtjeva za potporu podrazumijevaju promjenu podataka koji se odnose na podneseni Zahtjev za potporu, a uključuju:</w:t>
      </w:r>
    </w:p>
    <w:p w:rsidR="00DB0E0F" w:rsidRPr="00510528" w:rsidRDefault="00DB0E0F" w:rsidP="00DB0E0F">
      <w:pPr>
        <w:numPr>
          <w:ilvl w:val="0"/>
          <w:numId w:val="26"/>
        </w:numPr>
        <w:spacing w:after="120"/>
        <w:jc w:val="both"/>
      </w:pPr>
      <w:r w:rsidRPr="00510528">
        <w:rPr>
          <w:color w:val="000000"/>
        </w:rPr>
        <w:t>promjenu podataka o korisniku (npr. promjene njegova naziva, osobe ovlaštene za zastupanje, adrese sjedišta, imena banke i/ili broja žiro-računa banke/IBAN, model i/ili poziv na broj primatelja na koji će mu biti isplaćena sredstva);</w:t>
      </w:r>
    </w:p>
    <w:p w:rsidR="00DB0E0F" w:rsidRPr="00510528" w:rsidRDefault="00DB0E0F" w:rsidP="00DB0E0F">
      <w:pPr>
        <w:numPr>
          <w:ilvl w:val="0"/>
          <w:numId w:val="26"/>
        </w:numPr>
        <w:spacing w:after="120"/>
        <w:jc w:val="both"/>
      </w:pPr>
      <w:r w:rsidRPr="00510528">
        <w:rPr>
          <w:color w:val="000000"/>
        </w:rPr>
        <w:t>promjenu podataka koji su temelj za provjeru udovoljavanja uvjetima i kriterijima prihvatljivosti sukladno ovom Pravilniku;</w:t>
      </w:r>
    </w:p>
    <w:p w:rsidR="00DB0E0F" w:rsidRPr="00510528" w:rsidRDefault="00DB0E0F" w:rsidP="00DB0E0F">
      <w:pPr>
        <w:numPr>
          <w:ilvl w:val="0"/>
          <w:numId w:val="26"/>
        </w:numPr>
        <w:spacing w:after="120"/>
        <w:jc w:val="both"/>
      </w:pPr>
      <w:r w:rsidRPr="00510528">
        <w:t xml:space="preserve">ostale promjene u operaciji </w:t>
      </w:r>
      <w:r w:rsidRPr="00510528">
        <w:rPr>
          <w:color w:val="000000"/>
        </w:rPr>
        <w:t>bez kojih se operacija ne može provesti ili koje imaju utjecaj na poboljšanje operacije, koje su nastale do podnošenja Zahtjeva za isplatu.</w:t>
      </w:r>
    </w:p>
    <w:p w:rsidR="00DB0E0F" w:rsidRPr="00510528" w:rsidRDefault="00DB0E0F" w:rsidP="00DB0E0F">
      <w:pPr>
        <w:numPr>
          <w:ilvl w:val="0"/>
          <w:numId w:val="21"/>
        </w:numPr>
        <w:spacing w:after="120"/>
        <w:ind w:left="357" w:hanging="357"/>
        <w:jc w:val="both"/>
        <w:rPr>
          <w:rFonts w:eastAsia="Calibri"/>
          <w:lang w:eastAsia="en-US"/>
        </w:rPr>
      </w:pPr>
      <w:r w:rsidRPr="00510528">
        <w:rPr>
          <w:rFonts w:eastAsia="Calibri"/>
          <w:lang w:eastAsia="en-US"/>
        </w:rPr>
        <w:t>U slučaju promjena iz stavka 1. točke a) ovoga članka, korisnik je dužan od dana podnošenja Zahtjeva za potporu do isteka razdoblja od pet godina od zadnje primljene uplate financijskih sredstava temeljem ovoga Pravilnika Upravljačkom tijelu podnijeti Zahtjev za odobrenje promjene neposredno nakon njihovog nastanka.</w:t>
      </w:r>
    </w:p>
    <w:p w:rsidR="00DB0E0F" w:rsidRPr="00510528" w:rsidRDefault="00DB0E0F" w:rsidP="00DB0E0F">
      <w:pPr>
        <w:numPr>
          <w:ilvl w:val="0"/>
          <w:numId w:val="21"/>
        </w:numPr>
        <w:spacing w:after="120"/>
        <w:ind w:left="357" w:hanging="357"/>
        <w:jc w:val="both"/>
        <w:rPr>
          <w:rFonts w:eastAsia="Calibri"/>
          <w:lang w:eastAsia="en-US"/>
        </w:rPr>
      </w:pPr>
      <w:r w:rsidRPr="00510528">
        <w:rPr>
          <w:color w:val="000000"/>
        </w:rPr>
        <w:t>U slučaju promjena iz stavka 1. točke b) ovoga članka, korisnik je dužan od dana stupanja na snagu Odluke o dodjeli sredstava iz članka 18. stavka 2. točke a) odnosno članka 19. stavka 5. točke a) ovoga Pravilnika do isteka razdoblja od pet godina od zadnje primljene uplate financijskih sredstava temeljem ovoga Pravilnika Upravljačkom tijelu podnijeti Zahtjev za odobrenje promjena, neposredno nakon njihovog nastanka.</w:t>
      </w:r>
      <w:r w:rsidRPr="00510528">
        <w:rPr>
          <w:rFonts w:eastAsia="Calibri"/>
          <w:lang w:eastAsia="en-US"/>
        </w:rPr>
        <w:t xml:space="preserve"> </w:t>
      </w:r>
    </w:p>
    <w:p w:rsidR="00DB0E0F" w:rsidRPr="00510528" w:rsidRDefault="00DB0E0F" w:rsidP="00DB0E0F">
      <w:pPr>
        <w:numPr>
          <w:ilvl w:val="0"/>
          <w:numId w:val="21"/>
        </w:numPr>
        <w:spacing w:after="120"/>
        <w:ind w:left="357" w:hanging="357"/>
        <w:jc w:val="both"/>
        <w:rPr>
          <w:rFonts w:eastAsia="Calibri"/>
          <w:lang w:eastAsia="en-US"/>
        </w:rPr>
      </w:pPr>
      <w:r w:rsidRPr="00510528">
        <w:rPr>
          <w:color w:val="000000"/>
        </w:rPr>
        <w:t>U slučaju promjena iz stavka 1. točke c) ovoga članka, korisnik je dužan od dana stupanja na snagu Odluke o dodjeli sredstava iz članka 18. stavka 2. točke a) odnosno članka 19. stavka 5. točke a) ovoga Pravilnika Upravljačkom tijelu podnijeti Zahtjev za odobrenje promjena, neposredno nakon njihovog nastanka, ali ne kasnije od podnošenja Zahtjeva za isplatu.</w:t>
      </w:r>
    </w:p>
    <w:p w:rsidR="00DB0E0F" w:rsidRPr="00510528" w:rsidRDefault="00DB0E0F" w:rsidP="00DB0E0F">
      <w:pPr>
        <w:numPr>
          <w:ilvl w:val="0"/>
          <w:numId w:val="21"/>
        </w:numPr>
        <w:spacing w:after="120"/>
        <w:ind w:left="357" w:hanging="357"/>
        <w:jc w:val="both"/>
        <w:rPr>
          <w:rFonts w:eastAsia="Calibri"/>
          <w:lang w:eastAsia="en-US"/>
        </w:rPr>
      </w:pPr>
      <w:r w:rsidRPr="00510528">
        <w:rPr>
          <w:color w:val="000000"/>
        </w:rPr>
        <w:t>Uz Zahtjev za odobrenje promjena iz stavaka 2., 3. i 4. ovoga članka, korisnik je dužan priložiti odgovarajuću dokumentaciju kojom se predmetna promjena potkrepljuje.</w:t>
      </w:r>
    </w:p>
    <w:p w:rsidR="00DB0E0F" w:rsidRPr="00510528" w:rsidRDefault="00DB0E0F" w:rsidP="00DB0E0F">
      <w:pPr>
        <w:numPr>
          <w:ilvl w:val="0"/>
          <w:numId w:val="21"/>
        </w:numPr>
        <w:spacing w:after="120"/>
        <w:ind w:left="357" w:hanging="357"/>
        <w:jc w:val="both"/>
        <w:rPr>
          <w:rFonts w:ascii="Calibri" w:eastAsia="Calibri" w:hAnsi="Calibri"/>
          <w:lang w:eastAsia="en-US"/>
        </w:rPr>
      </w:pPr>
      <w:r w:rsidRPr="00510528">
        <w:rPr>
          <w:color w:val="000000"/>
        </w:rPr>
        <w:t>Upravljačko tijelo će za zaprimljene Zahtjeve za odobrenje promjena iz stavaka 2., 3. i 4. ovoga članka provjeriti uvjete i kriterije prihvatljivosti sukladno ovom Pravilniku, donijeti Odluku o odobrenju promjena ili Odluku o odbijanju promjena te po potrebi donijeti izmjenu Odluke o dodjeli sredstava.</w:t>
      </w:r>
    </w:p>
    <w:p w:rsidR="00DB0E0F" w:rsidRPr="00510528" w:rsidRDefault="00DB0E0F" w:rsidP="00DB0E0F">
      <w:pPr>
        <w:numPr>
          <w:ilvl w:val="0"/>
          <w:numId w:val="21"/>
        </w:numPr>
        <w:spacing w:after="120"/>
        <w:ind w:left="357" w:hanging="357"/>
        <w:jc w:val="both"/>
        <w:rPr>
          <w:rFonts w:ascii="Calibri" w:eastAsia="Calibri" w:hAnsi="Calibri"/>
          <w:lang w:eastAsia="en-US"/>
        </w:rPr>
      </w:pPr>
      <w:r w:rsidRPr="00510528">
        <w:rPr>
          <w:color w:val="000000"/>
        </w:rPr>
        <w:t>Izmjenom Odluke o dodjeli sredstava iz stavka 6. ovoga članka ne može se dodijeliti iznos potpore veći od iznosa potpore koji je već određen Odlukom o dodjeli sredstava iz članka 18. stavka 2. točke a) odnosno članka 19. stavka 5. točke a) ovoga Pravilnika.</w:t>
      </w:r>
    </w:p>
    <w:p w:rsidR="00DB0E0F" w:rsidRPr="00510528" w:rsidRDefault="00DB0E0F" w:rsidP="00DB0E0F">
      <w:pPr>
        <w:numPr>
          <w:ilvl w:val="0"/>
          <w:numId w:val="21"/>
        </w:numPr>
        <w:spacing w:after="120"/>
        <w:ind w:left="357" w:hanging="357"/>
        <w:jc w:val="both"/>
        <w:rPr>
          <w:rFonts w:ascii="Calibri" w:eastAsia="Calibri" w:hAnsi="Calibri"/>
          <w:lang w:eastAsia="en-US"/>
        </w:rPr>
      </w:pPr>
      <w:r w:rsidRPr="00510528">
        <w:rPr>
          <w:color w:val="000000"/>
        </w:rPr>
        <w:t>U slučaju promjena iniciranih od strane Upravljačkog tijela, Upravljačko tijelo će donijeti izmjenu Odluke o dodjeli sredstava iz članka 18. stavka 2. točke a) odnosno članka 19. stavka 5. točke a) ovoga Pravilnika.</w:t>
      </w:r>
    </w:p>
    <w:p w:rsidR="00DB0E0F" w:rsidRPr="00510528" w:rsidRDefault="00DB0E0F" w:rsidP="00DB0E0F">
      <w:pPr>
        <w:numPr>
          <w:ilvl w:val="0"/>
          <w:numId w:val="21"/>
        </w:numPr>
        <w:spacing w:after="120"/>
        <w:ind w:left="357" w:hanging="357"/>
        <w:jc w:val="both"/>
        <w:rPr>
          <w:rFonts w:ascii="Calibri" w:eastAsia="Calibri" w:hAnsi="Calibri"/>
          <w:lang w:eastAsia="en-US"/>
        </w:rPr>
      </w:pPr>
      <w:r w:rsidRPr="00510528">
        <w:rPr>
          <w:color w:val="000000"/>
        </w:rPr>
        <w:t>Zahtjev za odobrenje promjena iz stavaka 2., 3. i 4. ovoga članka dostavlja se Upravljačkom tijelu preporučenom poštom s pov</w:t>
      </w:r>
      <w:r w:rsidR="00AD0F07" w:rsidRPr="00510528">
        <w:rPr>
          <w:color w:val="000000"/>
        </w:rPr>
        <w:t xml:space="preserve">ratnicom na adresu Ministarstva poljoprivrede, Uprave ribarstva u </w:t>
      </w:r>
      <w:r w:rsidRPr="00510528">
        <w:rPr>
          <w:color w:val="000000"/>
        </w:rPr>
        <w:t>Zagreb</w:t>
      </w:r>
      <w:r w:rsidR="00AD0F07" w:rsidRPr="00510528">
        <w:rPr>
          <w:color w:val="000000"/>
        </w:rPr>
        <w:t>u</w:t>
      </w:r>
      <w:r w:rsidRPr="00510528">
        <w:rPr>
          <w:color w:val="000000"/>
        </w:rPr>
        <w:t xml:space="preserve">, uz naznaku: </w:t>
      </w:r>
      <w:r w:rsidRPr="00510528">
        <w:rPr>
          <w:i/>
          <w:iCs/>
          <w:color w:val="000000"/>
        </w:rPr>
        <w:t>„Zahtjev za odobrenje promjena u okviru mjere I.20. Energetska učinkovitost i ublažavanje klimatskih promjena“</w:t>
      </w:r>
      <w:r w:rsidRPr="00510528">
        <w:rPr>
          <w:color w:val="000000"/>
        </w:rPr>
        <w:t>.</w:t>
      </w:r>
    </w:p>
    <w:p w:rsidR="00DB0E0F" w:rsidRPr="00510528" w:rsidRDefault="00DB0E0F" w:rsidP="00DB0E0F">
      <w:pPr>
        <w:spacing w:after="120"/>
        <w:ind w:left="567"/>
        <w:jc w:val="both"/>
        <w:rPr>
          <w:rFonts w:ascii="Calibri" w:eastAsia="Calibri" w:hAnsi="Calibri"/>
          <w:lang w:eastAsia="en-US"/>
        </w:rPr>
      </w:pPr>
    </w:p>
    <w:p w:rsidR="00DB0E0F" w:rsidRPr="00510528" w:rsidRDefault="00DB0E0F" w:rsidP="00DB0E0F">
      <w:pPr>
        <w:spacing w:after="120"/>
        <w:jc w:val="center"/>
        <w:rPr>
          <w:i/>
        </w:rPr>
      </w:pPr>
      <w:r w:rsidRPr="00510528">
        <w:rPr>
          <w:i/>
        </w:rPr>
        <w:lastRenderedPageBreak/>
        <w:t>Potvrda o odustajanju i izjava o poništenju obveze</w:t>
      </w:r>
    </w:p>
    <w:p w:rsidR="00DB0E0F" w:rsidRPr="00510528" w:rsidRDefault="00DB0E0F" w:rsidP="00DB0E0F">
      <w:pPr>
        <w:spacing w:after="120"/>
        <w:jc w:val="center"/>
      </w:pPr>
      <w:r w:rsidRPr="00510528">
        <w:t>Članak 21.</w:t>
      </w:r>
    </w:p>
    <w:p w:rsidR="00DB0E0F" w:rsidRPr="00510528" w:rsidRDefault="00DB0E0F" w:rsidP="00DB0E0F">
      <w:pPr>
        <w:numPr>
          <w:ilvl w:val="1"/>
          <w:numId w:val="23"/>
        </w:numPr>
        <w:spacing w:after="120"/>
        <w:ind w:left="357" w:hanging="357"/>
        <w:jc w:val="both"/>
      </w:pPr>
      <w:r w:rsidRPr="00510528">
        <w:rPr>
          <w:color w:val="000000"/>
        </w:rPr>
        <w:t>U slučaju da korisnik želi odustati od dodjele potpore dužan je podnijeti Zahtjev za odustajanje.</w:t>
      </w:r>
    </w:p>
    <w:p w:rsidR="00DB0E0F" w:rsidRPr="00510528" w:rsidRDefault="00300ABA" w:rsidP="00DB0E0F">
      <w:pPr>
        <w:numPr>
          <w:ilvl w:val="1"/>
          <w:numId w:val="23"/>
        </w:numPr>
        <w:spacing w:after="120"/>
        <w:ind w:left="357" w:hanging="357"/>
        <w:jc w:val="both"/>
      </w:pPr>
      <w:r w:rsidRPr="00510528">
        <w:rPr>
          <w:color w:val="000000"/>
        </w:rPr>
        <w:t>Ako</w:t>
      </w:r>
      <w:r w:rsidR="00DB0E0F" w:rsidRPr="00510528">
        <w:rPr>
          <w:color w:val="000000"/>
        </w:rPr>
        <w:t xml:space="preserve"> korisnik podnese Zahtjev za odustajanje u fazi administrativne kontrole Zahtjeva za potporu odnosno prije izdavanja Odluke, Upravljačko tijelo će prekinuti sve aktivnosti nad Zahtjevom za potporu te će korisniku izdati Potvrdu o odustajanju.</w:t>
      </w:r>
    </w:p>
    <w:p w:rsidR="00DB0E0F" w:rsidRPr="00510528" w:rsidRDefault="00300ABA" w:rsidP="00DB0E0F">
      <w:pPr>
        <w:numPr>
          <w:ilvl w:val="1"/>
          <w:numId w:val="23"/>
        </w:numPr>
        <w:spacing w:after="120"/>
        <w:ind w:left="357" w:hanging="357"/>
        <w:jc w:val="both"/>
      </w:pPr>
      <w:r w:rsidRPr="00510528">
        <w:rPr>
          <w:color w:val="000000"/>
        </w:rPr>
        <w:t>Ako</w:t>
      </w:r>
      <w:r w:rsidR="00DB0E0F" w:rsidRPr="00510528">
        <w:rPr>
          <w:color w:val="000000"/>
        </w:rPr>
        <w:t xml:space="preserve"> korisnik podnese Zahtjev za odustajanje nakon izdavanja Odluke o dodjeli sredstava iz članka 18. stavka 2. točke a) odnosno članka 19. stavka 5. točke a), Upravljačko tijelo će korisniku izdati Izjavu o poništenju obveze.</w:t>
      </w:r>
    </w:p>
    <w:p w:rsidR="00DB0E0F" w:rsidRPr="00510528" w:rsidRDefault="00DB0E0F" w:rsidP="00DB0E0F">
      <w:pPr>
        <w:numPr>
          <w:ilvl w:val="1"/>
          <w:numId w:val="23"/>
        </w:numPr>
        <w:spacing w:after="120"/>
        <w:ind w:left="357" w:hanging="357"/>
        <w:jc w:val="both"/>
      </w:pPr>
      <w:r w:rsidRPr="00510528">
        <w:rPr>
          <w:color w:val="000000"/>
        </w:rPr>
        <w:t>Izjava o poništenju obveze se izdaje i u sljedećim slučajevima:</w:t>
      </w:r>
    </w:p>
    <w:p w:rsidR="00DB0E0F" w:rsidRPr="00510528" w:rsidRDefault="00DB0E0F" w:rsidP="00DB0E0F">
      <w:pPr>
        <w:numPr>
          <w:ilvl w:val="0"/>
          <w:numId w:val="24"/>
        </w:numPr>
        <w:spacing w:after="120"/>
        <w:ind w:left="714" w:hanging="357"/>
        <w:jc w:val="both"/>
      </w:pPr>
      <w:r w:rsidRPr="00510528">
        <w:t>negativnog</w:t>
      </w:r>
      <w:r w:rsidR="00300ABA" w:rsidRPr="00510528">
        <w:t xml:space="preserve"> nalaza kontrole na terenu;</w:t>
      </w:r>
    </w:p>
    <w:p w:rsidR="00300ABA" w:rsidRPr="00510528" w:rsidRDefault="00300ABA" w:rsidP="00300ABA">
      <w:pPr>
        <w:numPr>
          <w:ilvl w:val="0"/>
          <w:numId w:val="24"/>
        </w:numPr>
        <w:spacing w:after="60"/>
        <w:ind w:left="714" w:hanging="357"/>
        <w:jc w:val="both"/>
      </w:pPr>
      <w:r w:rsidRPr="00510528">
        <w:rPr>
          <w:color w:val="000000"/>
        </w:rPr>
        <w:t>utvrđene nepravilnost za koju je odlukom o utvrđenoj nepravilnosti određeno poništenje obveze uzimajući u obzir težinu utvrđene nepravilnosti ili u slučaju ne poduzimanja korektivnih mjera određenih radi ispravljanja utvrđene nepravilnosti u zadanom roku. Ako je utvrđena nepravilnost ujedno i sumnja na prijevaru, Upravljačko tijelo će o tome izvijestiti Državno odvjetništvo Republike Hrvatske kako bi se pokrenuo postupak pred nadležnim sudom;</w:t>
      </w:r>
    </w:p>
    <w:p w:rsidR="00300ABA" w:rsidRPr="00510528" w:rsidRDefault="00300ABA" w:rsidP="00DB0E0F">
      <w:pPr>
        <w:numPr>
          <w:ilvl w:val="0"/>
          <w:numId w:val="24"/>
        </w:numPr>
        <w:spacing w:after="120"/>
        <w:ind w:left="714" w:hanging="357"/>
        <w:jc w:val="both"/>
      </w:pPr>
      <w:r w:rsidRPr="00510528">
        <w:t>kada korisnik ne poštuje odredbe Pravilnika i Natječaja ili nije ispunio obveze određene Odlukom o dodjeli sredstava;</w:t>
      </w:r>
    </w:p>
    <w:p w:rsidR="00DB0E0F" w:rsidRPr="00510528" w:rsidRDefault="00300ABA" w:rsidP="00DB0E0F">
      <w:pPr>
        <w:numPr>
          <w:ilvl w:val="0"/>
          <w:numId w:val="24"/>
        </w:numPr>
        <w:spacing w:after="120"/>
        <w:ind w:left="714" w:hanging="357"/>
        <w:jc w:val="both"/>
      </w:pPr>
      <w:r w:rsidRPr="00510528">
        <w:rPr>
          <w:color w:val="000000"/>
        </w:rPr>
        <w:t>ako</w:t>
      </w:r>
      <w:r w:rsidR="00DB0E0F" w:rsidRPr="00510528">
        <w:rPr>
          <w:color w:val="000000"/>
        </w:rPr>
        <w:t xml:space="preserve"> korisnik ne dostavi Zahtjev za isplatu.</w:t>
      </w:r>
    </w:p>
    <w:p w:rsidR="00DB0E0F" w:rsidRPr="00510528" w:rsidRDefault="00DB0E0F" w:rsidP="00DB0E0F">
      <w:pPr>
        <w:numPr>
          <w:ilvl w:val="1"/>
          <w:numId w:val="23"/>
        </w:numPr>
        <w:spacing w:after="120"/>
        <w:ind w:left="357" w:hanging="357"/>
        <w:jc w:val="both"/>
      </w:pPr>
      <w:r w:rsidRPr="00510528">
        <w:rPr>
          <w:color w:val="000000"/>
        </w:rPr>
        <w:t>Zahtjev za odustajanje iz stavka 1. ovoga članka dostavlja se Upravljačkom tijelu preporučenom poštom s povratnicom na adres</w:t>
      </w:r>
      <w:r w:rsidR="00AD0F07" w:rsidRPr="00510528">
        <w:rPr>
          <w:color w:val="000000"/>
        </w:rPr>
        <w:t xml:space="preserve">u Ministarstva poljoprivrede, Uprave ribarstva u </w:t>
      </w:r>
      <w:r w:rsidRPr="00510528">
        <w:rPr>
          <w:color w:val="000000"/>
        </w:rPr>
        <w:t>Zagreb</w:t>
      </w:r>
      <w:r w:rsidR="00AD0F07" w:rsidRPr="00510528">
        <w:rPr>
          <w:color w:val="000000"/>
        </w:rPr>
        <w:t>u</w:t>
      </w:r>
      <w:r w:rsidRPr="00510528">
        <w:rPr>
          <w:color w:val="000000"/>
        </w:rPr>
        <w:t xml:space="preserve">, uz naznaku: </w:t>
      </w:r>
      <w:r w:rsidRPr="00510528">
        <w:rPr>
          <w:i/>
          <w:iCs/>
          <w:color w:val="000000"/>
        </w:rPr>
        <w:t>„Zahtjev za odustajanje u okviru mjere I.20. Energetska učinkovitost i ublažavanje klimatskih promjena“</w:t>
      </w:r>
      <w:r w:rsidRPr="00510528">
        <w:rPr>
          <w:color w:val="000000"/>
        </w:rPr>
        <w:t>.</w:t>
      </w:r>
    </w:p>
    <w:p w:rsidR="00DB0E0F" w:rsidRPr="00510528" w:rsidRDefault="00DB0E0F" w:rsidP="00DB0E0F">
      <w:pPr>
        <w:spacing w:after="120"/>
      </w:pPr>
    </w:p>
    <w:p w:rsidR="00DB0E0F" w:rsidRPr="00510528" w:rsidRDefault="00DB0E0F" w:rsidP="00DB0E0F">
      <w:pPr>
        <w:keepNext/>
        <w:keepLines/>
        <w:spacing w:after="120"/>
        <w:jc w:val="center"/>
        <w:outlineLvl w:val="0"/>
        <w:rPr>
          <w:bCs/>
          <w:color w:val="000000"/>
          <w:szCs w:val="28"/>
        </w:rPr>
      </w:pPr>
      <w:r w:rsidRPr="00510528">
        <w:rPr>
          <w:bCs/>
          <w:color w:val="000000"/>
          <w:szCs w:val="28"/>
        </w:rPr>
        <w:t>VI. ZAHTJEV ZA ISPLATU, POSTUPAK OBRADE, DONOŠENJE ODLUKE I ISPLATA</w:t>
      </w:r>
    </w:p>
    <w:p w:rsidR="00DB0E0F" w:rsidRPr="00510528" w:rsidRDefault="00DB0E0F" w:rsidP="00DB0E0F">
      <w:pPr>
        <w:spacing w:after="120"/>
        <w:jc w:val="center"/>
        <w:rPr>
          <w:color w:val="000000"/>
        </w:rPr>
      </w:pPr>
      <w:r w:rsidRPr="00510528">
        <w:t>Članak 22.</w:t>
      </w:r>
    </w:p>
    <w:p w:rsidR="00DB0E0F" w:rsidRPr="00510528" w:rsidRDefault="00DB0E0F" w:rsidP="00DB0E0F">
      <w:pPr>
        <w:numPr>
          <w:ilvl w:val="3"/>
          <w:numId w:val="20"/>
        </w:numPr>
        <w:spacing w:after="120"/>
        <w:ind w:left="425" w:hanging="425"/>
        <w:jc w:val="both"/>
      </w:pPr>
      <w:r w:rsidRPr="00510528">
        <w:t>Potpora se korisniku dodjeljuje na temelju Zahtjeva za isplatu</w:t>
      </w:r>
      <w:r w:rsidR="00F56035" w:rsidRPr="00510528">
        <w:t>, jednokratno ili u ratama</w:t>
      </w:r>
      <w:r w:rsidRPr="00510528">
        <w:t>.</w:t>
      </w:r>
    </w:p>
    <w:p w:rsidR="00DB0E0F" w:rsidRPr="00510528" w:rsidRDefault="00DB0E0F" w:rsidP="00DB0E0F">
      <w:pPr>
        <w:numPr>
          <w:ilvl w:val="3"/>
          <w:numId w:val="20"/>
        </w:numPr>
        <w:spacing w:after="120"/>
        <w:ind w:left="425" w:hanging="425"/>
        <w:jc w:val="both"/>
      </w:pPr>
      <w:r w:rsidRPr="00510528">
        <w:t>Krajnji rok za dostavu Zahtjeva za isplatu propisuje se Natječajem.</w:t>
      </w:r>
    </w:p>
    <w:p w:rsidR="00DB0E0F" w:rsidRPr="00510528" w:rsidRDefault="00DB0E0F" w:rsidP="00DB0E0F">
      <w:pPr>
        <w:numPr>
          <w:ilvl w:val="3"/>
          <w:numId w:val="20"/>
        </w:numPr>
        <w:spacing w:after="120"/>
        <w:ind w:left="425" w:hanging="425"/>
        <w:jc w:val="both"/>
      </w:pPr>
      <w:r w:rsidRPr="00510528">
        <w:t>Zahtjev za isplatu podnosi se Upravljačkom tijelu na način kako je propisano Natječajem.</w:t>
      </w:r>
    </w:p>
    <w:p w:rsidR="00DB0E0F" w:rsidRPr="00510528" w:rsidRDefault="00DB0E0F" w:rsidP="00DB0E0F">
      <w:pPr>
        <w:spacing w:after="120"/>
      </w:pPr>
    </w:p>
    <w:p w:rsidR="00DB0E0F" w:rsidRPr="00510528" w:rsidRDefault="00DB0E0F" w:rsidP="00DB0E0F">
      <w:pPr>
        <w:spacing w:after="120"/>
        <w:jc w:val="center"/>
      </w:pPr>
      <w:r w:rsidRPr="00510528">
        <w:t>Članak 23.</w:t>
      </w:r>
    </w:p>
    <w:p w:rsidR="00DB0E0F" w:rsidRPr="00510528" w:rsidRDefault="00DB0E0F" w:rsidP="00DB0E0F">
      <w:pPr>
        <w:numPr>
          <w:ilvl w:val="0"/>
          <w:numId w:val="22"/>
        </w:numPr>
        <w:spacing w:after="120"/>
        <w:ind w:left="357" w:hanging="357"/>
        <w:jc w:val="both"/>
        <w:rPr>
          <w:rFonts w:eastAsia="Calibri"/>
          <w:lang w:eastAsia="en-US"/>
        </w:rPr>
      </w:pPr>
      <w:r w:rsidRPr="00510528">
        <w:rPr>
          <w:color w:val="000000"/>
        </w:rPr>
        <w:t>Zahtjev za isplatu treba sadržavati sve plaćene račune sukladno prihvatljivim troškovima iz članaka 7. do 11. ovoga Pravilnika za koje je odobrena potpora, a svi priloženi računi moraju biti u cijelosti plaćeni u trenutku podnošenja Zahtjeva za isplatu.</w:t>
      </w:r>
    </w:p>
    <w:p w:rsidR="001252B4" w:rsidRPr="00510528" w:rsidRDefault="001252B4" w:rsidP="00DB0E0F">
      <w:pPr>
        <w:numPr>
          <w:ilvl w:val="0"/>
          <w:numId w:val="22"/>
        </w:numPr>
        <w:spacing w:after="120"/>
        <w:ind w:left="357" w:hanging="357"/>
        <w:jc w:val="both"/>
        <w:rPr>
          <w:rFonts w:eastAsia="Calibri"/>
          <w:lang w:eastAsia="en-US"/>
        </w:rPr>
      </w:pPr>
      <w:r w:rsidRPr="00510528">
        <w:rPr>
          <w:color w:val="000000"/>
        </w:rPr>
        <w:t>Ako se sredstva potpore isplaćuju jednokratno, korisnik dostavlja Zahtjev za isplatu sa sadržanim ukupnim troškovima operacije za koje je odobrena potpora.</w:t>
      </w:r>
    </w:p>
    <w:p w:rsidR="001252B4" w:rsidRPr="00510528" w:rsidRDefault="001252B4" w:rsidP="001252B4">
      <w:pPr>
        <w:numPr>
          <w:ilvl w:val="0"/>
          <w:numId w:val="22"/>
        </w:numPr>
        <w:spacing w:after="120"/>
        <w:ind w:left="357" w:hanging="357"/>
        <w:jc w:val="both"/>
        <w:rPr>
          <w:rFonts w:eastAsia="Calibri"/>
          <w:lang w:eastAsia="en-US"/>
        </w:rPr>
      </w:pPr>
      <w:r w:rsidRPr="00510528">
        <w:rPr>
          <w:rFonts w:eastAsia="Calibri"/>
          <w:lang w:eastAsia="en-US"/>
        </w:rPr>
        <w:t xml:space="preserve">Ako se sredstva potpore isplaćuju u ratama, korisnik dostavlja Zahtjev za isplatu sa sadržanim troškovima dijelova operacije za koje je odobrena potpora, nastalima u obračunskom razdoblju, u roku od petnaest radnih dana od završetka obračunskog </w:t>
      </w:r>
      <w:r w:rsidRPr="00510528">
        <w:rPr>
          <w:rFonts w:eastAsia="Calibri"/>
          <w:lang w:eastAsia="en-US"/>
        </w:rPr>
        <w:lastRenderedPageBreak/>
        <w:t xml:space="preserve">razdoblja na koje se Zahtjev za isplatu odnosi, ali ne dovodeći u pitanje krajnji rok iz članka </w:t>
      </w:r>
      <w:r w:rsidR="00F56035" w:rsidRPr="00510528">
        <w:rPr>
          <w:rFonts w:eastAsia="Calibri"/>
          <w:lang w:eastAsia="en-US"/>
        </w:rPr>
        <w:t>22</w:t>
      </w:r>
      <w:r w:rsidRPr="00510528">
        <w:rPr>
          <w:rFonts w:eastAsia="Calibri"/>
          <w:lang w:eastAsia="en-US"/>
        </w:rPr>
        <w:t xml:space="preserve">. stavka </w:t>
      </w:r>
      <w:r w:rsidR="00F56035" w:rsidRPr="00510528">
        <w:rPr>
          <w:rFonts w:eastAsia="Calibri"/>
          <w:lang w:eastAsia="en-US"/>
        </w:rPr>
        <w:t>2</w:t>
      </w:r>
      <w:r w:rsidRPr="00510528">
        <w:rPr>
          <w:rFonts w:eastAsia="Calibri"/>
          <w:lang w:eastAsia="en-US"/>
        </w:rPr>
        <w:t xml:space="preserve">. ovoga Pravilnika. </w:t>
      </w:r>
    </w:p>
    <w:p w:rsidR="001252B4" w:rsidRPr="00510528" w:rsidRDefault="001252B4" w:rsidP="001252B4">
      <w:pPr>
        <w:numPr>
          <w:ilvl w:val="0"/>
          <w:numId w:val="22"/>
        </w:numPr>
        <w:spacing w:after="120"/>
        <w:ind w:left="357" w:hanging="357"/>
        <w:jc w:val="both"/>
        <w:rPr>
          <w:rFonts w:eastAsia="Calibri"/>
          <w:lang w:eastAsia="en-US"/>
        </w:rPr>
      </w:pPr>
      <w:r w:rsidRPr="00510528">
        <w:rPr>
          <w:rFonts w:eastAsia="Calibri"/>
          <w:lang w:eastAsia="en-US"/>
        </w:rPr>
        <w:t>Obračunsko razdoblje iz stavka 3. ovoga članka traje najmanje 60 dana, a počinje teći istekom prethodnog, osim prvog obračunskog razdoblja koje počinje teći od dana stupanja na snagu Odluke o dodjeli sredstava iz članka 1</w:t>
      </w:r>
      <w:r w:rsidR="00F56035" w:rsidRPr="00510528">
        <w:rPr>
          <w:rFonts w:eastAsia="Calibri"/>
          <w:lang w:eastAsia="en-US"/>
        </w:rPr>
        <w:t>8</w:t>
      </w:r>
      <w:r w:rsidRPr="00510528">
        <w:rPr>
          <w:rFonts w:eastAsia="Calibri"/>
          <w:lang w:eastAsia="en-US"/>
        </w:rPr>
        <w:t>. stavka 2. točke a) odnosno članka 1</w:t>
      </w:r>
      <w:r w:rsidR="00F56035" w:rsidRPr="00510528">
        <w:rPr>
          <w:rFonts w:eastAsia="Calibri"/>
          <w:lang w:eastAsia="en-US"/>
        </w:rPr>
        <w:t>9</w:t>
      </w:r>
      <w:r w:rsidRPr="00510528">
        <w:rPr>
          <w:rFonts w:eastAsia="Calibri"/>
          <w:lang w:eastAsia="en-US"/>
        </w:rPr>
        <w:t xml:space="preserve">. stavka 5. točke a) ovoga Pravilnika. </w:t>
      </w:r>
    </w:p>
    <w:p w:rsidR="001252B4" w:rsidRPr="00510528" w:rsidRDefault="001252B4" w:rsidP="001252B4">
      <w:pPr>
        <w:numPr>
          <w:ilvl w:val="0"/>
          <w:numId w:val="22"/>
        </w:numPr>
        <w:spacing w:after="120"/>
        <w:ind w:left="357" w:hanging="357"/>
        <w:jc w:val="both"/>
        <w:rPr>
          <w:rFonts w:eastAsia="Calibri"/>
          <w:lang w:eastAsia="en-US"/>
        </w:rPr>
      </w:pPr>
      <w:r w:rsidRPr="00510528">
        <w:rPr>
          <w:rFonts w:eastAsia="Calibri"/>
          <w:lang w:eastAsia="en-US"/>
        </w:rPr>
        <w:t xml:space="preserve">Dijelovi operacije iz stavka 3. ovoga članka podrazumijevaju pojedine aktivnosti i/ili troškove koji se mogu smatrati zasebnim cjelinama u okviru jedne operacije. </w:t>
      </w:r>
    </w:p>
    <w:p w:rsidR="001252B4" w:rsidRPr="00510528" w:rsidRDefault="001252B4" w:rsidP="001252B4">
      <w:pPr>
        <w:numPr>
          <w:ilvl w:val="0"/>
          <w:numId w:val="22"/>
        </w:numPr>
        <w:spacing w:after="120"/>
        <w:ind w:left="357" w:hanging="357"/>
        <w:jc w:val="both"/>
        <w:rPr>
          <w:rFonts w:eastAsia="Calibri"/>
          <w:lang w:eastAsia="en-US"/>
        </w:rPr>
      </w:pPr>
      <w:r w:rsidRPr="00510528">
        <w:rPr>
          <w:rFonts w:eastAsia="Calibri"/>
          <w:lang w:eastAsia="en-US"/>
        </w:rPr>
        <w:t xml:space="preserve">Sredstva potpore iz stavka 3. ovoga članka se ne isplaćuju za pojedine aktivnosti i/ili troškove koji su djelomično fizički provedeni i plaćeni u trenutku podnošenja Zahtjeva za isplatu.   </w:t>
      </w:r>
    </w:p>
    <w:p w:rsidR="001252B4" w:rsidRPr="00510528" w:rsidRDefault="001252B4" w:rsidP="001252B4">
      <w:pPr>
        <w:numPr>
          <w:ilvl w:val="0"/>
          <w:numId w:val="22"/>
        </w:numPr>
        <w:spacing w:after="120"/>
        <w:ind w:left="357" w:hanging="357"/>
        <w:jc w:val="both"/>
        <w:rPr>
          <w:rFonts w:eastAsia="Calibri"/>
          <w:lang w:eastAsia="en-US"/>
        </w:rPr>
      </w:pPr>
      <w:r w:rsidRPr="00510528">
        <w:rPr>
          <w:rFonts w:eastAsia="Calibri"/>
          <w:lang w:eastAsia="en-US"/>
        </w:rPr>
        <w:t xml:space="preserve">Troškovi obuhvaćeni Zahtjevom za isplatu moraju biti u cijelosti plaćeni, a operacija odnosno dijelovi operacije u slučaju iz stavka 3. ovoga članka, fizički završena/i u trenutku podnošenja Zahtjeva za isplatu. </w:t>
      </w:r>
    </w:p>
    <w:p w:rsidR="00DB0E0F" w:rsidRPr="00510528" w:rsidRDefault="00DB0E0F" w:rsidP="00DB0E0F">
      <w:pPr>
        <w:numPr>
          <w:ilvl w:val="0"/>
          <w:numId w:val="22"/>
        </w:numPr>
        <w:spacing w:after="120"/>
        <w:ind w:left="357" w:hanging="357"/>
        <w:jc w:val="both"/>
        <w:rPr>
          <w:rFonts w:eastAsia="Calibri"/>
          <w:lang w:eastAsia="en-US"/>
        </w:rPr>
      </w:pPr>
      <w:r w:rsidRPr="00510528">
        <w:rPr>
          <w:color w:val="000000"/>
        </w:rPr>
        <w:t>Za plaćanja izvršena u stranoj valuti obračunat će se:</w:t>
      </w:r>
    </w:p>
    <w:p w:rsidR="00DB0E0F" w:rsidRPr="00510528" w:rsidRDefault="00DB0E0F" w:rsidP="00DB0E0F">
      <w:pPr>
        <w:numPr>
          <w:ilvl w:val="0"/>
          <w:numId w:val="27"/>
        </w:numPr>
        <w:spacing w:after="120"/>
        <w:jc w:val="both"/>
      </w:pPr>
      <w:r w:rsidRPr="00510528">
        <w:rPr>
          <w:color w:val="000000"/>
        </w:rPr>
        <w:t xml:space="preserve">protuvrijednost u kunama po tečaju Europske komisije (ECB), u mjesecu </w:t>
      </w:r>
      <w:r w:rsidR="002C4D0B" w:rsidRPr="00510528">
        <w:rPr>
          <w:color w:val="000000"/>
        </w:rPr>
        <w:t>podnošenja</w:t>
      </w:r>
      <w:r w:rsidRPr="00510528">
        <w:rPr>
          <w:color w:val="000000"/>
        </w:rPr>
        <w:t xml:space="preserve"> Zahtjeva za isplatu u Upravljačkom tijelu iskazanom na šest decimala;</w:t>
      </w:r>
    </w:p>
    <w:p w:rsidR="00DB0E0F" w:rsidRPr="00510528" w:rsidRDefault="00DB0E0F" w:rsidP="00DB0E0F">
      <w:pPr>
        <w:numPr>
          <w:ilvl w:val="0"/>
          <w:numId w:val="27"/>
        </w:numPr>
        <w:spacing w:after="120"/>
        <w:jc w:val="both"/>
      </w:pPr>
      <w:r w:rsidRPr="00510528">
        <w:rPr>
          <w:color w:val="000000"/>
        </w:rPr>
        <w:t xml:space="preserve">u slučaju da je korisnik kupio strana sredstva plaćanja po nižem tečaju od ECB u mjesecu </w:t>
      </w:r>
      <w:r w:rsidR="00300ABA" w:rsidRPr="00510528">
        <w:rPr>
          <w:color w:val="000000"/>
        </w:rPr>
        <w:t>podnošenj</w:t>
      </w:r>
      <w:r w:rsidRPr="00510528">
        <w:rPr>
          <w:color w:val="000000"/>
        </w:rPr>
        <w:t>a Zahtjeva za isplatu iskazanom na šest decimala, isplata potpore temeljit će se na ostvarenom tečaju.</w:t>
      </w:r>
    </w:p>
    <w:p w:rsidR="00DB0E0F" w:rsidRPr="00510528" w:rsidRDefault="00DB0E0F" w:rsidP="00DB0E0F">
      <w:pPr>
        <w:numPr>
          <w:ilvl w:val="0"/>
          <w:numId w:val="22"/>
        </w:numPr>
        <w:spacing w:after="120"/>
        <w:ind w:left="357" w:hanging="357"/>
        <w:jc w:val="both"/>
        <w:rPr>
          <w:rFonts w:eastAsia="Calibri"/>
          <w:lang w:eastAsia="en-US"/>
        </w:rPr>
      </w:pPr>
      <w:r w:rsidRPr="00510528">
        <w:rPr>
          <w:color w:val="000000"/>
        </w:rPr>
        <w:t>Korisniku se ne može isplatiti potpora u iznosu višem od iznosa navedenoga u Odluci o dodjeli sredstava.</w:t>
      </w:r>
    </w:p>
    <w:p w:rsidR="00DB0E0F" w:rsidRPr="00510528" w:rsidRDefault="00DB0E0F" w:rsidP="00DB0E0F">
      <w:pPr>
        <w:numPr>
          <w:ilvl w:val="0"/>
          <w:numId w:val="22"/>
        </w:numPr>
        <w:spacing w:after="120"/>
        <w:ind w:left="357" w:hanging="357"/>
        <w:jc w:val="both"/>
        <w:rPr>
          <w:rFonts w:eastAsia="Calibri"/>
          <w:lang w:eastAsia="en-US"/>
        </w:rPr>
      </w:pPr>
      <w:r w:rsidRPr="00510528">
        <w:rPr>
          <w:rFonts w:eastAsia="Calibri"/>
          <w:lang w:eastAsia="en-US"/>
        </w:rPr>
        <w:t xml:space="preserve">Za nepotpun Zahtjev za isplatu </w:t>
      </w:r>
      <w:r w:rsidRPr="00510528">
        <w:rPr>
          <w:color w:val="000000"/>
        </w:rPr>
        <w:t xml:space="preserve">Upravljačko tijelo će izdati Zahtjev za dopunu/obrazloženje/ispravak kojim će od korisnika tražiti dostavljanje dokumentacije koja nedostaje. Korisnik je dužan dostaviti traženu dokumentaciju preporučenom pošiljkom u roku od deset </w:t>
      </w:r>
      <w:r w:rsidR="001252B4" w:rsidRPr="00510528">
        <w:rPr>
          <w:color w:val="000000"/>
        </w:rPr>
        <w:t xml:space="preserve">radnih </w:t>
      </w:r>
      <w:r w:rsidRPr="00510528">
        <w:rPr>
          <w:color w:val="000000"/>
        </w:rPr>
        <w:t xml:space="preserve">dana od dana zaprimanja Zahtjeva za dopunu/obrazloženje/ispravak. </w:t>
      </w:r>
      <w:r w:rsidR="00AD0F07" w:rsidRPr="00510528">
        <w:rPr>
          <w:color w:val="000000"/>
        </w:rPr>
        <w:t>Ako</w:t>
      </w:r>
      <w:r w:rsidRPr="00510528">
        <w:rPr>
          <w:color w:val="000000"/>
        </w:rPr>
        <w:t xml:space="preserve"> tražena dokumentacija ne bude poslana u zadanom roku smatrat će se da je korisnik odustao od cijeloga ili od dijela iznosa potpore za koji dokumentacija nije dostavljena.</w:t>
      </w:r>
    </w:p>
    <w:p w:rsidR="00DB0E0F" w:rsidRPr="00510528" w:rsidRDefault="00DB0E0F" w:rsidP="00DB0E0F">
      <w:pPr>
        <w:numPr>
          <w:ilvl w:val="0"/>
          <w:numId w:val="22"/>
        </w:numPr>
        <w:spacing w:after="120"/>
        <w:ind w:left="357" w:hanging="357"/>
        <w:jc w:val="both"/>
        <w:rPr>
          <w:rFonts w:eastAsia="Calibri"/>
          <w:lang w:eastAsia="en-US"/>
        </w:rPr>
      </w:pPr>
      <w:r w:rsidRPr="00510528">
        <w:rPr>
          <w:rFonts w:eastAsia="Calibri"/>
          <w:lang w:eastAsia="en-US"/>
        </w:rPr>
        <w:t>Vremenom zaprimanja Zahtjeva za dopunu/obrazloženje/ispravak smatra se datum kada korisnik zaprimi preporučenu pošiljku.</w:t>
      </w:r>
    </w:p>
    <w:p w:rsidR="00DB0E0F" w:rsidRPr="00510528" w:rsidRDefault="001252B4" w:rsidP="00DB0E0F">
      <w:pPr>
        <w:numPr>
          <w:ilvl w:val="0"/>
          <w:numId w:val="22"/>
        </w:numPr>
        <w:spacing w:after="120"/>
        <w:ind w:left="357" w:hanging="357"/>
        <w:jc w:val="both"/>
        <w:rPr>
          <w:rFonts w:eastAsia="Calibri"/>
          <w:lang w:eastAsia="en-US"/>
        </w:rPr>
      </w:pPr>
      <w:r w:rsidRPr="00510528">
        <w:rPr>
          <w:rFonts w:eastAsia="Calibri"/>
          <w:lang w:eastAsia="en-US"/>
        </w:rPr>
        <w:t>Ako</w:t>
      </w:r>
      <w:r w:rsidR="00DB0E0F" w:rsidRPr="00510528">
        <w:rPr>
          <w:rFonts w:eastAsia="Calibri"/>
          <w:lang w:eastAsia="en-US"/>
        </w:rPr>
        <w:t xml:space="preserve"> korisnik nije preuzeo Zahtjev za dopunu prilikom prve dostave, dostava preporučene pošiljke bit će ponovljena još jednom.</w:t>
      </w:r>
      <w:r w:rsidRPr="00510528">
        <w:rPr>
          <w:rFonts w:eastAsia="Calibri"/>
          <w:lang w:eastAsia="en-US"/>
        </w:rPr>
        <w:t xml:space="preserve"> </w:t>
      </w:r>
      <w:r w:rsidRPr="00510528">
        <w:rPr>
          <w:color w:val="000000"/>
        </w:rPr>
        <w:t>Ako</w:t>
      </w:r>
      <w:r w:rsidR="00DB0E0F" w:rsidRPr="00510528">
        <w:rPr>
          <w:color w:val="000000"/>
        </w:rPr>
        <w:t xml:space="preserve"> korisnik ne preuzme Zahtjev za dopunu niti nakon ponovljene dostave, Zahtjev za dopunu će se objaviti na oglasnoj ploči Ministarstva p</w:t>
      </w:r>
      <w:r w:rsidR="00AD0F07" w:rsidRPr="00510528">
        <w:rPr>
          <w:color w:val="000000"/>
        </w:rPr>
        <w:t xml:space="preserve">oljoprivrede, Uprave ribarstva u </w:t>
      </w:r>
      <w:r w:rsidR="00DB0E0F" w:rsidRPr="00510528">
        <w:rPr>
          <w:color w:val="000000"/>
        </w:rPr>
        <w:t>Zagreb</w:t>
      </w:r>
      <w:r w:rsidR="00AD0F07" w:rsidRPr="00510528">
        <w:rPr>
          <w:color w:val="000000"/>
        </w:rPr>
        <w:t>u</w:t>
      </w:r>
      <w:r w:rsidRPr="00510528">
        <w:rPr>
          <w:color w:val="000000"/>
        </w:rPr>
        <w:t>,</w:t>
      </w:r>
      <w:r w:rsidR="00DB0E0F" w:rsidRPr="00510528">
        <w:rPr>
          <w:color w:val="000000"/>
        </w:rPr>
        <w:t xml:space="preserve"> te će se dostava smatrati obavljenom istekom osmoga dana od dana objave Zahtjeva za dopunu na oglasnoj ploči.</w:t>
      </w:r>
    </w:p>
    <w:p w:rsidR="00DB0E0F" w:rsidRPr="00510528" w:rsidRDefault="00DB0E0F" w:rsidP="00DB0E0F">
      <w:pPr>
        <w:numPr>
          <w:ilvl w:val="0"/>
          <w:numId w:val="22"/>
        </w:numPr>
        <w:spacing w:after="120"/>
        <w:ind w:left="357" w:hanging="357"/>
        <w:jc w:val="both"/>
        <w:rPr>
          <w:rFonts w:eastAsia="Calibri"/>
          <w:lang w:eastAsia="en-US"/>
        </w:rPr>
      </w:pPr>
      <w:r w:rsidRPr="00510528">
        <w:rPr>
          <w:rFonts w:eastAsia="Calibri"/>
          <w:lang w:eastAsia="en-US"/>
        </w:rPr>
        <w:t xml:space="preserve">Datumom podnošenja Zahtjeva za isplatu smatra se datum dostave tražene dokumentacije i/ili tražene dopune/obrazloženja/ispravka iz stavka </w:t>
      </w:r>
      <w:r w:rsidR="001252B4" w:rsidRPr="00510528">
        <w:rPr>
          <w:rFonts w:eastAsia="Calibri"/>
          <w:lang w:eastAsia="en-US"/>
        </w:rPr>
        <w:t>10</w:t>
      </w:r>
      <w:r w:rsidR="006E3E9A" w:rsidRPr="00510528">
        <w:rPr>
          <w:rFonts w:eastAsia="Calibri"/>
          <w:lang w:eastAsia="en-US"/>
        </w:rPr>
        <w:t>.</w:t>
      </w:r>
      <w:r w:rsidRPr="00510528">
        <w:rPr>
          <w:rFonts w:eastAsia="Calibri"/>
          <w:lang w:eastAsia="en-US"/>
        </w:rPr>
        <w:t xml:space="preserve"> ovoga članka.</w:t>
      </w:r>
    </w:p>
    <w:p w:rsidR="00DB0E0F" w:rsidRPr="00510528" w:rsidRDefault="00DB0E0F" w:rsidP="00DB0E0F">
      <w:pPr>
        <w:numPr>
          <w:ilvl w:val="0"/>
          <w:numId w:val="22"/>
        </w:numPr>
        <w:spacing w:after="120"/>
        <w:ind w:left="357" w:hanging="357"/>
        <w:jc w:val="both"/>
        <w:rPr>
          <w:rFonts w:eastAsia="Calibri"/>
          <w:lang w:eastAsia="en-US"/>
        </w:rPr>
      </w:pPr>
      <w:r w:rsidRPr="00510528">
        <w:rPr>
          <w:rFonts w:eastAsia="Calibri"/>
          <w:lang w:eastAsia="en-US"/>
        </w:rPr>
        <w:t xml:space="preserve">Za </w:t>
      </w:r>
      <w:r w:rsidRPr="00510528">
        <w:rPr>
          <w:color w:val="000000"/>
        </w:rPr>
        <w:t>nepravovremeno podnesene i nepotpuno dopunjene Zahtjeve za isplatu Upravljačko tijelo će korisniku izdati Odluku o odbijanju.</w:t>
      </w:r>
    </w:p>
    <w:p w:rsidR="00DB0E0F" w:rsidRPr="00510528" w:rsidRDefault="001252B4" w:rsidP="00DB0E0F">
      <w:pPr>
        <w:numPr>
          <w:ilvl w:val="0"/>
          <w:numId w:val="22"/>
        </w:numPr>
        <w:spacing w:after="120"/>
        <w:ind w:left="426" w:hanging="426"/>
        <w:jc w:val="both"/>
        <w:rPr>
          <w:rFonts w:eastAsia="Calibri"/>
          <w:lang w:eastAsia="en-US"/>
        </w:rPr>
      </w:pPr>
      <w:r w:rsidRPr="00510528">
        <w:rPr>
          <w:color w:val="000000"/>
        </w:rPr>
        <w:t>Ako</w:t>
      </w:r>
      <w:r w:rsidR="00DB0E0F" w:rsidRPr="00510528">
        <w:rPr>
          <w:color w:val="000000"/>
        </w:rPr>
        <w:t xml:space="preserve"> se tijekom obrade Zahtjeva za isplatu utvrdi nepravilnost, a </w:t>
      </w:r>
      <w:r w:rsidRPr="00510528">
        <w:rPr>
          <w:color w:val="000000"/>
        </w:rPr>
        <w:t xml:space="preserve">za koju </w:t>
      </w:r>
      <w:r w:rsidRPr="00510528">
        <w:t>odlukom o utvrđenoj nepravilnosti nije određeno odbijanje zahtjeva za isplatu u cijelosti, Upravljačko tijelo će odbiti iznos nepravilnog troška od Zahtjeva za isplatu i izdati Odluku o isplati u kojoj će ukupan iznos biti umanjen za iznos nepravilnog troška.</w:t>
      </w:r>
    </w:p>
    <w:p w:rsidR="00DB0E0F" w:rsidRPr="00510528" w:rsidRDefault="00DB0E0F" w:rsidP="00DB0E0F">
      <w:pPr>
        <w:spacing w:after="120"/>
        <w:ind w:left="567" w:hanging="567"/>
        <w:jc w:val="both"/>
        <w:rPr>
          <w:rFonts w:eastAsia="Calibri"/>
          <w:lang w:eastAsia="en-US"/>
        </w:rPr>
      </w:pPr>
    </w:p>
    <w:p w:rsidR="00DB0E0F" w:rsidRPr="00510528" w:rsidRDefault="00DB0E0F" w:rsidP="00DB0E0F">
      <w:pPr>
        <w:spacing w:after="120"/>
        <w:jc w:val="center"/>
      </w:pPr>
      <w:r w:rsidRPr="00510528">
        <w:t>Članak 24.</w:t>
      </w:r>
    </w:p>
    <w:p w:rsidR="00DB0E0F" w:rsidRPr="00510528" w:rsidRDefault="00DB0E0F" w:rsidP="00DB0E0F">
      <w:pPr>
        <w:numPr>
          <w:ilvl w:val="0"/>
          <w:numId w:val="28"/>
        </w:numPr>
        <w:spacing w:after="120"/>
        <w:jc w:val="both"/>
        <w:rPr>
          <w:rFonts w:eastAsia="Calibri"/>
          <w:lang w:eastAsia="en-US"/>
        </w:rPr>
      </w:pPr>
      <w:r w:rsidRPr="00510528">
        <w:rPr>
          <w:rFonts w:eastAsia="Calibri"/>
          <w:lang w:eastAsia="en-US"/>
        </w:rPr>
        <w:t>Nakon provedene administrativne kontrole Zahtjeva za isplatu i kontrole na terenu, Upravljačko tijelo će donijeti:</w:t>
      </w:r>
    </w:p>
    <w:p w:rsidR="00DB0E0F" w:rsidRPr="00510528" w:rsidRDefault="00DB0E0F" w:rsidP="00DB0E0F">
      <w:pPr>
        <w:numPr>
          <w:ilvl w:val="0"/>
          <w:numId w:val="29"/>
        </w:numPr>
        <w:spacing w:after="120"/>
        <w:jc w:val="both"/>
        <w:rPr>
          <w:rFonts w:eastAsia="Calibri"/>
          <w:lang w:eastAsia="en-US"/>
        </w:rPr>
      </w:pPr>
      <w:r w:rsidRPr="00510528">
        <w:rPr>
          <w:rFonts w:eastAsia="Calibri"/>
          <w:lang w:eastAsia="en-US"/>
        </w:rPr>
        <w:t>Odluku o isplati, ili</w:t>
      </w:r>
    </w:p>
    <w:p w:rsidR="00DB0E0F" w:rsidRPr="00510528" w:rsidRDefault="00DB0E0F" w:rsidP="00DB0E0F">
      <w:pPr>
        <w:numPr>
          <w:ilvl w:val="0"/>
          <w:numId w:val="29"/>
        </w:numPr>
        <w:spacing w:after="120"/>
        <w:ind w:left="714" w:hanging="357"/>
        <w:jc w:val="both"/>
        <w:rPr>
          <w:rFonts w:eastAsia="Calibri"/>
          <w:lang w:eastAsia="en-US"/>
        </w:rPr>
      </w:pPr>
      <w:r w:rsidRPr="00510528">
        <w:rPr>
          <w:rFonts w:eastAsia="Calibri"/>
          <w:lang w:eastAsia="en-US"/>
        </w:rPr>
        <w:t>Odluku o odbijanju Zahtjeva za isplatu.</w:t>
      </w:r>
    </w:p>
    <w:p w:rsidR="00DB0E0F" w:rsidRPr="00510528" w:rsidRDefault="00DB0E0F" w:rsidP="00DB0E0F">
      <w:pPr>
        <w:numPr>
          <w:ilvl w:val="0"/>
          <w:numId w:val="30"/>
        </w:numPr>
        <w:spacing w:after="120"/>
        <w:jc w:val="both"/>
        <w:rPr>
          <w:rFonts w:eastAsia="Calibri"/>
          <w:lang w:eastAsia="en-US"/>
        </w:rPr>
      </w:pPr>
      <w:r w:rsidRPr="00510528">
        <w:rPr>
          <w:rFonts w:eastAsia="Calibri"/>
          <w:lang w:eastAsia="en-US"/>
        </w:rPr>
        <w:t>Odluka o odbijanju Zahtjeva za isplatu izdaje se zbog:</w:t>
      </w:r>
    </w:p>
    <w:p w:rsidR="00DB0E0F" w:rsidRPr="00510528" w:rsidRDefault="00DB0E0F" w:rsidP="00DB0E0F">
      <w:pPr>
        <w:numPr>
          <w:ilvl w:val="0"/>
          <w:numId w:val="31"/>
        </w:numPr>
        <w:spacing w:after="120"/>
        <w:ind w:left="714" w:hanging="357"/>
        <w:jc w:val="both"/>
        <w:rPr>
          <w:rFonts w:eastAsia="Calibri"/>
          <w:lang w:eastAsia="en-US"/>
        </w:rPr>
      </w:pPr>
      <w:r w:rsidRPr="00510528">
        <w:rPr>
          <w:color w:val="000000"/>
        </w:rPr>
        <w:t>neprihvatljivosti svih troškova navedenih u Zahtjevu za isplatu;</w:t>
      </w:r>
    </w:p>
    <w:p w:rsidR="00DB0E0F" w:rsidRPr="00510528" w:rsidRDefault="00DB0E0F" w:rsidP="00DB0E0F">
      <w:pPr>
        <w:numPr>
          <w:ilvl w:val="0"/>
          <w:numId w:val="31"/>
        </w:numPr>
        <w:spacing w:after="120"/>
        <w:ind w:left="714" w:hanging="357"/>
        <w:jc w:val="both"/>
        <w:rPr>
          <w:rFonts w:eastAsia="Calibri"/>
          <w:lang w:eastAsia="en-US"/>
        </w:rPr>
      </w:pPr>
      <w:r w:rsidRPr="00510528">
        <w:rPr>
          <w:color w:val="000000"/>
        </w:rPr>
        <w:t>onemogućavanja obavljanja kontrole na terenu ili negativnog nalaza kontrole na terenu;</w:t>
      </w:r>
    </w:p>
    <w:p w:rsidR="001252B4" w:rsidRPr="00510528" w:rsidRDefault="001252B4" w:rsidP="00A731B0">
      <w:pPr>
        <w:numPr>
          <w:ilvl w:val="0"/>
          <w:numId w:val="31"/>
        </w:numPr>
        <w:jc w:val="both"/>
        <w:rPr>
          <w:color w:val="000000"/>
        </w:rPr>
      </w:pPr>
      <w:r w:rsidRPr="00510528">
        <w:rPr>
          <w:color w:val="000000"/>
        </w:rPr>
        <w:t>utvrđene nepravilnosti prije isplate potpore ako je odlukom o utvrđenoj nepravilnosti određeno odbijanje zahtjeva za isplatu uzimajući u obzir težinu utvrđene nepravilnosti ili u slučaju ne poduzimanja korektivnih mjera određenih radi ispravljanja utvrđene nepravilnosti u zadanom roku;</w:t>
      </w:r>
    </w:p>
    <w:p w:rsidR="00DB0E0F" w:rsidRPr="00510528" w:rsidRDefault="00DB0E0F" w:rsidP="00DB0E0F">
      <w:pPr>
        <w:numPr>
          <w:ilvl w:val="0"/>
          <w:numId w:val="31"/>
        </w:numPr>
        <w:spacing w:after="120"/>
        <w:ind w:left="714" w:hanging="357"/>
        <w:jc w:val="both"/>
        <w:rPr>
          <w:rFonts w:eastAsia="Calibri"/>
          <w:lang w:eastAsia="en-US"/>
        </w:rPr>
      </w:pPr>
      <w:r w:rsidRPr="00510528">
        <w:rPr>
          <w:color w:val="000000"/>
        </w:rPr>
        <w:t>utvrđene nepravilnosti kod koje je utvrđena i sumnja na prijevaru, a sredstva potpore nisu isplaćena korisniku. Upravljačko tijelo će zbog sumnje na prijevaru izvijestiti Državno odvjetništvo Republike Hrvatske kako bi se pokrenuo postupak pred nadležnim sudom</w:t>
      </w:r>
      <w:r w:rsidR="001252B4" w:rsidRPr="00510528">
        <w:rPr>
          <w:color w:val="000000"/>
        </w:rPr>
        <w:t>;</w:t>
      </w:r>
    </w:p>
    <w:p w:rsidR="001252B4" w:rsidRPr="00510528" w:rsidRDefault="001252B4" w:rsidP="00DB0E0F">
      <w:pPr>
        <w:numPr>
          <w:ilvl w:val="0"/>
          <w:numId w:val="31"/>
        </w:numPr>
        <w:spacing w:after="120"/>
        <w:ind w:left="714" w:hanging="357"/>
        <w:jc w:val="both"/>
        <w:rPr>
          <w:rFonts w:eastAsia="Calibri"/>
          <w:lang w:eastAsia="en-US"/>
        </w:rPr>
      </w:pPr>
      <w:r w:rsidRPr="00510528">
        <w:rPr>
          <w:color w:val="000000"/>
        </w:rPr>
        <w:t>neispunjavanja ostalih uvjeta i/ili obveza propisanih ovim Pravilnikom, Natječajem i/ili Odlukom o dodjeli sredstava.</w:t>
      </w:r>
    </w:p>
    <w:p w:rsidR="00DB0E0F" w:rsidRPr="00510528" w:rsidRDefault="00DB0E0F" w:rsidP="00DB0E0F">
      <w:pPr>
        <w:numPr>
          <w:ilvl w:val="0"/>
          <w:numId w:val="30"/>
        </w:numPr>
        <w:spacing w:after="120"/>
        <w:ind w:left="357" w:hanging="357"/>
        <w:jc w:val="both"/>
        <w:rPr>
          <w:rFonts w:eastAsia="Calibri"/>
          <w:lang w:eastAsia="en-US"/>
        </w:rPr>
      </w:pPr>
      <w:r w:rsidRPr="00510528">
        <w:rPr>
          <w:rFonts w:eastAsia="Calibri"/>
          <w:lang w:eastAsia="en-US"/>
        </w:rPr>
        <w:t>Isplate sukladno Odlukama o is</w:t>
      </w:r>
      <w:r w:rsidR="001252B4" w:rsidRPr="00510528">
        <w:rPr>
          <w:rFonts w:eastAsia="Calibri"/>
          <w:lang w:eastAsia="en-US"/>
        </w:rPr>
        <w:t>plati vrši Agencija za plaćanja.</w:t>
      </w:r>
    </w:p>
    <w:p w:rsidR="00DB0E0F" w:rsidRPr="00510528" w:rsidRDefault="00DB0E0F" w:rsidP="00DB0E0F">
      <w:pPr>
        <w:autoSpaceDE w:val="0"/>
        <w:autoSpaceDN w:val="0"/>
        <w:adjustRightInd w:val="0"/>
        <w:spacing w:after="120"/>
        <w:rPr>
          <w:rFonts w:ascii="EUAlbertina" w:hAnsi="EUAlbertina" w:cs="EUAlbertina"/>
          <w:color w:val="000000"/>
        </w:rPr>
      </w:pPr>
    </w:p>
    <w:p w:rsidR="00DB0E0F" w:rsidRPr="00510528" w:rsidRDefault="00DB0E0F" w:rsidP="00DB0E0F">
      <w:pPr>
        <w:keepNext/>
        <w:keepLines/>
        <w:spacing w:after="120"/>
        <w:jc w:val="center"/>
        <w:outlineLvl w:val="0"/>
        <w:rPr>
          <w:rFonts w:eastAsia="Calibri"/>
          <w:bCs/>
          <w:color w:val="000000"/>
          <w:szCs w:val="28"/>
          <w:lang w:eastAsia="en-US"/>
        </w:rPr>
      </w:pPr>
      <w:r w:rsidRPr="00510528">
        <w:rPr>
          <w:rFonts w:eastAsia="Calibri"/>
          <w:bCs/>
          <w:color w:val="000000"/>
          <w:szCs w:val="28"/>
          <w:lang w:eastAsia="en-US"/>
        </w:rPr>
        <w:t xml:space="preserve">VII. KONTROLA NA TERENU </w:t>
      </w:r>
    </w:p>
    <w:p w:rsidR="00DB0E0F" w:rsidRPr="00510528" w:rsidRDefault="00DB0E0F" w:rsidP="00DB0E0F">
      <w:pPr>
        <w:spacing w:after="120"/>
        <w:jc w:val="center"/>
        <w:rPr>
          <w:rFonts w:eastAsia="Calibri"/>
          <w:color w:val="000000"/>
          <w:lang w:eastAsia="en-US"/>
        </w:rPr>
      </w:pPr>
      <w:r w:rsidRPr="00510528">
        <w:rPr>
          <w:rFonts w:eastAsia="Calibri"/>
          <w:color w:val="000000"/>
          <w:lang w:eastAsia="en-US"/>
        </w:rPr>
        <w:t>Članak 25.</w:t>
      </w:r>
    </w:p>
    <w:p w:rsidR="003F0131" w:rsidRPr="00510528" w:rsidRDefault="003F0131" w:rsidP="003F0131">
      <w:pPr>
        <w:numPr>
          <w:ilvl w:val="1"/>
          <w:numId w:val="61"/>
        </w:numPr>
        <w:spacing w:after="60"/>
        <w:ind w:left="567" w:hanging="567"/>
        <w:jc w:val="both"/>
        <w:rPr>
          <w:rFonts w:eastAsia="Calibri"/>
          <w:lang w:eastAsia="en-US"/>
        </w:rPr>
      </w:pPr>
      <w:r w:rsidRPr="00510528">
        <w:rPr>
          <w:rFonts w:eastAsia="Calibri"/>
          <w:lang w:eastAsia="en-US"/>
        </w:rPr>
        <w:t xml:space="preserve">Kontrolu na terenu provode djelatnici Upravljačkog tijela prije plaćanja i tijekom petogodišnjeg razdoblja nakon izvršenog konačnog plaćanja, u skladu sa člankom 2. stavkom 1. točkama b), f) i m) ovoga Pravilnika, a po potrebi i u bilo kojem trenutku od dana podnošenja Zahtjeva za potporu te prije podnošenja Zahtjeva za potporu, u slučajevima iz članka </w:t>
      </w:r>
      <w:r w:rsidR="00FB60C1" w:rsidRPr="00510528">
        <w:rPr>
          <w:rFonts w:eastAsia="Calibri"/>
          <w:lang w:eastAsia="en-US"/>
        </w:rPr>
        <w:t>5</w:t>
      </w:r>
      <w:r w:rsidRPr="00510528">
        <w:rPr>
          <w:rFonts w:eastAsia="Calibri"/>
          <w:lang w:eastAsia="en-US"/>
        </w:rPr>
        <w:t>. stavka 1</w:t>
      </w:r>
      <w:r w:rsidR="002C4D0B" w:rsidRPr="00510528">
        <w:rPr>
          <w:rFonts w:eastAsia="Calibri"/>
          <w:lang w:eastAsia="en-US"/>
        </w:rPr>
        <w:t>1</w:t>
      </w:r>
      <w:r w:rsidRPr="00510528">
        <w:rPr>
          <w:rFonts w:eastAsia="Calibri"/>
          <w:lang w:eastAsia="en-US"/>
        </w:rPr>
        <w:t>. ovoga Pravilnika.</w:t>
      </w:r>
    </w:p>
    <w:p w:rsidR="003F0131" w:rsidRPr="00510528" w:rsidRDefault="003F0131" w:rsidP="003F0131">
      <w:pPr>
        <w:numPr>
          <w:ilvl w:val="1"/>
          <w:numId w:val="61"/>
        </w:numPr>
        <w:spacing w:after="60"/>
        <w:ind w:left="567" w:hanging="567"/>
        <w:jc w:val="both"/>
        <w:rPr>
          <w:rFonts w:eastAsia="Calibri"/>
          <w:lang w:eastAsia="en-US"/>
        </w:rPr>
      </w:pPr>
      <w:r w:rsidRPr="00510528">
        <w:rPr>
          <w:rFonts w:eastAsia="Calibri"/>
          <w:lang w:eastAsia="en-US"/>
        </w:rPr>
        <w:t>Osim djelatnika Upravljačkog tijela iz stavka 1. ovoga članka, kontrolu na terenu mogu obavljati i djelatnici Tijela za ovjeravanje, Tijela za reviziju, predstavnici Europske komisije, predstavnici Europskog ureda za borbu protiv prijevara, Europski revizorski sud i ostala revizorska/nadzorna tijela.</w:t>
      </w:r>
    </w:p>
    <w:p w:rsidR="003F0131" w:rsidRPr="00510528" w:rsidRDefault="003F0131" w:rsidP="003F0131">
      <w:pPr>
        <w:numPr>
          <w:ilvl w:val="1"/>
          <w:numId w:val="61"/>
        </w:numPr>
        <w:spacing w:after="60"/>
        <w:ind w:left="567" w:hanging="567"/>
        <w:jc w:val="both"/>
        <w:rPr>
          <w:rFonts w:eastAsia="Calibri"/>
          <w:lang w:eastAsia="en-US"/>
        </w:rPr>
      </w:pPr>
      <w:r w:rsidRPr="00510528">
        <w:rPr>
          <w:rFonts w:eastAsia="Calibri"/>
          <w:lang w:eastAsia="en-US"/>
        </w:rPr>
        <w:t>Pri obavljanju redovne kontrole na terenu iz članka 2. stavka 1. točke m) ovoga Pravilnika kontrolori mogu:</w:t>
      </w:r>
    </w:p>
    <w:p w:rsidR="003F0131" w:rsidRPr="00510528" w:rsidRDefault="003F0131" w:rsidP="003F0131">
      <w:pPr>
        <w:numPr>
          <w:ilvl w:val="0"/>
          <w:numId w:val="62"/>
        </w:numPr>
        <w:spacing w:after="60"/>
        <w:ind w:left="1134" w:hanging="567"/>
        <w:jc w:val="both"/>
        <w:rPr>
          <w:rFonts w:eastAsia="Calibri"/>
          <w:lang w:eastAsia="en-US"/>
        </w:rPr>
      </w:pPr>
      <w:r w:rsidRPr="00510528">
        <w:rPr>
          <w:rFonts w:eastAsia="Calibri"/>
          <w:lang w:eastAsia="en-US"/>
        </w:rPr>
        <w:t>izvršiti uvid u isprave korisnika koje se odnose na ostvarivanje prava sukladno ovome Pravilniku i Natječaju;</w:t>
      </w:r>
    </w:p>
    <w:p w:rsidR="003F0131" w:rsidRPr="00510528" w:rsidRDefault="003F0131" w:rsidP="003F0131">
      <w:pPr>
        <w:numPr>
          <w:ilvl w:val="0"/>
          <w:numId w:val="62"/>
        </w:numPr>
        <w:spacing w:after="60"/>
        <w:ind w:left="1134" w:hanging="567"/>
        <w:jc w:val="both"/>
        <w:rPr>
          <w:rFonts w:eastAsia="Calibri"/>
          <w:lang w:eastAsia="en-US"/>
        </w:rPr>
      </w:pPr>
      <w:r w:rsidRPr="00510528">
        <w:rPr>
          <w:rFonts w:eastAsia="Calibri"/>
          <w:lang w:eastAsia="en-US"/>
        </w:rPr>
        <w:t>pregledavati predmet potpore i lokaciju ulaganja koja je predmet potpore,  uključujući opremu, uređaje, robu i ostalo;</w:t>
      </w:r>
    </w:p>
    <w:p w:rsidR="003F0131" w:rsidRPr="00510528" w:rsidRDefault="003F0131" w:rsidP="003F0131">
      <w:pPr>
        <w:numPr>
          <w:ilvl w:val="0"/>
          <w:numId w:val="62"/>
        </w:numPr>
        <w:spacing w:after="60"/>
        <w:ind w:left="1134" w:hanging="567"/>
        <w:jc w:val="both"/>
        <w:rPr>
          <w:rFonts w:eastAsia="Calibri"/>
          <w:lang w:eastAsia="en-US"/>
        </w:rPr>
      </w:pPr>
      <w:r w:rsidRPr="00510528">
        <w:rPr>
          <w:rFonts w:eastAsia="Calibri"/>
          <w:lang w:eastAsia="en-US"/>
        </w:rPr>
        <w:t>provjeravati poslovne knjige, evidencije (Knjiga ulaznih računa (URA), Knjiga izlaznih računa (IRA), popis dugotrajne imovine, kartica konta prihoda, kartica konta dobavljača) i ostale dokumente;</w:t>
      </w:r>
    </w:p>
    <w:p w:rsidR="003F0131" w:rsidRPr="00510528" w:rsidRDefault="003F0131" w:rsidP="003F0131">
      <w:pPr>
        <w:numPr>
          <w:ilvl w:val="0"/>
          <w:numId w:val="62"/>
        </w:numPr>
        <w:spacing w:after="60"/>
        <w:ind w:left="1134" w:hanging="567"/>
        <w:jc w:val="both"/>
        <w:rPr>
          <w:color w:val="000000"/>
        </w:rPr>
      </w:pPr>
      <w:r w:rsidRPr="00510528">
        <w:rPr>
          <w:color w:val="000000"/>
        </w:rPr>
        <w:lastRenderedPageBreak/>
        <w:t>provjeravati dokumente (račune, potvrde o plaćanju, bankovna izvješća korisnika i s njim vezanih osoba, podatke o korištenom materijalu, garantne listove, akte o građenju/uporabne dozvole);</w:t>
      </w:r>
    </w:p>
    <w:p w:rsidR="003F0131" w:rsidRPr="00510528" w:rsidRDefault="003F0131" w:rsidP="003F0131">
      <w:pPr>
        <w:numPr>
          <w:ilvl w:val="0"/>
          <w:numId w:val="62"/>
        </w:numPr>
        <w:spacing w:after="60"/>
        <w:ind w:left="1134" w:hanging="567"/>
        <w:jc w:val="both"/>
        <w:rPr>
          <w:rFonts w:eastAsia="Calibri"/>
          <w:lang w:eastAsia="en-US"/>
        </w:rPr>
      </w:pPr>
      <w:r w:rsidRPr="00510528">
        <w:rPr>
          <w:rFonts w:eastAsia="Calibri"/>
          <w:lang w:eastAsia="en-US"/>
        </w:rPr>
        <w:t>provjeravati sve podatke koji se odnose na prirodu, kvantitetu i kvalitetu roba i usluga,</w:t>
      </w:r>
    </w:p>
    <w:p w:rsidR="003F0131" w:rsidRPr="00510528" w:rsidRDefault="003F0131" w:rsidP="003F0131">
      <w:pPr>
        <w:numPr>
          <w:ilvl w:val="0"/>
          <w:numId w:val="62"/>
        </w:numPr>
        <w:spacing w:after="60"/>
        <w:ind w:left="1134" w:hanging="567"/>
        <w:jc w:val="both"/>
        <w:rPr>
          <w:rFonts w:eastAsia="Calibri"/>
          <w:lang w:eastAsia="en-US"/>
        </w:rPr>
      </w:pPr>
      <w:r w:rsidRPr="00510528">
        <w:rPr>
          <w:rFonts w:eastAsia="Calibri"/>
          <w:lang w:eastAsia="en-US"/>
        </w:rPr>
        <w:t xml:space="preserve">provjeravati </w:t>
      </w:r>
      <w:r w:rsidRPr="00510528">
        <w:t>napredovanje ulaganja/aktivnosti;</w:t>
      </w:r>
    </w:p>
    <w:p w:rsidR="003F0131" w:rsidRPr="00510528" w:rsidRDefault="003F0131" w:rsidP="003F0131">
      <w:pPr>
        <w:numPr>
          <w:ilvl w:val="0"/>
          <w:numId w:val="62"/>
        </w:numPr>
        <w:spacing w:after="60"/>
        <w:ind w:left="1134" w:hanging="567"/>
        <w:jc w:val="both"/>
        <w:rPr>
          <w:rFonts w:eastAsia="Calibri"/>
          <w:lang w:eastAsia="en-US"/>
        </w:rPr>
      </w:pPr>
      <w:r w:rsidRPr="00510528">
        <w:rPr>
          <w:rFonts w:eastAsia="Calibri"/>
          <w:lang w:eastAsia="en-US"/>
        </w:rPr>
        <w:t>provjeravati funkcionalnost i namjenu ulaganja;</w:t>
      </w:r>
    </w:p>
    <w:p w:rsidR="003F0131" w:rsidRPr="00510528" w:rsidRDefault="003F0131" w:rsidP="003F0131">
      <w:pPr>
        <w:numPr>
          <w:ilvl w:val="0"/>
          <w:numId w:val="62"/>
        </w:numPr>
        <w:spacing w:after="60"/>
        <w:ind w:left="1134" w:hanging="567"/>
        <w:jc w:val="both"/>
        <w:rPr>
          <w:rFonts w:eastAsia="Calibri"/>
          <w:lang w:eastAsia="en-US"/>
        </w:rPr>
      </w:pPr>
      <w:r w:rsidRPr="00510528">
        <w:rPr>
          <w:rFonts w:eastAsia="Calibri"/>
          <w:lang w:eastAsia="en-US"/>
        </w:rPr>
        <w:t>provjeravati tijek operacije,</w:t>
      </w:r>
    </w:p>
    <w:p w:rsidR="003F0131" w:rsidRPr="00510528" w:rsidRDefault="003F0131" w:rsidP="003F0131">
      <w:pPr>
        <w:numPr>
          <w:ilvl w:val="0"/>
          <w:numId w:val="62"/>
        </w:numPr>
        <w:spacing w:after="60"/>
        <w:ind w:left="1134" w:hanging="567"/>
        <w:jc w:val="both"/>
        <w:rPr>
          <w:rFonts w:eastAsia="Calibri"/>
          <w:lang w:eastAsia="en-US"/>
        </w:rPr>
      </w:pPr>
      <w:r w:rsidRPr="00510528">
        <w:rPr>
          <w:rFonts w:eastAsia="Calibri"/>
          <w:lang w:eastAsia="en-US"/>
        </w:rPr>
        <w:t>po potrebi obaviti kontrole kod trećih osoba i preporučenih projekata;</w:t>
      </w:r>
    </w:p>
    <w:p w:rsidR="003F0131" w:rsidRPr="00510528" w:rsidRDefault="003F0131" w:rsidP="003F0131">
      <w:pPr>
        <w:numPr>
          <w:ilvl w:val="0"/>
          <w:numId w:val="62"/>
        </w:numPr>
        <w:spacing w:after="60"/>
        <w:ind w:left="1134" w:hanging="567"/>
        <w:jc w:val="both"/>
        <w:rPr>
          <w:rFonts w:eastAsia="Calibri"/>
          <w:lang w:eastAsia="en-US"/>
        </w:rPr>
      </w:pPr>
      <w:r w:rsidRPr="00510528">
        <w:rPr>
          <w:rFonts w:eastAsia="Calibri"/>
          <w:lang w:eastAsia="en-US"/>
        </w:rPr>
        <w:t>izvještavati nadležna tijela i tražiti provođenje određenog postupka ako sama nije ovlaštena izravno postupiti;</w:t>
      </w:r>
    </w:p>
    <w:p w:rsidR="003F0131" w:rsidRPr="00510528" w:rsidRDefault="003F0131" w:rsidP="003F0131">
      <w:pPr>
        <w:numPr>
          <w:ilvl w:val="0"/>
          <w:numId w:val="62"/>
        </w:numPr>
        <w:spacing w:after="60"/>
        <w:ind w:left="1134" w:hanging="567"/>
        <w:jc w:val="both"/>
        <w:rPr>
          <w:rFonts w:eastAsia="Calibri"/>
          <w:lang w:eastAsia="en-US"/>
        </w:rPr>
      </w:pPr>
      <w:r w:rsidRPr="00510528">
        <w:rPr>
          <w:rFonts w:eastAsia="Calibri"/>
          <w:lang w:eastAsia="en-US"/>
        </w:rPr>
        <w:t>prikupljati podatke i obavijesti od odgovornih osoba, svjedoka, vještaka i drugih osoba kad je to potrebno za obavljanje poslova kontrole.</w:t>
      </w:r>
    </w:p>
    <w:p w:rsidR="003F0131" w:rsidRPr="00510528" w:rsidRDefault="003F0131" w:rsidP="003F0131">
      <w:pPr>
        <w:numPr>
          <w:ilvl w:val="0"/>
          <w:numId w:val="63"/>
        </w:numPr>
        <w:spacing w:after="60"/>
        <w:ind w:left="567" w:hanging="567"/>
        <w:jc w:val="both"/>
        <w:rPr>
          <w:rFonts w:eastAsia="Calibri"/>
          <w:lang w:eastAsia="en-US"/>
        </w:rPr>
      </w:pPr>
      <w:r w:rsidRPr="00510528">
        <w:rPr>
          <w:rFonts w:eastAsia="Calibri"/>
          <w:lang w:eastAsia="en-US"/>
        </w:rPr>
        <w:t>Pri obavljanju ex-post kontrole na terenu iz članka 2. stavka 1. točke b) ovoga Pravilnika, kontrolori mogu:</w:t>
      </w:r>
    </w:p>
    <w:p w:rsidR="003F0131" w:rsidRPr="00510528" w:rsidRDefault="003F0131" w:rsidP="003F0131">
      <w:pPr>
        <w:numPr>
          <w:ilvl w:val="0"/>
          <w:numId w:val="64"/>
        </w:numPr>
        <w:spacing w:after="60"/>
        <w:ind w:left="1134" w:hanging="566"/>
        <w:jc w:val="both"/>
        <w:rPr>
          <w:rFonts w:eastAsia="Calibri"/>
          <w:lang w:eastAsia="en-US"/>
        </w:rPr>
      </w:pPr>
      <w:r w:rsidRPr="00510528">
        <w:rPr>
          <w:rFonts w:eastAsia="Calibri"/>
          <w:lang w:eastAsia="en-US"/>
        </w:rPr>
        <w:t>izvršiti uvid u isprave korisnika koje se odnose na ostvarivanje prava sukladno ovome Pravilniku i Natječaju;</w:t>
      </w:r>
    </w:p>
    <w:p w:rsidR="003F0131" w:rsidRPr="00510528" w:rsidRDefault="003F0131" w:rsidP="003F0131">
      <w:pPr>
        <w:numPr>
          <w:ilvl w:val="0"/>
          <w:numId w:val="64"/>
        </w:numPr>
        <w:spacing w:after="60"/>
        <w:ind w:left="1134" w:hanging="567"/>
        <w:jc w:val="both"/>
        <w:rPr>
          <w:rFonts w:eastAsia="Calibri"/>
          <w:lang w:eastAsia="en-US"/>
        </w:rPr>
      </w:pPr>
      <w:r w:rsidRPr="00510528">
        <w:rPr>
          <w:rFonts w:eastAsia="Calibri"/>
          <w:lang w:eastAsia="en-US"/>
        </w:rPr>
        <w:t>pregledavati lokaciju ulaganja, pogon, poslovne, proizvodne i skladišne objekte, opremu, plovila, uređaje, robu i ostalo;</w:t>
      </w:r>
    </w:p>
    <w:p w:rsidR="003F0131" w:rsidRPr="00510528" w:rsidRDefault="003F0131" w:rsidP="003F0131">
      <w:pPr>
        <w:numPr>
          <w:ilvl w:val="0"/>
          <w:numId w:val="64"/>
        </w:numPr>
        <w:spacing w:after="60"/>
        <w:ind w:left="1134" w:hanging="567"/>
        <w:jc w:val="both"/>
        <w:rPr>
          <w:rFonts w:eastAsia="Calibri"/>
          <w:lang w:eastAsia="en-US"/>
        </w:rPr>
      </w:pPr>
      <w:r w:rsidRPr="00510528">
        <w:rPr>
          <w:rFonts w:eastAsia="Calibri"/>
          <w:lang w:eastAsia="en-US"/>
        </w:rPr>
        <w:t>provjeravati poslovne knjige i evidencije (Knjiga ulaznih računa (URA), Knjiga izlaznih računa (IRA), popis dugotrajne imovine, kartica konta prihoda, kartica konta dobavljača);</w:t>
      </w:r>
    </w:p>
    <w:p w:rsidR="003F0131" w:rsidRPr="00510528" w:rsidRDefault="003F0131" w:rsidP="003F0131">
      <w:pPr>
        <w:numPr>
          <w:ilvl w:val="0"/>
          <w:numId w:val="64"/>
        </w:numPr>
        <w:spacing w:after="60"/>
        <w:ind w:left="1134" w:hanging="566"/>
        <w:jc w:val="both"/>
        <w:rPr>
          <w:rFonts w:eastAsia="Calibri"/>
          <w:lang w:eastAsia="en-US"/>
        </w:rPr>
      </w:pPr>
      <w:r w:rsidRPr="00510528">
        <w:rPr>
          <w:rFonts w:eastAsia="Calibri"/>
          <w:lang w:eastAsia="en-US"/>
        </w:rPr>
        <w:t>provjeravati dokumente (račune, potvrde o plaćanju, bankovna izvješća korisnika i s njim vezanih osoba, podatke o korištenom materijalu, garantne listove);</w:t>
      </w:r>
    </w:p>
    <w:p w:rsidR="003F0131" w:rsidRPr="00510528" w:rsidRDefault="003F0131" w:rsidP="003F0131">
      <w:pPr>
        <w:numPr>
          <w:ilvl w:val="0"/>
          <w:numId w:val="64"/>
        </w:numPr>
        <w:spacing w:after="60"/>
        <w:ind w:left="1134" w:hanging="566"/>
        <w:jc w:val="both"/>
        <w:rPr>
          <w:rFonts w:eastAsia="Calibri"/>
          <w:lang w:eastAsia="en-US"/>
        </w:rPr>
      </w:pPr>
      <w:r w:rsidRPr="00510528">
        <w:rPr>
          <w:rFonts w:eastAsia="Calibri"/>
          <w:lang w:eastAsia="en-US"/>
        </w:rPr>
        <w:t>provjeravati sve podatke koji se odnose na prirodu, kvantitetu i kvalitetu roba i usluga;</w:t>
      </w:r>
    </w:p>
    <w:p w:rsidR="003F0131" w:rsidRPr="00510528" w:rsidRDefault="003F0131" w:rsidP="003F0131">
      <w:pPr>
        <w:numPr>
          <w:ilvl w:val="0"/>
          <w:numId w:val="64"/>
        </w:numPr>
        <w:spacing w:after="60"/>
        <w:ind w:left="1134" w:hanging="566"/>
        <w:jc w:val="both"/>
        <w:rPr>
          <w:rFonts w:eastAsia="Calibri"/>
          <w:lang w:eastAsia="en-US"/>
        </w:rPr>
      </w:pPr>
      <w:r w:rsidRPr="00510528">
        <w:rPr>
          <w:rFonts w:eastAsia="Calibri"/>
          <w:lang w:eastAsia="en-US"/>
        </w:rPr>
        <w:t>provjeravati da je ulaganje propisno označeno;</w:t>
      </w:r>
    </w:p>
    <w:p w:rsidR="003F0131" w:rsidRPr="00510528" w:rsidRDefault="003F0131" w:rsidP="003F0131">
      <w:pPr>
        <w:numPr>
          <w:ilvl w:val="0"/>
          <w:numId w:val="64"/>
        </w:numPr>
        <w:spacing w:after="60"/>
        <w:ind w:left="1134" w:hanging="566"/>
        <w:jc w:val="both"/>
        <w:rPr>
          <w:rFonts w:eastAsia="Calibri"/>
          <w:lang w:eastAsia="en-US"/>
        </w:rPr>
      </w:pPr>
      <w:r w:rsidRPr="00510528">
        <w:rPr>
          <w:rFonts w:eastAsia="Calibri"/>
          <w:lang w:eastAsia="en-US"/>
        </w:rPr>
        <w:t>provjeravati funkcionalnost i namjenu ulaganja;</w:t>
      </w:r>
    </w:p>
    <w:p w:rsidR="003F0131" w:rsidRPr="00510528" w:rsidRDefault="003F0131" w:rsidP="003F0131">
      <w:pPr>
        <w:numPr>
          <w:ilvl w:val="0"/>
          <w:numId w:val="64"/>
        </w:numPr>
        <w:spacing w:after="60"/>
        <w:ind w:left="1134" w:hanging="566"/>
        <w:jc w:val="both"/>
        <w:rPr>
          <w:rFonts w:eastAsia="Calibri"/>
          <w:lang w:eastAsia="en-US"/>
        </w:rPr>
      </w:pPr>
      <w:r w:rsidRPr="00510528">
        <w:rPr>
          <w:rFonts w:eastAsia="Calibri"/>
          <w:lang w:eastAsia="en-US"/>
        </w:rPr>
        <w:t>provjeravati tijek operacije;</w:t>
      </w:r>
    </w:p>
    <w:p w:rsidR="003F0131" w:rsidRPr="00510528" w:rsidRDefault="003F0131" w:rsidP="003F0131">
      <w:pPr>
        <w:numPr>
          <w:ilvl w:val="0"/>
          <w:numId w:val="64"/>
        </w:numPr>
        <w:spacing w:after="60"/>
        <w:ind w:left="1134" w:hanging="566"/>
        <w:jc w:val="both"/>
        <w:rPr>
          <w:rFonts w:eastAsia="Calibri"/>
          <w:lang w:eastAsia="en-US"/>
        </w:rPr>
      </w:pPr>
      <w:r w:rsidRPr="00510528">
        <w:rPr>
          <w:rFonts w:eastAsia="Calibri"/>
          <w:lang w:eastAsia="en-US"/>
        </w:rPr>
        <w:t>po potrebi obaviti kontrole kod trećih osoba i preporučenih projekata;</w:t>
      </w:r>
    </w:p>
    <w:p w:rsidR="003F0131" w:rsidRPr="00510528" w:rsidRDefault="003F0131" w:rsidP="003F0131">
      <w:pPr>
        <w:numPr>
          <w:ilvl w:val="0"/>
          <w:numId w:val="64"/>
        </w:numPr>
        <w:spacing w:after="60"/>
        <w:ind w:left="1134" w:hanging="566"/>
        <w:jc w:val="both"/>
        <w:rPr>
          <w:rFonts w:eastAsia="Calibri"/>
          <w:lang w:eastAsia="en-US"/>
        </w:rPr>
      </w:pPr>
      <w:r w:rsidRPr="00510528">
        <w:rPr>
          <w:rFonts w:eastAsia="Calibri"/>
          <w:lang w:eastAsia="en-US"/>
        </w:rPr>
        <w:t>izvještavati nadležna tijela i tražiti provođenje određenog postupka ako sama nije ovlaštena izravno postupiti;</w:t>
      </w:r>
    </w:p>
    <w:p w:rsidR="003F0131" w:rsidRPr="00510528" w:rsidRDefault="003F0131" w:rsidP="003F0131">
      <w:pPr>
        <w:numPr>
          <w:ilvl w:val="0"/>
          <w:numId w:val="64"/>
        </w:numPr>
        <w:spacing w:after="60"/>
        <w:ind w:left="1134" w:hanging="566"/>
        <w:jc w:val="both"/>
        <w:rPr>
          <w:rFonts w:eastAsia="Calibri"/>
          <w:lang w:eastAsia="en-US"/>
        </w:rPr>
      </w:pPr>
      <w:r w:rsidRPr="00510528">
        <w:rPr>
          <w:rFonts w:eastAsia="Calibri"/>
          <w:lang w:eastAsia="en-US"/>
        </w:rPr>
        <w:t>prikupljati podatke i obavijesti od odgovornih osoba, svjedoka, vještaka i drugih osoba kad je to potrebno za obavljanje poslova kontrole;</w:t>
      </w:r>
    </w:p>
    <w:p w:rsidR="003F0131" w:rsidRPr="00510528" w:rsidRDefault="003F0131" w:rsidP="003F0131">
      <w:pPr>
        <w:numPr>
          <w:ilvl w:val="0"/>
          <w:numId w:val="64"/>
        </w:numPr>
        <w:spacing w:after="60"/>
        <w:ind w:left="1134" w:hanging="566"/>
        <w:jc w:val="both"/>
        <w:rPr>
          <w:rFonts w:eastAsia="Calibri"/>
          <w:lang w:eastAsia="en-US"/>
        </w:rPr>
      </w:pPr>
      <w:r w:rsidRPr="00510528">
        <w:rPr>
          <w:rFonts w:eastAsia="Calibri"/>
          <w:lang w:eastAsia="en-US"/>
        </w:rPr>
        <w:t>provjeravati da korisnik postoji i posluje (Geoinformacijski sustav ribarstva, Sudski registar i ostale aplikacije);</w:t>
      </w:r>
    </w:p>
    <w:p w:rsidR="001252B4" w:rsidRPr="00510528" w:rsidRDefault="001252B4" w:rsidP="003F0131">
      <w:pPr>
        <w:numPr>
          <w:ilvl w:val="0"/>
          <w:numId w:val="64"/>
        </w:numPr>
        <w:spacing w:after="60"/>
        <w:ind w:left="1134" w:hanging="566"/>
        <w:jc w:val="both"/>
        <w:rPr>
          <w:rFonts w:eastAsia="Calibri"/>
          <w:lang w:eastAsia="en-US"/>
        </w:rPr>
      </w:pPr>
      <w:r w:rsidRPr="00510528">
        <w:rPr>
          <w:rFonts w:eastAsia="Calibri"/>
          <w:lang w:eastAsia="en-US"/>
        </w:rPr>
        <w:t>provjeriti da ulaganje nije sufinancirano drugim javnim izdacima;</w:t>
      </w:r>
    </w:p>
    <w:p w:rsidR="001252B4" w:rsidRPr="00510528" w:rsidRDefault="001252B4" w:rsidP="003F0131">
      <w:pPr>
        <w:numPr>
          <w:ilvl w:val="0"/>
          <w:numId w:val="64"/>
        </w:numPr>
        <w:spacing w:after="60"/>
        <w:ind w:left="1134" w:hanging="566"/>
        <w:jc w:val="both"/>
        <w:rPr>
          <w:rFonts w:eastAsia="Calibri"/>
          <w:lang w:eastAsia="en-US"/>
        </w:rPr>
      </w:pPr>
      <w:r w:rsidRPr="00510528">
        <w:rPr>
          <w:rFonts w:eastAsia="Calibri"/>
          <w:lang w:eastAsia="en-US"/>
        </w:rPr>
        <w:t xml:space="preserve">provjeriti da korisnik posjeduje nabavljenu opremu/strojeve/vozila </w:t>
      </w:r>
      <w:r w:rsidR="00534864" w:rsidRPr="00510528">
        <w:rPr>
          <w:rFonts w:eastAsia="Calibri"/>
          <w:lang w:eastAsia="en-US"/>
        </w:rPr>
        <w:t>i ostale predmete operacije za koje je ostario potporu;</w:t>
      </w:r>
    </w:p>
    <w:p w:rsidR="003F0131" w:rsidRPr="00510528" w:rsidRDefault="003F0131" w:rsidP="003F0131">
      <w:pPr>
        <w:numPr>
          <w:ilvl w:val="0"/>
          <w:numId w:val="64"/>
        </w:numPr>
        <w:spacing w:after="60"/>
        <w:ind w:left="1134" w:hanging="566"/>
        <w:jc w:val="both"/>
        <w:rPr>
          <w:rFonts w:eastAsia="Calibri"/>
          <w:lang w:eastAsia="en-US"/>
        </w:rPr>
      </w:pPr>
      <w:r w:rsidRPr="00510528">
        <w:rPr>
          <w:rFonts w:eastAsia="Calibri"/>
          <w:lang w:eastAsia="en-US"/>
        </w:rPr>
        <w:t>provjeriti da je korisnik ostvario planiranu razinu pokazatelja provedbe operacije.</w:t>
      </w:r>
    </w:p>
    <w:p w:rsidR="003F0131" w:rsidRPr="00510528" w:rsidRDefault="003F0131" w:rsidP="003F0131">
      <w:pPr>
        <w:numPr>
          <w:ilvl w:val="0"/>
          <w:numId w:val="63"/>
        </w:numPr>
        <w:spacing w:after="60"/>
        <w:ind w:left="567" w:hanging="567"/>
        <w:jc w:val="both"/>
        <w:rPr>
          <w:rFonts w:eastAsia="Calibri"/>
          <w:lang w:eastAsia="en-US"/>
        </w:rPr>
      </w:pPr>
      <w:r w:rsidRPr="00510528">
        <w:rPr>
          <w:rFonts w:eastAsia="Calibri"/>
          <w:lang w:eastAsia="en-US"/>
        </w:rPr>
        <w:t>Korisnici te osobe koje su s njima povezane u vezi predmetnog ulaganja, a podliježu nadzoru ovlaštenih osoba iz stavaka 1. i 2. ovoga članka dužne su omogućiti obavljanje kontrole, pružiti potrebne podatke/dokumente/obavijesti te osigurati uvjete za njihov nesmetani rad.</w:t>
      </w:r>
    </w:p>
    <w:p w:rsidR="003F0131" w:rsidRPr="00510528" w:rsidRDefault="003F0131" w:rsidP="003F0131">
      <w:pPr>
        <w:numPr>
          <w:ilvl w:val="0"/>
          <w:numId w:val="63"/>
        </w:numPr>
        <w:spacing w:after="60"/>
        <w:ind w:left="567" w:hanging="567"/>
        <w:jc w:val="both"/>
        <w:rPr>
          <w:rFonts w:eastAsia="Calibri"/>
          <w:lang w:eastAsia="en-US"/>
        </w:rPr>
      </w:pPr>
      <w:r w:rsidRPr="00510528">
        <w:rPr>
          <w:rFonts w:eastAsia="Calibri"/>
          <w:lang w:eastAsia="en-US"/>
        </w:rPr>
        <w:lastRenderedPageBreak/>
        <w:t>Kontrola se može najaviti do 48 sati prije njenog provođenja, pazeći da se ranijom najavom ne naruše ciljevi i svrha kontrole na terenu.</w:t>
      </w:r>
    </w:p>
    <w:p w:rsidR="003F0131" w:rsidRPr="00510528" w:rsidRDefault="003F0131" w:rsidP="003F0131">
      <w:pPr>
        <w:numPr>
          <w:ilvl w:val="0"/>
          <w:numId w:val="63"/>
        </w:numPr>
        <w:spacing w:after="60"/>
        <w:ind w:left="567" w:hanging="567"/>
        <w:jc w:val="both"/>
        <w:rPr>
          <w:rFonts w:eastAsia="Calibri"/>
          <w:lang w:eastAsia="en-US"/>
        </w:rPr>
      </w:pPr>
      <w:r w:rsidRPr="00510528">
        <w:rPr>
          <w:rFonts w:eastAsia="Calibri"/>
          <w:lang w:eastAsia="en-US"/>
        </w:rPr>
        <w:t>Ako odgovorna osoba korisnika nije u mogućnosti prisustvovati provedbi kontrole na terenu, ima obvezu pismeno ovlastiti drugu osobu koja mora prisustvovati kontroli, a koja će imati pravo davanja podataka i sudjelovanja u kontroli za vrijeme njene odsutnosti.</w:t>
      </w:r>
    </w:p>
    <w:p w:rsidR="00DB0E0F" w:rsidRPr="00510528" w:rsidRDefault="003F0131" w:rsidP="00E27E02">
      <w:pPr>
        <w:numPr>
          <w:ilvl w:val="0"/>
          <w:numId w:val="63"/>
        </w:numPr>
        <w:spacing w:after="60"/>
        <w:ind w:left="567" w:hanging="567"/>
        <w:jc w:val="both"/>
        <w:rPr>
          <w:rFonts w:eastAsia="Calibri"/>
          <w:lang w:eastAsia="en-US"/>
        </w:rPr>
      </w:pPr>
      <w:r w:rsidRPr="00510528">
        <w:rPr>
          <w:rFonts w:eastAsia="Calibri"/>
          <w:lang w:eastAsia="en-US"/>
        </w:rPr>
        <w:t>Ovlaštene osobe iz stavaka 1. i 2. ovoga članka dužne su prilikom kontrole predočiti identifikacijski dokument.</w:t>
      </w:r>
    </w:p>
    <w:p w:rsidR="00534864" w:rsidRPr="00510528" w:rsidRDefault="00CC2A0D" w:rsidP="00E27E02">
      <w:pPr>
        <w:numPr>
          <w:ilvl w:val="0"/>
          <w:numId w:val="63"/>
        </w:numPr>
        <w:spacing w:after="60"/>
        <w:ind w:left="567" w:hanging="567"/>
        <w:jc w:val="both"/>
        <w:rPr>
          <w:rFonts w:eastAsia="Calibri"/>
          <w:lang w:eastAsia="en-US"/>
        </w:rPr>
      </w:pPr>
      <w:r w:rsidRPr="00510528">
        <w:rPr>
          <w:rFonts w:eastAsia="Calibri"/>
          <w:lang w:eastAsia="en-US"/>
        </w:rPr>
        <w:t>Detaljni način obavljanja kontrole na terenu te obveze korisnika propisane su u Priručniku za korisnike Operativnog programa za pomorstvo i ribarstvo 2014.-2020. o provedbi kontrole na terenu i obvezama korisnika, koji je dostupan na  mrežnim stranicama Upravljačkog tijela (</w:t>
      </w:r>
      <w:hyperlink r:id="rId12" w:history="1">
        <w:r w:rsidRPr="00510528">
          <w:rPr>
            <w:rFonts w:eastAsia="Calibri"/>
            <w:lang w:eastAsia="en-US"/>
          </w:rPr>
          <w:t>https://euribarstvo.hr/</w:t>
        </w:r>
      </w:hyperlink>
      <w:r w:rsidRPr="00510528">
        <w:rPr>
          <w:rFonts w:eastAsia="Calibri"/>
          <w:lang w:eastAsia="en-US"/>
        </w:rPr>
        <w:t>)</w:t>
      </w:r>
      <w:r w:rsidR="00AD0F07" w:rsidRPr="00510528">
        <w:rPr>
          <w:rFonts w:eastAsia="Calibri"/>
          <w:lang w:eastAsia="en-US"/>
        </w:rPr>
        <w:t>.</w:t>
      </w:r>
    </w:p>
    <w:p w:rsidR="00AD0F07" w:rsidRPr="00510528" w:rsidRDefault="00AD0F07" w:rsidP="00AD0F07">
      <w:pPr>
        <w:spacing w:after="60"/>
        <w:ind w:left="567"/>
        <w:jc w:val="both"/>
        <w:rPr>
          <w:rFonts w:eastAsia="Calibri"/>
          <w:lang w:eastAsia="en-US"/>
        </w:rPr>
      </w:pPr>
    </w:p>
    <w:p w:rsidR="00DB0E0F" w:rsidRPr="00510528" w:rsidRDefault="00DB0E0F" w:rsidP="00DB0E0F">
      <w:pPr>
        <w:keepNext/>
        <w:keepLines/>
        <w:spacing w:after="120"/>
        <w:jc w:val="center"/>
        <w:outlineLvl w:val="0"/>
        <w:rPr>
          <w:bCs/>
          <w:color w:val="000000"/>
          <w:szCs w:val="28"/>
        </w:rPr>
      </w:pPr>
      <w:r w:rsidRPr="00510528">
        <w:rPr>
          <w:bCs/>
          <w:color w:val="000000"/>
          <w:szCs w:val="28"/>
        </w:rPr>
        <w:t>VIII. POVRAT SREDSTAVA</w:t>
      </w:r>
    </w:p>
    <w:p w:rsidR="00DB0E0F" w:rsidRPr="00510528" w:rsidRDefault="00DB0E0F" w:rsidP="00DB0E0F">
      <w:pPr>
        <w:autoSpaceDE w:val="0"/>
        <w:autoSpaceDN w:val="0"/>
        <w:spacing w:after="120"/>
        <w:jc w:val="center"/>
      </w:pPr>
      <w:r w:rsidRPr="00510528">
        <w:t>Članak 26.</w:t>
      </w:r>
    </w:p>
    <w:p w:rsidR="00DB0E0F" w:rsidRPr="00510528" w:rsidRDefault="00DB0E0F" w:rsidP="00DB0E0F">
      <w:pPr>
        <w:numPr>
          <w:ilvl w:val="0"/>
          <w:numId w:val="19"/>
        </w:numPr>
        <w:autoSpaceDE w:val="0"/>
        <w:autoSpaceDN w:val="0"/>
        <w:spacing w:after="120"/>
        <w:ind w:left="357" w:hanging="357"/>
        <w:jc w:val="both"/>
      </w:pPr>
      <w:r w:rsidRPr="00510528">
        <w:t>Upravljačko tijelo će Odlukom o povratu sredstava od korisnika zahtijevati povrat u slučaju:</w:t>
      </w:r>
    </w:p>
    <w:p w:rsidR="00DB0E0F" w:rsidRPr="00510528" w:rsidRDefault="00DB0E0F" w:rsidP="00DB0E0F">
      <w:pPr>
        <w:numPr>
          <w:ilvl w:val="0"/>
          <w:numId w:val="18"/>
        </w:numPr>
        <w:autoSpaceDE w:val="0"/>
        <w:autoSpaceDN w:val="0"/>
        <w:spacing w:after="120"/>
        <w:ind w:left="714" w:hanging="357"/>
        <w:jc w:val="both"/>
      </w:pPr>
      <w:r w:rsidRPr="00510528">
        <w:t>administrativne pogreške/pogrešne isplate;</w:t>
      </w:r>
    </w:p>
    <w:p w:rsidR="00DB0E0F" w:rsidRPr="00510528" w:rsidRDefault="00DB0E0F" w:rsidP="00DB0E0F">
      <w:pPr>
        <w:numPr>
          <w:ilvl w:val="0"/>
          <w:numId w:val="18"/>
        </w:numPr>
        <w:autoSpaceDE w:val="0"/>
        <w:autoSpaceDN w:val="0"/>
        <w:spacing w:after="120"/>
        <w:ind w:left="714" w:hanging="357"/>
        <w:jc w:val="both"/>
      </w:pPr>
      <w:r w:rsidRPr="00510528">
        <w:t>nepravilnosti utvrđene nakon isplate.</w:t>
      </w:r>
    </w:p>
    <w:p w:rsidR="00DB0E0F" w:rsidRPr="00510528" w:rsidRDefault="00DB0E0F" w:rsidP="00DB0E0F">
      <w:pPr>
        <w:numPr>
          <w:ilvl w:val="0"/>
          <w:numId w:val="19"/>
        </w:numPr>
        <w:autoSpaceDE w:val="0"/>
        <w:autoSpaceDN w:val="0"/>
        <w:spacing w:after="120"/>
        <w:ind w:left="357" w:hanging="357"/>
        <w:jc w:val="both"/>
      </w:pPr>
      <w:r w:rsidRPr="00510528">
        <w:rPr>
          <w:color w:val="000000"/>
        </w:rPr>
        <w:t>Odluka o povratu sredstava u slučaju utvrđene administrativne pogreške/pogrešne isplate</w:t>
      </w:r>
      <w:r w:rsidR="006E3E9A" w:rsidRPr="00510528">
        <w:rPr>
          <w:color w:val="000000"/>
        </w:rPr>
        <w:t xml:space="preserve"> iz stavka 1. točke a) ovoga članka</w:t>
      </w:r>
      <w:r w:rsidRPr="00510528">
        <w:rPr>
          <w:color w:val="000000"/>
        </w:rPr>
        <w:t xml:space="preserve"> izdaje se u slučaju preplate/krive isplate ili bilo koje druge administrativne greške učinjene od strane Upravljačkog tijela i/ili Agencije za plaćanja prilikom provedbe ovoga Pravilnika i Natječaja, kojom će se od korisnika zatražiti povrat tog iznosa.</w:t>
      </w:r>
    </w:p>
    <w:p w:rsidR="00DB0E0F" w:rsidRPr="00510528" w:rsidRDefault="00DB0E0F" w:rsidP="00DB0E0F">
      <w:pPr>
        <w:numPr>
          <w:ilvl w:val="0"/>
          <w:numId w:val="19"/>
        </w:numPr>
        <w:spacing w:after="120"/>
        <w:ind w:left="357" w:hanging="357"/>
        <w:jc w:val="both"/>
      </w:pPr>
      <w:r w:rsidRPr="00510528">
        <w:rPr>
          <w:color w:val="000000"/>
        </w:rPr>
        <w:t xml:space="preserve">Odluka o povratu sredstava u slučaju nepravilnosti utvrđene nakon konačne isplate </w:t>
      </w:r>
      <w:r w:rsidR="006E3E9A" w:rsidRPr="00510528">
        <w:rPr>
          <w:color w:val="000000"/>
        </w:rPr>
        <w:t xml:space="preserve">iz stavka 1. točke b) ovoga članka </w:t>
      </w:r>
      <w:r w:rsidRPr="00510528">
        <w:rPr>
          <w:color w:val="000000"/>
        </w:rPr>
        <w:t>izdaje se:</w:t>
      </w:r>
    </w:p>
    <w:p w:rsidR="00DB0E0F" w:rsidRPr="00510528" w:rsidRDefault="00DB0E0F" w:rsidP="00DB0E0F">
      <w:pPr>
        <w:numPr>
          <w:ilvl w:val="1"/>
          <w:numId w:val="15"/>
        </w:numPr>
        <w:spacing w:after="120"/>
        <w:ind w:left="714"/>
        <w:jc w:val="both"/>
      </w:pPr>
      <w:r w:rsidRPr="00510528">
        <w:rPr>
          <w:color w:val="000000"/>
        </w:rPr>
        <w:t>u slučaju utvrđenih pojedinih nepravilno isplaćenih izdataka, odnosno kada</w:t>
      </w:r>
      <w:r w:rsidR="00E27E02" w:rsidRPr="00510528">
        <w:rPr>
          <w:color w:val="000000"/>
        </w:rPr>
        <w:t xml:space="preserve"> je</w:t>
      </w:r>
      <w:r w:rsidRPr="00510528">
        <w:rPr>
          <w:color w:val="000000"/>
        </w:rPr>
        <w:t xml:space="preserve"> </w:t>
      </w:r>
      <w:r w:rsidR="00E27E02" w:rsidRPr="00510528">
        <w:rPr>
          <w:color w:val="000000"/>
        </w:rPr>
        <w:t>o</w:t>
      </w:r>
      <w:r w:rsidRPr="00510528">
        <w:rPr>
          <w:color w:val="000000"/>
        </w:rPr>
        <w:t xml:space="preserve">dlukom o </w:t>
      </w:r>
      <w:r w:rsidR="00E27E02" w:rsidRPr="00510528">
        <w:rPr>
          <w:color w:val="000000"/>
        </w:rPr>
        <w:t>utvrđenoj nepravilnosti određen povrat pojedinih nepravilno isplaćenih izdataka. Odlukom o povratu sredstava Upravljačko tijelo će zahtijevati od korisnika povrat utvrđenog nepravilnog iznosa;</w:t>
      </w:r>
    </w:p>
    <w:p w:rsidR="00DB0E0F" w:rsidRPr="00510528" w:rsidRDefault="00A60D70" w:rsidP="00DB0E0F">
      <w:pPr>
        <w:numPr>
          <w:ilvl w:val="1"/>
          <w:numId w:val="15"/>
        </w:numPr>
        <w:spacing w:after="120"/>
        <w:ind w:left="714"/>
        <w:jc w:val="both"/>
      </w:pPr>
      <w:r w:rsidRPr="00510528">
        <w:rPr>
          <w:color w:val="000000"/>
        </w:rPr>
        <w:t>ako je odlukom o utvrđenoj nepravilnosti određen povrat ukupno isplaćenih sredstava. Odlukom o povratu Upravljačko tijelo će zahtijevati od korisnika povrat ukupno isplaćenih sredstava.</w:t>
      </w:r>
    </w:p>
    <w:p w:rsidR="00DB0E0F" w:rsidRPr="00510528" w:rsidRDefault="00A60D70" w:rsidP="00DB0E0F">
      <w:pPr>
        <w:numPr>
          <w:ilvl w:val="1"/>
          <w:numId w:val="15"/>
        </w:numPr>
        <w:spacing w:after="120"/>
        <w:ind w:left="714"/>
        <w:jc w:val="both"/>
      </w:pPr>
      <w:r w:rsidRPr="00510528">
        <w:rPr>
          <w:color w:val="000000"/>
        </w:rPr>
        <w:t>ako utvrđena nepravilnost ujedno predstavlja sumnju na prijevaru. Odlukom o povratu sredstava Upravljačko tijelo će zahtijevati od korisnika povrat ukupno isplaćenih sredstava potpore, te će o istome izvijestiti Državno odvjetništvo Republike Hrvatske.</w:t>
      </w:r>
    </w:p>
    <w:p w:rsidR="00DB0E0F" w:rsidRPr="00510528" w:rsidRDefault="00DB0E0F" w:rsidP="00DB0E0F">
      <w:pPr>
        <w:numPr>
          <w:ilvl w:val="0"/>
          <w:numId w:val="19"/>
        </w:numPr>
        <w:spacing w:after="120"/>
        <w:ind w:left="357" w:hanging="357"/>
        <w:jc w:val="both"/>
      </w:pPr>
      <w:r w:rsidRPr="00510528">
        <w:t>Na temelju Odluke o povratu sredstava korisnik je dužan u roku od 30 dana od dana zaprimanja Odluke izvršiti povrat sredstava na način određen Odlukom.</w:t>
      </w:r>
    </w:p>
    <w:p w:rsidR="00DB0E0F" w:rsidRPr="00510528" w:rsidRDefault="00A60D70" w:rsidP="00DB0E0F">
      <w:pPr>
        <w:numPr>
          <w:ilvl w:val="0"/>
          <w:numId w:val="19"/>
        </w:numPr>
        <w:spacing w:after="120"/>
        <w:ind w:left="357" w:hanging="357"/>
        <w:jc w:val="both"/>
      </w:pPr>
      <w:r w:rsidRPr="00510528">
        <w:t xml:space="preserve">Ako </w:t>
      </w:r>
      <w:r w:rsidR="00DB0E0F" w:rsidRPr="00510528">
        <w:t>korisnik nije postupio sukladno Odluci o povratu sredstava, na iznos koji podliježe povratu se nakon isteka roka iz stavka</w:t>
      </w:r>
      <w:r w:rsidRPr="00510528">
        <w:t xml:space="preserve"> 5</w:t>
      </w:r>
      <w:r w:rsidR="00DB0E0F" w:rsidRPr="00510528">
        <w:t>. ovoga članka obračunava zakonska zatezna kamata.</w:t>
      </w:r>
    </w:p>
    <w:p w:rsidR="00DB0E0F" w:rsidRPr="00510528" w:rsidRDefault="00DB0E0F" w:rsidP="00DB0E0F">
      <w:pPr>
        <w:numPr>
          <w:ilvl w:val="0"/>
          <w:numId w:val="19"/>
        </w:numPr>
        <w:spacing w:after="120"/>
        <w:ind w:left="357" w:hanging="357"/>
        <w:jc w:val="both"/>
      </w:pPr>
      <w:r w:rsidRPr="00510528">
        <w:t>U slučaju nepoštivanja roka za povrat sredstava Upravljačko tijelo će zatražiti zaštitu svojih prava putem nadležnog suda.</w:t>
      </w:r>
    </w:p>
    <w:p w:rsidR="00A663C8" w:rsidRPr="00510528" w:rsidRDefault="00A663C8" w:rsidP="00300ABA">
      <w:pPr>
        <w:spacing w:after="120"/>
      </w:pPr>
    </w:p>
    <w:p w:rsidR="00DB0E0F" w:rsidRPr="00510528" w:rsidRDefault="00DB0E0F" w:rsidP="00DB0E0F">
      <w:pPr>
        <w:spacing w:after="120"/>
        <w:jc w:val="center"/>
      </w:pPr>
      <w:r w:rsidRPr="00510528">
        <w:lastRenderedPageBreak/>
        <w:t>Članak 27.</w:t>
      </w:r>
    </w:p>
    <w:p w:rsidR="00DB0E0F" w:rsidRPr="00510528" w:rsidRDefault="00DB0E0F" w:rsidP="00DB0E0F">
      <w:pPr>
        <w:numPr>
          <w:ilvl w:val="3"/>
          <w:numId w:val="25"/>
        </w:numPr>
        <w:spacing w:after="120"/>
        <w:ind w:left="357" w:hanging="357"/>
        <w:jc w:val="both"/>
      </w:pPr>
      <w:r w:rsidRPr="00510528">
        <w:t xml:space="preserve">U slučaju da je korisniku izdana Odluka o povratu sredstva, korisnik može iznos duga vratiti u obrocima, ako o tome obavijesti Upravljačko tijelo u roku od </w:t>
      </w:r>
      <w:r w:rsidR="00A57BBF" w:rsidRPr="00510528">
        <w:t>15</w:t>
      </w:r>
      <w:r w:rsidRPr="00510528">
        <w:t xml:space="preserve"> dana od dana zaprimanja Odluke o povratu sredstva.</w:t>
      </w:r>
    </w:p>
    <w:p w:rsidR="00DB0E0F" w:rsidRPr="00510528" w:rsidRDefault="00DB0E0F" w:rsidP="00DB0E0F">
      <w:pPr>
        <w:numPr>
          <w:ilvl w:val="3"/>
          <w:numId w:val="25"/>
        </w:numPr>
        <w:spacing w:after="120"/>
        <w:ind w:left="357" w:hanging="357"/>
        <w:jc w:val="both"/>
      </w:pPr>
      <w:r w:rsidRPr="00510528">
        <w:t>U slučaju iz stavka 1. ovoga članka, Upravljačko tijelo i korisnik će sklopiti izvansudsku nagodbu.</w:t>
      </w:r>
    </w:p>
    <w:p w:rsidR="00DB0E0F" w:rsidRPr="00510528" w:rsidRDefault="00DB0E0F" w:rsidP="00DB0E0F">
      <w:pPr>
        <w:numPr>
          <w:ilvl w:val="3"/>
          <w:numId w:val="25"/>
        </w:numPr>
        <w:spacing w:after="120"/>
        <w:ind w:left="357" w:hanging="357"/>
        <w:jc w:val="both"/>
      </w:pPr>
      <w:r w:rsidRPr="00510528">
        <w:t>Korisnik može vratiti iznos duga u najviše četiri rate u roku od jedne godine.</w:t>
      </w:r>
    </w:p>
    <w:p w:rsidR="00DB0E0F" w:rsidRPr="00510528" w:rsidRDefault="00DB0E0F" w:rsidP="00DB0E0F">
      <w:pPr>
        <w:numPr>
          <w:ilvl w:val="3"/>
          <w:numId w:val="25"/>
        </w:numPr>
        <w:spacing w:after="120"/>
        <w:ind w:left="357" w:hanging="357"/>
        <w:jc w:val="both"/>
      </w:pPr>
      <w:r w:rsidRPr="00510528">
        <w:t>U slučaju da korisnik ne vrati najmanje dvije rate na temelju izvansudske nagodbe, Upravljačko tijelo će zatražiti zaštitu svojih prava sudskim putem.</w:t>
      </w:r>
    </w:p>
    <w:p w:rsidR="00DB0E0F" w:rsidRPr="00510528" w:rsidRDefault="00DB0E0F" w:rsidP="00DB0E0F">
      <w:pPr>
        <w:spacing w:after="120"/>
        <w:jc w:val="center"/>
        <w:rPr>
          <w:rFonts w:eastAsia="Calibri"/>
          <w:b/>
          <w:bCs/>
          <w:color w:val="000000"/>
          <w:lang w:eastAsia="en-US"/>
        </w:rPr>
      </w:pPr>
    </w:p>
    <w:p w:rsidR="00DB0E0F" w:rsidRPr="00510528" w:rsidRDefault="00DB0E0F" w:rsidP="00DB0E0F">
      <w:pPr>
        <w:keepNext/>
        <w:keepLines/>
        <w:spacing w:after="120"/>
        <w:jc w:val="center"/>
        <w:outlineLvl w:val="0"/>
        <w:rPr>
          <w:rFonts w:eastAsia="Calibri"/>
          <w:bCs/>
          <w:color w:val="000000"/>
          <w:szCs w:val="28"/>
          <w:lang w:eastAsia="en-US"/>
        </w:rPr>
      </w:pPr>
      <w:r w:rsidRPr="00510528">
        <w:rPr>
          <w:rFonts w:eastAsia="Calibri"/>
          <w:bCs/>
          <w:color w:val="000000"/>
          <w:szCs w:val="28"/>
          <w:lang w:eastAsia="en-US"/>
        </w:rPr>
        <w:t>IX. PRIGOVORI</w:t>
      </w:r>
    </w:p>
    <w:p w:rsidR="00DB0E0F" w:rsidRPr="00510528" w:rsidRDefault="00DB0E0F" w:rsidP="00DB0E0F">
      <w:pPr>
        <w:autoSpaceDE w:val="0"/>
        <w:autoSpaceDN w:val="0"/>
        <w:spacing w:after="120"/>
        <w:jc w:val="center"/>
      </w:pPr>
      <w:r w:rsidRPr="00510528">
        <w:t>Članak 28.</w:t>
      </w:r>
    </w:p>
    <w:p w:rsidR="00DB0E0F" w:rsidRPr="00510528" w:rsidRDefault="00DB0E0F" w:rsidP="00DB0E0F">
      <w:pPr>
        <w:numPr>
          <w:ilvl w:val="0"/>
          <w:numId w:val="17"/>
        </w:numPr>
        <w:autoSpaceDE w:val="0"/>
        <w:autoSpaceDN w:val="0"/>
        <w:spacing w:after="120"/>
        <w:ind w:left="357" w:hanging="357"/>
        <w:jc w:val="both"/>
      </w:pPr>
      <w:r w:rsidRPr="00510528">
        <w:t xml:space="preserve">Svi akti koji proizlaze iz ovoga Pravilnika nisu upravni akti. </w:t>
      </w:r>
    </w:p>
    <w:p w:rsidR="00A57BBF" w:rsidRPr="00510528" w:rsidRDefault="00A57BBF" w:rsidP="00DB0E0F">
      <w:pPr>
        <w:numPr>
          <w:ilvl w:val="0"/>
          <w:numId w:val="17"/>
        </w:numPr>
        <w:autoSpaceDE w:val="0"/>
        <w:autoSpaceDN w:val="0"/>
        <w:spacing w:after="120"/>
        <w:ind w:left="357" w:hanging="357"/>
        <w:jc w:val="both"/>
      </w:pPr>
      <w:r w:rsidRPr="00510528">
        <w:t>Akti koji proizlaze iz ovoga Pravilnika stupaju na snagu danom donošenja.</w:t>
      </w:r>
    </w:p>
    <w:p w:rsidR="00A57BBF" w:rsidRPr="00510528" w:rsidRDefault="00A57BBF" w:rsidP="00DB0E0F">
      <w:pPr>
        <w:numPr>
          <w:ilvl w:val="0"/>
          <w:numId w:val="17"/>
        </w:numPr>
        <w:autoSpaceDE w:val="0"/>
        <w:autoSpaceDN w:val="0"/>
        <w:spacing w:after="120"/>
        <w:ind w:left="357" w:hanging="357"/>
        <w:jc w:val="both"/>
      </w:pPr>
      <w:r w:rsidRPr="00510528">
        <w:t>Ako korisnik nije preuzeo akt prilikom prve dostave, dostava preporučene pošiljke bit će ponovljena još jednom. Ako korisnik ne preuzme akt niti nakon ponovljene dostave, ista će se objaviti na oglasnoj ploči u sjedištu Uprave ribarstva te će se dostava smatrati obavljenom istekom osmoga dana od dana stavljanja akata na oglasnu ploču Uprave ribarstva.</w:t>
      </w:r>
    </w:p>
    <w:p w:rsidR="00DB0E0F" w:rsidRPr="00510528" w:rsidRDefault="00DB0E0F" w:rsidP="00DB0E0F">
      <w:pPr>
        <w:numPr>
          <w:ilvl w:val="0"/>
          <w:numId w:val="17"/>
        </w:numPr>
        <w:autoSpaceDE w:val="0"/>
        <w:autoSpaceDN w:val="0"/>
        <w:spacing w:after="120"/>
        <w:ind w:left="357" w:hanging="357"/>
        <w:jc w:val="both"/>
      </w:pPr>
      <w:r w:rsidRPr="00510528">
        <w:t>Korisnik može podnijeti prigovor Povjerenstvu za rješavanje po prigovorima (u daljnjem tekstu: Povjerenstvo), koje imenuje ministar poljoprivrede, na Odluke koje proizlaze iz ovog Pravilnika, i to iz:</w:t>
      </w:r>
    </w:p>
    <w:p w:rsidR="00DB0E0F" w:rsidRPr="00510528" w:rsidRDefault="00DB0E0F" w:rsidP="00DB0E0F">
      <w:pPr>
        <w:numPr>
          <w:ilvl w:val="0"/>
          <w:numId w:val="16"/>
        </w:numPr>
        <w:autoSpaceDE w:val="0"/>
        <w:autoSpaceDN w:val="0"/>
        <w:spacing w:after="120"/>
        <w:ind w:left="714" w:hanging="357"/>
        <w:jc w:val="both"/>
      </w:pPr>
      <w:r w:rsidRPr="00510528">
        <w:t>članka 18. stavka 2. točke a) Odluka o dodjeli sredstava,</w:t>
      </w:r>
    </w:p>
    <w:p w:rsidR="00DB0E0F" w:rsidRPr="00510528" w:rsidRDefault="00DB0E0F" w:rsidP="00DB0E0F">
      <w:pPr>
        <w:numPr>
          <w:ilvl w:val="0"/>
          <w:numId w:val="16"/>
        </w:numPr>
        <w:autoSpaceDE w:val="0"/>
        <w:autoSpaceDN w:val="0"/>
        <w:spacing w:after="120"/>
        <w:ind w:left="714" w:hanging="357"/>
        <w:jc w:val="both"/>
      </w:pPr>
      <w:r w:rsidRPr="00510528">
        <w:t xml:space="preserve">članka 18. stavka 2. točke b) i članka 19. stavkom 2. točke b) Odluka o odbijanju, </w:t>
      </w:r>
    </w:p>
    <w:p w:rsidR="00DB0E0F" w:rsidRPr="00510528" w:rsidRDefault="00DB0E0F" w:rsidP="00DB0E0F">
      <w:pPr>
        <w:numPr>
          <w:ilvl w:val="0"/>
          <w:numId w:val="16"/>
        </w:numPr>
        <w:autoSpaceDE w:val="0"/>
        <w:autoSpaceDN w:val="0"/>
        <w:spacing w:after="120"/>
        <w:ind w:left="714" w:hanging="357"/>
        <w:jc w:val="both"/>
      </w:pPr>
      <w:r w:rsidRPr="00510528">
        <w:t xml:space="preserve">članka 19. stavka 2. točke a) Odluka o privremenoj raspodjeli sredstava, </w:t>
      </w:r>
    </w:p>
    <w:p w:rsidR="00A57BBF" w:rsidRPr="00510528" w:rsidRDefault="00A57BBF" w:rsidP="00DB0E0F">
      <w:pPr>
        <w:numPr>
          <w:ilvl w:val="0"/>
          <w:numId w:val="16"/>
        </w:numPr>
        <w:autoSpaceDE w:val="0"/>
        <w:autoSpaceDN w:val="0"/>
        <w:spacing w:after="120"/>
        <w:ind w:left="714" w:hanging="357"/>
        <w:jc w:val="both"/>
      </w:pPr>
      <w:r w:rsidRPr="00510528">
        <w:t xml:space="preserve">članka </w:t>
      </w:r>
      <w:r w:rsidR="00534864" w:rsidRPr="00510528">
        <w:t>21</w:t>
      </w:r>
      <w:r w:rsidRPr="00510528">
        <w:t xml:space="preserve"> </w:t>
      </w:r>
      <w:r w:rsidR="00534864" w:rsidRPr="00510528">
        <w:t>s</w:t>
      </w:r>
      <w:r w:rsidRPr="00510528">
        <w:t xml:space="preserve">tavka </w:t>
      </w:r>
      <w:r w:rsidR="00534864" w:rsidRPr="00510528">
        <w:t>4</w:t>
      </w:r>
      <w:r w:rsidRPr="00510528">
        <w:t>. Izjava o poništenju obveze,</w:t>
      </w:r>
    </w:p>
    <w:p w:rsidR="00DB0E0F" w:rsidRPr="00510528" w:rsidRDefault="00DB0E0F" w:rsidP="00DB0E0F">
      <w:pPr>
        <w:numPr>
          <w:ilvl w:val="0"/>
          <w:numId w:val="16"/>
        </w:numPr>
        <w:autoSpaceDE w:val="0"/>
        <w:autoSpaceDN w:val="0"/>
        <w:spacing w:after="120"/>
        <w:ind w:left="714" w:hanging="357"/>
        <w:jc w:val="both"/>
      </w:pPr>
      <w:r w:rsidRPr="00510528">
        <w:t>članka 24. stavka 1.</w:t>
      </w:r>
      <w:r w:rsidR="006E3E9A" w:rsidRPr="00510528">
        <w:t xml:space="preserve"> </w:t>
      </w:r>
      <w:r w:rsidRPr="00510528">
        <w:t>točke a) Odluka o isplati,</w:t>
      </w:r>
    </w:p>
    <w:p w:rsidR="00926F6B" w:rsidRPr="00510528" w:rsidRDefault="00DB0E0F" w:rsidP="00DB0E0F">
      <w:pPr>
        <w:numPr>
          <w:ilvl w:val="0"/>
          <w:numId w:val="16"/>
        </w:numPr>
        <w:autoSpaceDE w:val="0"/>
        <w:autoSpaceDN w:val="0"/>
        <w:spacing w:after="120"/>
        <w:ind w:left="714" w:hanging="357"/>
        <w:jc w:val="both"/>
      </w:pPr>
      <w:r w:rsidRPr="00510528">
        <w:t>članka 24. stavka 1. točke b) Odluka o odbijanju Zahtjeva za isplatu</w:t>
      </w:r>
      <w:r w:rsidR="00926F6B" w:rsidRPr="00510528">
        <w:t>;</w:t>
      </w:r>
    </w:p>
    <w:p w:rsidR="00DB0E0F" w:rsidRPr="00510528" w:rsidRDefault="00926F6B" w:rsidP="00DB0E0F">
      <w:pPr>
        <w:numPr>
          <w:ilvl w:val="0"/>
          <w:numId w:val="16"/>
        </w:numPr>
        <w:autoSpaceDE w:val="0"/>
        <w:autoSpaceDN w:val="0"/>
        <w:spacing w:after="120"/>
        <w:ind w:left="714" w:hanging="357"/>
        <w:jc w:val="both"/>
      </w:pPr>
      <w:r w:rsidRPr="00510528">
        <w:t>članka 26. stavka 1. Odluka o povratu.</w:t>
      </w:r>
    </w:p>
    <w:p w:rsidR="00DB0E0F" w:rsidRPr="00510528" w:rsidRDefault="00DB0E0F" w:rsidP="00DB0E0F">
      <w:pPr>
        <w:numPr>
          <w:ilvl w:val="0"/>
          <w:numId w:val="17"/>
        </w:numPr>
        <w:autoSpaceDE w:val="0"/>
        <w:autoSpaceDN w:val="0"/>
        <w:spacing w:after="120"/>
        <w:ind w:left="357" w:hanging="357"/>
        <w:jc w:val="both"/>
      </w:pPr>
      <w:r w:rsidRPr="00510528">
        <w:t>Ostali akti proizašli iz ovog Pravilnika su konačni i korisnik nema pravo prigovora.</w:t>
      </w:r>
    </w:p>
    <w:p w:rsidR="00DB0E0F" w:rsidRPr="00510528" w:rsidRDefault="00A57BBF" w:rsidP="00DB0E0F">
      <w:pPr>
        <w:numPr>
          <w:ilvl w:val="0"/>
          <w:numId w:val="17"/>
        </w:numPr>
        <w:autoSpaceDE w:val="0"/>
        <w:autoSpaceDN w:val="0"/>
        <w:spacing w:after="120"/>
        <w:ind w:left="357" w:hanging="357"/>
        <w:jc w:val="both"/>
      </w:pPr>
      <w:r w:rsidRPr="00510528">
        <w:rPr>
          <w:color w:val="000000"/>
        </w:rPr>
        <w:t>Prigovori iz stavka 4</w:t>
      </w:r>
      <w:r w:rsidR="00DB0E0F" w:rsidRPr="00510528">
        <w:rPr>
          <w:color w:val="000000"/>
        </w:rPr>
        <w:t xml:space="preserve">. ovoga članka podnose se preporučenom pošiljkom s povratnicom, u roku od petnaest dana od zaprimanja akata iz stavka </w:t>
      </w:r>
      <w:r w:rsidRPr="00510528">
        <w:rPr>
          <w:color w:val="000000"/>
        </w:rPr>
        <w:t>4</w:t>
      </w:r>
      <w:r w:rsidR="00DB0E0F" w:rsidRPr="00510528">
        <w:rPr>
          <w:color w:val="000000"/>
        </w:rPr>
        <w:t>. ovo</w:t>
      </w:r>
      <w:r w:rsidR="00AD0F07" w:rsidRPr="00510528">
        <w:rPr>
          <w:color w:val="000000"/>
        </w:rPr>
        <w:t xml:space="preserve">g članka, na adresu Ministarstva poljoprivrede, Uprave ribarstva u </w:t>
      </w:r>
      <w:r w:rsidR="00DB0E0F" w:rsidRPr="00510528">
        <w:rPr>
          <w:color w:val="000000"/>
        </w:rPr>
        <w:t>Zagreb</w:t>
      </w:r>
      <w:r w:rsidR="00AD0F07" w:rsidRPr="00510528">
        <w:rPr>
          <w:color w:val="000000"/>
        </w:rPr>
        <w:t>u</w:t>
      </w:r>
      <w:r w:rsidR="00DB0E0F" w:rsidRPr="00510528">
        <w:rPr>
          <w:color w:val="000000"/>
        </w:rPr>
        <w:t xml:space="preserve">, uz naznaku: </w:t>
      </w:r>
      <w:r w:rsidR="00DB0E0F" w:rsidRPr="00510528">
        <w:rPr>
          <w:i/>
          <w:color w:val="000000"/>
        </w:rPr>
        <w:t>„Povjerenstvo za odlučivanje o prigovorima u okviru mjere I.20.“Energetska učinkovitost i ublažavanje klimatskih promjena“</w:t>
      </w:r>
      <w:r w:rsidR="00DB0E0F" w:rsidRPr="00510528">
        <w:rPr>
          <w:color w:val="000000"/>
        </w:rPr>
        <w:t>.</w:t>
      </w:r>
    </w:p>
    <w:p w:rsidR="00DB0E0F" w:rsidRPr="00510528" w:rsidRDefault="00DB0E0F" w:rsidP="00DB0E0F">
      <w:pPr>
        <w:numPr>
          <w:ilvl w:val="0"/>
          <w:numId w:val="17"/>
        </w:numPr>
        <w:autoSpaceDE w:val="0"/>
        <w:autoSpaceDN w:val="0"/>
        <w:spacing w:after="120"/>
        <w:ind w:left="357" w:hanging="357"/>
        <w:jc w:val="both"/>
      </w:pPr>
      <w:r w:rsidRPr="00510528">
        <w:rPr>
          <w:color w:val="000000"/>
        </w:rPr>
        <w:t xml:space="preserve">Povjerenstvo odlučuje po prigovorima iz stavka </w:t>
      </w:r>
      <w:r w:rsidR="00A57BBF" w:rsidRPr="00510528">
        <w:rPr>
          <w:color w:val="000000"/>
        </w:rPr>
        <w:t>4</w:t>
      </w:r>
      <w:r w:rsidRPr="00510528">
        <w:rPr>
          <w:color w:val="000000"/>
        </w:rPr>
        <w:t xml:space="preserve">. ovoga članka u roku od </w:t>
      </w:r>
      <w:r w:rsidR="00A57BBF" w:rsidRPr="00510528">
        <w:rPr>
          <w:color w:val="000000"/>
        </w:rPr>
        <w:t>30</w:t>
      </w:r>
      <w:r w:rsidRPr="00510528">
        <w:rPr>
          <w:color w:val="000000"/>
        </w:rPr>
        <w:t xml:space="preserve"> dana od zaprimanja prigovora, o čemu se obavještava korisnika.</w:t>
      </w:r>
    </w:p>
    <w:p w:rsidR="00A57BBF" w:rsidRPr="00510528" w:rsidRDefault="00A57BBF" w:rsidP="00DB0E0F">
      <w:pPr>
        <w:numPr>
          <w:ilvl w:val="0"/>
          <w:numId w:val="17"/>
        </w:numPr>
        <w:autoSpaceDE w:val="0"/>
        <w:autoSpaceDN w:val="0"/>
        <w:spacing w:after="120"/>
        <w:ind w:left="357" w:hanging="357"/>
        <w:jc w:val="both"/>
      </w:pPr>
      <w:r w:rsidRPr="00510528">
        <w:rPr>
          <w:color w:val="000000"/>
        </w:rPr>
        <w:t>Povjerenstvo o istoj stvari može odlučivati samo jednom.</w:t>
      </w:r>
    </w:p>
    <w:p w:rsidR="00DB0E0F" w:rsidRPr="00510528" w:rsidRDefault="00DB0E0F" w:rsidP="00DB0E0F">
      <w:pPr>
        <w:numPr>
          <w:ilvl w:val="0"/>
          <w:numId w:val="17"/>
        </w:numPr>
        <w:autoSpaceDE w:val="0"/>
        <w:autoSpaceDN w:val="0"/>
        <w:spacing w:after="120"/>
        <w:ind w:left="357" w:hanging="357"/>
        <w:jc w:val="both"/>
      </w:pPr>
      <w:r w:rsidRPr="00510528">
        <w:rPr>
          <w:color w:val="000000"/>
        </w:rPr>
        <w:t>Odluke Povjerenstva po prigovorima su konačne.</w:t>
      </w:r>
    </w:p>
    <w:p w:rsidR="00DB0E0F" w:rsidRPr="00510528" w:rsidRDefault="00DB0E0F" w:rsidP="00DB0E0F">
      <w:pPr>
        <w:autoSpaceDE w:val="0"/>
        <w:autoSpaceDN w:val="0"/>
        <w:spacing w:after="120"/>
        <w:jc w:val="center"/>
        <w:rPr>
          <w:b/>
          <w:bCs/>
        </w:rPr>
      </w:pPr>
    </w:p>
    <w:p w:rsidR="00DB0E0F" w:rsidRPr="00510528" w:rsidRDefault="00DB0E0F" w:rsidP="00DB0E0F">
      <w:pPr>
        <w:keepNext/>
        <w:keepLines/>
        <w:spacing w:after="120"/>
        <w:jc w:val="center"/>
        <w:outlineLvl w:val="0"/>
        <w:rPr>
          <w:bCs/>
          <w:color w:val="000000"/>
          <w:szCs w:val="28"/>
        </w:rPr>
      </w:pPr>
      <w:r w:rsidRPr="00510528">
        <w:rPr>
          <w:bCs/>
          <w:color w:val="000000"/>
          <w:szCs w:val="28"/>
        </w:rPr>
        <w:lastRenderedPageBreak/>
        <w:t xml:space="preserve">X. </w:t>
      </w:r>
      <w:r w:rsidR="00417E27" w:rsidRPr="00510528">
        <w:rPr>
          <w:bCs/>
          <w:color w:val="000000"/>
          <w:szCs w:val="28"/>
        </w:rPr>
        <w:t>PRIJELAZNE I</w:t>
      </w:r>
      <w:r w:rsidR="00417E27" w:rsidRPr="00510528">
        <w:rPr>
          <w:b/>
        </w:rPr>
        <w:t xml:space="preserve"> </w:t>
      </w:r>
      <w:r w:rsidRPr="00510528">
        <w:rPr>
          <w:bCs/>
          <w:color w:val="000000"/>
          <w:szCs w:val="28"/>
        </w:rPr>
        <w:t>ZAVRŠNE ODREDBE</w:t>
      </w:r>
    </w:p>
    <w:p w:rsidR="008B4649" w:rsidRPr="00510528" w:rsidRDefault="008B4649" w:rsidP="008B4649">
      <w:pPr>
        <w:autoSpaceDE w:val="0"/>
        <w:autoSpaceDN w:val="0"/>
        <w:spacing w:after="120"/>
        <w:jc w:val="center"/>
      </w:pPr>
      <w:r w:rsidRPr="00510528">
        <w:t>Članak 29.</w:t>
      </w:r>
    </w:p>
    <w:p w:rsidR="008B4649" w:rsidRPr="00510528" w:rsidRDefault="008B4649" w:rsidP="00AD0F07">
      <w:pPr>
        <w:spacing w:after="120"/>
        <w:jc w:val="both"/>
        <w:rPr>
          <w:rFonts w:eastAsia="Calibri"/>
          <w:iCs/>
          <w:lang w:eastAsia="en-US"/>
        </w:rPr>
      </w:pPr>
      <w:r w:rsidRPr="00510528">
        <w:rPr>
          <w:rFonts w:eastAsia="Calibri"/>
          <w:iCs/>
          <w:lang w:eastAsia="en-US"/>
        </w:rPr>
        <w:t xml:space="preserve">Postupci započeti po odredbama Pravilnika o uvjetima, kriterijima i načinu dodjele potpore u okviru </w:t>
      </w:r>
      <w:r w:rsidR="003A0C48" w:rsidRPr="00510528">
        <w:rPr>
          <w:color w:val="000000"/>
        </w:rPr>
        <w:t>mjere I.20. „Energetska učinkovitost i ublažavanje klimatskih promjena“</w:t>
      </w:r>
      <w:r w:rsidR="003A0C48" w:rsidRPr="00510528">
        <w:rPr>
          <w:rFonts w:eastAsia="Calibri"/>
          <w:iCs/>
          <w:lang w:eastAsia="en-US"/>
        </w:rPr>
        <w:t xml:space="preserve"> </w:t>
      </w:r>
      <w:r w:rsidRPr="00510528">
        <w:rPr>
          <w:rFonts w:eastAsia="Calibri"/>
          <w:iCs/>
          <w:lang w:eastAsia="en-US"/>
        </w:rPr>
        <w:t xml:space="preserve">(„Narodne novine“, broj </w:t>
      </w:r>
      <w:r w:rsidR="003A0C48" w:rsidRPr="00510528">
        <w:rPr>
          <w:rFonts w:eastAsia="Calibri"/>
          <w:lang w:eastAsia="en-US"/>
        </w:rPr>
        <w:t>88/2016</w:t>
      </w:r>
      <w:r w:rsidRPr="00510528">
        <w:rPr>
          <w:rFonts w:eastAsia="Calibri"/>
          <w:iCs/>
          <w:lang w:eastAsia="en-US"/>
        </w:rPr>
        <w:t>), dovršit će se po odredbama toga Pravilnika.</w:t>
      </w:r>
    </w:p>
    <w:p w:rsidR="00AD0F07" w:rsidRPr="00510528" w:rsidRDefault="00AD0F07" w:rsidP="00AD0F07">
      <w:pPr>
        <w:keepNext/>
        <w:keepLines/>
        <w:spacing w:after="120"/>
        <w:jc w:val="center"/>
        <w:outlineLvl w:val="0"/>
        <w:rPr>
          <w:bCs/>
          <w:i/>
          <w:szCs w:val="28"/>
          <w:lang w:eastAsia="en-US"/>
        </w:rPr>
      </w:pPr>
    </w:p>
    <w:p w:rsidR="00C50CB0" w:rsidRPr="00510528" w:rsidRDefault="00C50CB0" w:rsidP="00AD0F07">
      <w:pPr>
        <w:keepNext/>
        <w:keepLines/>
        <w:spacing w:after="120"/>
        <w:jc w:val="center"/>
        <w:outlineLvl w:val="0"/>
        <w:rPr>
          <w:bCs/>
          <w:i/>
          <w:szCs w:val="28"/>
          <w:lang w:eastAsia="en-US"/>
        </w:rPr>
      </w:pPr>
      <w:r w:rsidRPr="00510528">
        <w:rPr>
          <w:bCs/>
          <w:i/>
          <w:szCs w:val="28"/>
          <w:lang w:eastAsia="en-US"/>
        </w:rPr>
        <w:t>Prestanak važenja propisa</w:t>
      </w:r>
    </w:p>
    <w:p w:rsidR="00DB0E0F" w:rsidRPr="00510528" w:rsidRDefault="00DB0E0F" w:rsidP="00DB0E0F">
      <w:pPr>
        <w:autoSpaceDE w:val="0"/>
        <w:autoSpaceDN w:val="0"/>
        <w:spacing w:after="120"/>
        <w:jc w:val="center"/>
      </w:pPr>
      <w:r w:rsidRPr="00510528">
        <w:t xml:space="preserve">Članak </w:t>
      </w:r>
      <w:r w:rsidR="008B4649" w:rsidRPr="00510528">
        <w:t>30</w:t>
      </w:r>
      <w:r w:rsidRPr="00510528">
        <w:t>.</w:t>
      </w:r>
    </w:p>
    <w:p w:rsidR="00AD0F07" w:rsidRPr="00510528" w:rsidRDefault="001E79CF" w:rsidP="00AD0F07">
      <w:pPr>
        <w:autoSpaceDE w:val="0"/>
        <w:autoSpaceDN w:val="0"/>
        <w:spacing w:after="120"/>
        <w:jc w:val="both"/>
        <w:rPr>
          <w:rFonts w:eastAsia="Calibri"/>
          <w:lang w:eastAsia="en-US"/>
        </w:rPr>
      </w:pPr>
      <w:r w:rsidRPr="00510528">
        <w:rPr>
          <w:rFonts w:eastAsia="Calibri"/>
          <w:lang w:eastAsia="en-US"/>
        </w:rPr>
        <w:t>Danom stupanja na snagu ovoga Pravilnika prestaje važiti Pravilnik o uvjetima, kriterijima i načinu dodjele potpore u okviru mjere I</w:t>
      </w:r>
      <w:r w:rsidR="00250031" w:rsidRPr="00510528">
        <w:rPr>
          <w:rFonts w:eastAsia="Calibri"/>
          <w:lang w:eastAsia="en-US"/>
        </w:rPr>
        <w:t>.20. „</w:t>
      </w:r>
      <w:r w:rsidRPr="00510528">
        <w:rPr>
          <w:rFonts w:eastAsia="Calibri"/>
          <w:lang w:eastAsia="en-US"/>
        </w:rPr>
        <w:t>Energetska učinkovitost i ublažavanje klimatskih promjena</w:t>
      </w:r>
      <w:r w:rsidR="00250031" w:rsidRPr="00510528">
        <w:rPr>
          <w:rFonts w:eastAsia="Calibri"/>
          <w:lang w:eastAsia="en-US"/>
        </w:rPr>
        <w:t>“</w:t>
      </w:r>
      <w:r w:rsidRPr="00510528">
        <w:rPr>
          <w:rFonts w:eastAsia="Calibri"/>
          <w:lang w:eastAsia="en-US"/>
        </w:rPr>
        <w:t xml:space="preserve"> (</w:t>
      </w:r>
      <w:r w:rsidR="008A7C3C" w:rsidRPr="00510528">
        <w:rPr>
          <w:rFonts w:eastAsia="Calibri"/>
          <w:lang w:eastAsia="en-US"/>
        </w:rPr>
        <w:t>„</w:t>
      </w:r>
      <w:r w:rsidRPr="00510528">
        <w:rPr>
          <w:rFonts w:eastAsia="Calibri"/>
          <w:lang w:eastAsia="en-US"/>
        </w:rPr>
        <w:t>Narodne novine</w:t>
      </w:r>
      <w:r w:rsidR="008A7C3C" w:rsidRPr="00510528">
        <w:rPr>
          <w:rFonts w:eastAsia="Calibri"/>
          <w:lang w:eastAsia="en-US"/>
        </w:rPr>
        <w:t>“</w:t>
      </w:r>
      <w:r w:rsidRPr="00510528">
        <w:rPr>
          <w:rFonts w:eastAsia="Calibri"/>
          <w:lang w:eastAsia="en-US"/>
        </w:rPr>
        <w:t>, broj 88/</w:t>
      </w:r>
      <w:r w:rsidR="00250031" w:rsidRPr="00510528">
        <w:rPr>
          <w:rFonts w:eastAsia="Calibri"/>
          <w:lang w:eastAsia="en-US"/>
        </w:rPr>
        <w:t>20</w:t>
      </w:r>
      <w:r w:rsidRPr="00510528">
        <w:rPr>
          <w:rFonts w:eastAsia="Calibri"/>
          <w:lang w:eastAsia="en-US"/>
        </w:rPr>
        <w:t>16).</w:t>
      </w:r>
    </w:p>
    <w:p w:rsidR="00AD0F07" w:rsidRPr="00510528" w:rsidRDefault="00AD0F07" w:rsidP="00AD0F07">
      <w:pPr>
        <w:autoSpaceDE w:val="0"/>
        <w:autoSpaceDN w:val="0"/>
        <w:spacing w:after="120"/>
        <w:jc w:val="center"/>
        <w:rPr>
          <w:bCs/>
          <w:i/>
          <w:szCs w:val="28"/>
          <w:lang w:eastAsia="en-US"/>
        </w:rPr>
      </w:pPr>
    </w:p>
    <w:p w:rsidR="00AD0F07" w:rsidRPr="00510528" w:rsidRDefault="00C50CB0" w:rsidP="00AD0F07">
      <w:pPr>
        <w:autoSpaceDE w:val="0"/>
        <w:autoSpaceDN w:val="0"/>
        <w:spacing w:after="120"/>
        <w:jc w:val="center"/>
        <w:rPr>
          <w:bCs/>
          <w:i/>
          <w:szCs w:val="28"/>
          <w:lang w:eastAsia="en-US"/>
        </w:rPr>
      </w:pPr>
      <w:r w:rsidRPr="00510528">
        <w:rPr>
          <w:bCs/>
          <w:i/>
          <w:szCs w:val="28"/>
          <w:lang w:eastAsia="en-US"/>
        </w:rPr>
        <w:t>Stupanje na snagu</w:t>
      </w:r>
    </w:p>
    <w:p w:rsidR="001E79CF" w:rsidRPr="00510528" w:rsidRDefault="001E79CF" w:rsidP="00AD0F07">
      <w:pPr>
        <w:autoSpaceDE w:val="0"/>
        <w:autoSpaceDN w:val="0"/>
        <w:spacing w:after="120"/>
        <w:jc w:val="center"/>
      </w:pPr>
      <w:r w:rsidRPr="00510528">
        <w:t>Članak 3</w:t>
      </w:r>
      <w:r w:rsidR="00361331" w:rsidRPr="00510528">
        <w:t>1</w:t>
      </w:r>
      <w:r w:rsidRPr="00510528">
        <w:t>.</w:t>
      </w:r>
    </w:p>
    <w:p w:rsidR="00DB0E0F" w:rsidRPr="00510528" w:rsidRDefault="00DB0E0F" w:rsidP="00A663C8">
      <w:pPr>
        <w:autoSpaceDE w:val="0"/>
        <w:autoSpaceDN w:val="0"/>
        <w:spacing w:after="240"/>
        <w:jc w:val="both"/>
      </w:pPr>
      <w:r w:rsidRPr="00510528">
        <w:t>Ovaj Pravilnik stupa na snagu dan</w:t>
      </w:r>
      <w:r w:rsidR="004E6DF5" w:rsidRPr="00510528">
        <w:t xml:space="preserve"> nakon</w:t>
      </w:r>
      <w:r w:rsidRPr="00510528">
        <w:t xml:space="preserve"> objave u „Narodnim novinama“. </w:t>
      </w:r>
    </w:p>
    <w:p w:rsidR="00DB0E0F" w:rsidRPr="00510528" w:rsidRDefault="00DB0E0F" w:rsidP="00DB0E0F">
      <w:pPr>
        <w:autoSpaceDE w:val="0"/>
        <w:autoSpaceDN w:val="0"/>
        <w:spacing w:after="120"/>
        <w:contextualSpacing/>
        <w:jc w:val="both"/>
      </w:pPr>
      <w:r w:rsidRPr="00510528">
        <w:t xml:space="preserve">KLASA: </w:t>
      </w:r>
    </w:p>
    <w:p w:rsidR="00DB0E0F" w:rsidRPr="00510528" w:rsidRDefault="00DB0E0F" w:rsidP="00DB0E0F">
      <w:pPr>
        <w:autoSpaceDE w:val="0"/>
        <w:autoSpaceDN w:val="0"/>
        <w:spacing w:after="120"/>
        <w:contextualSpacing/>
        <w:jc w:val="both"/>
      </w:pPr>
      <w:r w:rsidRPr="00510528">
        <w:t xml:space="preserve">URBROJ: </w:t>
      </w:r>
    </w:p>
    <w:p w:rsidR="00DB0E0F" w:rsidRPr="00510528" w:rsidRDefault="00AD0F07" w:rsidP="00DB0E0F">
      <w:pPr>
        <w:autoSpaceDE w:val="0"/>
        <w:autoSpaceDN w:val="0"/>
        <w:spacing w:after="120"/>
        <w:contextualSpacing/>
        <w:jc w:val="both"/>
      </w:pPr>
      <w:r w:rsidRPr="00510528">
        <w:t>Zagreb,</w:t>
      </w:r>
    </w:p>
    <w:p w:rsidR="00DB0E0F" w:rsidRPr="00510528" w:rsidRDefault="00DB0E0F" w:rsidP="00DB0E0F">
      <w:pPr>
        <w:autoSpaceDE w:val="0"/>
        <w:autoSpaceDN w:val="0"/>
        <w:spacing w:after="120"/>
        <w:ind w:left="4395" w:hanging="6"/>
        <w:jc w:val="center"/>
        <w:rPr>
          <w:b/>
        </w:rPr>
      </w:pPr>
    </w:p>
    <w:p w:rsidR="00DB0E0F" w:rsidRPr="00510528" w:rsidRDefault="00550BB6" w:rsidP="002C4D0B">
      <w:pPr>
        <w:autoSpaceDE w:val="0"/>
        <w:autoSpaceDN w:val="0"/>
        <w:spacing w:after="120"/>
        <w:ind w:left="3969" w:hanging="6"/>
        <w:jc w:val="center"/>
        <w:rPr>
          <w:b/>
        </w:rPr>
      </w:pPr>
      <w:r w:rsidRPr="00510528">
        <w:rPr>
          <w:b/>
        </w:rPr>
        <w:t>POTPREDSJEDNIK VLADE REPUBLIKE HRVATSKE I MINISTAR POLJOPRIVREDE</w:t>
      </w:r>
    </w:p>
    <w:p w:rsidR="00DB0E0F" w:rsidRPr="00510528" w:rsidRDefault="00DB0E0F" w:rsidP="002C4D0B">
      <w:pPr>
        <w:autoSpaceDE w:val="0"/>
        <w:autoSpaceDN w:val="0"/>
        <w:spacing w:after="120"/>
        <w:ind w:left="3969" w:hanging="6"/>
        <w:jc w:val="center"/>
        <w:rPr>
          <w:b/>
        </w:rPr>
      </w:pPr>
    </w:p>
    <w:p w:rsidR="001E79CF" w:rsidRPr="00510528" w:rsidRDefault="001E79CF" w:rsidP="002C4D0B">
      <w:pPr>
        <w:spacing w:after="120"/>
        <w:ind w:left="3969"/>
        <w:jc w:val="center"/>
        <w:rPr>
          <w:rFonts w:eastAsia="Calibri"/>
          <w:b/>
          <w:lang w:eastAsia="en-US"/>
        </w:rPr>
      </w:pPr>
      <w:r w:rsidRPr="00510528">
        <w:rPr>
          <w:rFonts w:eastAsia="Calibri"/>
          <w:b/>
          <w:lang w:eastAsia="en-US"/>
        </w:rPr>
        <w:t>Tomislav Tolušić, dipl. iur.</w:t>
      </w:r>
    </w:p>
    <w:p w:rsidR="002C4D0B" w:rsidRPr="00510528" w:rsidRDefault="00DB0E0F" w:rsidP="002C4D0B">
      <w:pPr>
        <w:spacing w:after="120"/>
        <w:jc w:val="center"/>
        <w:rPr>
          <w:rFonts w:eastAsia="Calibri"/>
          <w:b/>
          <w:bCs/>
          <w:color w:val="000000"/>
          <w:szCs w:val="28"/>
          <w:lang w:eastAsia="en-US"/>
        </w:rPr>
      </w:pPr>
      <w:r w:rsidRPr="00510528">
        <w:br w:type="page"/>
      </w:r>
      <w:r w:rsidR="003E16DD" w:rsidRPr="00510528">
        <w:rPr>
          <w:rFonts w:eastAsia="Calibri"/>
          <w:b/>
          <w:bCs/>
          <w:color w:val="000000"/>
          <w:szCs w:val="28"/>
          <w:lang w:eastAsia="en-US"/>
        </w:rPr>
        <w:lastRenderedPageBreak/>
        <w:t>Prilog</w:t>
      </w:r>
      <w:r w:rsidRPr="00510528">
        <w:rPr>
          <w:rFonts w:eastAsia="Calibri"/>
          <w:b/>
          <w:bCs/>
          <w:color w:val="000000"/>
          <w:szCs w:val="28"/>
          <w:lang w:eastAsia="en-US"/>
        </w:rPr>
        <w:t xml:space="preserve"> I.</w:t>
      </w:r>
    </w:p>
    <w:p w:rsidR="00DB0E0F" w:rsidRDefault="00DB0E0F" w:rsidP="002C4D0B">
      <w:pPr>
        <w:spacing w:after="120"/>
        <w:jc w:val="center"/>
        <w:rPr>
          <w:rFonts w:eastAsia="Calibri"/>
          <w:lang w:eastAsia="en-US"/>
        </w:rPr>
      </w:pPr>
      <w:r w:rsidRPr="00510528">
        <w:rPr>
          <w:rFonts w:eastAsia="Calibri"/>
          <w:bCs/>
          <w:color w:val="000000"/>
          <w:szCs w:val="28"/>
          <w:lang w:eastAsia="en-US"/>
        </w:rPr>
        <w:t>Kriteriji za odabir</w:t>
      </w:r>
      <w:r w:rsidR="003E16DD" w:rsidRPr="00510528">
        <w:rPr>
          <w:rFonts w:eastAsia="Calibri"/>
          <w:bCs/>
          <w:color w:val="000000"/>
          <w:szCs w:val="28"/>
          <w:lang w:eastAsia="en-US"/>
        </w:rPr>
        <w:t xml:space="preserve"> </w:t>
      </w:r>
      <w:r w:rsidRPr="00510528">
        <w:rPr>
          <w:rFonts w:eastAsia="Calibri"/>
          <w:lang w:eastAsia="en-US"/>
        </w:rPr>
        <w:t xml:space="preserve">u okviru </w:t>
      </w:r>
      <w:r w:rsidRPr="00510528">
        <w:rPr>
          <w:rFonts w:eastAsia="Calibri"/>
          <w:i/>
          <w:lang w:eastAsia="en-US"/>
        </w:rPr>
        <w:t xml:space="preserve">mjere I.20. </w:t>
      </w:r>
      <w:r w:rsidR="00550BB6" w:rsidRPr="00510528">
        <w:rPr>
          <w:rFonts w:eastAsia="Calibri"/>
          <w:i/>
          <w:lang w:eastAsia="en-US"/>
        </w:rPr>
        <w:t>„</w:t>
      </w:r>
      <w:r w:rsidRPr="00510528">
        <w:rPr>
          <w:rFonts w:eastAsia="Calibri"/>
          <w:i/>
          <w:lang w:eastAsia="en-US"/>
        </w:rPr>
        <w:t>Energetska učinkovitost i ublažavanje klimatskih promjena</w:t>
      </w:r>
      <w:r w:rsidR="00550BB6" w:rsidRPr="00510528">
        <w:rPr>
          <w:rFonts w:eastAsia="Calibri"/>
          <w:i/>
          <w:lang w:eastAsia="en-US"/>
        </w:rPr>
        <w:t>“</w:t>
      </w:r>
      <w:r w:rsidRPr="00510528">
        <w:rPr>
          <w:rFonts w:eastAsia="Calibri"/>
          <w:i/>
          <w:lang w:eastAsia="en-US"/>
        </w:rPr>
        <w:t xml:space="preserve"> </w:t>
      </w:r>
      <w:r w:rsidRPr="00510528">
        <w:rPr>
          <w:rFonts w:eastAsia="Calibri"/>
          <w:lang w:eastAsia="en-US"/>
        </w:rPr>
        <w:t>u okviru Operativnog programa za pomorstvo i ribarstvo Republike Hrvatske za programsko razdoblje 2014.-2020.</w:t>
      </w:r>
    </w:p>
    <w:p w:rsidR="004F51A9" w:rsidRPr="00243B74" w:rsidRDefault="004F51A9" w:rsidP="004F51A9">
      <w:pPr>
        <w:spacing w:after="240"/>
        <w:jc w:val="both"/>
        <w:rPr>
          <w:i/>
          <w:iCs/>
          <w:lang w:eastAsia="en-US"/>
        </w:rPr>
      </w:pPr>
      <w:r w:rsidRPr="00243B74">
        <w:rPr>
          <w:b/>
          <w:bCs/>
          <w:i/>
          <w:iCs/>
        </w:rPr>
        <w:t>NAPOMENA:</w:t>
      </w:r>
      <w:r w:rsidRPr="00243B74">
        <w:rPr>
          <w:i/>
          <w:iCs/>
        </w:rPr>
        <w:t xml:space="preserve"> Kriteriji za odabir odobreni su od strane Odbora za praćenje Operativnog programa za pomorstvo i ribarstvo Republike Hrvatske za programsko razdoblje 2014.-2020. i nije ih moguće mijenjati, tj. nisu predmet savjetovanja sa zainteresiranom javnošću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0"/>
        <w:gridCol w:w="1190"/>
      </w:tblGrid>
      <w:tr w:rsidR="00DB0E0F" w:rsidRPr="00510528" w:rsidTr="005A0D6C">
        <w:trPr>
          <w:trHeight w:val="333"/>
        </w:trPr>
        <w:tc>
          <w:tcPr>
            <w:tcW w:w="799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B0E0F" w:rsidRPr="00510528" w:rsidRDefault="00DB0E0F" w:rsidP="005A0D6C">
            <w:pPr>
              <w:spacing w:before="40" w:after="40"/>
              <w:jc w:val="center"/>
              <w:rPr>
                <w:rFonts w:eastAsia="Calibri"/>
                <w:b/>
                <w:lang w:eastAsia="en-US"/>
              </w:rPr>
            </w:pPr>
            <w:r w:rsidRPr="00510528">
              <w:rPr>
                <w:rFonts w:eastAsia="Calibri"/>
                <w:b/>
                <w:lang w:eastAsia="en-US"/>
              </w:rPr>
              <w:t>KRITERIJI</w:t>
            </w:r>
          </w:p>
        </w:tc>
        <w:tc>
          <w:tcPr>
            <w:tcW w:w="119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B0E0F" w:rsidRPr="00510528" w:rsidRDefault="00DB0E0F" w:rsidP="005A0D6C">
            <w:pPr>
              <w:spacing w:before="40" w:after="40"/>
              <w:jc w:val="center"/>
              <w:rPr>
                <w:rFonts w:eastAsia="Calibri"/>
                <w:b/>
                <w:lang w:eastAsia="en-US"/>
              </w:rPr>
            </w:pPr>
            <w:r w:rsidRPr="00510528">
              <w:rPr>
                <w:rFonts w:eastAsia="Calibri"/>
                <w:b/>
                <w:lang w:eastAsia="en-US"/>
              </w:rPr>
              <w:t>BODOVI</w:t>
            </w:r>
          </w:p>
        </w:tc>
      </w:tr>
      <w:tr w:rsidR="00DB0E0F" w:rsidRPr="00510528" w:rsidTr="005A0D6C">
        <w:tc>
          <w:tcPr>
            <w:tcW w:w="9180"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rsidR="00DB0E0F" w:rsidRPr="00510528" w:rsidRDefault="00DB0E0F" w:rsidP="005A0D6C">
            <w:pPr>
              <w:numPr>
                <w:ilvl w:val="0"/>
                <w:numId w:val="53"/>
              </w:numPr>
              <w:spacing w:before="40" w:after="40"/>
              <w:ind w:left="459" w:hanging="425"/>
              <w:rPr>
                <w:rFonts w:eastAsia="Calibri"/>
                <w:b/>
                <w:lang w:eastAsia="en-US"/>
              </w:rPr>
            </w:pPr>
            <w:r w:rsidRPr="00510528">
              <w:rPr>
                <w:rFonts w:eastAsia="Calibri"/>
                <w:b/>
                <w:lang w:eastAsia="en-US"/>
              </w:rPr>
              <w:t>Starost plovila* (najviše 6 bodova)</w:t>
            </w:r>
          </w:p>
        </w:tc>
      </w:tr>
      <w:tr w:rsidR="00DB0E0F" w:rsidRPr="00510528" w:rsidTr="005A0D6C">
        <w:tc>
          <w:tcPr>
            <w:tcW w:w="7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0E0F" w:rsidRPr="00510528" w:rsidRDefault="00DB0E0F" w:rsidP="005A0D6C">
            <w:pPr>
              <w:numPr>
                <w:ilvl w:val="1"/>
                <w:numId w:val="54"/>
              </w:numPr>
              <w:spacing w:before="40" w:after="40"/>
              <w:rPr>
                <w:rFonts w:eastAsia="Calibri"/>
                <w:i/>
                <w:lang w:eastAsia="en-US"/>
              </w:rPr>
            </w:pPr>
            <w:r w:rsidRPr="00510528">
              <w:rPr>
                <w:rFonts w:eastAsia="Calibri"/>
                <w:i/>
                <w:lang w:eastAsia="en-US"/>
              </w:rPr>
              <w:t>&gt;30 godina</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0E0F" w:rsidRPr="00510528" w:rsidRDefault="00DB0E0F" w:rsidP="005A0D6C">
            <w:pPr>
              <w:spacing w:before="40" w:after="40"/>
              <w:jc w:val="center"/>
              <w:rPr>
                <w:rFonts w:eastAsia="Calibri"/>
                <w:b/>
                <w:lang w:eastAsia="en-US"/>
              </w:rPr>
            </w:pPr>
            <w:r w:rsidRPr="00510528">
              <w:rPr>
                <w:rFonts w:eastAsia="Calibri"/>
                <w:b/>
                <w:lang w:eastAsia="en-US"/>
              </w:rPr>
              <w:t>6</w:t>
            </w:r>
          </w:p>
        </w:tc>
      </w:tr>
      <w:tr w:rsidR="00DB0E0F" w:rsidRPr="00510528" w:rsidTr="005A0D6C">
        <w:tc>
          <w:tcPr>
            <w:tcW w:w="7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0E0F" w:rsidRPr="00510528" w:rsidRDefault="00DB0E0F" w:rsidP="005A0D6C">
            <w:pPr>
              <w:numPr>
                <w:ilvl w:val="1"/>
                <w:numId w:val="54"/>
              </w:numPr>
              <w:spacing w:before="40" w:after="40"/>
              <w:rPr>
                <w:rFonts w:eastAsia="Calibri"/>
                <w:i/>
                <w:lang w:eastAsia="en-US"/>
              </w:rPr>
            </w:pPr>
            <w:r w:rsidRPr="00510528">
              <w:rPr>
                <w:rFonts w:eastAsia="Calibri"/>
                <w:i/>
                <w:lang w:eastAsia="en-US"/>
              </w:rPr>
              <w:t>≥15≤30 godina</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0E0F" w:rsidRPr="00510528" w:rsidRDefault="00DB0E0F" w:rsidP="005A0D6C">
            <w:pPr>
              <w:spacing w:before="40" w:after="40"/>
              <w:jc w:val="center"/>
              <w:rPr>
                <w:rFonts w:eastAsia="Calibri"/>
                <w:b/>
                <w:lang w:eastAsia="en-US"/>
              </w:rPr>
            </w:pPr>
            <w:r w:rsidRPr="00510528">
              <w:rPr>
                <w:rFonts w:eastAsia="Calibri"/>
                <w:b/>
                <w:lang w:eastAsia="en-US"/>
              </w:rPr>
              <w:t>4</w:t>
            </w:r>
          </w:p>
        </w:tc>
      </w:tr>
      <w:tr w:rsidR="00DB0E0F" w:rsidRPr="00510528" w:rsidTr="005A0D6C">
        <w:tc>
          <w:tcPr>
            <w:tcW w:w="7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0E0F" w:rsidRPr="00510528" w:rsidRDefault="00DB0E0F" w:rsidP="005A0D6C">
            <w:pPr>
              <w:numPr>
                <w:ilvl w:val="1"/>
                <w:numId w:val="54"/>
              </w:numPr>
              <w:spacing w:before="40" w:after="40"/>
              <w:rPr>
                <w:rFonts w:eastAsia="Calibri"/>
                <w:i/>
                <w:lang w:eastAsia="en-US"/>
              </w:rPr>
            </w:pPr>
            <w:r w:rsidRPr="00510528">
              <w:rPr>
                <w:rFonts w:eastAsia="Calibri"/>
                <w:i/>
                <w:lang w:eastAsia="en-US"/>
              </w:rPr>
              <w:t>&lt;15 godina</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0E0F" w:rsidRPr="00510528" w:rsidRDefault="00DB0E0F" w:rsidP="005A0D6C">
            <w:pPr>
              <w:spacing w:before="40" w:after="40"/>
              <w:jc w:val="center"/>
              <w:rPr>
                <w:rFonts w:eastAsia="Calibri"/>
                <w:b/>
                <w:lang w:eastAsia="en-US"/>
              </w:rPr>
            </w:pPr>
            <w:r w:rsidRPr="00510528">
              <w:rPr>
                <w:rFonts w:eastAsia="Calibri"/>
                <w:b/>
                <w:lang w:eastAsia="en-US"/>
              </w:rPr>
              <w:t>2</w:t>
            </w:r>
          </w:p>
        </w:tc>
      </w:tr>
      <w:tr w:rsidR="00DB0E0F" w:rsidRPr="00510528" w:rsidTr="005A0D6C">
        <w:tc>
          <w:tcPr>
            <w:tcW w:w="9180"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rsidR="00DB0E0F" w:rsidRPr="00510528" w:rsidRDefault="00DB0E0F" w:rsidP="005A0D6C">
            <w:pPr>
              <w:numPr>
                <w:ilvl w:val="0"/>
                <w:numId w:val="53"/>
              </w:numPr>
              <w:spacing w:before="40" w:after="40"/>
              <w:ind w:left="459" w:hanging="425"/>
              <w:jc w:val="both"/>
              <w:rPr>
                <w:rFonts w:eastAsia="Calibri"/>
                <w:b/>
                <w:lang w:eastAsia="en-US"/>
              </w:rPr>
            </w:pPr>
            <w:r w:rsidRPr="00510528">
              <w:rPr>
                <w:rFonts w:eastAsia="Calibri"/>
                <w:b/>
                <w:lang w:eastAsia="en-US"/>
              </w:rPr>
              <w:t>Ukupna ribolovna aktivnost u razdoblju od dvije kalendarske godine koje prethode godini podnošenja Zahtjeva za potporu (najviše 6 bodova)</w:t>
            </w:r>
          </w:p>
        </w:tc>
      </w:tr>
      <w:tr w:rsidR="00DB0E0F" w:rsidRPr="00510528" w:rsidTr="005A0D6C">
        <w:tc>
          <w:tcPr>
            <w:tcW w:w="7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0E0F" w:rsidRPr="00510528" w:rsidRDefault="00DB0E0F" w:rsidP="005A0D6C">
            <w:pPr>
              <w:numPr>
                <w:ilvl w:val="1"/>
                <w:numId w:val="53"/>
              </w:numPr>
              <w:spacing w:before="40" w:after="40"/>
              <w:ind w:left="459" w:hanging="425"/>
              <w:rPr>
                <w:rFonts w:eastAsia="Calibri"/>
                <w:i/>
                <w:lang w:eastAsia="en-US"/>
              </w:rPr>
            </w:pPr>
            <w:r w:rsidRPr="00510528">
              <w:rPr>
                <w:rFonts w:eastAsia="Calibri"/>
                <w:i/>
                <w:lang w:eastAsia="en-US"/>
              </w:rPr>
              <w:t xml:space="preserve"> &gt; 100 ribolovnih dana</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0E0F" w:rsidRPr="00510528" w:rsidRDefault="00DB0E0F" w:rsidP="005A0D6C">
            <w:pPr>
              <w:spacing w:before="40" w:after="40"/>
              <w:jc w:val="center"/>
              <w:rPr>
                <w:rFonts w:eastAsia="Calibri"/>
                <w:b/>
                <w:lang w:eastAsia="en-US"/>
              </w:rPr>
            </w:pPr>
            <w:r w:rsidRPr="00510528">
              <w:rPr>
                <w:rFonts w:eastAsia="Calibri"/>
                <w:b/>
                <w:lang w:eastAsia="en-US"/>
              </w:rPr>
              <w:t>6</w:t>
            </w:r>
          </w:p>
        </w:tc>
      </w:tr>
      <w:tr w:rsidR="00DB0E0F" w:rsidRPr="00510528" w:rsidTr="005A0D6C">
        <w:tc>
          <w:tcPr>
            <w:tcW w:w="7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0E0F" w:rsidRPr="00510528" w:rsidRDefault="00DB0E0F" w:rsidP="005A0D6C">
            <w:pPr>
              <w:numPr>
                <w:ilvl w:val="1"/>
                <w:numId w:val="53"/>
              </w:numPr>
              <w:spacing w:before="40" w:after="40"/>
              <w:ind w:left="459" w:hanging="425"/>
              <w:rPr>
                <w:rFonts w:eastAsia="Calibri"/>
                <w:i/>
                <w:lang w:eastAsia="en-US"/>
              </w:rPr>
            </w:pPr>
            <w:r w:rsidRPr="00510528">
              <w:rPr>
                <w:rFonts w:eastAsia="Calibri"/>
                <w:i/>
                <w:lang w:eastAsia="en-US"/>
              </w:rPr>
              <w:t xml:space="preserve"> &gt; 80 ≤ 100 ribolovnih dana</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0E0F" w:rsidRPr="00510528" w:rsidRDefault="00DB0E0F" w:rsidP="005A0D6C">
            <w:pPr>
              <w:spacing w:before="40" w:after="40"/>
              <w:jc w:val="center"/>
              <w:rPr>
                <w:rFonts w:eastAsia="Calibri"/>
                <w:b/>
                <w:lang w:eastAsia="en-US"/>
              </w:rPr>
            </w:pPr>
            <w:r w:rsidRPr="00510528">
              <w:rPr>
                <w:rFonts w:eastAsia="Calibri"/>
                <w:b/>
                <w:lang w:eastAsia="en-US"/>
              </w:rPr>
              <w:t>4</w:t>
            </w:r>
          </w:p>
        </w:tc>
      </w:tr>
      <w:tr w:rsidR="00DB0E0F" w:rsidRPr="00510528" w:rsidTr="005A0D6C">
        <w:tc>
          <w:tcPr>
            <w:tcW w:w="7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0E0F" w:rsidRPr="00510528" w:rsidRDefault="00DB0E0F" w:rsidP="005A0D6C">
            <w:pPr>
              <w:numPr>
                <w:ilvl w:val="1"/>
                <w:numId w:val="53"/>
              </w:numPr>
              <w:spacing w:before="40" w:after="40"/>
              <w:ind w:left="459" w:hanging="425"/>
              <w:rPr>
                <w:rFonts w:eastAsia="Calibri"/>
                <w:i/>
                <w:lang w:eastAsia="en-US"/>
              </w:rPr>
            </w:pPr>
            <w:r w:rsidRPr="00510528">
              <w:rPr>
                <w:rFonts w:eastAsia="Calibri"/>
                <w:i/>
                <w:lang w:eastAsia="en-US"/>
              </w:rPr>
              <w:t xml:space="preserve"> ≥ 60 ≤ 80 ribolovnih dana</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0E0F" w:rsidRPr="00510528" w:rsidRDefault="00DB0E0F" w:rsidP="005A0D6C">
            <w:pPr>
              <w:spacing w:before="40" w:after="40"/>
              <w:jc w:val="center"/>
              <w:rPr>
                <w:rFonts w:eastAsia="Calibri"/>
                <w:b/>
                <w:lang w:eastAsia="en-US"/>
              </w:rPr>
            </w:pPr>
            <w:r w:rsidRPr="00510528">
              <w:rPr>
                <w:rFonts w:eastAsia="Calibri"/>
                <w:b/>
                <w:lang w:eastAsia="en-US"/>
              </w:rPr>
              <w:t>2</w:t>
            </w:r>
          </w:p>
        </w:tc>
      </w:tr>
      <w:tr w:rsidR="00DB0E0F" w:rsidRPr="00510528" w:rsidTr="005A0D6C">
        <w:tc>
          <w:tcPr>
            <w:tcW w:w="9180"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rsidR="00DB0E0F" w:rsidRPr="00510528" w:rsidRDefault="00DB0E0F" w:rsidP="005A0D6C">
            <w:pPr>
              <w:numPr>
                <w:ilvl w:val="0"/>
                <w:numId w:val="53"/>
              </w:numPr>
              <w:spacing w:before="40" w:after="40"/>
              <w:ind w:left="459" w:hanging="459"/>
              <w:rPr>
                <w:rFonts w:eastAsia="Calibri"/>
                <w:b/>
                <w:lang w:eastAsia="en-US"/>
              </w:rPr>
            </w:pPr>
            <w:r w:rsidRPr="00510528">
              <w:rPr>
                <w:rFonts w:eastAsia="Calibri"/>
                <w:b/>
                <w:lang w:eastAsia="en-US"/>
              </w:rPr>
              <w:t>Tip operacije (najviše 6 bodova)</w:t>
            </w:r>
          </w:p>
        </w:tc>
      </w:tr>
      <w:tr w:rsidR="00DB0E0F" w:rsidRPr="00510528" w:rsidTr="005A0D6C">
        <w:tc>
          <w:tcPr>
            <w:tcW w:w="7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0E0F" w:rsidRPr="00510528" w:rsidRDefault="00DB0E0F" w:rsidP="005A0D6C">
            <w:pPr>
              <w:numPr>
                <w:ilvl w:val="1"/>
                <w:numId w:val="55"/>
              </w:numPr>
              <w:spacing w:before="40" w:after="40"/>
              <w:ind w:left="459" w:hanging="459"/>
              <w:jc w:val="both"/>
              <w:rPr>
                <w:rFonts w:eastAsia="Calibri"/>
                <w:i/>
                <w:lang w:eastAsia="en-US"/>
              </w:rPr>
            </w:pPr>
            <w:r w:rsidRPr="00510528">
              <w:rPr>
                <w:rFonts w:eastAsia="Calibri"/>
                <w:i/>
                <w:lang w:eastAsia="en-US"/>
              </w:rPr>
              <w:t>Ulaganja u opremu ili plovilo s ciljem poboljšanja pogonskog sustava plovila (isključujući pogonski stroj)</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0E0F" w:rsidRPr="00510528" w:rsidRDefault="00DB0E0F" w:rsidP="005A0D6C">
            <w:pPr>
              <w:spacing w:before="40" w:after="40"/>
              <w:jc w:val="center"/>
              <w:rPr>
                <w:rFonts w:eastAsia="Calibri"/>
                <w:b/>
                <w:lang w:eastAsia="en-US"/>
              </w:rPr>
            </w:pPr>
            <w:r w:rsidRPr="00510528">
              <w:rPr>
                <w:rFonts w:eastAsia="Calibri"/>
                <w:b/>
                <w:lang w:eastAsia="en-US"/>
              </w:rPr>
              <w:t>6</w:t>
            </w:r>
          </w:p>
        </w:tc>
      </w:tr>
      <w:tr w:rsidR="00DB0E0F" w:rsidRPr="00510528" w:rsidTr="005A0D6C">
        <w:tc>
          <w:tcPr>
            <w:tcW w:w="7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0E0F" w:rsidRPr="00510528" w:rsidRDefault="00DB0E0F" w:rsidP="005A0D6C">
            <w:pPr>
              <w:numPr>
                <w:ilvl w:val="1"/>
                <w:numId w:val="55"/>
              </w:numPr>
              <w:spacing w:before="40" w:after="40"/>
              <w:ind w:left="459" w:hanging="459"/>
              <w:jc w:val="both"/>
              <w:rPr>
                <w:rFonts w:eastAsia="Calibri"/>
                <w:i/>
                <w:lang w:eastAsia="en-US"/>
              </w:rPr>
            </w:pPr>
            <w:r w:rsidRPr="00510528">
              <w:rPr>
                <w:rFonts w:eastAsia="Calibri"/>
                <w:i/>
                <w:lang w:eastAsia="en-US"/>
              </w:rPr>
              <w:t>Ulaganja u opremu ili plovilo s ciljem smanjenja potrošnje električne i termalne energije</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0E0F" w:rsidRPr="00510528" w:rsidRDefault="00DB0E0F" w:rsidP="005A0D6C">
            <w:pPr>
              <w:spacing w:before="40" w:after="40"/>
              <w:jc w:val="center"/>
              <w:rPr>
                <w:rFonts w:eastAsia="Calibri"/>
                <w:b/>
                <w:lang w:eastAsia="en-US"/>
              </w:rPr>
            </w:pPr>
            <w:r w:rsidRPr="00510528">
              <w:rPr>
                <w:rFonts w:eastAsia="Calibri"/>
                <w:b/>
                <w:lang w:eastAsia="en-US"/>
              </w:rPr>
              <w:t>4</w:t>
            </w:r>
          </w:p>
        </w:tc>
      </w:tr>
      <w:tr w:rsidR="00DB0E0F" w:rsidRPr="00510528" w:rsidTr="005A0D6C">
        <w:tc>
          <w:tcPr>
            <w:tcW w:w="7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0E0F" w:rsidRPr="00510528" w:rsidRDefault="00DB0E0F" w:rsidP="005A0D6C">
            <w:pPr>
              <w:numPr>
                <w:ilvl w:val="1"/>
                <w:numId w:val="55"/>
              </w:numPr>
              <w:spacing w:before="40" w:after="40"/>
              <w:ind w:left="459" w:hanging="459"/>
              <w:jc w:val="both"/>
              <w:rPr>
                <w:rFonts w:eastAsia="Calibri"/>
                <w:i/>
                <w:lang w:eastAsia="en-US"/>
              </w:rPr>
            </w:pPr>
            <w:r w:rsidRPr="00510528">
              <w:rPr>
                <w:rFonts w:eastAsia="Calibri"/>
                <w:i/>
                <w:lang w:eastAsia="en-US"/>
              </w:rPr>
              <w:t>Ulaganja u opremu ili plovilo s ciljem poboljšanja hidrodinamike trupa plovila</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0E0F" w:rsidRPr="00510528" w:rsidRDefault="00DB0E0F" w:rsidP="005A0D6C">
            <w:pPr>
              <w:spacing w:before="40" w:after="40"/>
              <w:jc w:val="center"/>
              <w:rPr>
                <w:rFonts w:eastAsia="Calibri"/>
                <w:b/>
                <w:lang w:eastAsia="en-US"/>
              </w:rPr>
            </w:pPr>
            <w:r w:rsidRPr="00510528">
              <w:rPr>
                <w:rFonts w:eastAsia="Calibri"/>
                <w:b/>
                <w:lang w:eastAsia="en-US"/>
              </w:rPr>
              <w:t>2</w:t>
            </w:r>
          </w:p>
        </w:tc>
      </w:tr>
    </w:tbl>
    <w:p w:rsidR="00DB0E0F" w:rsidRPr="00510528" w:rsidRDefault="00DB0E0F" w:rsidP="00DB0E0F">
      <w:pPr>
        <w:spacing w:before="100" w:beforeAutospacing="1" w:after="100" w:afterAutospacing="1"/>
        <w:ind w:left="705" w:hanging="705"/>
        <w:jc w:val="both"/>
        <w:rPr>
          <w:color w:val="000000"/>
        </w:rPr>
      </w:pPr>
      <w:r w:rsidRPr="00510528">
        <w:rPr>
          <w:i/>
          <w:color w:val="000000"/>
          <w:sz w:val="22"/>
          <w:szCs w:val="22"/>
          <w:lang w:eastAsia="en-US"/>
        </w:rPr>
        <w:t>*</w:t>
      </w:r>
      <w:r w:rsidRPr="00510528">
        <w:rPr>
          <w:i/>
          <w:color w:val="000000"/>
          <w:sz w:val="22"/>
          <w:szCs w:val="22"/>
          <w:lang w:eastAsia="en-US"/>
        </w:rPr>
        <w:tab/>
        <w:t>Starost plovila je cijeli broj koji se računa kao razlika u godinama između godine u kojoj se podnosi Zahtjev za potporu te godine kada je plovilo izgrađeno.</w:t>
      </w:r>
    </w:p>
    <w:p w:rsidR="000A34C5" w:rsidRPr="00510528" w:rsidRDefault="00DB0E0F" w:rsidP="000A34C5">
      <w:pPr>
        <w:spacing w:after="200" w:line="276" w:lineRule="auto"/>
        <w:jc w:val="center"/>
        <w:rPr>
          <w:b/>
          <w:bCs/>
          <w:color w:val="000000"/>
          <w:szCs w:val="28"/>
        </w:rPr>
      </w:pPr>
      <w:r w:rsidRPr="00510528">
        <w:rPr>
          <w:color w:val="000000"/>
        </w:rPr>
        <w:br w:type="page"/>
      </w:r>
      <w:r w:rsidRPr="00510528">
        <w:rPr>
          <w:b/>
          <w:bCs/>
          <w:color w:val="000000"/>
          <w:szCs w:val="28"/>
        </w:rPr>
        <w:lastRenderedPageBreak/>
        <w:t>P</w:t>
      </w:r>
      <w:r w:rsidR="003E16DD" w:rsidRPr="00510528">
        <w:rPr>
          <w:b/>
          <w:bCs/>
          <w:color w:val="000000"/>
          <w:szCs w:val="28"/>
        </w:rPr>
        <w:t>rilog</w:t>
      </w:r>
      <w:r w:rsidRPr="00510528">
        <w:rPr>
          <w:b/>
          <w:bCs/>
          <w:color w:val="000000"/>
          <w:szCs w:val="28"/>
        </w:rPr>
        <w:t xml:space="preserve"> II. </w:t>
      </w:r>
      <w:r w:rsidR="000A34C5" w:rsidRPr="00510528">
        <w:rPr>
          <w:b/>
          <w:color w:val="000000"/>
        </w:rPr>
        <w:t>Intenzitet javne potpore</w:t>
      </w:r>
    </w:p>
    <w:p w:rsidR="000A34C5" w:rsidRPr="00510528" w:rsidRDefault="000A34C5" w:rsidP="000A34C5">
      <w:pPr>
        <w:spacing w:after="120"/>
        <w:jc w:val="both"/>
        <w:rPr>
          <w:i/>
          <w:color w:val="000000"/>
        </w:rPr>
      </w:pPr>
    </w:p>
    <w:p w:rsidR="000A34C5" w:rsidRPr="00510528" w:rsidRDefault="000A34C5" w:rsidP="000A34C5">
      <w:pPr>
        <w:spacing w:after="120"/>
        <w:jc w:val="both"/>
        <w:rPr>
          <w:i/>
          <w:color w:val="000000"/>
        </w:rPr>
      </w:pPr>
      <w:r w:rsidRPr="00510528">
        <w:rPr>
          <w:i/>
          <w:color w:val="000000"/>
        </w:rPr>
        <w:t xml:space="preserve">Osnovni intenzitet </w:t>
      </w:r>
    </w:p>
    <w:p w:rsidR="000A34C5" w:rsidRPr="00510528" w:rsidRDefault="000A34C5" w:rsidP="000A34C5">
      <w:pPr>
        <w:spacing w:after="120"/>
        <w:jc w:val="both"/>
        <w:rPr>
          <w:color w:val="000000"/>
        </w:rPr>
      </w:pPr>
      <w:r w:rsidRPr="00510528">
        <w:rPr>
          <w:color w:val="000000"/>
        </w:rPr>
        <w:t>Na temelju članka 95. stavka 1. Uredbe (EU) br. 508/2014 Europskog parlamenta i Vijeća od 15. svibnja 2014. o Europskom fondu za pomorstvo i ribarstvo i stavljanju izvan snage uredbi Vijeća (EZ) br. 2328/2003, (EZ) br. 861/2006, (EZ) br. 1198/2006, (EZ) br. 791/2007 i Uredbe (EU) br. 1255/2011 Europskog parlamenta i Vijeća (SL L149, 20.05.2014.) (u daljnjem tekstu: Uredba (EU) br. 508/2014), intenzitet potpore iznosi 50 posto ukupnih prihvatljivih troškova u okviru operacije.</w:t>
      </w:r>
    </w:p>
    <w:p w:rsidR="000A34C5" w:rsidRPr="00510528" w:rsidRDefault="000A34C5" w:rsidP="000A34C5">
      <w:pPr>
        <w:spacing w:after="120"/>
        <w:jc w:val="both"/>
        <w:rPr>
          <w:i/>
          <w:color w:val="000000"/>
        </w:rPr>
      </w:pPr>
    </w:p>
    <w:p w:rsidR="000A34C5" w:rsidRPr="00510528" w:rsidRDefault="000A34C5" w:rsidP="000A34C5">
      <w:pPr>
        <w:spacing w:after="120"/>
        <w:jc w:val="both"/>
        <w:rPr>
          <w:i/>
          <w:color w:val="000000"/>
        </w:rPr>
      </w:pPr>
      <w:r w:rsidRPr="00510528">
        <w:rPr>
          <w:i/>
          <w:color w:val="000000"/>
        </w:rPr>
        <w:t>Povećanje/smanjenje intenziteta</w:t>
      </w:r>
    </w:p>
    <w:p w:rsidR="000A34C5" w:rsidRPr="00510528" w:rsidRDefault="000A34C5" w:rsidP="000A34C5">
      <w:pPr>
        <w:spacing w:after="120"/>
        <w:jc w:val="both"/>
        <w:rPr>
          <w:color w:val="000000"/>
        </w:rPr>
      </w:pPr>
      <w:r w:rsidRPr="00510528">
        <w:rPr>
          <w:color w:val="000000"/>
        </w:rPr>
        <w:t>Iznimno, u slučaju kada je ispunjen jedan ili više kriterija iz Priloga I. Uredbe (EU) br. 508/2014, za operaciju se može ostvariti povećanje odnosno smanjenje intenziteta javne potpore za određeni broj postotnih bodova, kako slijedi: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9"/>
        <w:gridCol w:w="1134"/>
        <w:gridCol w:w="1276"/>
        <w:gridCol w:w="1381"/>
      </w:tblGrid>
      <w:tr w:rsidR="000A34C5" w:rsidRPr="00510528" w:rsidTr="00EA10BE">
        <w:trPr>
          <w:trHeight w:hRule="exact" w:val="811"/>
          <w:jc w:val="center"/>
        </w:trPr>
        <w:tc>
          <w:tcPr>
            <w:tcW w:w="5210" w:type="dxa"/>
            <w:tcBorders>
              <w:top w:val="single" w:sz="4" w:space="0" w:color="auto"/>
              <w:left w:val="single" w:sz="4" w:space="0" w:color="auto"/>
              <w:bottom w:val="single" w:sz="4" w:space="0" w:color="auto"/>
              <w:right w:val="single" w:sz="4" w:space="0" w:color="auto"/>
            </w:tcBorders>
            <w:vAlign w:val="center"/>
            <w:hideMark/>
          </w:tcPr>
          <w:p w:rsidR="000A34C5" w:rsidRPr="00510528" w:rsidRDefault="000A34C5" w:rsidP="000A34C5">
            <w:pPr>
              <w:jc w:val="center"/>
              <w:rPr>
                <w:sz w:val="20"/>
                <w:szCs w:val="20"/>
              </w:rPr>
            </w:pPr>
            <w:r w:rsidRPr="00510528">
              <w:rPr>
                <w:sz w:val="20"/>
                <w:szCs w:val="20"/>
              </w:rPr>
              <w:t>Kriterij</w:t>
            </w:r>
          </w:p>
        </w:tc>
        <w:tc>
          <w:tcPr>
            <w:tcW w:w="1134" w:type="dxa"/>
            <w:tcBorders>
              <w:top w:val="single" w:sz="4" w:space="0" w:color="auto"/>
              <w:left w:val="nil"/>
              <w:bottom w:val="single" w:sz="4" w:space="0" w:color="auto"/>
              <w:right w:val="single" w:sz="4" w:space="0" w:color="auto"/>
            </w:tcBorders>
            <w:vAlign w:val="center"/>
            <w:hideMark/>
          </w:tcPr>
          <w:p w:rsidR="000A34C5" w:rsidRPr="00510528" w:rsidRDefault="000A34C5" w:rsidP="000A34C5">
            <w:pPr>
              <w:jc w:val="center"/>
              <w:rPr>
                <w:sz w:val="20"/>
                <w:szCs w:val="20"/>
              </w:rPr>
            </w:pPr>
            <w:r w:rsidRPr="00510528">
              <w:rPr>
                <w:sz w:val="20"/>
                <w:szCs w:val="20"/>
              </w:rPr>
              <w:t>Povećanje/</w:t>
            </w:r>
          </w:p>
          <w:p w:rsidR="000A34C5" w:rsidRPr="00510528" w:rsidRDefault="000A34C5" w:rsidP="000A34C5">
            <w:pPr>
              <w:jc w:val="center"/>
              <w:rPr>
                <w:sz w:val="20"/>
                <w:szCs w:val="20"/>
              </w:rPr>
            </w:pPr>
            <w:r w:rsidRPr="00510528">
              <w:rPr>
                <w:sz w:val="20"/>
                <w:szCs w:val="20"/>
              </w:rPr>
              <w:t>smanjenje</w:t>
            </w:r>
          </w:p>
        </w:tc>
        <w:tc>
          <w:tcPr>
            <w:tcW w:w="1276" w:type="dxa"/>
            <w:tcBorders>
              <w:top w:val="single" w:sz="4" w:space="0" w:color="auto"/>
              <w:left w:val="nil"/>
              <w:bottom w:val="single" w:sz="4" w:space="0" w:color="auto"/>
              <w:right w:val="single" w:sz="4" w:space="0" w:color="auto"/>
            </w:tcBorders>
            <w:vAlign w:val="center"/>
            <w:hideMark/>
          </w:tcPr>
          <w:p w:rsidR="000A34C5" w:rsidRPr="00510528" w:rsidRDefault="000A34C5" w:rsidP="000A34C5">
            <w:pPr>
              <w:jc w:val="center"/>
              <w:rPr>
                <w:sz w:val="20"/>
                <w:szCs w:val="20"/>
              </w:rPr>
            </w:pPr>
            <w:r w:rsidRPr="00510528">
              <w:rPr>
                <w:sz w:val="20"/>
                <w:szCs w:val="20"/>
              </w:rPr>
              <w:t>Broj postotnih bodova</w:t>
            </w:r>
          </w:p>
        </w:tc>
        <w:tc>
          <w:tcPr>
            <w:tcW w:w="1381" w:type="dxa"/>
            <w:tcBorders>
              <w:top w:val="single" w:sz="4" w:space="0" w:color="auto"/>
              <w:left w:val="nil"/>
              <w:bottom w:val="single" w:sz="4" w:space="0" w:color="auto"/>
              <w:right w:val="single" w:sz="4" w:space="0" w:color="auto"/>
            </w:tcBorders>
            <w:vAlign w:val="center"/>
            <w:hideMark/>
          </w:tcPr>
          <w:p w:rsidR="000A34C5" w:rsidRPr="00510528" w:rsidRDefault="000A34C5" w:rsidP="000A34C5">
            <w:pPr>
              <w:jc w:val="center"/>
              <w:rPr>
                <w:sz w:val="20"/>
                <w:szCs w:val="20"/>
              </w:rPr>
            </w:pPr>
            <w:r w:rsidRPr="00510528">
              <w:rPr>
                <w:sz w:val="20"/>
                <w:szCs w:val="20"/>
              </w:rPr>
              <w:t>Intenzitet javne potpore (%)</w:t>
            </w:r>
          </w:p>
        </w:tc>
      </w:tr>
      <w:tr w:rsidR="000A34C5" w:rsidRPr="00510528" w:rsidTr="00EA10BE">
        <w:trPr>
          <w:jc w:val="center"/>
        </w:trPr>
        <w:tc>
          <w:tcPr>
            <w:tcW w:w="5210" w:type="dxa"/>
            <w:tcBorders>
              <w:top w:val="single" w:sz="4" w:space="0" w:color="auto"/>
              <w:left w:val="single" w:sz="4" w:space="0" w:color="auto"/>
              <w:bottom w:val="single" w:sz="4" w:space="0" w:color="auto"/>
              <w:right w:val="single" w:sz="4" w:space="0" w:color="auto"/>
            </w:tcBorders>
            <w:vAlign w:val="center"/>
            <w:hideMark/>
          </w:tcPr>
          <w:p w:rsidR="000A34C5" w:rsidRPr="00510528" w:rsidRDefault="000A34C5" w:rsidP="000A34C5">
            <w:pPr>
              <w:jc w:val="both"/>
              <w:rPr>
                <w:sz w:val="20"/>
                <w:szCs w:val="20"/>
              </w:rPr>
            </w:pPr>
            <w:r w:rsidRPr="00510528">
              <w:rPr>
                <w:sz w:val="20"/>
                <w:szCs w:val="20"/>
              </w:rPr>
              <w:t>Operacija je vezana uz mali priobalni ribolov</w:t>
            </w:r>
          </w:p>
          <w:p w:rsidR="000A34C5" w:rsidRPr="00510528" w:rsidRDefault="000A34C5" w:rsidP="000A34C5">
            <w:pPr>
              <w:jc w:val="both"/>
              <w:rPr>
                <w:sz w:val="20"/>
                <w:szCs w:val="20"/>
              </w:rPr>
            </w:pPr>
            <w:r w:rsidRPr="00510528">
              <w:rPr>
                <w:i/>
                <w:sz w:val="20"/>
                <w:szCs w:val="20"/>
              </w:rPr>
              <w:t>Pojašnjenje: operacija se odnosi na ulaganje u ribarsko plovilo u segmentu malog priobalnog ribolova*</w:t>
            </w:r>
          </w:p>
        </w:tc>
        <w:tc>
          <w:tcPr>
            <w:tcW w:w="1134" w:type="dxa"/>
            <w:tcBorders>
              <w:top w:val="single" w:sz="4" w:space="0" w:color="auto"/>
              <w:left w:val="nil"/>
              <w:bottom w:val="single" w:sz="4" w:space="0" w:color="auto"/>
              <w:right w:val="single" w:sz="4" w:space="0" w:color="auto"/>
            </w:tcBorders>
            <w:vAlign w:val="center"/>
            <w:hideMark/>
          </w:tcPr>
          <w:p w:rsidR="000A34C5" w:rsidRPr="00510528" w:rsidRDefault="000A34C5" w:rsidP="000A34C5">
            <w:pPr>
              <w:jc w:val="center"/>
              <w:rPr>
                <w:sz w:val="20"/>
                <w:szCs w:val="20"/>
              </w:rPr>
            </w:pPr>
            <w:r w:rsidRPr="00510528">
              <w:rPr>
                <w:sz w:val="20"/>
                <w:szCs w:val="20"/>
              </w:rPr>
              <w:t>Povećanje</w:t>
            </w:r>
          </w:p>
        </w:tc>
        <w:tc>
          <w:tcPr>
            <w:tcW w:w="1276" w:type="dxa"/>
            <w:tcBorders>
              <w:top w:val="single" w:sz="4" w:space="0" w:color="auto"/>
              <w:left w:val="nil"/>
              <w:bottom w:val="single" w:sz="4" w:space="0" w:color="auto"/>
              <w:right w:val="single" w:sz="4" w:space="0" w:color="auto"/>
            </w:tcBorders>
            <w:vAlign w:val="center"/>
            <w:hideMark/>
          </w:tcPr>
          <w:p w:rsidR="000A34C5" w:rsidRPr="00510528" w:rsidRDefault="000A34C5" w:rsidP="000A34C5">
            <w:pPr>
              <w:jc w:val="center"/>
              <w:rPr>
                <w:sz w:val="20"/>
                <w:szCs w:val="20"/>
              </w:rPr>
            </w:pPr>
            <w:r w:rsidRPr="00510528">
              <w:rPr>
                <w:sz w:val="20"/>
                <w:szCs w:val="20"/>
              </w:rPr>
              <w:t>30</w:t>
            </w:r>
          </w:p>
        </w:tc>
        <w:tc>
          <w:tcPr>
            <w:tcW w:w="1381" w:type="dxa"/>
            <w:tcBorders>
              <w:top w:val="single" w:sz="4" w:space="0" w:color="auto"/>
              <w:left w:val="nil"/>
              <w:bottom w:val="single" w:sz="4" w:space="0" w:color="auto"/>
              <w:right w:val="single" w:sz="4" w:space="0" w:color="auto"/>
            </w:tcBorders>
            <w:vAlign w:val="center"/>
            <w:hideMark/>
          </w:tcPr>
          <w:p w:rsidR="000A34C5" w:rsidRPr="00510528" w:rsidRDefault="000A34C5" w:rsidP="000A34C5">
            <w:pPr>
              <w:jc w:val="center"/>
              <w:rPr>
                <w:sz w:val="20"/>
                <w:szCs w:val="20"/>
              </w:rPr>
            </w:pPr>
            <w:r w:rsidRPr="00510528">
              <w:rPr>
                <w:sz w:val="20"/>
                <w:szCs w:val="20"/>
              </w:rPr>
              <w:t>80</w:t>
            </w:r>
          </w:p>
        </w:tc>
      </w:tr>
      <w:tr w:rsidR="000A34C5" w:rsidRPr="00510528" w:rsidTr="00EA10BE">
        <w:trPr>
          <w:jc w:val="center"/>
        </w:trPr>
        <w:tc>
          <w:tcPr>
            <w:tcW w:w="5210" w:type="dxa"/>
            <w:tcBorders>
              <w:top w:val="single" w:sz="4" w:space="0" w:color="auto"/>
              <w:left w:val="single" w:sz="4" w:space="0" w:color="auto"/>
              <w:bottom w:val="single" w:sz="4" w:space="0" w:color="auto"/>
              <w:right w:val="single" w:sz="4" w:space="0" w:color="auto"/>
            </w:tcBorders>
            <w:vAlign w:val="center"/>
            <w:hideMark/>
          </w:tcPr>
          <w:p w:rsidR="000A34C5" w:rsidRPr="00510528" w:rsidRDefault="000A34C5" w:rsidP="000A34C5">
            <w:pPr>
              <w:jc w:val="both"/>
              <w:rPr>
                <w:sz w:val="20"/>
                <w:szCs w:val="20"/>
              </w:rPr>
            </w:pPr>
            <w:r w:rsidRPr="00510528">
              <w:rPr>
                <w:sz w:val="20"/>
                <w:szCs w:val="20"/>
              </w:rPr>
              <w:t>Operacija se provodi na otocima Dugi otok, Vis, Mljet i Lastovo</w:t>
            </w:r>
          </w:p>
          <w:p w:rsidR="000A34C5" w:rsidRPr="00510528" w:rsidRDefault="000A34C5" w:rsidP="000A34C5">
            <w:pPr>
              <w:jc w:val="both"/>
              <w:rPr>
                <w:sz w:val="20"/>
                <w:szCs w:val="20"/>
              </w:rPr>
            </w:pPr>
            <w:r w:rsidRPr="00510528">
              <w:rPr>
                <w:i/>
                <w:sz w:val="20"/>
                <w:szCs w:val="20"/>
              </w:rPr>
              <w:t>Pojašnjenje: aktivnost se provodi na navedenim otocima ili je sjedište/prebivalište korisnika na tim otocima</w:t>
            </w:r>
            <w:r w:rsidRPr="00510528">
              <w:rPr>
                <w:sz w:val="20"/>
                <w:szCs w:val="20"/>
              </w:rPr>
              <w:t xml:space="preserve"> </w:t>
            </w:r>
          </w:p>
        </w:tc>
        <w:tc>
          <w:tcPr>
            <w:tcW w:w="1134" w:type="dxa"/>
            <w:tcBorders>
              <w:top w:val="single" w:sz="4" w:space="0" w:color="auto"/>
              <w:left w:val="nil"/>
              <w:bottom w:val="single" w:sz="4" w:space="0" w:color="auto"/>
              <w:right w:val="single" w:sz="4" w:space="0" w:color="auto"/>
            </w:tcBorders>
            <w:vAlign w:val="center"/>
            <w:hideMark/>
          </w:tcPr>
          <w:p w:rsidR="000A34C5" w:rsidRPr="00510528" w:rsidRDefault="000A34C5" w:rsidP="000A34C5">
            <w:pPr>
              <w:jc w:val="center"/>
              <w:rPr>
                <w:sz w:val="20"/>
                <w:szCs w:val="20"/>
              </w:rPr>
            </w:pPr>
            <w:r w:rsidRPr="00510528">
              <w:rPr>
                <w:sz w:val="20"/>
                <w:szCs w:val="20"/>
              </w:rPr>
              <w:t>Povećanje</w:t>
            </w:r>
          </w:p>
        </w:tc>
        <w:tc>
          <w:tcPr>
            <w:tcW w:w="1276" w:type="dxa"/>
            <w:tcBorders>
              <w:top w:val="single" w:sz="4" w:space="0" w:color="auto"/>
              <w:left w:val="nil"/>
              <w:bottom w:val="single" w:sz="4" w:space="0" w:color="auto"/>
              <w:right w:val="single" w:sz="4" w:space="0" w:color="auto"/>
            </w:tcBorders>
            <w:vAlign w:val="center"/>
            <w:hideMark/>
          </w:tcPr>
          <w:p w:rsidR="000A34C5" w:rsidRPr="00510528" w:rsidRDefault="000A34C5" w:rsidP="000A34C5">
            <w:pPr>
              <w:jc w:val="center"/>
              <w:rPr>
                <w:sz w:val="20"/>
                <w:szCs w:val="20"/>
              </w:rPr>
            </w:pPr>
            <w:r w:rsidRPr="00510528">
              <w:rPr>
                <w:sz w:val="20"/>
                <w:szCs w:val="20"/>
              </w:rPr>
              <w:t>35</w:t>
            </w:r>
          </w:p>
        </w:tc>
        <w:tc>
          <w:tcPr>
            <w:tcW w:w="1381" w:type="dxa"/>
            <w:tcBorders>
              <w:top w:val="single" w:sz="4" w:space="0" w:color="auto"/>
              <w:left w:val="nil"/>
              <w:bottom w:val="single" w:sz="4" w:space="0" w:color="auto"/>
              <w:right w:val="single" w:sz="4" w:space="0" w:color="auto"/>
            </w:tcBorders>
            <w:vAlign w:val="center"/>
            <w:hideMark/>
          </w:tcPr>
          <w:p w:rsidR="000A34C5" w:rsidRPr="00510528" w:rsidRDefault="000A34C5" w:rsidP="000A34C5">
            <w:pPr>
              <w:jc w:val="center"/>
              <w:rPr>
                <w:sz w:val="20"/>
                <w:szCs w:val="20"/>
              </w:rPr>
            </w:pPr>
            <w:r w:rsidRPr="00510528">
              <w:rPr>
                <w:sz w:val="20"/>
                <w:szCs w:val="20"/>
              </w:rPr>
              <w:t>85</w:t>
            </w:r>
          </w:p>
        </w:tc>
      </w:tr>
      <w:tr w:rsidR="000A34C5" w:rsidRPr="00510528" w:rsidTr="00EA10BE">
        <w:trPr>
          <w:jc w:val="center"/>
        </w:trPr>
        <w:tc>
          <w:tcPr>
            <w:tcW w:w="5210" w:type="dxa"/>
            <w:tcBorders>
              <w:top w:val="single" w:sz="4" w:space="0" w:color="auto"/>
              <w:left w:val="single" w:sz="4" w:space="0" w:color="auto"/>
              <w:bottom w:val="single" w:sz="4" w:space="0" w:color="auto"/>
              <w:right w:val="single" w:sz="4" w:space="0" w:color="auto"/>
            </w:tcBorders>
            <w:vAlign w:val="center"/>
            <w:hideMark/>
          </w:tcPr>
          <w:p w:rsidR="000A34C5" w:rsidRPr="00510528" w:rsidRDefault="000A34C5" w:rsidP="000A34C5">
            <w:pPr>
              <w:jc w:val="both"/>
              <w:rPr>
                <w:sz w:val="20"/>
                <w:szCs w:val="20"/>
              </w:rPr>
            </w:pPr>
            <w:r w:rsidRPr="00510528">
              <w:rPr>
                <w:sz w:val="20"/>
                <w:szCs w:val="20"/>
              </w:rPr>
              <w:t>Operaciju provodi ribarska zadruga</w:t>
            </w:r>
          </w:p>
          <w:p w:rsidR="000A34C5" w:rsidRPr="00510528" w:rsidRDefault="000A34C5" w:rsidP="000A34C5">
            <w:pPr>
              <w:jc w:val="both"/>
              <w:rPr>
                <w:sz w:val="20"/>
                <w:szCs w:val="20"/>
              </w:rPr>
            </w:pPr>
            <w:r w:rsidRPr="00510528">
              <w:rPr>
                <w:i/>
                <w:sz w:val="20"/>
                <w:szCs w:val="20"/>
              </w:rPr>
              <w:t>Pojašnjenje: korisnik je zadruga priznata po posebnim propisima</w:t>
            </w:r>
          </w:p>
        </w:tc>
        <w:tc>
          <w:tcPr>
            <w:tcW w:w="1134" w:type="dxa"/>
            <w:tcBorders>
              <w:top w:val="single" w:sz="4" w:space="0" w:color="auto"/>
              <w:left w:val="nil"/>
              <w:bottom w:val="single" w:sz="4" w:space="0" w:color="auto"/>
              <w:right w:val="single" w:sz="4" w:space="0" w:color="auto"/>
            </w:tcBorders>
            <w:vAlign w:val="center"/>
            <w:hideMark/>
          </w:tcPr>
          <w:p w:rsidR="000A34C5" w:rsidRPr="00510528" w:rsidRDefault="000A34C5" w:rsidP="000A34C5">
            <w:pPr>
              <w:jc w:val="center"/>
              <w:rPr>
                <w:sz w:val="20"/>
                <w:szCs w:val="20"/>
              </w:rPr>
            </w:pPr>
            <w:r w:rsidRPr="00510528">
              <w:rPr>
                <w:sz w:val="20"/>
                <w:szCs w:val="20"/>
              </w:rPr>
              <w:t>Povećanje</w:t>
            </w:r>
          </w:p>
        </w:tc>
        <w:tc>
          <w:tcPr>
            <w:tcW w:w="1276" w:type="dxa"/>
            <w:tcBorders>
              <w:top w:val="single" w:sz="4" w:space="0" w:color="auto"/>
              <w:left w:val="nil"/>
              <w:bottom w:val="single" w:sz="4" w:space="0" w:color="auto"/>
              <w:right w:val="single" w:sz="4" w:space="0" w:color="auto"/>
            </w:tcBorders>
            <w:vAlign w:val="center"/>
            <w:hideMark/>
          </w:tcPr>
          <w:p w:rsidR="000A34C5" w:rsidRPr="00510528" w:rsidRDefault="000A34C5" w:rsidP="000A34C5">
            <w:pPr>
              <w:jc w:val="center"/>
              <w:rPr>
                <w:sz w:val="20"/>
                <w:szCs w:val="20"/>
              </w:rPr>
            </w:pPr>
            <w:r w:rsidRPr="00510528">
              <w:rPr>
                <w:sz w:val="20"/>
                <w:szCs w:val="20"/>
              </w:rPr>
              <w:t>10</w:t>
            </w:r>
          </w:p>
        </w:tc>
        <w:tc>
          <w:tcPr>
            <w:tcW w:w="1381" w:type="dxa"/>
            <w:tcBorders>
              <w:top w:val="single" w:sz="4" w:space="0" w:color="auto"/>
              <w:left w:val="nil"/>
              <w:bottom w:val="single" w:sz="4" w:space="0" w:color="auto"/>
              <w:right w:val="single" w:sz="4" w:space="0" w:color="auto"/>
            </w:tcBorders>
            <w:vAlign w:val="center"/>
            <w:hideMark/>
          </w:tcPr>
          <w:p w:rsidR="000A34C5" w:rsidRPr="00510528" w:rsidRDefault="000A34C5" w:rsidP="000A34C5">
            <w:pPr>
              <w:jc w:val="center"/>
              <w:rPr>
                <w:sz w:val="20"/>
                <w:szCs w:val="20"/>
              </w:rPr>
            </w:pPr>
            <w:r w:rsidRPr="00510528">
              <w:rPr>
                <w:sz w:val="20"/>
                <w:szCs w:val="20"/>
              </w:rPr>
              <w:t>60</w:t>
            </w:r>
          </w:p>
        </w:tc>
      </w:tr>
      <w:tr w:rsidR="000A34C5" w:rsidRPr="00510528" w:rsidTr="00EA10BE">
        <w:trPr>
          <w:jc w:val="center"/>
        </w:trPr>
        <w:tc>
          <w:tcPr>
            <w:tcW w:w="5210" w:type="dxa"/>
            <w:tcBorders>
              <w:top w:val="single" w:sz="4" w:space="0" w:color="auto"/>
              <w:left w:val="single" w:sz="4" w:space="0" w:color="auto"/>
              <w:bottom w:val="single" w:sz="4" w:space="0" w:color="auto"/>
              <w:right w:val="single" w:sz="4" w:space="0" w:color="auto"/>
            </w:tcBorders>
            <w:vAlign w:val="center"/>
            <w:hideMark/>
          </w:tcPr>
          <w:p w:rsidR="000A34C5" w:rsidRPr="00510528" w:rsidRDefault="000A34C5" w:rsidP="000A34C5">
            <w:pPr>
              <w:jc w:val="both"/>
              <w:rPr>
                <w:sz w:val="20"/>
                <w:szCs w:val="20"/>
              </w:rPr>
            </w:pPr>
            <w:r w:rsidRPr="00510528">
              <w:rPr>
                <w:sz w:val="20"/>
                <w:szCs w:val="20"/>
              </w:rPr>
              <w:t>Operaciju provodi organizacija proizvođača, udruženje organizacija proizvođača ili međusektorska organizacija</w:t>
            </w:r>
          </w:p>
          <w:p w:rsidR="000A34C5" w:rsidRPr="00510528" w:rsidRDefault="000A34C5" w:rsidP="000A34C5">
            <w:pPr>
              <w:jc w:val="both"/>
              <w:rPr>
                <w:sz w:val="20"/>
                <w:szCs w:val="20"/>
              </w:rPr>
            </w:pPr>
            <w:r w:rsidRPr="00510528">
              <w:rPr>
                <w:i/>
                <w:sz w:val="20"/>
                <w:szCs w:val="20"/>
              </w:rPr>
              <w:t>Pojašnjenje: korisnik je organizacija proizvođača, udruženje organizacija proizvođača ili međusektorska organizacija priznata po posebnim propisima</w:t>
            </w:r>
          </w:p>
        </w:tc>
        <w:tc>
          <w:tcPr>
            <w:tcW w:w="1134" w:type="dxa"/>
            <w:tcBorders>
              <w:top w:val="single" w:sz="4" w:space="0" w:color="auto"/>
              <w:left w:val="nil"/>
              <w:bottom w:val="single" w:sz="4" w:space="0" w:color="auto"/>
              <w:right w:val="single" w:sz="4" w:space="0" w:color="auto"/>
            </w:tcBorders>
            <w:vAlign w:val="center"/>
            <w:hideMark/>
          </w:tcPr>
          <w:p w:rsidR="000A34C5" w:rsidRPr="00510528" w:rsidRDefault="000A34C5" w:rsidP="000A34C5">
            <w:pPr>
              <w:jc w:val="center"/>
              <w:rPr>
                <w:sz w:val="20"/>
                <w:szCs w:val="20"/>
              </w:rPr>
            </w:pPr>
            <w:r w:rsidRPr="00510528">
              <w:rPr>
                <w:sz w:val="20"/>
                <w:szCs w:val="20"/>
              </w:rPr>
              <w:t>Povećanje</w:t>
            </w:r>
          </w:p>
        </w:tc>
        <w:tc>
          <w:tcPr>
            <w:tcW w:w="1276" w:type="dxa"/>
            <w:tcBorders>
              <w:top w:val="single" w:sz="4" w:space="0" w:color="auto"/>
              <w:left w:val="nil"/>
              <w:bottom w:val="single" w:sz="4" w:space="0" w:color="auto"/>
              <w:right w:val="single" w:sz="4" w:space="0" w:color="auto"/>
            </w:tcBorders>
            <w:vAlign w:val="center"/>
            <w:hideMark/>
          </w:tcPr>
          <w:p w:rsidR="000A34C5" w:rsidRPr="00510528" w:rsidRDefault="000A34C5" w:rsidP="000A34C5">
            <w:pPr>
              <w:jc w:val="center"/>
              <w:rPr>
                <w:sz w:val="20"/>
                <w:szCs w:val="20"/>
              </w:rPr>
            </w:pPr>
            <w:r w:rsidRPr="00510528">
              <w:rPr>
                <w:sz w:val="20"/>
                <w:szCs w:val="20"/>
              </w:rPr>
              <w:t>25</w:t>
            </w:r>
          </w:p>
        </w:tc>
        <w:tc>
          <w:tcPr>
            <w:tcW w:w="1381" w:type="dxa"/>
            <w:tcBorders>
              <w:top w:val="single" w:sz="4" w:space="0" w:color="auto"/>
              <w:left w:val="nil"/>
              <w:bottom w:val="single" w:sz="4" w:space="0" w:color="auto"/>
              <w:right w:val="single" w:sz="4" w:space="0" w:color="auto"/>
            </w:tcBorders>
            <w:vAlign w:val="center"/>
            <w:hideMark/>
          </w:tcPr>
          <w:p w:rsidR="000A34C5" w:rsidRPr="00510528" w:rsidRDefault="000A34C5" w:rsidP="000A34C5">
            <w:pPr>
              <w:jc w:val="center"/>
              <w:rPr>
                <w:sz w:val="20"/>
                <w:szCs w:val="20"/>
              </w:rPr>
            </w:pPr>
            <w:r w:rsidRPr="00510528">
              <w:rPr>
                <w:sz w:val="20"/>
                <w:szCs w:val="20"/>
              </w:rPr>
              <w:t>75</w:t>
            </w:r>
          </w:p>
        </w:tc>
      </w:tr>
      <w:tr w:rsidR="000A34C5" w:rsidRPr="00510528" w:rsidTr="00EA10BE">
        <w:trPr>
          <w:jc w:val="center"/>
        </w:trPr>
        <w:tc>
          <w:tcPr>
            <w:tcW w:w="5210" w:type="dxa"/>
            <w:tcBorders>
              <w:top w:val="single" w:sz="4" w:space="0" w:color="auto"/>
              <w:left w:val="single" w:sz="4" w:space="0" w:color="auto"/>
              <w:bottom w:val="single" w:sz="4" w:space="0" w:color="auto"/>
              <w:right w:val="single" w:sz="4" w:space="0" w:color="auto"/>
            </w:tcBorders>
            <w:vAlign w:val="center"/>
            <w:hideMark/>
          </w:tcPr>
          <w:p w:rsidR="000A34C5" w:rsidRPr="00510528" w:rsidRDefault="000A34C5" w:rsidP="000A34C5">
            <w:pPr>
              <w:jc w:val="both"/>
              <w:rPr>
                <w:sz w:val="20"/>
                <w:szCs w:val="20"/>
              </w:rPr>
            </w:pPr>
            <w:r w:rsidRPr="00510528">
              <w:rPr>
                <w:sz w:val="20"/>
                <w:szCs w:val="20"/>
              </w:rPr>
              <w:t>Operaciju provodi poduzeće koje nije obuhvaćeno definicijom malih i srednjih poduzeća</w:t>
            </w:r>
          </w:p>
          <w:p w:rsidR="000A34C5" w:rsidRPr="00510528" w:rsidRDefault="000A34C5" w:rsidP="000A34C5">
            <w:pPr>
              <w:jc w:val="both"/>
              <w:rPr>
                <w:sz w:val="20"/>
                <w:szCs w:val="20"/>
              </w:rPr>
            </w:pPr>
            <w:r w:rsidRPr="00510528">
              <w:rPr>
                <w:i/>
                <w:sz w:val="20"/>
                <w:szCs w:val="20"/>
              </w:rPr>
              <w:t>Pojašnjenje: korisnik je veliko poduzeće, tj. poduzeće koje nije obuhvaćeno definicijom malih i srednjih poduzeća sukladno Preporuci Komisije 2003/361/EZ od 6. svibnja 2003. o definiciji mikro, malih ili srednjih poduzeća (SL L 124 od 20. svibnja 2003.)</w:t>
            </w:r>
          </w:p>
        </w:tc>
        <w:tc>
          <w:tcPr>
            <w:tcW w:w="1134" w:type="dxa"/>
            <w:tcBorders>
              <w:top w:val="single" w:sz="4" w:space="0" w:color="auto"/>
              <w:left w:val="nil"/>
              <w:bottom w:val="single" w:sz="4" w:space="0" w:color="auto"/>
              <w:right w:val="single" w:sz="4" w:space="0" w:color="auto"/>
            </w:tcBorders>
            <w:vAlign w:val="center"/>
            <w:hideMark/>
          </w:tcPr>
          <w:p w:rsidR="000A34C5" w:rsidRPr="00510528" w:rsidRDefault="000A34C5" w:rsidP="000A34C5">
            <w:pPr>
              <w:jc w:val="center"/>
              <w:rPr>
                <w:sz w:val="20"/>
                <w:szCs w:val="20"/>
              </w:rPr>
            </w:pPr>
            <w:r w:rsidRPr="00510528">
              <w:rPr>
                <w:sz w:val="20"/>
                <w:szCs w:val="20"/>
              </w:rPr>
              <w:t>Smanjenje</w:t>
            </w:r>
          </w:p>
        </w:tc>
        <w:tc>
          <w:tcPr>
            <w:tcW w:w="1276" w:type="dxa"/>
            <w:tcBorders>
              <w:top w:val="single" w:sz="4" w:space="0" w:color="auto"/>
              <w:left w:val="nil"/>
              <w:bottom w:val="single" w:sz="4" w:space="0" w:color="auto"/>
              <w:right w:val="single" w:sz="4" w:space="0" w:color="auto"/>
            </w:tcBorders>
            <w:vAlign w:val="center"/>
            <w:hideMark/>
          </w:tcPr>
          <w:p w:rsidR="000A34C5" w:rsidRPr="00510528" w:rsidRDefault="000A34C5" w:rsidP="000A34C5">
            <w:pPr>
              <w:jc w:val="center"/>
              <w:rPr>
                <w:sz w:val="20"/>
                <w:szCs w:val="20"/>
              </w:rPr>
            </w:pPr>
            <w:r w:rsidRPr="00510528">
              <w:rPr>
                <w:sz w:val="20"/>
                <w:szCs w:val="20"/>
              </w:rPr>
              <w:t>20</w:t>
            </w:r>
          </w:p>
        </w:tc>
        <w:tc>
          <w:tcPr>
            <w:tcW w:w="1381" w:type="dxa"/>
            <w:tcBorders>
              <w:top w:val="single" w:sz="4" w:space="0" w:color="auto"/>
              <w:left w:val="nil"/>
              <w:bottom w:val="single" w:sz="4" w:space="0" w:color="auto"/>
              <w:right w:val="single" w:sz="4" w:space="0" w:color="auto"/>
            </w:tcBorders>
            <w:vAlign w:val="center"/>
            <w:hideMark/>
          </w:tcPr>
          <w:p w:rsidR="000A34C5" w:rsidRPr="00510528" w:rsidRDefault="000A34C5" w:rsidP="000A34C5">
            <w:pPr>
              <w:jc w:val="center"/>
              <w:rPr>
                <w:sz w:val="20"/>
                <w:szCs w:val="20"/>
              </w:rPr>
            </w:pPr>
            <w:r w:rsidRPr="00510528">
              <w:rPr>
                <w:sz w:val="20"/>
                <w:szCs w:val="20"/>
              </w:rPr>
              <w:t>30</w:t>
            </w:r>
          </w:p>
        </w:tc>
      </w:tr>
    </w:tbl>
    <w:p w:rsidR="000A34C5" w:rsidRPr="00510528" w:rsidRDefault="000A34C5" w:rsidP="000A34C5">
      <w:pPr>
        <w:spacing w:before="120" w:after="240"/>
        <w:ind w:left="703" w:hanging="703"/>
        <w:jc w:val="both"/>
        <w:rPr>
          <w:bCs/>
          <w:i/>
          <w:color w:val="000000"/>
          <w:sz w:val="20"/>
          <w:szCs w:val="20"/>
        </w:rPr>
      </w:pPr>
      <w:r w:rsidRPr="00510528">
        <w:rPr>
          <w:i/>
          <w:color w:val="000000"/>
          <w:sz w:val="20"/>
          <w:szCs w:val="20"/>
        </w:rPr>
        <w:t>*</w:t>
      </w:r>
      <w:r w:rsidRPr="00510528">
        <w:rPr>
          <w:i/>
          <w:sz w:val="20"/>
          <w:szCs w:val="20"/>
        </w:rPr>
        <w:t xml:space="preserve"> </w:t>
      </w:r>
      <w:r w:rsidRPr="00510528">
        <w:rPr>
          <w:i/>
          <w:sz w:val="20"/>
          <w:szCs w:val="20"/>
        </w:rPr>
        <w:tab/>
        <w:t xml:space="preserve">Na temelju članka 3. stavka 2. točke 14. Uredbe (EU) br. 508/2014, mali priobalni ribolov je ribolov kojeg obavljaju ribarska plovila </w:t>
      </w:r>
      <w:r w:rsidRPr="00510528">
        <w:rPr>
          <w:i/>
          <w:color w:val="000000"/>
          <w:sz w:val="20"/>
          <w:szCs w:val="20"/>
        </w:rPr>
        <w:t xml:space="preserve">čija ukupna duljina ne prelazi 12 metara i koja u povlastici izdanoj za ta plovila nemaju upisane povlačne ribolovne alate iz popisa u tablici 3. Priloga I. Uredbi Komisije (EZ) br. 26/2004 od 30. prosinca 2003. o registru ribarske flote Zajednice (SL L5, 09.01.2004.) te njene izmjene, tj. Provedbene uredbe Komisije (EU) br. 741/2014 </w:t>
      </w:r>
      <w:r w:rsidRPr="00510528">
        <w:rPr>
          <w:bCs/>
          <w:i/>
          <w:color w:val="000000"/>
          <w:sz w:val="20"/>
          <w:szCs w:val="20"/>
        </w:rPr>
        <w:t>оd 8. srpnja 2014. o izmjeni Uredbe (EZ) br. 26/2004 o registru ribarske flote Zajednice (SL L200, 09.07.2014.)</w:t>
      </w:r>
    </w:p>
    <w:p w:rsidR="000A34C5" w:rsidRPr="00510528" w:rsidRDefault="000A34C5" w:rsidP="000A34C5">
      <w:pPr>
        <w:spacing w:after="120"/>
        <w:jc w:val="both"/>
        <w:rPr>
          <w:i/>
          <w:color w:val="000000"/>
        </w:rPr>
      </w:pPr>
      <w:r w:rsidRPr="00510528">
        <w:rPr>
          <w:i/>
          <w:color w:val="000000"/>
        </w:rPr>
        <w:t>Primjena u slučaju više povećanja/smanjenja odnosno i povećanja i smanjenja</w:t>
      </w:r>
    </w:p>
    <w:p w:rsidR="000A34C5" w:rsidRPr="00510528" w:rsidRDefault="000A34C5" w:rsidP="000A34C5">
      <w:pPr>
        <w:spacing w:after="120"/>
        <w:jc w:val="both"/>
        <w:rPr>
          <w:color w:val="000000"/>
        </w:rPr>
      </w:pPr>
      <w:r w:rsidRPr="00510528">
        <w:rPr>
          <w:color w:val="000000"/>
        </w:rPr>
        <w:t xml:space="preserve">Na temelju Provedbene uredbe Komisije (EU) br. 772/2014 od 14. srpnja 2014. o utvrđivanju pravila o iznosu javne potpore koja će se primjenjivati na ukupno prihvatljive rashode za određene operacije koje se financiraju u okviru Europskog fonda za pomorstvo i ribarstvo (SL </w:t>
      </w:r>
      <w:r w:rsidRPr="00510528">
        <w:rPr>
          <w:color w:val="000000"/>
        </w:rPr>
        <w:lastRenderedPageBreak/>
        <w:t xml:space="preserve">L209, 16.7.2014.), ako ista operacija udovoljava više kriterija iz Priloga I. Uredbe (EU) br. 508/2014, isti se primjenjuju kako slijedi:  </w:t>
      </w:r>
    </w:p>
    <w:p w:rsidR="000A34C5" w:rsidRPr="00510528" w:rsidRDefault="000A34C5" w:rsidP="000A34C5">
      <w:pPr>
        <w:numPr>
          <w:ilvl w:val="0"/>
          <w:numId w:val="65"/>
        </w:numPr>
        <w:spacing w:after="60"/>
        <w:ind w:left="567" w:hanging="567"/>
        <w:jc w:val="both"/>
        <w:rPr>
          <w:color w:val="000000"/>
        </w:rPr>
      </w:pPr>
      <w:r w:rsidRPr="00510528">
        <w:rPr>
          <w:color w:val="000000"/>
        </w:rPr>
        <w:t>ako je na istu operaciju primjenjivo više povećanja postotnih bodova, primjenjuje se samo najveće povećanje;</w:t>
      </w:r>
    </w:p>
    <w:p w:rsidR="000A34C5" w:rsidRPr="00510528" w:rsidRDefault="000A34C5" w:rsidP="000A34C5">
      <w:pPr>
        <w:numPr>
          <w:ilvl w:val="0"/>
          <w:numId w:val="65"/>
        </w:numPr>
        <w:spacing w:after="60"/>
        <w:ind w:left="567" w:hanging="567"/>
        <w:jc w:val="both"/>
        <w:rPr>
          <w:color w:val="000000"/>
        </w:rPr>
      </w:pPr>
      <w:r w:rsidRPr="00510528">
        <w:rPr>
          <w:color w:val="000000"/>
        </w:rPr>
        <w:t>ako je na istu operaciju primjenjivo više smanjenja postotnih bodova, primjenjuje se samo najveće smanjenje;</w:t>
      </w:r>
    </w:p>
    <w:p w:rsidR="000A34C5" w:rsidRPr="00510528" w:rsidRDefault="000A34C5" w:rsidP="000A34C5">
      <w:pPr>
        <w:numPr>
          <w:ilvl w:val="0"/>
          <w:numId w:val="65"/>
        </w:numPr>
        <w:spacing w:after="60"/>
        <w:ind w:left="567" w:hanging="567"/>
        <w:jc w:val="both"/>
        <w:rPr>
          <w:color w:val="000000"/>
        </w:rPr>
      </w:pPr>
      <w:r w:rsidRPr="00510528">
        <w:rPr>
          <w:color w:val="000000"/>
        </w:rPr>
        <w:t>ako je na operaciju primjenjivo jedno dodatno povećanje postotnih bodova ili više njih i istodobno jedno dodatno smanjenje postotnih bodova ili više njih, primjenjuje se samo najveće smanjenje.</w:t>
      </w:r>
    </w:p>
    <w:p w:rsidR="000A34C5" w:rsidRPr="00510528" w:rsidRDefault="000A34C5" w:rsidP="000A34C5">
      <w:pPr>
        <w:spacing w:after="120"/>
        <w:jc w:val="center"/>
        <w:outlineLvl w:val="0"/>
        <w:rPr>
          <w:b/>
          <w:kern w:val="36"/>
        </w:rPr>
      </w:pPr>
    </w:p>
    <w:p w:rsidR="000A34C5" w:rsidRPr="00510528" w:rsidRDefault="000A34C5" w:rsidP="000A34C5">
      <w:pPr>
        <w:spacing w:after="120"/>
        <w:jc w:val="center"/>
        <w:outlineLvl w:val="0"/>
        <w:rPr>
          <w:b/>
          <w:kern w:val="36"/>
        </w:rPr>
      </w:pPr>
    </w:p>
    <w:p w:rsidR="000A34C5" w:rsidRPr="00510528" w:rsidRDefault="000A34C5" w:rsidP="000A34C5">
      <w:pPr>
        <w:rPr>
          <w:b/>
          <w:kern w:val="36"/>
        </w:rPr>
        <w:sectPr w:rsidR="000A34C5" w:rsidRPr="00510528">
          <w:pgSz w:w="11906" w:h="16838"/>
          <w:pgMar w:top="1417" w:right="1417" w:bottom="1417" w:left="1417" w:header="708" w:footer="708" w:gutter="0"/>
          <w:cols w:space="720"/>
        </w:sectPr>
      </w:pPr>
    </w:p>
    <w:p w:rsidR="00DB0E0F" w:rsidRPr="00510528" w:rsidRDefault="000A34C5" w:rsidP="003E16DD">
      <w:pPr>
        <w:spacing w:after="200" w:line="276" w:lineRule="auto"/>
        <w:jc w:val="center"/>
        <w:rPr>
          <w:b/>
          <w:bCs/>
          <w:color w:val="000000"/>
          <w:szCs w:val="28"/>
        </w:rPr>
      </w:pPr>
      <w:r w:rsidRPr="00510528">
        <w:rPr>
          <w:b/>
          <w:bCs/>
          <w:color w:val="000000"/>
          <w:szCs w:val="28"/>
          <w:lang w:eastAsia="en-US"/>
        </w:rPr>
        <w:lastRenderedPageBreak/>
        <w:t xml:space="preserve">Prilog III. </w:t>
      </w:r>
      <w:r w:rsidR="00DB0E0F" w:rsidRPr="00510528">
        <w:rPr>
          <w:b/>
          <w:bCs/>
          <w:color w:val="000000"/>
          <w:szCs w:val="28"/>
          <w:lang w:eastAsia="en-US"/>
        </w:rPr>
        <w:t>Pravila i upute za provedbu mjera informiranja i promidžbe</w:t>
      </w:r>
    </w:p>
    <w:p w:rsidR="00DB0E0F" w:rsidRPr="00510528" w:rsidRDefault="00DB0E0F" w:rsidP="00DB0E0F">
      <w:pPr>
        <w:spacing w:after="60"/>
        <w:jc w:val="center"/>
        <w:rPr>
          <w:b/>
          <w:lang w:eastAsia="en-US"/>
        </w:rPr>
      </w:pPr>
    </w:p>
    <w:p w:rsidR="00DB0E0F" w:rsidRPr="00510528" w:rsidRDefault="00DB0E0F" w:rsidP="003E16DD">
      <w:pPr>
        <w:spacing w:after="120"/>
        <w:jc w:val="both"/>
        <w:rPr>
          <w:shd w:val="clear" w:color="auto" w:fill="FFFFFF"/>
          <w:lang w:eastAsia="en-US"/>
        </w:rPr>
      </w:pPr>
      <w:r w:rsidRPr="00510528">
        <w:rPr>
          <w:b/>
          <w:lang w:eastAsia="en-US"/>
        </w:rPr>
        <w:t>I. Odgovornost korisnika</w:t>
      </w:r>
    </w:p>
    <w:p w:rsidR="00DB0E0F" w:rsidRPr="00510528" w:rsidRDefault="00DB0E0F" w:rsidP="003E16DD">
      <w:pPr>
        <w:spacing w:after="120"/>
        <w:jc w:val="both"/>
        <w:rPr>
          <w:lang w:eastAsia="en-US"/>
        </w:rPr>
      </w:pPr>
      <w:r w:rsidRPr="00510528">
        <w:rPr>
          <w:lang w:eastAsia="en-US"/>
        </w:rPr>
        <w:t xml:space="preserve">Kod provedbe operacija koje se financiraju se iz Europskog fonda za pomorstvo i ribarstvo (EFPR), potrebno je provoditi odgovarajuće mjere informiranja i promidžbe, a, kako bi se javnost informiralo o ciljevima operacije i potpori Europske unije operaciji. </w:t>
      </w:r>
    </w:p>
    <w:p w:rsidR="00DB0E0F" w:rsidRPr="00510528" w:rsidRDefault="00DB0E0F" w:rsidP="003E16DD">
      <w:pPr>
        <w:spacing w:after="120"/>
        <w:jc w:val="both"/>
        <w:rPr>
          <w:lang w:eastAsia="en-US"/>
        </w:rPr>
      </w:pPr>
      <w:r w:rsidRPr="00510528">
        <w:rPr>
          <w:lang w:eastAsia="en-US"/>
        </w:rPr>
        <w:t>Dakle, korisnik je obvezan aktivnosti za koje je ostvario potporu označiti tako što će  prikazati sljedeće elemente vidljivosti</w:t>
      </w:r>
    </w:p>
    <w:p w:rsidR="00DB0E0F" w:rsidRPr="00510528" w:rsidRDefault="00DB0E0F" w:rsidP="003E16DD">
      <w:pPr>
        <w:numPr>
          <w:ilvl w:val="0"/>
          <w:numId w:val="49"/>
        </w:numPr>
        <w:spacing w:after="120"/>
        <w:jc w:val="both"/>
        <w:rPr>
          <w:b/>
          <w:lang w:eastAsia="en-US"/>
        </w:rPr>
      </w:pPr>
      <w:r w:rsidRPr="00510528">
        <w:rPr>
          <w:lang w:eastAsia="en-US"/>
        </w:rPr>
        <w:t xml:space="preserve">Amblem Europske unije i upućivanje na Europsku uniju: </w:t>
      </w:r>
      <w:r w:rsidRPr="00510528">
        <w:rPr>
          <w:i/>
          <w:lang w:eastAsia="en-US"/>
        </w:rPr>
        <w:t>Europska unija</w:t>
      </w:r>
    </w:p>
    <w:p w:rsidR="00DB0E0F" w:rsidRPr="00510528" w:rsidRDefault="00DB0E0F" w:rsidP="003E16DD">
      <w:pPr>
        <w:numPr>
          <w:ilvl w:val="0"/>
          <w:numId w:val="49"/>
        </w:numPr>
        <w:spacing w:after="120"/>
        <w:jc w:val="both"/>
        <w:rPr>
          <w:spacing w:val="15"/>
          <w:lang w:eastAsia="en-US"/>
        </w:rPr>
      </w:pPr>
      <w:r w:rsidRPr="00510528">
        <w:rPr>
          <w:lang w:eastAsia="en-US"/>
        </w:rPr>
        <w:t>Zastavu Republike Hrvatske</w:t>
      </w:r>
    </w:p>
    <w:p w:rsidR="00DB0E0F" w:rsidRPr="00510528" w:rsidRDefault="00DB0E0F" w:rsidP="003E16DD">
      <w:pPr>
        <w:numPr>
          <w:ilvl w:val="0"/>
          <w:numId w:val="49"/>
        </w:numPr>
        <w:spacing w:after="120"/>
        <w:jc w:val="both"/>
        <w:rPr>
          <w:i/>
          <w:lang w:eastAsia="en-US"/>
        </w:rPr>
      </w:pPr>
      <w:r w:rsidRPr="00510528">
        <w:rPr>
          <w:lang w:eastAsia="en-US"/>
        </w:rPr>
        <w:t xml:space="preserve">Upućivanje na Europski fond za pomorstvo i ribarstvo: </w:t>
      </w:r>
      <w:r w:rsidRPr="00510528">
        <w:rPr>
          <w:i/>
          <w:lang w:eastAsia="en-US"/>
        </w:rPr>
        <w:t>Europski fond za pomorstvo i ribarstvo</w:t>
      </w:r>
    </w:p>
    <w:p w:rsidR="00DB0E0F" w:rsidRPr="00510528" w:rsidRDefault="00DB0E0F" w:rsidP="003E16DD">
      <w:pPr>
        <w:numPr>
          <w:ilvl w:val="0"/>
          <w:numId w:val="49"/>
        </w:numPr>
        <w:spacing w:after="120"/>
        <w:jc w:val="both"/>
        <w:rPr>
          <w:spacing w:val="15"/>
          <w:lang w:eastAsia="en-US"/>
        </w:rPr>
      </w:pPr>
      <w:r w:rsidRPr="00510528">
        <w:rPr>
          <w:lang w:eastAsia="en-US"/>
        </w:rPr>
        <w:t>Logotip Operativnog programa za pomorstvo i ribarstvo Republike Hrvatske za programsko razdoblje 2014.-2020.</w:t>
      </w:r>
    </w:p>
    <w:p w:rsidR="00DB0E0F" w:rsidRPr="00510528" w:rsidRDefault="00DB0E0F" w:rsidP="003E16DD">
      <w:pPr>
        <w:spacing w:after="120"/>
        <w:jc w:val="both"/>
        <w:rPr>
          <w:lang w:eastAsia="en-US"/>
        </w:rPr>
      </w:pPr>
      <w:r w:rsidRPr="00510528">
        <w:rPr>
          <w:lang w:eastAsia="en-US"/>
        </w:rPr>
        <w:t>Troškove provedbe mjera informiranja i promidžbe snosi korisnik.</w:t>
      </w:r>
    </w:p>
    <w:p w:rsidR="00DB0E0F" w:rsidRPr="00510528" w:rsidRDefault="00DB0E0F" w:rsidP="003E16DD">
      <w:pPr>
        <w:spacing w:after="120"/>
        <w:jc w:val="both"/>
        <w:rPr>
          <w:b/>
          <w:lang w:eastAsia="en-US"/>
        </w:rPr>
      </w:pPr>
    </w:p>
    <w:p w:rsidR="00DB0E0F" w:rsidRPr="00510528" w:rsidRDefault="00DB0E0F" w:rsidP="003E16DD">
      <w:pPr>
        <w:spacing w:after="120"/>
        <w:jc w:val="both"/>
        <w:rPr>
          <w:b/>
          <w:lang w:eastAsia="en-US"/>
        </w:rPr>
      </w:pPr>
      <w:r w:rsidRPr="00510528">
        <w:rPr>
          <w:b/>
          <w:lang w:eastAsia="en-US"/>
        </w:rPr>
        <w:t xml:space="preserve">II. Smjernice vezane uz ispravnu uporabu i reprodukciju amblema Europske unije, zastave Republike Hrvatske, upućivanja na Europsku uniju i Europski fond za pomorstvo i ribarstvo te logotipa Operativnog programa </w:t>
      </w:r>
    </w:p>
    <w:p w:rsidR="003E16DD" w:rsidRPr="00510528" w:rsidRDefault="003E16DD" w:rsidP="003E16DD">
      <w:pPr>
        <w:spacing w:after="120"/>
        <w:jc w:val="both"/>
        <w:rPr>
          <w:i/>
          <w:lang w:eastAsia="en-US"/>
        </w:rPr>
      </w:pPr>
    </w:p>
    <w:p w:rsidR="00DB0E0F" w:rsidRPr="00510528" w:rsidRDefault="00DB0E0F" w:rsidP="003E16DD">
      <w:pPr>
        <w:spacing w:after="120"/>
        <w:jc w:val="both"/>
        <w:rPr>
          <w:i/>
          <w:lang w:eastAsia="en-US"/>
        </w:rPr>
      </w:pPr>
      <w:r w:rsidRPr="00510528">
        <w:rPr>
          <w:i/>
          <w:lang w:eastAsia="en-US"/>
        </w:rPr>
        <w:t>II.1. Amblem Unije</w:t>
      </w:r>
    </w:p>
    <w:p w:rsidR="00DB0E0F" w:rsidRPr="00510528" w:rsidRDefault="00DB0E0F" w:rsidP="003E16DD">
      <w:pPr>
        <w:numPr>
          <w:ilvl w:val="0"/>
          <w:numId w:val="50"/>
        </w:numPr>
        <w:spacing w:after="120"/>
        <w:jc w:val="both"/>
        <w:rPr>
          <w:lang w:eastAsia="en-US"/>
        </w:rPr>
      </w:pPr>
      <w:r w:rsidRPr="00510528">
        <w:rPr>
          <w:lang w:eastAsia="en-US"/>
        </w:rPr>
        <w:t>Amblem Unije treba izraditi u skladu s grafičkim normama i definicijom standardnih boja iz Priloga Uredbe (EU) br. 763/2014, a koje se mogu pronaći u točki IV. ovih uputa.</w:t>
      </w:r>
    </w:p>
    <w:p w:rsidR="00DB0E0F" w:rsidRPr="00510528" w:rsidRDefault="00DB0E0F" w:rsidP="003E16DD">
      <w:pPr>
        <w:numPr>
          <w:ilvl w:val="0"/>
          <w:numId w:val="50"/>
        </w:numPr>
        <w:spacing w:after="120"/>
        <w:jc w:val="both"/>
        <w:rPr>
          <w:lang w:eastAsia="en-US"/>
        </w:rPr>
      </w:pPr>
      <w:r w:rsidRPr="00510528">
        <w:rPr>
          <w:lang w:eastAsia="en-US"/>
        </w:rPr>
        <w:t>Amblem Unije na web-mjestima prikazuje se u boji. U svim drugim medijima boja se upotrebljava kad god je to moguće. Jednobojna verzija može se upotrijebiti samo u opravdanim slučajevima.</w:t>
      </w:r>
    </w:p>
    <w:p w:rsidR="00DB0E0F" w:rsidRPr="00510528" w:rsidRDefault="00DB0E0F" w:rsidP="003E16DD">
      <w:pPr>
        <w:numPr>
          <w:ilvl w:val="0"/>
          <w:numId w:val="50"/>
        </w:numPr>
        <w:spacing w:after="120"/>
        <w:jc w:val="both"/>
        <w:rPr>
          <w:lang w:eastAsia="en-US"/>
        </w:rPr>
      </w:pPr>
      <w:r w:rsidRPr="00510528">
        <w:rPr>
          <w:lang w:eastAsia="en-US"/>
        </w:rPr>
        <w:t>Amblem Unije uvijek je jasno vidljiv i na istaknutom mjestu. Mjesto amblema i njegova veličina primjereni su veličini predmetnog materijala ili dokumenta. Amblem Unije visok je najmanje 1 cm. U manjim promocijskim materijalima amblem Unije visok je najmanje 5 mm.</w:t>
      </w:r>
    </w:p>
    <w:p w:rsidR="00DB0E0F" w:rsidRPr="00510528" w:rsidRDefault="00DB0E0F" w:rsidP="003E16DD">
      <w:pPr>
        <w:numPr>
          <w:ilvl w:val="0"/>
          <w:numId w:val="50"/>
        </w:numPr>
        <w:spacing w:after="120"/>
        <w:jc w:val="both"/>
        <w:rPr>
          <w:lang w:eastAsia="en-US"/>
        </w:rPr>
      </w:pPr>
      <w:r w:rsidRPr="00510528">
        <w:rPr>
          <w:lang w:eastAsia="en-US"/>
        </w:rPr>
        <w:t>Kada je amblem Unije prikazan na web-mjestu, vidljiv je unutar područja prikaza digitalnog uređaja bez potrebe pomicanja prozora prema dolje.</w:t>
      </w:r>
    </w:p>
    <w:p w:rsidR="003E16DD" w:rsidRPr="00510528" w:rsidRDefault="00DB0E0F" w:rsidP="003E16DD">
      <w:pPr>
        <w:numPr>
          <w:ilvl w:val="0"/>
          <w:numId w:val="50"/>
        </w:numPr>
        <w:spacing w:after="120"/>
        <w:ind w:left="357" w:hanging="357"/>
        <w:jc w:val="both"/>
        <w:rPr>
          <w:lang w:eastAsia="en-US"/>
        </w:rPr>
      </w:pPr>
      <w:r w:rsidRPr="00510528">
        <w:rPr>
          <w:lang w:eastAsia="en-US"/>
        </w:rPr>
        <w:t>Ako su uz amblem Unije prikazani drugi logotipi, amblem Unije barem je visine i širine najvećeg od drugih logotipa. Preporučuje se amblem Unije jasno odvojiti od logotipa treće strane.</w:t>
      </w:r>
    </w:p>
    <w:p w:rsidR="000A34C5" w:rsidRPr="00510528" w:rsidRDefault="000A34C5" w:rsidP="003E16DD">
      <w:pPr>
        <w:spacing w:after="120"/>
        <w:jc w:val="both"/>
        <w:rPr>
          <w:rFonts w:eastAsia="Calibri"/>
          <w:bCs/>
          <w:u w:val="single"/>
          <w:lang w:eastAsia="en-US" w:bidi="hr-HR"/>
        </w:rPr>
      </w:pPr>
    </w:p>
    <w:p w:rsidR="00DB0E0F" w:rsidRPr="00510528" w:rsidRDefault="00DB0E0F" w:rsidP="003E16DD">
      <w:pPr>
        <w:spacing w:after="120"/>
        <w:jc w:val="both"/>
        <w:rPr>
          <w:rFonts w:eastAsia="Calibri"/>
          <w:bCs/>
          <w:u w:val="single"/>
          <w:lang w:eastAsia="en-US" w:bidi="hr-HR"/>
        </w:rPr>
      </w:pPr>
      <w:r w:rsidRPr="00510528">
        <w:rPr>
          <w:rFonts w:eastAsia="Calibri"/>
          <w:bCs/>
          <w:u w:val="single"/>
          <w:lang w:eastAsia="en-US" w:bidi="hr-HR"/>
        </w:rPr>
        <w:t xml:space="preserve">Grafičke norme za izradu amblema Unije i definicija standardnih boja </w:t>
      </w:r>
    </w:p>
    <w:p w:rsidR="00DB0E0F" w:rsidRPr="00510528" w:rsidRDefault="00DB0E0F" w:rsidP="003E16DD">
      <w:pPr>
        <w:spacing w:after="120"/>
        <w:jc w:val="both"/>
        <w:rPr>
          <w:rFonts w:eastAsia="Calibri"/>
          <w:bCs/>
          <w:lang w:eastAsia="en-US" w:bidi="hr-HR"/>
        </w:rPr>
      </w:pPr>
    </w:p>
    <w:p w:rsidR="00DB0E0F" w:rsidRPr="00510528" w:rsidRDefault="00DB0E0F" w:rsidP="003E16DD">
      <w:pPr>
        <w:spacing w:after="120"/>
        <w:jc w:val="both"/>
        <w:rPr>
          <w:rFonts w:eastAsia="Calibri"/>
          <w:bCs/>
          <w:lang w:eastAsia="en-US" w:bidi="hr-HR"/>
        </w:rPr>
      </w:pPr>
      <w:r w:rsidRPr="00510528">
        <w:rPr>
          <w:rFonts w:eastAsia="Calibri"/>
          <w:bCs/>
          <w:lang w:eastAsia="en-US" w:bidi="hr-HR"/>
        </w:rPr>
        <w:t xml:space="preserve">SIMBOLIČAN OPIS </w:t>
      </w:r>
    </w:p>
    <w:p w:rsidR="00DB0E0F" w:rsidRPr="00510528" w:rsidRDefault="00DB0E0F" w:rsidP="003E16DD">
      <w:pPr>
        <w:spacing w:after="120"/>
        <w:jc w:val="both"/>
        <w:rPr>
          <w:rFonts w:eastAsia="Calibri"/>
          <w:bCs/>
          <w:lang w:eastAsia="en-US" w:bidi="hr-HR"/>
        </w:rPr>
      </w:pPr>
      <w:r w:rsidRPr="00510528">
        <w:rPr>
          <w:rFonts w:eastAsia="Calibri"/>
          <w:bCs/>
          <w:lang w:eastAsia="en-US" w:bidi="hr-HR"/>
        </w:rPr>
        <w:t xml:space="preserve">Na nebeskoplavoj podlozi 12 zlatnih zvijezda oblikuje krug koji prikazuje povezanost naroda Europe. Broj zvijezda je nepromjenjiv, a broj dvanaest simbolizira potpunost i jedinstvo. </w:t>
      </w:r>
    </w:p>
    <w:p w:rsidR="00DB0E0F" w:rsidRPr="00510528" w:rsidRDefault="00DB0E0F" w:rsidP="003E16DD">
      <w:pPr>
        <w:spacing w:after="120"/>
        <w:jc w:val="both"/>
        <w:rPr>
          <w:rFonts w:eastAsia="Calibri"/>
          <w:bCs/>
          <w:lang w:eastAsia="en-US" w:bidi="hr-HR"/>
        </w:rPr>
      </w:pPr>
      <w:r w:rsidRPr="00510528">
        <w:rPr>
          <w:rFonts w:eastAsia="Calibri"/>
          <w:bCs/>
          <w:lang w:eastAsia="en-US" w:bidi="hr-HR"/>
        </w:rPr>
        <w:t xml:space="preserve">HERALDIČKI OPIS </w:t>
      </w:r>
    </w:p>
    <w:p w:rsidR="00DB0E0F" w:rsidRPr="00510528" w:rsidRDefault="00DB0E0F" w:rsidP="003E16DD">
      <w:pPr>
        <w:spacing w:after="120"/>
        <w:jc w:val="both"/>
        <w:rPr>
          <w:rFonts w:eastAsia="Calibri"/>
          <w:lang w:eastAsia="en-US"/>
        </w:rPr>
      </w:pPr>
      <w:r w:rsidRPr="00510528">
        <w:rPr>
          <w:rFonts w:eastAsia="Calibri"/>
          <w:bCs/>
          <w:lang w:eastAsia="en-US" w:bidi="hr-HR"/>
        </w:rPr>
        <w:lastRenderedPageBreak/>
        <w:t>Na nebeskoplavoj podlozi nalazi se krug od 12 zlatnih petokrakih zvijezda čiji se krakovi ne dodiruju.</w:t>
      </w:r>
    </w:p>
    <w:p w:rsidR="00DB0E0F" w:rsidRPr="00510528" w:rsidRDefault="00DB0E0F" w:rsidP="003E16DD">
      <w:pPr>
        <w:spacing w:after="120"/>
        <w:jc w:val="both"/>
        <w:rPr>
          <w:bCs/>
          <w:lang w:eastAsia="en-US"/>
        </w:rPr>
      </w:pPr>
      <w:r w:rsidRPr="00510528">
        <w:rPr>
          <w:bCs/>
          <w:lang w:eastAsia="en-US"/>
        </w:rPr>
        <w:t>GEOMETRIJSKI OPIS</w:t>
      </w:r>
    </w:p>
    <w:p w:rsidR="00DB0E0F" w:rsidRPr="00510528" w:rsidRDefault="00B30CC5" w:rsidP="00DB0E0F">
      <w:pPr>
        <w:spacing w:after="60"/>
        <w:jc w:val="center"/>
        <w:rPr>
          <w:rFonts w:eastAsia="Calibri"/>
          <w:lang w:eastAsia="en-US" w:bidi="hr-HR"/>
        </w:rPr>
      </w:pPr>
      <w:r w:rsidRPr="00510528">
        <w:rPr>
          <w:noProof/>
          <w:lang w:val="en-GB" w:eastAsia="en-GB"/>
        </w:rPr>
        <w:drawing>
          <wp:inline distT="0" distB="0" distL="0" distR="0">
            <wp:extent cx="2924175" cy="2066925"/>
            <wp:effectExtent l="0" t="0" r="9525" b="9525"/>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24175" cy="2066925"/>
                    </a:xfrm>
                    <a:prstGeom prst="rect">
                      <a:avLst/>
                    </a:prstGeom>
                    <a:noFill/>
                    <a:ln>
                      <a:noFill/>
                    </a:ln>
                  </pic:spPr>
                </pic:pic>
              </a:graphicData>
            </a:graphic>
          </wp:inline>
        </w:drawing>
      </w:r>
    </w:p>
    <w:p w:rsidR="00DB0E0F" w:rsidRPr="00510528" w:rsidRDefault="00DB0E0F" w:rsidP="00DB0E0F">
      <w:pPr>
        <w:autoSpaceDE w:val="0"/>
        <w:autoSpaceDN w:val="0"/>
        <w:adjustRightInd w:val="0"/>
        <w:spacing w:after="60"/>
        <w:rPr>
          <w:rFonts w:eastAsia="Calibri"/>
          <w:b/>
          <w:i/>
          <w:lang w:eastAsia="en-US"/>
        </w:rPr>
      </w:pPr>
    </w:p>
    <w:p w:rsidR="00DB0E0F" w:rsidRPr="00510528" w:rsidRDefault="00DB0E0F" w:rsidP="003E16DD">
      <w:pPr>
        <w:autoSpaceDE w:val="0"/>
        <w:autoSpaceDN w:val="0"/>
        <w:adjustRightInd w:val="0"/>
        <w:spacing w:after="120"/>
        <w:jc w:val="both"/>
        <w:rPr>
          <w:rFonts w:eastAsia="Calibri"/>
          <w:lang w:eastAsia="en-US"/>
        </w:rPr>
      </w:pPr>
      <w:r w:rsidRPr="00510528">
        <w:rPr>
          <w:rFonts w:eastAsia="Calibri"/>
          <w:lang w:eastAsia="en-US"/>
        </w:rPr>
        <w:t>Amblem ima oblik plave pravokutne zastave čija je osnovica jedan i pol puta dulja od stranice. Dvanaest zlatnih zvijezda nalazi se na jednakoj udaljenosti i tvore nevidljivi krug čije je središte sjecište dijagonala pravokutnika. Polumjer kruga jednak je trećini visine stranice pravokutnika. Svaka zvijezda ima pet krakova koji su na obodu nevidljiva kruga čiji je polumjer jednak jednoj osamnaestini visine stranice pravokutnika. Sve su zvijezde uspravne, tj. jedan je krak okomit, a dva su kraka u vodoravnoj liniji pod pravim kutom na okomiti rub pravokutnika. Krug je uređen tako da su zvijezde raspoređene kao brojčanik na satu. Njihov je broj nepromjenljiv.</w:t>
      </w:r>
    </w:p>
    <w:p w:rsidR="003E16DD" w:rsidRPr="00510528" w:rsidRDefault="003E16DD" w:rsidP="003E16DD">
      <w:pPr>
        <w:autoSpaceDE w:val="0"/>
        <w:autoSpaceDN w:val="0"/>
        <w:adjustRightInd w:val="0"/>
        <w:spacing w:after="120"/>
        <w:rPr>
          <w:rFonts w:eastAsia="Calibri"/>
          <w:bCs/>
          <w:lang w:eastAsia="en-US"/>
        </w:rPr>
      </w:pPr>
    </w:p>
    <w:p w:rsidR="00DB0E0F" w:rsidRPr="00510528" w:rsidRDefault="00DB0E0F" w:rsidP="003E16DD">
      <w:pPr>
        <w:autoSpaceDE w:val="0"/>
        <w:autoSpaceDN w:val="0"/>
        <w:adjustRightInd w:val="0"/>
        <w:spacing w:after="120"/>
        <w:rPr>
          <w:rFonts w:eastAsia="Calibri"/>
          <w:bCs/>
          <w:lang w:eastAsia="en-US"/>
        </w:rPr>
      </w:pPr>
      <w:r w:rsidRPr="00510528">
        <w:rPr>
          <w:rFonts w:eastAsia="Calibri"/>
          <w:bCs/>
          <w:lang w:eastAsia="en-US"/>
        </w:rPr>
        <w:t xml:space="preserve">PROPISANE BOJE </w:t>
      </w:r>
    </w:p>
    <w:p w:rsidR="00DB0E0F" w:rsidRPr="00510528" w:rsidRDefault="00DB0E0F" w:rsidP="003E16DD">
      <w:pPr>
        <w:autoSpaceDE w:val="0"/>
        <w:autoSpaceDN w:val="0"/>
        <w:adjustRightInd w:val="0"/>
        <w:spacing w:after="120"/>
        <w:rPr>
          <w:rFonts w:eastAsia="Calibri"/>
          <w:bCs/>
          <w:lang w:eastAsia="en-US"/>
        </w:rPr>
      </w:pPr>
      <w:r w:rsidRPr="00510528">
        <w:rPr>
          <w:rFonts w:eastAsia="Calibri"/>
          <w:bCs/>
          <w:lang w:eastAsia="en-US"/>
        </w:rPr>
        <w:t xml:space="preserve">Amblem je u sljedećim bojama: </w:t>
      </w:r>
    </w:p>
    <w:p w:rsidR="00DB0E0F" w:rsidRPr="00510528" w:rsidRDefault="00DB0E0F" w:rsidP="003E16DD">
      <w:pPr>
        <w:numPr>
          <w:ilvl w:val="0"/>
          <w:numId w:val="51"/>
        </w:numPr>
        <w:autoSpaceDE w:val="0"/>
        <w:autoSpaceDN w:val="0"/>
        <w:adjustRightInd w:val="0"/>
        <w:spacing w:after="120"/>
        <w:rPr>
          <w:rFonts w:eastAsia="Calibri"/>
          <w:bCs/>
          <w:lang w:eastAsia="en-US"/>
        </w:rPr>
      </w:pPr>
      <w:r w:rsidRPr="00510528">
        <w:rPr>
          <w:rFonts w:eastAsia="Calibri"/>
          <w:bCs/>
          <w:lang w:eastAsia="en-US"/>
        </w:rPr>
        <w:t xml:space="preserve">PANTONE REFLEX BLUE za površinu pravokutnika, </w:t>
      </w:r>
    </w:p>
    <w:p w:rsidR="00DB0E0F" w:rsidRPr="00510528" w:rsidRDefault="00DB0E0F" w:rsidP="003E16DD">
      <w:pPr>
        <w:numPr>
          <w:ilvl w:val="0"/>
          <w:numId w:val="51"/>
        </w:numPr>
        <w:autoSpaceDE w:val="0"/>
        <w:autoSpaceDN w:val="0"/>
        <w:adjustRightInd w:val="0"/>
        <w:spacing w:after="120"/>
        <w:rPr>
          <w:rFonts w:eastAsia="Calibri"/>
          <w:bCs/>
          <w:lang w:eastAsia="en-US"/>
        </w:rPr>
      </w:pPr>
      <w:r w:rsidRPr="00510528">
        <w:rPr>
          <w:rFonts w:eastAsia="Calibri"/>
          <w:bCs/>
          <w:lang w:eastAsia="en-US"/>
        </w:rPr>
        <w:t>PANTONE YELLOW za zvijezde.</w:t>
      </w:r>
    </w:p>
    <w:p w:rsidR="00DB0E0F" w:rsidRPr="00510528" w:rsidRDefault="00DB0E0F" w:rsidP="003E16DD">
      <w:pPr>
        <w:spacing w:after="120"/>
        <w:jc w:val="both"/>
        <w:rPr>
          <w:rFonts w:eastAsia="Calibri"/>
          <w:lang w:eastAsia="en-US"/>
        </w:rPr>
      </w:pPr>
    </w:p>
    <w:p w:rsidR="00DB0E0F" w:rsidRPr="00510528" w:rsidRDefault="00DB0E0F" w:rsidP="003E16DD">
      <w:pPr>
        <w:spacing w:after="120"/>
        <w:jc w:val="both"/>
        <w:rPr>
          <w:rFonts w:eastAsia="Calibri"/>
          <w:bCs/>
          <w:lang w:eastAsia="en-US" w:bidi="hr-HR"/>
        </w:rPr>
      </w:pPr>
      <w:r w:rsidRPr="00510528">
        <w:rPr>
          <w:rFonts w:eastAsia="Calibri"/>
          <w:bCs/>
          <w:lang w:eastAsia="en-US" w:bidi="hr-HR"/>
        </w:rPr>
        <w:t xml:space="preserve">ČETVEROBOJNI POSTUPAK </w:t>
      </w:r>
    </w:p>
    <w:p w:rsidR="00DB0E0F" w:rsidRPr="00510528" w:rsidRDefault="00DB0E0F" w:rsidP="003E16DD">
      <w:pPr>
        <w:spacing w:after="120"/>
        <w:jc w:val="both"/>
        <w:rPr>
          <w:rFonts w:eastAsia="Calibri"/>
          <w:lang w:eastAsia="en-US" w:bidi="hr-HR"/>
        </w:rPr>
      </w:pPr>
      <w:r w:rsidRPr="00510528">
        <w:rPr>
          <w:rFonts w:eastAsia="Calibri"/>
          <w:lang w:eastAsia="en-US" w:bidi="hr-HR"/>
        </w:rPr>
        <w:t xml:space="preserve">Ako se upotrebljava četverobojni postupak, napravite dvije standardne boje uporabom četiriju boja četverobojnog postupka. </w:t>
      </w:r>
    </w:p>
    <w:p w:rsidR="00DB0E0F" w:rsidRPr="00510528" w:rsidRDefault="00DB0E0F" w:rsidP="003E16DD">
      <w:pPr>
        <w:spacing w:after="120"/>
        <w:jc w:val="both"/>
        <w:rPr>
          <w:rFonts w:eastAsia="Calibri"/>
          <w:lang w:eastAsia="en-US" w:bidi="hr-HR"/>
        </w:rPr>
      </w:pPr>
      <w:r w:rsidRPr="00510528">
        <w:rPr>
          <w:rFonts w:eastAsia="Calibri"/>
          <w:lang w:eastAsia="en-US" w:bidi="hr-HR"/>
        </w:rPr>
        <w:t xml:space="preserve">PANTONE YELLOW postiže se uporabom 100 % „Process Yellow”. </w:t>
      </w:r>
    </w:p>
    <w:p w:rsidR="00DB0E0F" w:rsidRPr="00510528" w:rsidRDefault="00DB0E0F" w:rsidP="003E16DD">
      <w:pPr>
        <w:spacing w:after="120"/>
        <w:jc w:val="both"/>
        <w:rPr>
          <w:rFonts w:eastAsia="Calibri"/>
          <w:lang w:eastAsia="en-US" w:bidi="hr-HR"/>
        </w:rPr>
      </w:pPr>
      <w:r w:rsidRPr="00510528">
        <w:rPr>
          <w:rFonts w:eastAsia="Calibri"/>
          <w:lang w:eastAsia="en-US" w:bidi="hr-HR"/>
        </w:rPr>
        <w:t xml:space="preserve">PANTONE REFLEX BLUE postiže se miješanjem 100 % „Process Cyan” i 80 % „Process Magenta”. </w:t>
      </w:r>
    </w:p>
    <w:p w:rsidR="00DB0E0F" w:rsidRPr="00510528" w:rsidRDefault="00DB0E0F" w:rsidP="003E16DD">
      <w:pPr>
        <w:spacing w:after="120"/>
        <w:jc w:val="both"/>
        <w:rPr>
          <w:rFonts w:eastAsia="Calibri"/>
          <w:bCs/>
          <w:lang w:eastAsia="en-US" w:bidi="hr-HR"/>
        </w:rPr>
      </w:pPr>
      <w:r w:rsidRPr="00510528">
        <w:rPr>
          <w:rFonts w:eastAsia="Calibri"/>
          <w:bCs/>
          <w:lang w:eastAsia="en-US" w:bidi="hr-HR"/>
        </w:rPr>
        <w:t xml:space="preserve">INTERNET </w:t>
      </w:r>
    </w:p>
    <w:p w:rsidR="00DB0E0F" w:rsidRPr="00510528" w:rsidRDefault="00DB0E0F" w:rsidP="003E16DD">
      <w:pPr>
        <w:spacing w:after="120"/>
        <w:jc w:val="both"/>
        <w:rPr>
          <w:rFonts w:eastAsia="Calibri"/>
          <w:lang w:eastAsia="en-US" w:bidi="hr-HR"/>
        </w:rPr>
      </w:pPr>
    </w:p>
    <w:p w:rsidR="00DB0E0F" w:rsidRPr="00510528" w:rsidRDefault="00DB0E0F" w:rsidP="003E16DD">
      <w:pPr>
        <w:spacing w:after="120"/>
        <w:jc w:val="both"/>
        <w:rPr>
          <w:rFonts w:eastAsia="Calibri"/>
          <w:lang w:eastAsia="en-US" w:bidi="hr-HR"/>
        </w:rPr>
      </w:pPr>
      <w:r w:rsidRPr="00510528">
        <w:rPr>
          <w:rFonts w:eastAsia="Calibri"/>
          <w:lang w:eastAsia="en-US" w:bidi="hr-HR"/>
        </w:rPr>
        <w:t xml:space="preserve">PANTONE REFLEX BLUE na mrežnoj paleti odgovara boji RGB:0/51/153 (heksadecimalni zapis: 003399), a PANTONE YELLOW na mrežnoj paleti odgovara boji RGB: 255/204/0 (heksadecimalni zapis: FFCC00). </w:t>
      </w:r>
    </w:p>
    <w:p w:rsidR="00DB0E0F" w:rsidRPr="00510528" w:rsidRDefault="00DB0E0F" w:rsidP="003E16DD">
      <w:pPr>
        <w:spacing w:after="120"/>
        <w:jc w:val="both"/>
        <w:rPr>
          <w:rFonts w:eastAsia="Calibri"/>
          <w:lang w:eastAsia="en-US" w:bidi="hr-HR"/>
        </w:rPr>
      </w:pPr>
    </w:p>
    <w:p w:rsidR="00DB0E0F" w:rsidRPr="00510528" w:rsidRDefault="00DB0E0F" w:rsidP="003E16DD">
      <w:pPr>
        <w:spacing w:after="120"/>
        <w:jc w:val="both"/>
        <w:rPr>
          <w:rFonts w:eastAsia="Calibri"/>
          <w:bCs/>
          <w:lang w:eastAsia="en-US" w:bidi="hr-HR"/>
        </w:rPr>
      </w:pPr>
      <w:r w:rsidRPr="00510528">
        <w:rPr>
          <w:rFonts w:eastAsia="Calibri"/>
          <w:bCs/>
          <w:lang w:eastAsia="en-US" w:bidi="hr-HR"/>
        </w:rPr>
        <w:t xml:space="preserve">JEDNOBOJNI REPRODUKCIJSKI POSTUPAK </w:t>
      </w:r>
    </w:p>
    <w:p w:rsidR="00DB0E0F" w:rsidRPr="00510528" w:rsidRDefault="00DB0E0F" w:rsidP="003E16DD">
      <w:pPr>
        <w:spacing w:after="120"/>
        <w:jc w:val="both"/>
        <w:rPr>
          <w:rFonts w:eastAsia="Calibri"/>
          <w:lang w:eastAsia="en-US" w:bidi="hr-HR"/>
        </w:rPr>
      </w:pPr>
      <w:r w:rsidRPr="00510528">
        <w:rPr>
          <w:rFonts w:eastAsia="Calibri"/>
          <w:lang w:eastAsia="en-US" w:bidi="hr-HR"/>
        </w:rPr>
        <w:t>Ako upotrebljavate crnu boju, nacrtajte crni pravokutnik i otisnite crne zvijezde na bijeloj podlozi.</w:t>
      </w:r>
    </w:p>
    <w:p w:rsidR="00DB0E0F" w:rsidRPr="00510528" w:rsidRDefault="00B30CC5" w:rsidP="00DB0E0F">
      <w:pPr>
        <w:spacing w:after="60"/>
        <w:jc w:val="center"/>
        <w:rPr>
          <w:rFonts w:eastAsia="Calibri"/>
          <w:lang w:eastAsia="en-US" w:bidi="hr-HR"/>
        </w:rPr>
      </w:pPr>
      <w:r w:rsidRPr="00510528">
        <w:rPr>
          <w:rFonts w:eastAsia="Calibri"/>
          <w:noProof/>
          <w:lang w:val="en-GB" w:eastAsia="en-GB"/>
        </w:rPr>
        <w:lastRenderedPageBreak/>
        <w:drawing>
          <wp:inline distT="0" distB="0" distL="0" distR="0">
            <wp:extent cx="1571625" cy="1066800"/>
            <wp:effectExtent l="0" t="0" r="9525"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71625" cy="1066800"/>
                    </a:xfrm>
                    <a:prstGeom prst="rect">
                      <a:avLst/>
                    </a:prstGeom>
                    <a:noFill/>
                    <a:ln>
                      <a:noFill/>
                    </a:ln>
                  </pic:spPr>
                </pic:pic>
              </a:graphicData>
            </a:graphic>
          </wp:inline>
        </w:drawing>
      </w:r>
    </w:p>
    <w:p w:rsidR="00DB0E0F" w:rsidRPr="00510528" w:rsidRDefault="00DB0E0F" w:rsidP="00DB0E0F">
      <w:pPr>
        <w:spacing w:after="60"/>
        <w:rPr>
          <w:rFonts w:eastAsia="Calibri"/>
          <w:lang w:eastAsia="en-US" w:bidi="hr-HR"/>
        </w:rPr>
      </w:pPr>
    </w:p>
    <w:p w:rsidR="00DB0E0F" w:rsidRPr="00510528" w:rsidRDefault="00DB0E0F" w:rsidP="00DB0E0F">
      <w:pPr>
        <w:spacing w:after="60"/>
        <w:rPr>
          <w:rFonts w:eastAsia="Calibri"/>
          <w:lang w:eastAsia="en-US" w:bidi="hr-HR"/>
        </w:rPr>
      </w:pPr>
      <w:r w:rsidRPr="00510528">
        <w:rPr>
          <w:rFonts w:eastAsia="Calibri"/>
          <w:lang w:eastAsia="en-US" w:bidi="hr-HR"/>
        </w:rPr>
        <w:t>Ako upotrebljavate plavu boju (Reflex Blue), za podlogu upotrijebite 100 % Reflex Blue, a zvijezde neka budu u negativ- bijeloj boji.</w:t>
      </w:r>
    </w:p>
    <w:p w:rsidR="00DB0E0F" w:rsidRPr="00510528" w:rsidRDefault="00DB0E0F" w:rsidP="00DB0E0F">
      <w:pPr>
        <w:spacing w:after="60"/>
        <w:rPr>
          <w:rFonts w:eastAsia="Calibri"/>
          <w:lang w:eastAsia="en-US" w:bidi="hr-HR"/>
        </w:rPr>
      </w:pPr>
    </w:p>
    <w:p w:rsidR="00DB0E0F" w:rsidRPr="00510528" w:rsidRDefault="00B30CC5" w:rsidP="00DB0E0F">
      <w:pPr>
        <w:spacing w:after="60"/>
        <w:jc w:val="center"/>
        <w:rPr>
          <w:rFonts w:eastAsia="Calibri"/>
          <w:lang w:eastAsia="en-US" w:bidi="hr-HR"/>
        </w:rPr>
      </w:pPr>
      <w:r w:rsidRPr="00510528">
        <w:rPr>
          <w:rFonts w:eastAsia="Calibri"/>
          <w:noProof/>
          <w:lang w:val="en-GB" w:eastAsia="en-GB"/>
        </w:rPr>
        <w:drawing>
          <wp:inline distT="0" distB="0" distL="0" distR="0">
            <wp:extent cx="1562100" cy="10382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62100" cy="1038225"/>
                    </a:xfrm>
                    <a:prstGeom prst="rect">
                      <a:avLst/>
                    </a:prstGeom>
                    <a:noFill/>
                    <a:ln>
                      <a:noFill/>
                    </a:ln>
                  </pic:spPr>
                </pic:pic>
              </a:graphicData>
            </a:graphic>
          </wp:inline>
        </w:drawing>
      </w:r>
    </w:p>
    <w:p w:rsidR="00DB0E0F" w:rsidRPr="00510528" w:rsidRDefault="00DB0E0F" w:rsidP="00DB0E0F">
      <w:pPr>
        <w:spacing w:after="60"/>
        <w:rPr>
          <w:rFonts w:eastAsia="Calibri"/>
          <w:lang w:eastAsia="en-US" w:bidi="hr-HR"/>
        </w:rPr>
      </w:pPr>
    </w:p>
    <w:p w:rsidR="00DB0E0F" w:rsidRPr="00510528" w:rsidRDefault="00DB0E0F" w:rsidP="007466A3">
      <w:pPr>
        <w:spacing w:after="120"/>
        <w:rPr>
          <w:rFonts w:eastAsia="Calibri"/>
          <w:bCs/>
          <w:lang w:eastAsia="en-US" w:bidi="hr-HR"/>
        </w:rPr>
      </w:pPr>
      <w:r w:rsidRPr="00510528">
        <w:rPr>
          <w:rFonts w:eastAsia="Calibri"/>
          <w:bCs/>
          <w:lang w:eastAsia="en-US" w:bidi="hr-HR"/>
        </w:rPr>
        <w:t xml:space="preserve">REPRODUKCIJA NA PODLOZI U BOJI </w:t>
      </w:r>
    </w:p>
    <w:p w:rsidR="00DB0E0F" w:rsidRPr="00510528" w:rsidRDefault="00DB0E0F" w:rsidP="007466A3">
      <w:pPr>
        <w:spacing w:after="120"/>
        <w:jc w:val="both"/>
        <w:rPr>
          <w:rFonts w:eastAsia="Calibri"/>
          <w:lang w:eastAsia="en-US" w:bidi="hr-HR"/>
        </w:rPr>
      </w:pPr>
      <w:r w:rsidRPr="00510528">
        <w:rPr>
          <w:rFonts w:eastAsia="Calibri"/>
          <w:lang w:eastAsia="en-US" w:bidi="hr-HR"/>
        </w:rPr>
        <w:t>Ako ne postoji druga mogućnost osim pozadine u boji, pravokutnik neka ima bijeli obrub čija širina mora biti jednaka 1/25 visine pravokutnika.</w:t>
      </w:r>
    </w:p>
    <w:p w:rsidR="00DB0E0F" w:rsidRPr="00510528" w:rsidRDefault="00DB0E0F" w:rsidP="00DB0E0F">
      <w:pPr>
        <w:spacing w:after="60"/>
        <w:rPr>
          <w:rFonts w:eastAsia="Calibri"/>
          <w:lang w:eastAsia="en-US" w:bidi="hr-HR"/>
        </w:rPr>
      </w:pPr>
    </w:p>
    <w:p w:rsidR="00DB0E0F" w:rsidRPr="00510528" w:rsidRDefault="00B30CC5" w:rsidP="00DB0E0F">
      <w:pPr>
        <w:spacing w:after="60"/>
        <w:jc w:val="center"/>
        <w:rPr>
          <w:rFonts w:eastAsia="Calibri"/>
          <w:lang w:eastAsia="en-US" w:bidi="hr-HR"/>
        </w:rPr>
      </w:pPr>
      <w:r w:rsidRPr="00510528">
        <w:rPr>
          <w:rFonts w:eastAsia="Calibri"/>
          <w:noProof/>
          <w:lang w:val="en-GB" w:eastAsia="en-GB"/>
        </w:rPr>
        <w:drawing>
          <wp:inline distT="0" distB="0" distL="0" distR="0">
            <wp:extent cx="1752600" cy="1419225"/>
            <wp:effectExtent l="0" t="0" r="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52600" cy="1419225"/>
                    </a:xfrm>
                    <a:prstGeom prst="rect">
                      <a:avLst/>
                    </a:prstGeom>
                    <a:noFill/>
                    <a:ln>
                      <a:noFill/>
                    </a:ln>
                  </pic:spPr>
                </pic:pic>
              </a:graphicData>
            </a:graphic>
          </wp:inline>
        </w:drawing>
      </w:r>
    </w:p>
    <w:p w:rsidR="00DB0E0F" w:rsidRPr="00510528" w:rsidRDefault="00DB0E0F" w:rsidP="00DB0E0F">
      <w:pPr>
        <w:spacing w:after="60"/>
        <w:rPr>
          <w:rFonts w:eastAsia="Calibri"/>
          <w:lang w:eastAsia="en-US" w:bidi="hr-HR"/>
        </w:rPr>
      </w:pPr>
    </w:p>
    <w:p w:rsidR="00DB0E0F" w:rsidRPr="00510528" w:rsidRDefault="00DB0E0F" w:rsidP="007466A3">
      <w:pPr>
        <w:spacing w:after="120"/>
        <w:jc w:val="both"/>
        <w:rPr>
          <w:rFonts w:eastAsia="Calibri"/>
          <w:lang w:eastAsia="en-US" w:bidi="hr-HR"/>
        </w:rPr>
      </w:pPr>
      <w:r w:rsidRPr="00510528">
        <w:rPr>
          <w:rFonts w:eastAsia="Calibri"/>
          <w:lang w:eastAsia="en-US" w:bidi="hr-HR"/>
        </w:rPr>
        <w:t xml:space="preserve">Za više informacija i upute vidjeti: </w:t>
      </w:r>
    </w:p>
    <w:p w:rsidR="00DB0E0F" w:rsidRPr="00510528" w:rsidRDefault="00DB0E0F" w:rsidP="007466A3">
      <w:pPr>
        <w:spacing w:after="120"/>
        <w:jc w:val="both"/>
        <w:rPr>
          <w:lang w:eastAsia="en-US"/>
        </w:rPr>
      </w:pPr>
      <w:hyperlink r:id="rId17" w:history="1">
        <w:r w:rsidRPr="00510528">
          <w:rPr>
            <w:rFonts w:eastAsia="Calibri"/>
            <w:color w:val="0000FF"/>
            <w:u w:val="single"/>
            <w:lang w:eastAsia="en-US" w:bidi="hr-HR"/>
          </w:rPr>
          <w:t>http://ec.europa.eu/dgs/communication/services/visual_identity/pdf/use-emblem_en.pdf</w:t>
        </w:r>
      </w:hyperlink>
    </w:p>
    <w:p w:rsidR="00DB0E0F" w:rsidRPr="00510528" w:rsidRDefault="00DB0E0F" w:rsidP="00DB0E0F">
      <w:pPr>
        <w:spacing w:after="60"/>
        <w:jc w:val="both"/>
        <w:rPr>
          <w:b/>
          <w:lang w:eastAsia="en-US"/>
        </w:rPr>
      </w:pPr>
    </w:p>
    <w:p w:rsidR="00DB0E0F" w:rsidRPr="00510528" w:rsidRDefault="00DB0E0F" w:rsidP="00DB0E0F">
      <w:pPr>
        <w:spacing w:after="60"/>
        <w:jc w:val="both"/>
        <w:rPr>
          <w:b/>
          <w:lang w:eastAsia="en-US"/>
        </w:rPr>
      </w:pPr>
    </w:p>
    <w:p w:rsidR="00DB0E0F" w:rsidRPr="00510528" w:rsidRDefault="00DB0E0F" w:rsidP="007466A3">
      <w:pPr>
        <w:spacing w:after="120"/>
        <w:jc w:val="both"/>
        <w:rPr>
          <w:i/>
          <w:lang w:eastAsia="en-US"/>
        </w:rPr>
      </w:pPr>
      <w:r w:rsidRPr="00510528">
        <w:rPr>
          <w:i/>
          <w:lang w:eastAsia="en-US"/>
        </w:rPr>
        <w:t>II.2. Upućivanje na Europsku uniju</w:t>
      </w:r>
    </w:p>
    <w:p w:rsidR="00DB0E0F" w:rsidRPr="00510528" w:rsidRDefault="00DB0E0F" w:rsidP="007466A3">
      <w:pPr>
        <w:numPr>
          <w:ilvl w:val="0"/>
          <w:numId w:val="52"/>
        </w:numPr>
        <w:spacing w:after="120"/>
        <w:jc w:val="both"/>
        <w:rPr>
          <w:lang w:eastAsia="en-US"/>
        </w:rPr>
      </w:pPr>
      <w:r w:rsidRPr="00510528">
        <w:rPr>
          <w:lang w:eastAsia="en-US"/>
        </w:rPr>
        <w:t>Naziv Europska unija uvijek je ispisan u svojem punom obliku. Tipografski oblici koji se mogu upotrebljavati uz amblem Unije jesu sljedeći: Arial, Auto, Calibri, Garamond, Trebuchet, Tahoma i Verdana. Upotreba kurziva, podcrtavanja i tematskih fontova nije dopuštena.</w:t>
      </w:r>
    </w:p>
    <w:p w:rsidR="00DB0E0F" w:rsidRPr="00510528" w:rsidRDefault="00DB0E0F" w:rsidP="007466A3">
      <w:pPr>
        <w:numPr>
          <w:ilvl w:val="0"/>
          <w:numId w:val="52"/>
        </w:numPr>
        <w:spacing w:after="120"/>
        <w:jc w:val="both"/>
        <w:rPr>
          <w:lang w:eastAsia="en-US"/>
        </w:rPr>
      </w:pPr>
      <w:r w:rsidRPr="00510528">
        <w:rPr>
          <w:lang w:eastAsia="en-US"/>
        </w:rPr>
        <w:t>Položaj teksta u odnosu na amblem Unije nije propisan, ali tekst se ne smije ni na koji način preklapati s amblemom Unije.</w:t>
      </w:r>
    </w:p>
    <w:p w:rsidR="00DB0E0F" w:rsidRPr="00510528" w:rsidRDefault="00DB0E0F" w:rsidP="007466A3">
      <w:pPr>
        <w:numPr>
          <w:ilvl w:val="0"/>
          <w:numId w:val="52"/>
        </w:numPr>
        <w:spacing w:after="120"/>
        <w:jc w:val="both"/>
        <w:rPr>
          <w:lang w:eastAsia="en-US"/>
        </w:rPr>
      </w:pPr>
      <w:r w:rsidRPr="00510528">
        <w:rPr>
          <w:lang w:eastAsia="en-US"/>
        </w:rPr>
        <w:t>Veličina fonta razmjerna je veličini amblema. Boja fonta jest plava „reflex blue”, crna ili bijela, ovisno o pozadini.</w:t>
      </w:r>
    </w:p>
    <w:p w:rsidR="00DB0E0F" w:rsidRPr="00510528" w:rsidRDefault="00DB0E0F" w:rsidP="007466A3">
      <w:pPr>
        <w:spacing w:after="120"/>
        <w:jc w:val="both"/>
        <w:rPr>
          <w:i/>
          <w:lang w:eastAsia="en-US"/>
        </w:rPr>
      </w:pPr>
    </w:p>
    <w:p w:rsidR="00DB0E0F" w:rsidRPr="00510528" w:rsidRDefault="00DB0E0F" w:rsidP="007466A3">
      <w:pPr>
        <w:spacing w:after="120"/>
        <w:jc w:val="both"/>
        <w:rPr>
          <w:i/>
          <w:lang w:eastAsia="en-US"/>
        </w:rPr>
      </w:pPr>
      <w:r w:rsidRPr="00510528">
        <w:rPr>
          <w:i/>
          <w:lang w:eastAsia="en-US"/>
        </w:rPr>
        <w:t>II.3. Zastava Republike Hrvatske</w:t>
      </w:r>
    </w:p>
    <w:p w:rsidR="00DB0E0F" w:rsidRPr="00510528" w:rsidRDefault="00DB0E0F" w:rsidP="00DB0E0F">
      <w:pPr>
        <w:spacing w:after="60"/>
        <w:jc w:val="both"/>
        <w:rPr>
          <w:i/>
          <w:lang w:eastAsia="en-US"/>
        </w:rPr>
      </w:pPr>
    </w:p>
    <w:p w:rsidR="00DB0E0F" w:rsidRPr="00510528" w:rsidRDefault="00B30CC5" w:rsidP="00DB0E0F">
      <w:pPr>
        <w:spacing w:after="60"/>
        <w:jc w:val="both"/>
        <w:rPr>
          <w:b/>
          <w:lang w:eastAsia="en-US"/>
        </w:rPr>
      </w:pPr>
      <w:r w:rsidRPr="00510528">
        <w:rPr>
          <w:noProof/>
          <w:lang w:val="en-GB" w:eastAsia="en-GB"/>
        </w:rPr>
        <w:lastRenderedPageBreak/>
        <w:drawing>
          <wp:inline distT="0" distB="0" distL="0" distR="0">
            <wp:extent cx="1438275" cy="714375"/>
            <wp:effectExtent l="0" t="0" r="9525"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38275" cy="714375"/>
                    </a:xfrm>
                    <a:prstGeom prst="rect">
                      <a:avLst/>
                    </a:prstGeom>
                    <a:noFill/>
                    <a:ln>
                      <a:noFill/>
                    </a:ln>
                  </pic:spPr>
                </pic:pic>
              </a:graphicData>
            </a:graphic>
          </wp:inline>
        </w:drawing>
      </w:r>
      <w:r w:rsidR="00DB0E0F" w:rsidRPr="00510528">
        <w:rPr>
          <w:lang w:eastAsia="en-US"/>
        </w:rPr>
        <w:t xml:space="preserve"> </w:t>
      </w:r>
    </w:p>
    <w:p w:rsidR="00DB0E0F" w:rsidRPr="00510528" w:rsidRDefault="00DB0E0F" w:rsidP="00DB0E0F">
      <w:pPr>
        <w:spacing w:after="60"/>
        <w:jc w:val="both"/>
        <w:rPr>
          <w:lang w:eastAsia="en-US"/>
        </w:rPr>
      </w:pPr>
    </w:p>
    <w:p w:rsidR="00DB0E0F" w:rsidRPr="00510528" w:rsidRDefault="00DB0E0F" w:rsidP="007466A3">
      <w:pPr>
        <w:spacing w:after="120"/>
        <w:jc w:val="both"/>
        <w:rPr>
          <w:lang w:eastAsia="en-US"/>
        </w:rPr>
      </w:pPr>
      <w:r w:rsidRPr="00510528">
        <w:rPr>
          <w:lang w:eastAsia="en-US"/>
        </w:rPr>
        <w:t>Upute za izradu amblema Unije i definicije standardnih boja zastave Republike Hrvatske mogu se pronaći u Zakonu o grbu, zastavi i himni Republike Hrvatske te zastavi i lenti predsjednika Republike Hrvatske („Narodne novine“, broj 55/1990), a digitalni zapis na sljedećoj poveznici:</w:t>
      </w:r>
    </w:p>
    <w:p w:rsidR="00DB0E0F" w:rsidRPr="00510528" w:rsidRDefault="00DB0E0F" w:rsidP="007466A3">
      <w:pPr>
        <w:spacing w:after="120"/>
        <w:jc w:val="both"/>
        <w:rPr>
          <w:lang w:eastAsia="en-US"/>
        </w:rPr>
      </w:pPr>
      <w:hyperlink r:id="rId19" w:history="1">
        <w:r w:rsidRPr="00510528">
          <w:rPr>
            <w:color w:val="0000FF"/>
            <w:u w:val="single"/>
            <w:lang w:eastAsia="en-US"/>
          </w:rPr>
          <w:t>http://www.sabor.hr/Default.aspx?art=41593&amp;sec=4317</w:t>
        </w:r>
      </w:hyperlink>
      <w:r w:rsidRPr="00510528">
        <w:rPr>
          <w:lang w:eastAsia="en-US"/>
        </w:rPr>
        <w:t xml:space="preserve"> </w:t>
      </w:r>
    </w:p>
    <w:p w:rsidR="00DB0E0F" w:rsidRPr="00510528" w:rsidRDefault="00DB0E0F" w:rsidP="007466A3">
      <w:pPr>
        <w:spacing w:after="120"/>
        <w:jc w:val="both"/>
        <w:rPr>
          <w:lang w:eastAsia="en-US"/>
        </w:rPr>
      </w:pPr>
    </w:p>
    <w:p w:rsidR="00DB0E0F" w:rsidRPr="00510528" w:rsidRDefault="00DB0E0F" w:rsidP="007466A3">
      <w:pPr>
        <w:spacing w:after="120"/>
        <w:jc w:val="both"/>
        <w:rPr>
          <w:i/>
          <w:lang w:eastAsia="en-US"/>
        </w:rPr>
      </w:pPr>
      <w:r w:rsidRPr="00510528">
        <w:rPr>
          <w:i/>
          <w:lang w:eastAsia="en-US"/>
        </w:rPr>
        <w:t>II.4. Upućivanje na Europski fond za pomorstvo i ribarstvo</w:t>
      </w:r>
    </w:p>
    <w:p w:rsidR="00DB0E0F" w:rsidRPr="00510528" w:rsidRDefault="00DB0E0F" w:rsidP="007466A3">
      <w:pPr>
        <w:spacing w:after="120"/>
        <w:jc w:val="both"/>
        <w:rPr>
          <w:lang w:eastAsia="en-US"/>
        </w:rPr>
      </w:pPr>
      <w:r w:rsidRPr="00510528">
        <w:rPr>
          <w:lang w:eastAsia="en-US"/>
        </w:rPr>
        <w:t>Ako se na web-mjestu upućuje na Europski fond za pomorstvo i ribarstvo, upućivanje mora biti vidljivo unutar područja prikaza digitalnog uređaja bez potrebe pomicanja prozora prema dolje.</w:t>
      </w:r>
    </w:p>
    <w:p w:rsidR="00DB0E0F" w:rsidRPr="00510528" w:rsidRDefault="00DB0E0F" w:rsidP="007466A3">
      <w:pPr>
        <w:spacing w:after="120"/>
        <w:jc w:val="both"/>
        <w:rPr>
          <w:b/>
          <w:lang w:eastAsia="en-US"/>
        </w:rPr>
      </w:pPr>
    </w:p>
    <w:p w:rsidR="00DB0E0F" w:rsidRPr="00510528" w:rsidRDefault="00DB0E0F" w:rsidP="007466A3">
      <w:pPr>
        <w:spacing w:after="120"/>
        <w:jc w:val="both"/>
        <w:rPr>
          <w:i/>
          <w:lang w:eastAsia="en-US"/>
        </w:rPr>
      </w:pPr>
      <w:r w:rsidRPr="00510528">
        <w:rPr>
          <w:i/>
          <w:lang w:eastAsia="en-US"/>
        </w:rPr>
        <w:t>II.5. Logotip Operativnog programa</w:t>
      </w:r>
    </w:p>
    <w:p w:rsidR="00DB0E0F" w:rsidRPr="00510528" w:rsidRDefault="00DB0E0F" w:rsidP="00DB0E0F">
      <w:pPr>
        <w:spacing w:after="60"/>
        <w:jc w:val="both"/>
        <w:rPr>
          <w:b/>
          <w:lang w:eastAsia="en-US"/>
        </w:rPr>
      </w:pPr>
    </w:p>
    <w:p w:rsidR="00DB0E0F" w:rsidRPr="00510528" w:rsidRDefault="00B30CC5" w:rsidP="00DB0E0F">
      <w:pPr>
        <w:spacing w:after="60"/>
        <w:jc w:val="both"/>
        <w:rPr>
          <w:b/>
          <w:lang w:eastAsia="en-US"/>
        </w:rPr>
      </w:pPr>
      <w:r w:rsidRPr="00510528">
        <w:rPr>
          <w:noProof/>
          <w:lang w:val="en-GB" w:eastAsia="en-GB"/>
        </w:rPr>
        <w:drawing>
          <wp:anchor distT="0" distB="0" distL="114300" distR="114300" simplePos="0" relativeHeight="251657728" behindDoc="0" locked="0" layoutInCell="1" allowOverlap="1">
            <wp:simplePos x="0" y="0"/>
            <wp:positionH relativeFrom="column">
              <wp:posOffset>1270</wp:posOffset>
            </wp:positionH>
            <wp:positionV relativeFrom="paragraph">
              <wp:posOffset>-2540</wp:posOffset>
            </wp:positionV>
            <wp:extent cx="2279015" cy="867410"/>
            <wp:effectExtent l="0" t="0" r="6985" b="8890"/>
            <wp:wrapNone/>
            <wp:docPr id="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79015" cy="8674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B0E0F" w:rsidRPr="00510528" w:rsidRDefault="00DB0E0F" w:rsidP="00DB0E0F">
      <w:pPr>
        <w:spacing w:after="60"/>
        <w:rPr>
          <w:lang w:eastAsia="en-US"/>
        </w:rPr>
      </w:pPr>
    </w:p>
    <w:p w:rsidR="00DB0E0F" w:rsidRPr="00510528" w:rsidRDefault="00DB0E0F" w:rsidP="00DB0E0F">
      <w:pPr>
        <w:spacing w:after="60"/>
        <w:rPr>
          <w:lang w:eastAsia="en-US"/>
        </w:rPr>
      </w:pPr>
    </w:p>
    <w:p w:rsidR="00DB0E0F" w:rsidRPr="00510528" w:rsidRDefault="00DB0E0F" w:rsidP="00DB0E0F">
      <w:pPr>
        <w:spacing w:after="60"/>
        <w:rPr>
          <w:lang w:eastAsia="en-US"/>
        </w:rPr>
      </w:pPr>
    </w:p>
    <w:p w:rsidR="00DB0E0F" w:rsidRPr="00510528" w:rsidRDefault="00DB0E0F" w:rsidP="00DB0E0F">
      <w:pPr>
        <w:spacing w:after="60"/>
        <w:rPr>
          <w:lang w:eastAsia="en-US"/>
        </w:rPr>
      </w:pPr>
    </w:p>
    <w:p w:rsidR="00DB0E0F" w:rsidRPr="00510528" w:rsidRDefault="00DB0E0F" w:rsidP="007466A3">
      <w:pPr>
        <w:spacing w:after="120"/>
        <w:jc w:val="both"/>
        <w:rPr>
          <w:lang w:eastAsia="en-US"/>
        </w:rPr>
      </w:pPr>
      <w:r w:rsidRPr="00510528">
        <w:rPr>
          <w:lang w:eastAsia="en-US"/>
        </w:rPr>
        <w:t xml:space="preserve">Detaljne smjernice za upotrebu vizualnih identiteta Operativnog programa za pomorstvo i ribarstvo republike Hrvatske za programsko razdoblje 2014.-2020. Te grafičke norme i definicije standardnih boja nalaze se u </w:t>
      </w:r>
      <w:r w:rsidRPr="00510528">
        <w:rPr>
          <w:b/>
          <w:bCs/>
          <w:lang w:eastAsia="en-US"/>
        </w:rPr>
        <w:t xml:space="preserve">Knjizi grafičkih standarda OP za pomorstvo i ribarstvo </w:t>
      </w:r>
      <w:r w:rsidRPr="00510528">
        <w:rPr>
          <w:lang w:eastAsia="en-US"/>
        </w:rPr>
        <w:t>koja se može preuzeti na sljedećoj poveznici:</w:t>
      </w:r>
    </w:p>
    <w:p w:rsidR="00DB0E0F" w:rsidRPr="00510528" w:rsidRDefault="00DB0E0F" w:rsidP="007466A3">
      <w:pPr>
        <w:spacing w:after="120"/>
        <w:rPr>
          <w:lang w:eastAsia="en-US"/>
        </w:rPr>
      </w:pPr>
      <w:hyperlink r:id="rId21" w:history="1">
        <w:r w:rsidRPr="00510528">
          <w:rPr>
            <w:color w:val="0000FF"/>
            <w:u w:val="single"/>
            <w:lang w:eastAsia="en-US"/>
          </w:rPr>
          <w:t>http://www.mps.hr/ribarstvo/default.aspx?id=1687</w:t>
        </w:r>
      </w:hyperlink>
      <w:r w:rsidRPr="00510528">
        <w:rPr>
          <w:lang w:eastAsia="en-US"/>
        </w:rPr>
        <w:t xml:space="preserve"> </w:t>
      </w:r>
    </w:p>
    <w:p w:rsidR="007466A3" w:rsidRPr="00510528" w:rsidRDefault="007466A3" w:rsidP="00DB0E0F">
      <w:pPr>
        <w:spacing w:after="60"/>
        <w:jc w:val="both"/>
        <w:rPr>
          <w:rFonts w:eastAsia="Calibri"/>
          <w:b/>
          <w:lang w:eastAsia="en-US"/>
        </w:rPr>
      </w:pPr>
    </w:p>
    <w:p w:rsidR="000909AD" w:rsidRPr="00510528" w:rsidRDefault="000909AD" w:rsidP="00DB0E0F">
      <w:pPr>
        <w:spacing w:after="60"/>
        <w:jc w:val="both"/>
        <w:rPr>
          <w:rFonts w:eastAsia="Calibri"/>
          <w:b/>
          <w:lang w:eastAsia="en-US"/>
        </w:rPr>
      </w:pPr>
    </w:p>
    <w:p w:rsidR="00DB0E0F" w:rsidRPr="00510528" w:rsidRDefault="00DB0E0F" w:rsidP="007466A3">
      <w:pPr>
        <w:spacing w:after="120"/>
        <w:jc w:val="both"/>
        <w:rPr>
          <w:rFonts w:eastAsia="Calibri"/>
          <w:b/>
          <w:lang w:eastAsia="en-US"/>
        </w:rPr>
      </w:pPr>
      <w:r w:rsidRPr="00510528">
        <w:rPr>
          <w:rFonts w:eastAsia="Calibri"/>
          <w:b/>
          <w:lang w:eastAsia="en-US"/>
        </w:rPr>
        <w:t>III. Smjernice za označavanje prema tipu operacije</w:t>
      </w:r>
    </w:p>
    <w:p w:rsidR="00DB0E0F" w:rsidRPr="00510528" w:rsidRDefault="00DB0E0F" w:rsidP="007466A3">
      <w:pPr>
        <w:spacing w:after="120"/>
        <w:jc w:val="both"/>
        <w:rPr>
          <w:rFonts w:eastAsia="Calibri"/>
          <w:u w:val="single"/>
          <w:lang w:eastAsia="en-US"/>
        </w:rPr>
      </w:pPr>
      <w:r w:rsidRPr="00510528">
        <w:rPr>
          <w:rFonts w:eastAsia="Calibri"/>
          <w:lang w:eastAsia="en-US"/>
        </w:rPr>
        <w:t>Korisnik je dužan opremu i plovilo koje je predmet potpore označiti pomoću naljepnice ili ploče/panoa i to na sljedeći način:</w:t>
      </w:r>
    </w:p>
    <w:p w:rsidR="00DB0E0F" w:rsidRPr="00510528" w:rsidRDefault="00DB0E0F" w:rsidP="007466A3">
      <w:pPr>
        <w:spacing w:after="120"/>
        <w:jc w:val="both"/>
        <w:rPr>
          <w:rFonts w:eastAsia="Calibri"/>
          <w:lang w:eastAsia="en-US"/>
        </w:rPr>
      </w:pPr>
      <w:r w:rsidRPr="00510528">
        <w:rPr>
          <w:rFonts w:eastAsia="Calibri"/>
          <w:lang w:eastAsia="en-US"/>
        </w:rPr>
        <w:t>Naljepnica treba biti istaknuta na vidljivom mjestu predmeta ili plovila koje je predmet sufinancirane operacije. Kako bi sadržaj naljepnice bio jasno vidljiv, veličina naljepnice ovisit će o veličini predmeta/plovila koje se označava. Također, naljepnica treba biti odgovarajuće kvalitete, po mogućnosti plastificirana, kako bi se osigurala njezina dugotrajnost.</w:t>
      </w:r>
    </w:p>
    <w:p w:rsidR="00DB0E0F" w:rsidRPr="00510528" w:rsidRDefault="00DB0E0F" w:rsidP="007466A3">
      <w:pPr>
        <w:spacing w:after="120"/>
        <w:jc w:val="both"/>
        <w:rPr>
          <w:rFonts w:eastAsia="Calibri"/>
          <w:lang w:eastAsia="en-US"/>
        </w:rPr>
      </w:pPr>
      <w:r w:rsidRPr="00510528">
        <w:rPr>
          <w:rFonts w:eastAsia="Calibri"/>
          <w:lang w:eastAsia="en-US"/>
        </w:rPr>
        <w:t xml:space="preserve">Navedene naljepnice/ploče/panoi moraju sadržavati osnovne elemente vidljivosti, tj. elemente pod točkama 1.-4., navedene u Poglavlju I. ovih Pravila i uputa. Naljepnice za manje predmete moraju sadržavati samo element pod točkom 1., tj. simbol Europske unije i referencu na Europsku uniju: Europska unija. </w:t>
      </w:r>
    </w:p>
    <w:p w:rsidR="00DB0E0F" w:rsidRPr="00510528" w:rsidRDefault="00DB0E0F" w:rsidP="007466A3">
      <w:pPr>
        <w:spacing w:after="120"/>
        <w:jc w:val="both"/>
        <w:rPr>
          <w:rFonts w:eastAsia="Calibri"/>
          <w:lang w:eastAsia="en-US"/>
        </w:rPr>
      </w:pPr>
      <w:r w:rsidRPr="00510528">
        <w:rPr>
          <w:rFonts w:eastAsia="Calibri"/>
          <w:lang w:eastAsia="en-US"/>
        </w:rPr>
        <w:t>Ukoliko operacija obuhvaća samo predmete koji se zbog svoje prirode i karaktera ne mogu pojedinačno fizički označiti naljepnicom, korisnik je dužan plovilo označiti pomoću jedinstvene naljepnice/ploče/panoa koji moraju sadržavati osnovne elemente vidljivosti, tj. elemente pod točkama 1.-4.</w:t>
      </w:r>
    </w:p>
    <w:p w:rsidR="00DB0E0F" w:rsidRPr="00510528" w:rsidRDefault="00DB0E0F" w:rsidP="007466A3">
      <w:pPr>
        <w:spacing w:after="120"/>
        <w:jc w:val="both"/>
        <w:rPr>
          <w:rFonts w:eastAsia="Calibri"/>
          <w:lang w:eastAsia="en-US"/>
        </w:rPr>
      </w:pPr>
    </w:p>
    <w:p w:rsidR="00DB0E0F" w:rsidRPr="00510528" w:rsidRDefault="00DB0E0F" w:rsidP="007466A3">
      <w:pPr>
        <w:spacing w:after="120"/>
        <w:jc w:val="both"/>
        <w:rPr>
          <w:rFonts w:eastAsia="Calibri"/>
          <w:b/>
          <w:lang w:eastAsia="en-US"/>
        </w:rPr>
      </w:pPr>
      <w:r w:rsidRPr="00510528">
        <w:rPr>
          <w:rFonts w:eastAsia="Calibri"/>
          <w:b/>
          <w:lang w:eastAsia="en-US"/>
        </w:rPr>
        <w:t xml:space="preserve">IV. Primjeri označavanja </w:t>
      </w:r>
    </w:p>
    <w:p w:rsidR="00DB0E0F" w:rsidRPr="00510528" w:rsidRDefault="00DB0E0F" w:rsidP="007466A3">
      <w:pPr>
        <w:spacing w:after="120"/>
        <w:jc w:val="both"/>
        <w:rPr>
          <w:rFonts w:eastAsia="Calibri"/>
          <w:lang w:eastAsia="en-US"/>
        </w:rPr>
      </w:pPr>
      <w:r w:rsidRPr="00510528">
        <w:rPr>
          <w:rFonts w:eastAsia="Calibri"/>
          <w:lang w:eastAsia="en-US"/>
        </w:rPr>
        <w:t>Primjeri u nastavku nisu obvezujući, tj. korisnik može navedeno prilagoditi ulaganju za koje je ostvario potporu, ali pod uvjetom da se pridržava uvjeta i obveza iz poglavlja I. do III. ovih Pravila i uputa.</w:t>
      </w:r>
    </w:p>
    <w:p w:rsidR="00DB0E0F" w:rsidRPr="00510528" w:rsidRDefault="00DB0E0F" w:rsidP="007466A3">
      <w:pPr>
        <w:jc w:val="both"/>
        <w:rPr>
          <w:rFonts w:eastAsia="Calibri"/>
          <w:i/>
          <w:lang w:eastAsia="en-US"/>
        </w:rPr>
      </w:pPr>
    </w:p>
    <w:p w:rsidR="00DB0E0F" w:rsidRPr="00510528" w:rsidRDefault="00DB0E0F" w:rsidP="007466A3">
      <w:pPr>
        <w:spacing w:after="60"/>
        <w:jc w:val="both"/>
        <w:rPr>
          <w:rFonts w:eastAsia="Calibri"/>
          <w:i/>
          <w:lang w:eastAsia="en-US"/>
        </w:rPr>
      </w:pPr>
      <w:r w:rsidRPr="00510528">
        <w:rPr>
          <w:rFonts w:eastAsia="Calibri"/>
          <w:i/>
          <w:lang w:eastAsia="en-US"/>
        </w:rPr>
        <w:t>IV.1. Primjer naljepnice za opremu:</w:t>
      </w:r>
    </w:p>
    <w:p w:rsidR="00DB0E0F" w:rsidRPr="00510528" w:rsidRDefault="00B30CC5" w:rsidP="00DB0E0F">
      <w:pPr>
        <w:spacing w:after="60"/>
        <w:jc w:val="both"/>
        <w:rPr>
          <w:rFonts w:eastAsia="Calibri"/>
          <w:lang w:eastAsia="en-US"/>
        </w:rPr>
      </w:pPr>
      <w:r w:rsidRPr="00510528">
        <w:rPr>
          <w:rFonts w:eastAsia="Calibri"/>
          <w:noProof/>
          <w:lang w:val="en-GB" w:eastAsia="en-GB"/>
        </w:rPr>
        <w:drawing>
          <wp:inline distT="0" distB="0" distL="0" distR="0">
            <wp:extent cx="2438400" cy="1447800"/>
            <wp:effectExtent l="0" t="0" r="0" b="0"/>
            <wp:docPr id="6"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38400" cy="1447800"/>
                    </a:xfrm>
                    <a:prstGeom prst="rect">
                      <a:avLst/>
                    </a:prstGeom>
                    <a:noFill/>
                    <a:ln>
                      <a:noFill/>
                    </a:ln>
                  </pic:spPr>
                </pic:pic>
              </a:graphicData>
            </a:graphic>
          </wp:inline>
        </w:drawing>
      </w:r>
    </w:p>
    <w:p w:rsidR="00DB0E0F" w:rsidRPr="00510528" w:rsidRDefault="00DB0E0F" w:rsidP="007466A3">
      <w:pPr>
        <w:jc w:val="both"/>
        <w:rPr>
          <w:lang w:eastAsia="en-US"/>
        </w:rPr>
      </w:pPr>
    </w:p>
    <w:p w:rsidR="00DB0E0F" w:rsidRPr="00510528" w:rsidRDefault="00DB0E0F" w:rsidP="007466A3">
      <w:pPr>
        <w:spacing w:after="60"/>
        <w:jc w:val="both"/>
        <w:rPr>
          <w:bCs/>
          <w:i/>
          <w:lang w:eastAsia="en-US"/>
        </w:rPr>
      </w:pPr>
      <w:r w:rsidRPr="00510528">
        <w:rPr>
          <w:bCs/>
          <w:i/>
          <w:lang w:eastAsia="en-US"/>
        </w:rPr>
        <w:t>IV.2. Primjer naljepnice za manje predmete:</w:t>
      </w:r>
    </w:p>
    <w:p w:rsidR="00DB0E0F" w:rsidRPr="00510528" w:rsidRDefault="00B30CC5" w:rsidP="00DB0E0F">
      <w:pPr>
        <w:spacing w:after="60"/>
        <w:jc w:val="both"/>
        <w:rPr>
          <w:bCs/>
          <w:i/>
          <w:lang w:eastAsia="en-US"/>
        </w:rPr>
      </w:pPr>
      <w:r w:rsidRPr="00510528">
        <w:rPr>
          <w:i/>
          <w:noProof/>
          <w:lang w:val="en-GB" w:eastAsia="en-GB"/>
        </w:rPr>
        <w:drawing>
          <wp:inline distT="0" distB="0" distL="0" distR="0">
            <wp:extent cx="1200150" cy="933450"/>
            <wp:effectExtent l="0" t="0" r="0" b="0"/>
            <wp:docPr id="7"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00150" cy="933450"/>
                    </a:xfrm>
                    <a:prstGeom prst="rect">
                      <a:avLst/>
                    </a:prstGeom>
                    <a:noFill/>
                    <a:ln>
                      <a:noFill/>
                    </a:ln>
                  </pic:spPr>
                </pic:pic>
              </a:graphicData>
            </a:graphic>
          </wp:inline>
        </w:drawing>
      </w:r>
    </w:p>
    <w:p w:rsidR="00DB0E0F" w:rsidRPr="00510528" w:rsidRDefault="00DB0E0F" w:rsidP="007466A3">
      <w:pPr>
        <w:jc w:val="both"/>
        <w:rPr>
          <w:bCs/>
          <w:i/>
          <w:lang w:eastAsia="en-US"/>
        </w:rPr>
      </w:pPr>
    </w:p>
    <w:p w:rsidR="00DB0E0F" w:rsidRPr="00510528" w:rsidRDefault="00DB0E0F" w:rsidP="007466A3">
      <w:pPr>
        <w:spacing w:after="60"/>
        <w:jc w:val="both"/>
        <w:rPr>
          <w:bCs/>
          <w:i/>
          <w:lang w:eastAsia="en-US"/>
        </w:rPr>
      </w:pPr>
      <w:r w:rsidRPr="00510528">
        <w:rPr>
          <w:bCs/>
          <w:i/>
          <w:lang w:eastAsia="en-US"/>
        </w:rPr>
        <w:t>IV.3. Primjer naljepnice/ploče/panoa za plovilo:</w:t>
      </w:r>
    </w:p>
    <w:p w:rsidR="00DB0E0F" w:rsidRPr="00510528" w:rsidRDefault="00B30CC5" w:rsidP="00DB0E0F">
      <w:pPr>
        <w:spacing w:after="60"/>
        <w:jc w:val="both"/>
        <w:rPr>
          <w:bCs/>
          <w:i/>
          <w:lang w:eastAsia="en-US"/>
        </w:rPr>
      </w:pPr>
      <w:r w:rsidRPr="00510528">
        <w:rPr>
          <w:i/>
          <w:noProof/>
          <w:lang w:val="en-GB" w:eastAsia="en-GB"/>
        </w:rPr>
        <w:drawing>
          <wp:inline distT="0" distB="0" distL="0" distR="0">
            <wp:extent cx="2562225" cy="1352550"/>
            <wp:effectExtent l="0" t="0" r="9525" b="0"/>
            <wp:docPr id="8"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62225" cy="1352550"/>
                    </a:xfrm>
                    <a:prstGeom prst="rect">
                      <a:avLst/>
                    </a:prstGeom>
                    <a:noFill/>
                    <a:ln>
                      <a:noFill/>
                    </a:ln>
                  </pic:spPr>
                </pic:pic>
              </a:graphicData>
            </a:graphic>
          </wp:inline>
        </w:drawing>
      </w:r>
    </w:p>
    <w:p w:rsidR="00DB0E0F" w:rsidRPr="00510528" w:rsidRDefault="00DB0E0F" w:rsidP="00DB0E0F">
      <w:pPr>
        <w:spacing w:after="60"/>
        <w:jc w:val="both"/>
        <w:rPr>
          <w:bCs/>
          <w:i/>
          <w:lang w:eastAsia="en-US"/>
        </w:rPr>
      </w:pPr>
    </w:p>
    <w:p w:rsidR="00DB0E0F" w:rsidRPr="00510528" w:rsidRDefault="00DB0E0F" w:rsidP="00DB0E0F">
      <w:pPr>
        <w:spacing w:after="60"/>
        <w:jc w:val="both"/>
        <w:rPr>
          <w:bCs/>
          <w:i/>
          <w:lang w:eastAsia="en-US"/>
        </w:rPr>
      </w:pPr>
    </w:p>
    <w:p w:rsidR="00DB0E0F" w:rsidRPr="00510528" w:rsidRDefault="00DB0E0F" w:rsidP="000A34C5">
      <w:pPr>
        <w:spacing w:after="200" w:line="276" w:lineRule="auto"/>
        <w:jc w:val="center"/>
        <w:rPr>
          <w:b/>
          <w:bCs/>
          <w:color w:val="000000"/>
          <w:szCs w:val="28"/>
        </w:rPr>
      </w:pPr>
      <w:r w:rsidRPr="00510528">
        <w:rPr>
          <w:color w:val="000000"/>
        </w:rPr>
        <w:br w:type="page"/>
      </w:r>
      <w:r w:rsidRPr="00510528">
        <w:rPr>
          <w:b/>
          <w:bCs/>
          <w:color w:val="000000"/>
          <w:szCs w:val="28"/>
        </w:rPr>
        <w:lastRenderedPageBreak/>
        <w:t>P</w:t>
      </w:r>
      <w:r w:rsidR="000909AD" w:rsidRPr="00510528">
        <w:rPr>
          <w:b/>
          <w:bCs/>
          <w:color w:val="000000"/>
          <w:szCs w:val="28"/>
        </w:rPr>
        <w:t>rilog</w:t>
      </w:r>
      <w:r w:rsidRPr="00510528">
        <w:rPr>
          <w:b/>
          <w:bCs/>
          <w:color w:val="000000"/>
          <w:szCs w:val="28"/>
        </w:rPr>
        <w:t xml:space="preserve"> I</w:t>
      </w:r>
      <w:r w:rsidR="000A34C5" w:rsidRPr="00510528">
        <w:rPr>
          <w:b/>
          <w:bCs/>
          <w:color w:val="000000"/>
          <w:szCs w:val="28"/>
        </w:rPr>
        <w:t>V</w:t>
      </w:r>
      <w:r w:rsidRPr="00510528">
        <w:rPr>
          <w:b/>
          <w:bCs/>
          <w:color w:val="000000"/>
          <w:szCs w:val="28"/>
        </w:rPr>
        <w:t>. Uputa za čuvanje dokumentacije</w:t>
      </w:r>
    </w:p>
    <w:p w:rsidR="000909AD" w:rsidRPr="00510528" w:rsidRDefault="000909AD" w:rsidP="000909AD">
      <w:pPr>
        <w:spacing w:after="120"/>
        <w:rPr>
          <w:b/>
          <w:i/>
          <w:iCs/>
          <w:color w:val="000000"/>
        </w:rPr>
      </w:pPr>
    </w:p>
    <w:p w:rsidR="00DB0E0F" w:rsidRPr="00510528" w:rsidRDefault="00DB0E0F" w:rsidP="000909AD">
      <w:pPr>
        <w:spacing w:after="120"/>
        <w:rPr>
          <w:b/>
          <w:color w:val="000000"/>
        </w:rPr>
      </w:pPr>
      <w:r w:rsidRPr="00510528">
        <w:rPr>
          <w:b/>
          <w:i/>
          <w:iCs/>
          <w:color w:val="000000"/>
        </w:rPr>
        <w:t>Obveze korisnika</w:t>
      </w:r>
    </w:p>
    <w:p w:rsidR="00DB0E0F" w:rsidRPr="00510528" w:rsidRDefault="00DB0E0F" w:rsidP="000909AD">
      <w:pPr>
        <w:spacing w:after="120"/>
        <w:jc w:val="both"/>
        <w:rPr>
          <w:color w:val="000000"/>
        </w:rPr>
      </w:pPr>
      <w:r w:rsidRPr="00510528">
        <w:rPr>
          <w:color w:val="000000"/>
        </w:rPr>
        <w:t>Korisnik je dužan čuvati svu dokumentaciju vezanu uz ulaganje za koju je ostvario potporu te staviti istu na raspolaganje za inspekciju/kontrolu na terenu.</w:t>
      </w:r>
    </w:p>
    <w:p w:rsidR="00DB0E0F" w:rsidRPr="00510528" w:rsidRDefault="00DB0E0F" w:rsidP="000909AD">
      <w:pPr>
        <w:spacing w:after="120"/>
        <w:jc w:val="both"/>
        <w:rPr>
          <w:color w:val="000000"/>
        </w:rPr>
      </w:pPr>
      <w:r w:rsidRPr="00510528">
        <w:rPr>
          <w:color w:val="000000"/>
        </w:rPr>
        <w:t>Također, navedenu dokumentaciju, izvode ili preslike, učiniti dostupnom i/ili istu dostaviti osobama ili tijelima koja imaju pravo na pristup tim dokumentima, što uključuje ovlašteno osoblje Upravljačkog tijela, Tijela za ovjeravanje, Tijela za reviziju i tijela uključenih u revizije Operativnog programa iz članka 127. stavka 2. Uredbe (EU) br. 1303/2013 kao i ovlaštenim predstavnicima Europske komisije, Europskog revizorskog suda, Europskog ureda za borbu protiv prijevara (OLAF) i drugih nadležnih nadzornih/revizorskih tijela kako bi se omogućila provjera plaćanja javnog doprinosa korisniku.</w:t>
      </w:r>
    </w:p>
    <w:p w:rsidR="000909AD" w:rsidRPr="00510528" w:rsidRDefault="000909AD" w:rsidP="000909AD">
      <w:pPr>
        <w:spacing w:after="120"/>
        <w:rPr>
          <w:b/>
          <w:i/>
          <w:iCs/>
          <w:color w:val="000000"/>
        </w:rPr>
      </w:pPr>
    </w:p>
    <w:p w:rsidR="00DB0E0F" w:rsidRPr="00510528" w:rsidRDefault="00DB0E0F" w:rsidP="000909AD">
      <w:pPr>
        <w:spacing w:after="120"/>
        <w:rPr>
          <w:b/>
          <w:i/>
          <w:iCs/>
          <w:color w:val="000000"/>
        </w:rPr>
      </w:pPr>
      <w:r w:rsidRPr="00510528">
        <w:rPr>
          <w:b/>
          <w:i/>
          <w:iCs/>
          <w:color w:val="000000"/>
        </w:rPr>
        <w:t>Način i oblik čuvanja dokumentacije</w:t>
      </w:r>
    </w:p>
    <w:p w:rsidR="00DB0E0F" w:rsidRPr="00510528" w:rsidRDefault="00DB0E0F" w:rsidP="000909AD">
      <w:pPr>
        <w:spacing w:after="120"/>
        <w:jc w:val="both"/>
        <w:rPr>
          <w:color w:val="000000"/>
        </w:rPr>
      </w:pPr>
      <w:r w:rsidRPr="00510528">
        <w:rPr>
          <w:color w:val="000000"/>
        </w:rPr>
        <w:t>Svi popratni dokumenti vezani uz potporu za koju je korisnik ostvario potporu iz Europskog fonda za pomorstvo i ribarstvo se čuvaju u izvornicima, osim računovodstvenih podataka koji se mogu čuvati u elektroničkoj verziji, pod uvjetom da takvi računalni sustavi ispunjavaju prihvaćene sigurnosne standarde koji osiguravaju da su pohranjeni dokumenti u skladu s nacionalnim zakonski propisanim zahtjevima i da se u njih može pouzdati u svrhu revizije. Dokumentacija najmanje sadrži, za svaku operaciju, prema potrebi, tehničke specifikacije i plan sufinanciranja, dokument o odobravanju bespovratnih sredstava, gdje je to potrebno dokumente vezane uz postupke javne nabave, izvješća korisnika i izvješća o provedenim provjerama i revizijama izvršenim nad operacijama.</w:t>
      </w:r>
    </w:p>
    <w:p w:rsidR="00DB0E0F" w:rsidRPr="00510528" w:rsidRDefault="00DB0E0F" w:rsidP="000909AD">
      <w:pPr>
        <w:spacing w:after="120"/>
        <w:jc w:val="both"/>
        <w:rPr>
          <w:color w:val="000000"/>
        </w:rPr>
      </w:pPr>
      <w:r w:rsidRPr="00510528">
        <w:rPr>
          <w:color w:val="000000"/>
        </w:rPr>
        <w:t xml:space="preserve">Navedeni dokumenti moraju biti evidentirani i pohranjeni na način da budu lako dostupni osobama ili tijelima koja imaju pravo na pristup tim dokumentima te je korisnik dužan obavijestiti Upravljačko tijelo o točnoj lokaciji čuvanja navedenih dokumenata putem e-mail: </w:t>
      </w:r>
      <w:hyperlink r:id="rId25" w:history="1">
        <w:r w:rsidR="000909AD" w:rsidRPr="00510528">
          <w:rPr>
            <w:rStyle w:val="Hiperveza"/>
          </w:rPr>
          <w:t>eufondovi.ribarstvo@mps.hr</w:t>
        </w:r>
      </w:hyperlink>
      <w:r w:rsidRPr="00510528">
        <w:rPr>
          <w:color w:val="000000"/>
        </w:rPr>
        <w:t>.</w:t>
      </w:r>
      <w:r w:rsidR="000909AD" w:rsidRPr="00510528">
        <w:rPr>
          <w:color w:val="000000"/>
        </w:rPr>
        <w:t xml:space="preserve"> </w:t>
      </w:r>
    </w:p>
    <w:p w:rsidR="000909AD" w:rsidRPr="00510528" w:rsidRDefault="000909AD" w:rsidP="000909AD">
      <w:pPr>
        <w:spacing w:after="120"/>
        <w:rPr>
          <w:b/>
          <w:i/>
          <w:iCs/>
          <w:color w:val="000000"/>
        </w:rPr>
      </w:pPr>
    </w:p>
    <w:p w:rsidR="00DB0E0F" w:rsidRPr="00510528" w:rsidRDefault="00DB0E0F" w:rsidP="000909AD">
      <w:pPr>
        <w:spacing w:after="120"/>
        <w:rPr>
          <w:b/>
          <w:i/>
          <w:iCs/>
          <w:color w:val="000000"/>
        </w:rPr>
      </w:pPr>
      <w:r w:rsidRPr="00510528">
        <w:rPr>
          <w:b/>
          <w:i/>
          <w:iCs/>
          <w:color w:val="000000"/>
        </w:rPr>
        <w:t>Rok čuvanja dokumentacije</w:t>
      </w:r>
    </w:p>
    <w:p w:rsidR="00DB0E0F" w:rsidRPr="00DB0E0F" w:rsidRDefault="00DB0E0F" w:rsidP="000909AD">
      <w:pPr>
        <w:spacing w:after="120"/>
        <w:jc w:val="both"/>
        <w:rPr>
          <w:color w:val="000000"/>
        </w:rPr>
      </w:pPr>
      <w:r w:rsidRPr="00510528">
        <w:rPr>
          <w:color w:val="000000"/>
        </w:rPr>
        <w:t>Rok za čuvanje i osiguravanje dostupnosti dokumentacije vezane uz izdatke za koje je korisniku isplaćena potpora iz Europskog fonda za pomorstvo i ribarstvo je najmanje dvije (2) godina od 31.</w:t>
      </w:r>
      <w:r w:rsidRPr="00510528">
        <w:rPr>
          <w:i/>
          <w:iCs/>
          <w:color w:val="000000"/>
        </w:rPr>
        <w:t xml:space="preserve"> </w:t>
      </w:r>
      <w:r w:rsidRPr="00510528">
        <w:rPr>
          <w:color w:val="000000"/>
        </w:rPr>
        <w:t>prosinca nakon predaje računa u kojima su uključeni završni izdaci operacije. Također,</w:t>
      </w:r>
      <w:r w:rsidRPr="00510528">
        <w:rPr>
          <w:i/>
          <w:iCs/>
          <w:color w:val="000000"/>
        </w:rPr>
        <w:t xml:space="preserve"> </w:t>
      </w:r>
      <w:r w:rsidRPr="00510528">
        <w:rPr>
          <w:color w:val="000000"/>
        </w:rPr>
        <w:t>korisnik je dužan dokumentaciju čuvati i osigurati dostupnost iste tijekom cjelokupnog</w:t>
      </w:r>
      <w:r w:rsidRPr="00510528">
        <w:rPr>
          <w:i/>
          <w:iCs/>
          <w:color w:val="000000"/>
        </w:rPr>
        <w:t xml:space="preserve"> </w:t>
      </w:r>
      <w:r w:rsidRPr="00510528">
        <w:rPr>
          <w:color w:val="000000"/>
        </w:rPr>
        <w:t>razdoblja provođenja operacije.</w:t>
      </w:r>
    </w:p>
    <w:p w:rsidR="003E16DD" w:rsidRDefault="003E16DD" w:rsidP="00DB0E0F">
      <w:pPr>
        <w:rPr>
          <w:color w:val="000000"/>
        </w:rPr>
      </w:pPr>
    </w:p>
    <w:sectPr w:rsidR="003E16DD" w:rsidSect="007466A3">
      <w:pgSz w:w="11906" w:h="16838" w:code="9"/>
      <w:pgMar w:top="1134" w:right="1418" w:bottom="993" w:left="1418" w:header="709" w:footer="709" w:gutter="0"/>
      <w:paperSrc w:first="1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2A8A"/>
    <w:multiLevelType w:val="hybridMultilevel"/>
    <w:tmpl w:val="DBBAF9DE"/>
    <w:lvl w:ilvl="0" w:tplc="B54CD9D8">
      <w:start w:val="1"/>
      <w:numFmt w:val="lowerLetter"/>
      <w:lvlText w:val="%1)"/>
      <w:lvlJc w:val="left"/>
      <w:pPr>
        <w:ind w:left="786" w:hanging="360"/>
      </w:pPr>
    </w:lvl>
    <w:lvl w:ilvl="1" w:tplc="041A0019">
      <w:start w:val="1"/>
      <w:numFmt w:val="lowerLetter"/>
      <w:lvlText w:val="%2."/>
      <w:lvlJc w:val="left"/>
      <w:pPr>
        <w:ind w:left="1506" w:hanging="360"/>
      </w:pPr>
    </w:lvl>
    <w:lvl w:ilvl="2" w:tplc="041A001B">
      <w:start w:val="1"/>
      <w:numFmt w:val="lowerRoman"/>
      <w:lvlText w:val="%3."/>
      <w:lvlJc w:val="right"/>
      <w:pPr>
        <w:ind w:left="2226" w:hanging="180"/>
      </w:pPr>
    </w:lvl>
    <w:lvl w:ilvl="3" w:tplc="041A000F">
      <w:start w:val="1"/>
      <w:numFmt w:val="decimal"/>
      <w:lvlText w:val="%4."/>
      <w:lvlJc w:val="left"/>
      <w:pPr>
        <w:ind w:left="2946" w:hanging="360"/>
      </w:pPr>
    </w:lvl>
    <w:lvl w:ilvl="4" w:tplc="041A0019">
      <w:start w:val="1"/>
      <w:numFmt w:val="lowerLetter"/>
      <w:lvlText w:val="%5."/>
      <w:lvlJc w:val="left"/>
      <w:pPr>
        <w:ind w:left="3666" w:hanging="360"/>
      </w:pPr>
    </w:lvl>
    <w:lvl w:ilvl="5" w:tplc="041A001B">
      <w:start w:val="1"/>
      <w:numFmt w:val="lowerRoman"/>
      <w:lvlText w:val="%6."/>
      <w:lvlJc w:val="right"/>
      <w:pPr>
        <w:ind w:left="4386" w:hanging="180"/>
      </w:pPr>
    </w:lvl>
    <w:lvl w:ilvl="6" w:tplc="041A000F">
      <w:start w:val="1"/>
      <w:numFmt w:val="decimal"/>
      <w:lvlText w:val="%7."/>
      <w:lvlJc w:val="left"/>
      <w:pPr>
        <w:ind w:left="5106" w:hanging="360"/>
      </w:pPr>
    </w:lvl>
    <w:lvl w:ilvl="7" w:tplc="041A0019">
      <w:start w:val="1"/>
      <w:numFmt w:val="lowerLetter"/>
      <w:lvlText w:val="%8."/>
      <w:lvlJc w:val="left"/>
      <w:pPr>
        <w:ind w:left="5826" w:hanging="360"/>
      </w:pPr>
    </w:lvl>
    <w:lvl w:ilvl="8" w:tplc="041A001B">
      <w:start w:val="1"/>
      <w:numFmt w:val="lowerRoman"/>
      <w:lvlText w:val="%9."/>
      <w:lvlJc w:val="right"/>
      <w:pPr>
        <w:ind w:left="6546" w:hanging="180"/>
      </w:pPr>
    </w:lvl>
  </w:abstractNum>
  <w:abstractNum w:abstractNumId="1" w15:restartNumberingAfterBreak="0">
    <w:nsid w:val="00C65B11"/>
    <w:multiLevelType w:val="hybridMultilevel"/>
    <w:tmpl w:val="DA766758"/>
    <w:lvl w:ilvl="0" w:tplc="00168A12">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5623069"/>
    <w:multiLevelType w:val="hybridMultilevel"/>
    <w:tmpl w:val="3A285A7C"/>
    <w:lvl w:ilvl="0" w:tplc="6DB899EE">
      <w:start w:val="1"/>
      <w:numFmt w:val="decimal"/>
      <w:lvlText w:val="(%1)"/>
      <w:lvlJc w:val="left"/>
      <w:pPr>
        <w:ind w:left="720" w:hanging="360"/>
      </w:pPr>
      <w:rPr>
        <w:rFonts w:hint="default"/>
      </w:rPr>
    </w:lvl>
    <w:lvl w:ilvl="1" w:tplc="6DB899EE">
      <w:start w:val="1"/>
      <w:numFmt w:val="decimal"/>
      <w:lvlText w:val="(%2)"/>
      <w:lvlJc w:val="left"/>
      <w:pPr>
        <w:ind w:left="1440" w:hanging="360"/>
      </w:pPr>
      <w:rPr>
        <w:rFonts w:hint="default"/>
      </w:rPr>
    </w:lvl>
    <w:lvl w:ilvl="2" w:tplc="FEACB968">
      <w:start w:val="2"/>
      <w:numFmt w:val="bullet"/>
      <w:lvlText w:val="–"/>
      <w:lvlJc w:val="left"/>
      <w:pPr>
        <w:ind w:left="2340" w:hanging="360"/>
      </w:pPr>
      <w:rPr>
        <w:rFonts w:ascii="Times New Roman" w:eastAsia="Times New Roman" w:hAnsi="Times New Roman" w:cs="Times New Roman" w:hint="default"/>
      </w:rPr>
    </w:lvl>
    <w:lvl w:ilvl="3" w:tplc="E21602BE">
      <w:start w:val="1"/>
      <w:numFmt w:val="lowerLetter"/>
      <w:lvlText w:val="%4)"/>
      <w:lvlJc w:val="left"/>
      <w:pPr>
        <w:ind w:left="2880" w:hanging="360"/>
      </w:pPr>
      <w:rPr>
        <w:rFonts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5E67B9B"/>
    <w:multiLevelType w:val="hybridMultilevel"/>
    <w:tmpl w:val="12746E5A"/>
    <w:lvl w:ilvl="0" w:tplc="041A0017">
      <w:start w:val="1"/>
      <w:numFmt w:val="lowerLetter"/>
      <w:lvlText w:val="%1)"/>
      <w:lvlJc w:val="left"/>
      <w:pPr>
        <w:ind w:left="720" w:hanging="360"/>
      </w:pPr>
    </w:lvl>
    <w:lvl w:ilvl="1" w:tplc="D5E8ADFA">
      <w:start w:val="1"/>
      <w:numFmt w:val="decimal"/>
      <w:lvlText w:val="(%2)"/>
      <w:lvlJc w:val="left"/>
      <w:pPr>
        <w:ind w:left="1500" w:hanging="42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7B307E9"/>
    <w:multiLevelType w:val="multilevel"/>
    <w:tmpl w:val="041A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9D2CA1"/>
    <w:multiLevelType w:val="hybridMultilevel"/>
    <w:tmpl w:val="A6800EFA"/>
    <w:lvl w:ilvl="0" w:tplc="4574ECA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DE41614"/>
    <w:multiLevelType w:val="hybridMultilevel"/>
    <w:tmpl w:val="7D4C5556"/>
    <w:lvl w:ilvl="0" w:tplc="6DB899EE">
      <w:start w:val="1"/>
      <w:numFmt w:val="decimal"/>
      <w:lvlText w:val="(%1)"/>
      <w:lvlJc w:val="left"/>
      <w:pPr>
        <w:ind w:left="360" w:hanging="360"/>
      </w:pPr>
      <w:rPr>
        <w:rFonts w:hint="default"/>
      </w:rPr>
    </w:lvl>
    <w:lvl w:ilvl="1" w:tplc="041A0019" w:tentative="1">
      <w:start w:val="1"/>
      <w:numFmt w:val="lowerLetter"/>
      <w:lvlText w:val="%2."/>
      <w:lvlJc w:val="left"/>
      <w:pPr>
        <w:ind w:left="360" w:hanging="360"/>
      </w:pPr>
    </w:lvl>
    <w:lvl w:ilvl="2" w:tplc="041A001B" w:tentative="1">
      <w:start w:val="1"/>
      <w:numFmt w:val="lowerRoman"/>
      <w:lvlText w:val="%3."/>
      <w:lvlJc w:val="right"/>
      <w:pPr>
        <w:ind w:left="1080" w:hanging="180"/>
      </w:pPr>
    </w:lvl>
    <w:lvl w:ilvl="3" w:tplc="041A000F" w:tentative="1">
      <w:start w:val="1"/>
      <w:numFmt w:val="decimal"/>
      <w:lvlText w:val="%4."/>
      <w:lvlJc w:val="left"/>
      <w:pPr>
        <w:ind w:left="1800" w:hanging="360"/>
      </w:pPr>
    </w:lvl>
    <w:lvl w:ilvl="4" w:tplc="041A0019" w:tentative="1">
      <w:start w:val="1"/>
      <w:numFmt w:val="lowerLetter"/>
      <w:lvlText w:val="%5."/>
      <w:lvlJc w:val="left"/>
      <w:pPr>
        <w:ind w:left="2520" w:hanging="360"/>
      </w:pPr>
    </w:lvl>
    <w:lvl w:ilvl="5" w:tplc="041A001B" w:tentative="1">
      <w:start w:val="1"/>
      <w:numFmt w:val="lowerRoman"/>
      <w:lvlText w:val="%6."/>
      <w:lvlJc w:val="right"/>
      <w:pPr>
        <w:ind w:left="3240" w:hanging="180"/>
      </w:pPr>
    </w:lvl>
    <w:lvl w:ilvl="6" w:tplc="041A000F" w:tentative="1">
      <w:start w:val="1"/>
      <w:numFmt w:val="decimal"/>
      <w:lvlText w:val="%7."/>
      <w:lvlJc w:val="left"/>
      <w:pPr>
        <w:ind w:left="3960" w:hanging="360"/>
      </w:pPr>
    </w:lvl>
    <w:lvl w:ilvl="7" w:tplc="041A0019" w:tentative="1">
      <w:start w:val="1"/>
      <w:numFmt w:val="lowerLetter"/>
      <w:lvlText w:val="%8."/>
      <w:lvlJc w:val="left"/>
      <w:pPr>
        <w:ind w:left="4680" w:hanging="360"/>
      </w:pPr>
    </w:lvl>
    <w:lvl w:ilvl="8" w:tplc="041A001B" w:tentative="1">
      <w:start w:val="1"/>
      <w:numFmt w:val="lowerRoman"/>
      <w:lvlText w:val="%9."/>
      <w:lvlJc w:val="right"/>
      <w:pPr>
        <w:ind w:left="5400" w:hanging="180"/>
      </w:pPr>
    </w:lvl>
  </w:abstractNum>
  <w:abstractNum w:abstractNumId="7" w15:restartNumberingAfterBreak="0">
    <w:nsid w:val="0DE77895"/>
    <w:multiLevelType w:val="hybridMultilevel"/>
    <w:tmpl w:val="36943FA8"/>
    <w:lvl w:ilvl="0" w:tplc="041A0017">
      <w:start w:val="1"/>
      <w:numFmt w:val="lowerLetter"/>
      <w:lvlText w:val="%1)"/>
      <w:lvlJc w:val="left"/>
      <w:pPr>
        <w:ind w:left="717" w:hanging="360"/>
      </w:p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8" w15:restartNumberingAfterBreak="0">
    <w:nsid w:val="10A0751F"/>
    <w:multiLevelType w:val="hybridMultilevel"/>
    <w:tmpl w:val="AAFC019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137302B"/>
    <w:multiLevelType w:val="hybridMultilevel"/>
    <w:tmpl w:val="5614B3D2"/>
    <w:lvl w:ilvl="0" w:tplc="E4820A58">
      <w:start w:val="2"/>
      <w:numFmt w:val="decimal"/>
      <w:lvlText w:val="(%1)"/>
      <w:lvlJc w:val="left"/>
      <w:pPr>
        <w:ind w:left="720" w:hanging="360"/>
      </w:pPr>
      <w:rPr>
        <w:rFonts w:ascii="Times New Roman" w:hAnsi="Times New Roman"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93D6B53"/>
    <w:multiLevelType w:val="hybridMultilevel"/>
    <w:tmpl w:val="307081C8"/>
    <w:lvl w:ilvl="0" w:tplc="A1DAB5AC">
      <w:start w:val="1"/>
      <w:numFmt w:val="bullet"/>
      <w:lvlText w:val="-"/>
      <w:lvlJc w:val="left"/>
      <w:pPr>
        <w:ind w:left="1146" w:hanging="360"/>
      </w:pPr>
      <w:rPr>
        <w:rFonts w:ascii="Times New Roman" w:eastAsia="Times New Roman" w:hAnsi="Times New Roman" w:cs="Times New Roman" w:hint="default"/>
      </w:rPr>
    </w:lvl>
    <w:lvl w:ilvl="1" w:tplc="041A0003">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hint="default"/>
      </w:rPr>
    </w:lvl>
    <w:lvl w:ilvl="3" w:tplc="041A0001">
      <w:start w:val="1"/>
      <w:numFmt w:val="bullet"/>
      <w:lvlText w:val=""/>
      <w:lvlJc w:val="left"/>
      <w:pPr>
        <w:ind w:left="3306" w:hanging="360"/>
      </w:pPr>
      <w:rPr>
        <w:rFonts w:ascii="Symbol" w:hAnsi="Symbol" w:hint="default"/>
      </w:rPr>
    </w:lvl>
    <w:lvl w:ilvl="4" w:tplc="041A0003">
      <w:start w:val="1"/>
      <w:numFmt w:val="bullet"/>
      <w:lvlText w:val="o"/>
      <w:lvlJc w:val="left"/>
      <w:pPr>
        <w:ind w:left="4026" w:hanging="360"/>
      </w:pPr>
      <w:rPr>
        <w:rFonts w:ascii="Courier New" w:hAnsi="Courier New" w:cs="Courier New" w:hint="default"/>
      </w:rPr>
    </w:lvl>
    <w:lvl w:ilvl="5" w:tplc="041A0005">
      <w:start w:val="1"/>
      <w:numFmt w:val="bullet"/>
      <w:lvlText w:val=""/>
      <w:lvlJc w:val="left"/>
      <w:pPr>
        <w:ind w:left="4746" w:hanging="360"/>
      </w:pPr>
      <w:rPr>
        <w:rFonts w:ascii="Wingdings" w:hAnsi="Wingdings" w:hint="default"/>
      </w:rPr>
    </w:lvl>
    <w:lvl w:ilvl="6" w:tplc="041A0001">
      <w:start w:val="1"/>
      <w:numFmt w:val="bullet"/>
      <w:lvlText w:val=""/>
      <w:lvlJc w:val="left"/>
      <w:pPr>
        <w:ind w:left="5466" w:hanging="360"/>
      </w:pPr>
      <w:rPr>
        <w:rFonts w:ascii="Symbol" w:hAnsi="Symbol" w:hint="default"/>
      </w:rPr>
    </w:lvl>
    <w:lvl w:ilvl="7" w:tplc="041A0003">
      <w:start w:val="1"/>
      <w:numFmt w:val="bullet"/>
      <w:lvlText w:val="o"/>
      <w:lvlJc w:val="left"/>
      <w:pPr>
        <w:ind w:left="6186" w:hanging="360"/>
      </w:pPr>
      <w:rPr>
        <w:rFonts w:ascii="Courier New" w:hAnsi="Courier New" w:cs="Courier New" w:hint="default"/>
      </w:rPr>
    </w:lvl>
    <w:lvl w:ilvl="8" w:tplc="041A0005">
      <w:start w:val="1"/>
      <w:numFmt w:val="bullet"/>
      <w:lvlText w:val=""/>
      <w:lvlJc w:val="left"/>
      <w:pPr>
        <w:ind w:left="6906" w:hanging="360"/>
      </w:pPr>
      <w:rPr>
        <w:rFonts w:ascii="Wingdings" w:hAnsi="Wingdings" w:hint="default"/>
      </w:rPr>
    </w:lvl>
  </w:abstractNum>
  <w:abstractNum w:abstractNumId="11" w15:restartNumberingAfterBreak="0">
    <w:nsid w:val="1B3C7A50"/>
    <w:multiLevelType w:val="multilevel"/>
    <w:tmpl w:val="078E2F4C"/>
    <w:lvl w:ilvl="0">
      <w:start w:val="1"/>
      <w:numFmt w:val="decimal"/>
      <w:lvlText w:val="(%1)"/>
      <w:lvlJc w:val="left"/>
      <w:pPr>
        <w:ind w:left="810" w:hanging="450"/>
      </w:pPr>
      <w:rPr>
        <w:rFonts w:hint="default"/>
      </w:rPr>
    </w:lvl>
    <w:lvl w:ilvl="1">
      <w:numFmt w:val="bullet"/>
      <w:lvlText w:val="-"/>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EF5F84"/>
    <w:multiLevelType w:val="hybridMultilevel"/>
    <w:tmpl w:val="AAFC019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C2E4F17"/>
    <w:multiLevelType w:val="multilevel"/>
    <w:tmpl w:val="A2E6F6D8"/>
    <w:lvl w:ilvl="0">
      <w:start w:val="1"/>
      <w:numFmt w:val="decimal"/>
      <w:lvlText w:val="(%1)"/>
      <w:lvlJc w:val="left"/>
      <w:pPr>
        <w:ind w:left="360" w:hanging="360"/>
      </w:pPr>
      <w:rPr>
        <w:rFonts w:ascii="Times New Roman" w:hAnsi="Times New Roman" w:hint="default"/>
        <w:b w:val="0"/>
        <w:i w:val="0"/>
        <w:sz w:val="24"/>
      </w:rPr>
    </w:lvl>
    <w:lvl w:ilvl="1">
      <w:start w:val="1"/>
      <w:numFmt w:val="lowerLetter"/>
      <w:lvlText w:val="%2)"/>
      <w:lvlJc w:val="left"/>
      <w:pPr>
        <w:ind w:left="993" w:hanging="360"/>
      </w:pPr>
    </w:lvl>
    <w:lvl w:ilvl="2">
      <w:start w:val="1"/>
      <w:numFmt w:val="decimal"/>
      <w:lvlText w:val="(%3)"/>
      <w:lvlJc w:val="left"/>
      <w:pPr>
        <w:ind w:left="1980" w:hanging="360"/>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E543E2E"/>
    <w:multiLevelType w:val="multilevel"/>
    <w:tmpl w:val="B44AF2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6226DB"/>
    <w:multiLevelType w:val="hybridMultilevel"/>
    <w:tmpl w:val="9AA673BA"/>
    <w:lvl w:ilvl="0" w:tplc="1CC63F96">
      <w:start w:val="1"/>
      <w:numFmt w:val="decimal"/>
      <w:lvlText w:val="(%1)"/>
      <w:lvlJc w:val="left"/>
      <w:pPr>
        <w:ind w:left="720" w:hanging="360"/>
      </w:pPr>
      <w:rPr>
        <w:rFonts w:ascii="Times New Roman" w:hAnsi="Times New Roman" w:hint="default"/>
        <w:b w:val="0"/>
        <w:i w:val="0"/>
        <w:sz w:val="24"/>
      </w:rPr>
    </w:lvl>
    <w:lvl w:ilvl="1" w:tplc="1CC63F96">
      <w:start w:val="1"/>
      <w:numFmt w:val="decimal"/>
      <w:lvlText w:val="(%2)"/>
      <w:lvlJc w:val="left"/>
      <w:pPr>
        <w:ind w:left="1440" w:hanging="360"/>
      </w:pPr>
      <w:rPr>
        <w:rFonts w:ascii="Times New Roman" w:hAnsi="Times New Roman" w:hint="default"/>
        <w:b w:val="0"/>
        <w:i w:val="0"/>
        <w:sz w:val="24"/>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2A26721"/>
    <w:multiLevelType w:val="hybridMultilevel"/>
    <w:tmpl w:val="FC96B48A"/>
    <w:lvl w:ilvl="0" w:tplc="CE36AAA6">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23535C69"/>
    <w:multiLevelType w:val="hybridMultilevel"/>
    <w:tmpl w:val="FC0855F6"/>
    <w:lvl w:ilvl="0" w:tplc="E4D2E1BA">
      <w:start w:val="4"/>
      <w:numFmt w:val="decimal"/>
      <w:lvlText w:val="(%1)"/>
      <w:lvlJc w:val="left"/>
      <w:pPr>
        <w:ind w:left="360" w:hanging="360"/>
      </w:pPr>
      <w:rPr>
        <w:rFonts w:ascii="Times New Roman" w:hAnsi="Times New Roman" w:hint="default"/>
        <w:b w:val="0"/>
        <w:i w:val="0"/>
        <w:sz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23ED64A5"/>
    <w:multiLevelType w:val="multilevel"/>
    <w:tmpl w:val="B44AF2C8"/>
    <w:lvl w:ilvl="0">
      <w:start w:val="1"/>
      <w:numFmt w:val="decimal"/>
      <w:lvlText w:val="(%1)"/>
      <w:lvlJc w:val="left"/>
      <w:pPr>
        <w:ind w:left="22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50028DE"/>
    <w:multiLevelType w:val="hybridMultilevel"/>
    <w:tmpl w:val="1FA8B0DE"/>
    <w:lvl w:ilvl="0" w:tplc="F9D28438">
      <w:start w:val="11"/>
      <w:numFmt w:val="bullet"/>
      <w:lvlText w:val="-"/>
      <w:lvlJc w:val="left"/>
      <w:pPr>
        <w:ind w:left="1145" w:hanging="360"/>
      </w:pPr>
      <w:rPr>
        <w:rFonts w:ascii="Times New Roman" w:eastAsia="Times New Roman" w:hAnsi="Times New Roman" w:cs="Times New Roman" w:hint="default"/>
      </w:rPr>
    </w:lvl>
    <w:lvl w:ilvl="1" w:tplc="041A0003">
      <w:start w:val="1"/>
      <w:numFmt w:val="bullet"/>
      <w:lvlText w:val="o"/>
      <w:lvlJc w:val="left"/>
      <w:pPr>
        <w:ind w:left="1865" w:hanging="360"/>
      </w:pPr>
      <w:rPr>
        <w:rFonts w:ascii="Courier New" w:hAnsi="Courier New" w:cs="Courier New" w:hint="default"/>
      </w:rPr>
    </w:lvl>
    <w:lvl w:ilvl="2" w:tplc="041A0005">
      <w:start w:val="1"/>
      <w:numFmt w:val="bullet"/>
      <w:lvlText w:val=""/>
      <w:lvlJc w:val="left"/>
      <w:pPr>
        <w:ind w:left="2585" w:hanging="360"/>
      </w:pPr>
      <w:rPr>
        <w:rFonts w:ascii="Wingdings" w:hAnsi="Wingdings" w:hint="default"/>
      </w:rPr>
    </w:lvl>
    <w:lvl w:ilvl="3" w:tplc="041A0001">
      <w:start w:val="1"/>
      <w:numFmt w:val="bullet"/>
      <w:lvlText w:val=""/>
      <w:lvlJc w:val="left"/>
      <w:pPr>
        <w:ind w:left="3305" w:hanging="360"/>
      </w:pPr>
      <w:rPr>
        <w:rFonts w:ascii="Symbol" w:hAnsi="Symbol" w:hint="default"/>
      </w:rPr>
    </w:lvl>
    <w:lvl w:ilvl="4" w:tplc="041A0003">
      <w:start w:val="1"/>
      <w:numFmt w:val="bullet"/>
      <w:lvlText w:val="o"/>
      <w:lvlJc w:val="left"/>
      <w:pPr>
        <w:ind w:left="4025" w:hanging="360"/>
      </w:pPr>
      <w:rPr>
        <w:rFonts w:ascii="Courier New" w:hAnsi="Courier New" w:cs="Courier New" w:hint="default"/>
      </w:rPr>
    </w:lvl>
    <w:lvl w:ilvl="5" w:tplc="041A0005">
      <w:start w:val="1"/>
      <w:numFmt w:val="bullet"/>
      <w:lvlText w:val=""/>
      <w:lvlJc w:val="left"/>
      <w:pPr>
        <w:ind w:left="4745" w:hanging="360"/>
      </w:pPr>
      <w:rPr>
        <w:rFonts w:ascii="Wingdings" w:hAnsi="Wingdings" w:hint="default"/>
      </w:rPr>
    </w:lvl>
    <w:lvl w:ilvl="6" w:tplc="041A0001">
      <w:start w:val="1"/>
      <w:numFmt w:val="bullet"/>
      <w:lvlText w:val=""/>
      <w:lvlJc w:val="left"/>
      <w:pPr>
        <w:ind w:left="5465" w:hanging="360"/>
      </w:pPr>
      <w:rPr>
        <w:rFonts w:ascii="Symbol" w:hAnsi="Symbol" w:hint="default"/>
      </w:rPr>
    </w:lvl>
    <w:lvl w:ilvl="7" w:tplc="041A0003">
      <w:start w:val="1"/>
      <w:numFmt w:val="bullet"/>
      <w:lvlText w:val="o"/>
      <w:lvlJc w:val="left"/>
      <w:pPr>
        <w:ind w:left="6185" w:hanging="360"/>
      </w:pPr>
      <w:rPr>
        <w:rFonts w:ascii="Courier New" w:hAnsi="Courier New" w:cs="Courier New" w:hint="default"/>
      </w:rPr>
    </w:lvl>
    <w:lvl w:ilvl="8" w:tplc="041A0005">
      <w:start w:val="1"/>
      <w:numFmt w:val="bullet"/>
      <w:lvlText w:val=""/>
      <w:lvlJc w:val="left"/>
      <w:pPr>
        <w:ind w:left="6905" w:hanging="360"/>
      </w:pPr>
      <w:rPr>
        <w:rFonts w:ascii="Wingdings" w:hAnsi="Wingdings" w:hint="default"/>
      </w:rPr>
    </w:lvl>
  </w:abstractNum>
  <w:abstractNum w:abstractNumId="20" w15:restartNumberingAfterBreak="0">
    <w:nsid w:val="27D8371D"/>
    <w:multiLevelType w:val="hybridMultilevel"/>
    <w:tmpl w:val="B4D86C3C"/>
    <w:lvl w:ilvl="0" w:tplc="690A0D70">
      <w:start w:val="1"/>
      <w:numFmt w:val="decimal"/>
      <w:lvlText w:val="%1."/>
      <w:lvlJc w:val="left"/>
      <w:pPr>
        <w:ind w:left="720" w:hanging="360"/>
      </w:pPr>
      <w:rPr>
        <w:rFonts w:ascii="Palatino Linotype" w:hAnsi="Palatino Linotype" w:hint="default"/>
        <w:b w:val="0"/>
        <w:i w:val="0"/>
        <w:caps w:val="0"/>
        <w:strike w:val="0"/>
        <w:dstrike w:val="0"/>
        <w:vanish w:val="0"/>
        <w:webHidden w:val="0"/>
        <w:color w:val="auto"/>
        <w:sz w:val="22"/>
        <w:u w:val="none"/>
        <w:effect w:val="none"/>
        <w:vertAlign w:val="baseline"/>
        <w:specVanish w:val="0"/>
      </w:rPr>
    </w:lvl>
    <w:lvl w:ilvl="1" w:tplc="E76A9472">
      <w:start w:val="1"/>
      <w:numFmt w:val="decimal"/>
      <w:lvlText w:val="%2."/>
      <w:lvlJc w:val="left"/>
      <w:pPr>
        <w:ind w:left="1440" w:hanging="360"/>
      </w:pPr>
      <w:rPr>
        <w:rFonts w:ascii="Times New Roman" w:hAnsi="Times New Roman" w:cs="Times New Roman" w:hint="default"/>
        <w:b w:val="0"/>
        <w:i w:val="0"/>
        <w:caps w:val="0"/>
        <w:strike w:val="0"/>
        <w:dstrike w:val="0"/>
        <w:vanish w:val="0"/>
        <w:webHidden w:val="0"/>
        <w:color w:val="auto"/>
        <w:sz w:val="24"/>
        <w:szCs w:val="24"/>
        <w:u w:val="none"/>
        <w:effect w:val="none"/>
        <w:vertAlign w:val="baseline"/>
        <w:specVanish w:val="0"/>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15:restartNumberingAfterBreak="0">
    <w:nsid w:val="2DDD20F7"/>
    <w:multiLevelType w:val="multilevel"/>
    <w:tmpl w:val="041A001F"/>
    <w:numStyleLink w:val="Style2"/>
  </w:abstractNum>
  <w:abstractNum w:abstractNumId="22" w15:restartNumberingAfterBreak="0">
    <w:nsid w:val="31E15199"/>
    <w:multiLevelType w:val="hybridMultilevel"/>
    <w:tmpl w:val="466E665E"/>
    <w:lvl w:ilvl="0" w:tplc="1CC63F96">
      <w:start w:val="1"/>
      <w:numFmt w:val="decimal"/>
      <w:lvlText w:val="(%1)"/>
      <w:lvlJc w:val="left"/>
      <w:pPr>
        <w:ind w:left="720" w:hanging="360"/>
      </w:pPr>
      <w:rPr>
        <w:rFonts w:ascii="Times New Roman" w:hAnsi="Times New Roman" w:hint="default"/>
        <w:b w:val="0"/>
        <w:i w:val="0"/>
        <w:sz w:val="24"/>
      </w:rPr>
    </w:lvl>
    <w:lvl w:ilvl="1" w:tplc="6DB899EE">
      <w:start w:val="1"/>
      <w:numFmt w:val="decimal"/>
      <w:lvlText w:val="(%2)"/>
      <w:lvlJc w:val="left"/>
      <w:pPr>
        <w:ind w:left="1440" w:hanging="360"/>
      </w:pPr>
      <w:rPr>
        <w:rFonts w:hint="default"/>
      </w:rPr>
    </w:lvl>
    <w:lvl w:ilvl="2" w:tplc="E63C0DF2">
      <w:start w:val="1"/>
      <w:numFmt w:val="decimal"/>
      <w:lvlText w:val="%3."/>
      <w:lvlJc w:val="left"/>
      <w:pPr>
        <w:ind w:left="2340" w:hanging="360"/>
      </w:pPr>
      <w:rPr>
        <w:rFonts w:hint="default"/>
        <w:b/>
      </w:rPr>
    </w:lvl>
    <w:lvl w:ilvl="3" w:tplc="041A000F">
      <w:start w:val="1"/>
      <w:numFmt w:val="decimal"/>
      <w:lvlText w:val="%4."/>
      <w:lvlJc w:val="left"/>
      <w:pPr>
        <w:ind w:left="2880" w:hanging="360"/>
      </w:pPr>
    </w:lvl>
    <w:lvl w:ilvl="4" w:tplc="6C6CDE80">
      <w:start w:val="3"/>
      <w:numFmt w:val="bullet"/>
      <w:lvlText w:val="-"/>
      <w:lvlJc w:val="left"/>
      <w:pPr>
        <w:ind w:left="3600" w:hanging="360"/>
      </w:pPr>
      <w:rPr>
        <w:rFonts w:ascii="Times New Roman" w:eastAsia="Times New Roman" w:hAnsi="Times New Roman" w:cs="Times New Roman" w:hint="default"/>
      </w:rPr>
    </w:lvl>
    <w:lvl w:ilvl="5" w:tplc="B60C856A">
      <w:start w:val="1"/>
      <w:numFmt w:val="lowerLetter"/>
      <w:lvlText w:val="%6)"/>
      <w:lvlJc w:val="left"/>
      <w:pPr>
        <w:ind w:left="4500" w:hanging="360"/>
      </w:pPr>
      <w:rPr>
        <w:rFonts w:hint="default"/>
      </w:r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4C11772"/>
    <w:multiLevelType w:val="hybridMultilevel"/>
    <w:tmpl w:val="D2465A28"/>
    <w:lvl w:ilvl="0" w:tplc="041A0017">
      <w:start w:val="1"/>
      <w:numFmt w:val="lowerLetter"/>
      <w:lvlText w:val="%1)"/>
      <w:lvlJc w:val="left"/>
      <w:pPr>
        <w:ind w:left="927" w:hanging="360"/>
      </w:pPr>
    </w:lvl>
    <w:lvl w:ilvl="1" w:tplc="041A0019">
      <w:start w:val="1"/>
      <w:numFmt w:val="lowerLetter"/>
      <w:lvlText w:val="%2."/>
      <w:lvlJc w:val="left"/>
      <w:pPr>
        <w:ind w:left="1647" w:hanging="360"/>
      </w:pPr>
    </w:lvl>
    <w:lvl w:ilvl="2" w:tplc="041A001B">
      <w:start w:val="1"/>
      <w:numFmt w:val="lowerRoman"/>
      <w:lvlText w:val="%3."/>
      <w:lvlJc w:val="right"/>
      <w:pPr>
        <w:ind w:left="2367" w:hanging="180"/>
      </w:pPr>
    </w:lvl>
    <w:lvl w:ilvl="3" w:tplc="17EC09F6">
      <w:start w:val="1"/>
      <w:numFmt w:val="decimal"/>
      <w:lvlText w:val="(%4)"/>
      <w:lvlJc w:val="left"/>
      <w:pPr>
        <w:ind w:left="3102" w:hanging="375"/>
      </w:pPr>
      <w:rPr>
        <w:rFonts w:hint="default"/>
      </w:r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4" w15:restartNumberingAfterBreak="0">
    <w:nsid w:val="34EA43AB"/>
    <w:multiLevelType w:val="multilevel"/>
    <w:tmpl w:val="86D65534"/>
    <w:lvl w:ilvl="0">
      <w:start w:val="1"/>
      <w:numFmt w:val="decimal"/>
      <w:lvlText w:val="(%1)"/>
      <w:lvlJc w:val="left"/>
      <w:pPr>
        <w:ind w:left="360" w:hanging="360"/>
      </w:pPr>
      <w:rPr>
        <w:rFonts w:hint="default"/>
      </w:rPr>
    </w:lvl>
    <w:lvl w:ilvl="1">
      <w:start w:val="1"/>
      <w:numFmt w:val="lowerLetter"/>
      <w:lvlText w:val="%2)"/>
      <w:lvlJc w:val="left"/>
      <w:pPr>
        <w:ind w:left="993" w:hanging="360"/>
      </w:pPr>
    </w:lvl>
    <w:lvl w:ilvl="2">
      <w:start w:val="1"/>
      <w:numFmt w:val="decimal"/>
      <w:lvlText w:val="(%3)"/>
      <w:lvlJc w:val="left"/>
      <w:pPr>
        <w:ind w:left="1980" w:hanging="360"/>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60F1E3A"/>
    <w:multiLevelType w:val="hybridMultilevel"/>
    <w:tmpl w:val="B9580ED8"/>
    <w:lvl w:ilvl="0" w:tplc="041A0017">
      <w:start w:val="1"/>
      <w:numFmt w:val="lowerLetter"/>
      <w:lvlText w:val="%1)"/>
      <w:lvlJc w:val="left"/>
      <w:pPr>
        <w:ind w:left="1440" w:hanging="360"/>
      </w:pPr>
    </w:lvl>
    <w:lvl w:ilvl="1" w:tplc="0B14601C">
      <w:start w:val="1"/>
      <w:numFmt w:val="decimal"/>
      <w:lvlText w:val="(%2)"/>
      <w:lvlJc w:val="left"/>
      <w:pPr>
        <w:ind w:left="2160" w:hanging="360"/>
      </w:pPr>
      <w:rPr>
        <w:rFonts w:hint="default"/>
      </w:rPr>
    </w:lvl>
    <w:lvl w:ilvl="2" w:tplc="041A001B" w:tentative="1">
      <w:start w:val="1"/>
      <w:numFmt w:val="lowerRoman"/>
      <w:lvlText w:val="%3."/>
      <w:lvlJc w:val="right"/>
      <w:pPr>
        <w:ind w:left="2880" w:hanging="180"/>
      </w:pPr>
    </w:lvl>
    <w:lvl w:ilvl="3" w:tplc="F0323528">
      <w:start w:val="1"/>
      <w:numFmt w:val="decimal"/>
      <w:lvlText w:val="(%4)"/>
      <w:lvlJc w:val="left"/>
      <w:pPr>
        <w:ind w:left="3600" w:hanging="360"/>
      </w:pPr>
      <w:rPr>
        <w:rFonts w:hint="default"/>
      </w:rPr>
    </w:lvl>
    <w:lvl w:ilvl="4" w:tplc="041A0019">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6" w15:restartNumberingAfterBreak="0">
    <w:nsid w:val="375B5D60"/>
    <w:multiLevelType w:val="multilevel"/>
    <w:tmpl w:val="D6B446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7D117B4"/>
    <w:multiLevelType w:val="hybridMultilevel"/>
    <w:tmpl w:val="20943796"/>
    <w:lvl w:ilvl="0" w:tplc="1CC63F96">
      <w:start w:val="1"/>
      <w:numFmt w:val="decimal"/>
      <w:lvlText w:val="(%1)"/>
      <w:lvlJc w:val="left"/>
      <w:pPr>
        <w:ind w:left="720" w:hanging="360"/>
      </w:pPr>
      <w:rPr>
        <w:rFonts w:ascii="Times New Roman" w:hAnsi="Times New Roman" w:hint="default"/>
        <w:b w:val="0"/>
        <w:i w:val="0"/>
        <w:sz w:val="24"/>
      </w:rPr>
    </w:lvl>
    <w:lvl w:ilvl="1" w:tplc="1CC63F96">
      <w:start w:val="1"/>
      <w:numFmt w:val="decimal"/>
      <w:lvlText w:val="(%2)"/>
      <w:lvlJc w:val="left"/>
      <w:pPr>
        <w:ind w:left="1440" w:hanging="360"/>
      </w:pPr>
      <w:rPr>
        <w:rFonts w:ascii="Times New Roman" w:hAnsi="Times New Roman" w:hint="default"/>
        <w:b w:val="0"/>
        <w:i w:val="0"/>
        <w:sz w:val="24"/>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B817551"/>
    <w:multiLevelType w:val="hybridMultilevel"/>
    <w:tmpl w:val="DDD03818"/>
    <w:lvl w:ilvl="0" w:tplc="727C75C8">
      <w:start w:val="1"/>
      <w:numFmt w:val="lowerLetter"/>
      <w:lvlText w:val="%1)"/>
      <w:lvlJc w:val="left"/>
      <w:pPr>
        <w:ind w:left="786" w:hanging="360"/>
      </w:pPr>
      <w:rPr>
        <w:i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9" w15:restartNumberingAfterBreak="0">
    <w:nsid w:val="3BC47C87"/>
    <w:multiLevelType w:val="hybridMultilevel"/>
    <w:tmpl w:val="385EBC4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3C0121C7"/>
    <w:multiLevelType w:val="multilevel"/>
    <w:tmpl w:val="86D65534"/>
    <w:lvl w:ilvl="0">
      <w:start w:val="1"/>
      <w:numFmt w:val="decimal"/>
      <w:lvlText w:val="(%1)"/>
      <w:lvlJc w:val="left"/>
      <w:pPr>
        <w:ind w:left="360" w:hanging="360"/>
      </w:pPr>
      <w:rPr>
        <w:rFonts w:hint="default"/>
      </w:rPr>
    </w:lvl>
    <w:lvl w:ilvl="1">
      <w:start w:val="1"/>
      <w:numFmt w:val="lowerLetter"/>
      <w:lvlText w:val="%2)"/>
      <w:lvlJc w:val="left"/>
      <w:pPr>
        <w:ind w:left="993" w:hanging="360"/>
      </w:pPr>
    </w:lvl>
    <w:lvl w:ilvl="2">
      <w:start w:val="1"/>
      <w:numFmt w:val="decimal"/>
      <w:lvlText w:val="(%3)"/>
      <w:lvlJc w:val="left"/>
      <w:pPr>
        <w:ind w:left="1980" w:hanging="360"/>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3D6C19E2"/>
    <w:multiLevelType w:val="hybridMultilevel"/>
    <w:tmpl w:val="661A9468"/>
    <w:lvl w:ilvl="0" w:tplc="63809E26">
      <w:start w:val="5"/>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2" w15:restartNumberingAfterBreak="0">
    <w:nsid w:val="40B51BBF"/>
    <w:multiLevelType w:val="hybridMultilevel"/>
    <w:tmpl w:val="36943FA8"/>
    <w:lvl w:ilvl="0" w:tplc="041A0017">
      <w:start w:val="1"/>
      <w:numFmt w:val="lowerLetter"/>
      <w:lvlText w:val="%1)"/>
      <w:lvlJc w:val="left"/>
      <w:pPr>
        <w:ind w:left="717" w:hanging="360"/>
      </w:p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33" w15:restartNumberingAfterBreak="0">
    <w:nsid w:val="450A596F"/>
    <w:multiLevelType w:val="multilevel"/>
    <w:tmpl w:val="7B98E9D8"/>
    <w:lvl w:ilvl="0">
      <w:start w:val="1"/>
      <w:numFmt w:val="decimal"/>
      <w:lvlText w:val="(%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75262D4"/>
    <w:multiLevelType w:val="multilevel"/>
    <w:tmpl w:val="31BC63F6"/>
    <w:lvl w:ilvl="0">
      <w:start w:val="1"/>
      <w:numFmt w:val="decimal"/>
      <w:lvlText w:val="(%1)"/>
      <w:lvlJc w:val="left"/>
      <w:pPr>
        <w:ind w:left="6598" w:hanging="360"/>
      </w:pPr>
      <w:rPr>
        <w:rFonts w:hint="default"/>
      </w:rPr>
    </w:lvl>
    <w:lvl w:ilvl="1">
      <w:start w:val="1"/>
      <w:numFmt w:val="lowerLetter"/>
      <w:lvlText w:val="%2."/>
      <w:lvlJc w:val="left"/>
      <w:pPr>
        <w:ind w:left="7536" w:hanging="360"/>
      </w:pPr>
    </w:lvl>
    <w:lvl w:ilvl="2">
      <w:start w:val="1"/>
      <w:numFmt w:val="lowerRoman"/>
      <w:lvlText w:val="%3."/>
      <w:lvlJc w:val="right"/>
      <w:pPr>
        <w:ind w:left="8256" w:hanging="180"/>
      </w:pPr>
    </w:lvl>
    <w:lvl w:ilvl="3">
      <w:start w:val="1"/>
      <w:numFmt w:val="decimal"/>
      <w:lvlText w:val="%4."/>
      <w:lvlJc w:val="left"/>
      <w:pPr>
        <w:ind w:left="8976" w:hanging="360"/>
      </w:pPr>
    </w:lvl>
    <w:lvl w:ilvl="4">
      <w:start w:val="1"/>
      <w:numFmt w:val="lowerLetter"/>
      <w:lvlText w:val="%5."/>
      <w:lvlJc w:val="left"/>
      <w:pPr>
        <w:ind w:left="9696" w:hanging="360"/>
      </w:pPr>
    </w:lvl>
    <w:lvl w:ilvl="5">
      <w:start w:val="1"/>
      <w:numFmt w:val="lowerRoman"/>
      <w:lvlText w:val="%6."/>
      <w:lvlJc w:val="right"/>
      <w:pPr>
        <w:ind w:left="10416" w:hanging="180"/>
      </w:pPr>
    </w:lvl>
    <w:lvl w:ilvl="6">
      <w:start w:val="1"/>
      <w:numFmt w:val="decimal"/>
      <w:lvlText w:val="%7."/>
      <w:lvlJc w:val="left"/>
      <w:pPr>
        <w:ind w:left="11136" w:hanging="360"/>
      </w:pPr>
    </w:lvl>
    <w:lvl w:ilvl="7">
      <w:start w:val="1"/>
      <w:numFmt w:val="lowerLetter"/>
      <w:lvlText w:val="%8."/>
      <w:lvlJc w:val="left"/>
      <w:pPr>
        <w:ind w:left="11856" w:hanging="360"/>
      </w:pPr>
    </w:lvl>
    <w:lvl w:ilvl="8">
      <w:start w:val="1"/>
      <w:numFmt w:val="lowerRoman"/>
      <w:lvlText w:val="%9."/>
      <w:lvlJc w:val="right"/>
      <w:pPr>
        <w:ind w:left="12576" w:hanging="180"/>
      </w:pPr>
    </w:lvl>
  </w:abstractNum>
  <w:abstractNum w:abstractNumId="35" w15:restartNumberingAfterBreak="0">
    <w:nsid w:val="48924296"/>
    <w:multiLevelType w:val="hybridMultilevel"/>
    <w:tmpl w:val="44721754"/>
    <w:lvl w:ilvl="0" w:tplc="865E5CB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496564DA"/>
    <w:multiLevelType w:val="hybridMultilevel"/>
    <w:tmpl w:val="0E48343E"/>
    <w:lvl w:ilvl="0" w:tplc="B3569ADE">
      <w:start w:val="1"/>
      <w:numFmt w:val="decimal"/>
      <w:lvlText w:val="%1."/>
      <w:lvlJc w:val="left"/>
      <w:pPr>
        <w:ind w:left="720" w:hanging="360"/>
      </w:pPr>
      <w:rPr>
        <w:b w:val="0"/>
        <w:i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7" w15:restartNumberingAfterBreak="0">
    <w:nsid w:val="4AF25EB2"/>
    <w:multiLevelType w:val="hybridMultilevel"/>
    <w:tmpl w:val="18BC3C24"/>
    <w:lvl w:ilvl="0" w:tplc="90B01834">
      <w:start w:val="1"/>
      <w:numFmt w:val="lowerLetter"/>
      <w:lvlText w:val="%1)"/>
      <w:lvlJc w:val="left"/>
      <w:pPr>
        <w:ind w:left="786" w:hanging="360"/>
      </w:pPr>
    </w:lvl>
    <w:lvl w:ilvl="1" w:tplc="041A0019">
      <w:start w:val="1"/>
      <w:numFmt w:val="lowerLetter"/>
      <w:lvlText w:val="%2."/>
      <w:lvlJc w:val="left"/>
      <w:pPr>
        <w:ind w:left="1506" w:hanging="360"/>
      </w:pPr>
    </w:lvl>
    <w:lvl w:ilvl="2" w:tplc="041A001B">
      <w:start w:val="1"/>
      <w:numFmt w:val="lowerRoman"/>
      <w:lvlText w:val="%3."/>
      <w:lvlJc w:val="right"/>
      <w:pPr>
        <w:ind w:left="2226" w:hanging="180"/>
      </w:pPr>
    </w:lvl>
    <w:lvl w:ilvl="3" w:tplc="041A000F">
      <w:start w:val="1"/>
      <w:numFmt w:val="decimal"/>
      <w:lvlText w:val="%4."/>
      <w:lvlJc w:val="left"/>
      <w:pPr>
        <w:ind w:left="2946" w:hanging="360"/>
      </w:pPr>
    </w:lvl>
    <w:lvl w:ilvl="4" w:tplc="041A0019">
      <w:start w:val="1"/>
      <w:numFmt w:val="lowerLetter"/>
      <w:lvlText w:val="%5."/>
      <w:lvlJc w:val="left"/>
      <w:pPr>
        <w:ind w:left="3666" w:hanging="360"/>
      </w:pPr>
    </w:lvl>
    <w:lvl w:ilvl="5" w:tplc="041A001B">
      <w:start w:val="1"/>
      <w:numFmt w:val="lowerRoman"/>
      <w:lvlText w:val="%6."/>
      <w:lvlJc w:val="right"/>
      <w:pPr>
        <w:ind w:left="4386" w:hanging="180"/>
      </w:pPr>
    </w:lvl>
    <w:lvl w:ilvl="6" w:tplc="041A000F">
      <w:start w:val="1"/>
      <w:numFmt w:val="decimal"/>
      <w:lvlText w:val="%7."/>
      <w:lvlJc w:val="left"/>
      <w:pPr>
        <w:ind w:left="5106" w:hanging="360"/>
      </w:pPr>
    </w:lvl>
    <w:lvl w:ilvl="7" w:tplc="041A0019">
      <w:start w:val="1"/>
      <w:numFmt w:val="lowerLetter"/>
      <w:lvlText w:val="%8."/>
      <w:lvlJc w:val="left"/>
      <w:pPr>
        <w:ind w:left="5826" w:hanging="360"/>
      </w:pPr>
    </w:lvl>
    <w:lvl w:ilvl="8" w:tplc="041A001B">
      <w:start w:val="1"/>
      <w:numFmt w:val="lowerRoman"/>
      <w:lvlText w:val="%9."/>
      <w:lvlJc w:val="right"/>
      <w:pPr>
        <w:ind w:left="6546" w:hanging="180"/>
      </w:pPr>
    </w:lvl>
  </w:abstractNum>
  <w:abstractNum w:abstractNumId="38" w15:restartNumberingAfterBreak="0">
    <w:nsid w:val="4AF61659"/>
    <w:multiLevelType w:val="hybridMultilevel"/>
    <w:tmpl w:val="1E1EB546"/>
    <w:lvl w:ilvl="0" w:tplc="041A0017">
      <w:start w:val="1"/>
      <w:numFmt w:val="lowerLetter"/>
      <w:lvlText w:val="%1)"/>
      <w:lvlJc w:val="left"/>
      <w:pPr>
        <w:ind w:left="927" w:hanging="360"/>
      </w:p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9" w15:restartNumberingAfterBreak="0">
    <w:nsid w:val="4B511CB1"/>
    <w:multiLevelType w:val="multilevel"/>
    <w:tmpl w:val="86D65534"/>
    <w:lvl w:ilvl="0">
      <w:start w:val="1"/>
      <w:numFmt w:val="decimal"/>
      <w:lvlText w:val="(%1)"/>
      <w:lvlJc w:val="left"/>
      <w:pPr>
        <w:ind w:left="360" w:hanging="360"/>
      </w:pPr>
      <w:rPr>
        <w:rFonts w:hint="default"/>
      </w:rPr>
    </w:lvl>
    <w:lvl w:ilvl="1">
      <w:start w:val="1"/>
      <w:numFmt w:val="lowerLetter"/>
      <w:lvlText w:val="%2)"/>
      <w:lvlJc w:val="left"/>
      <w:pPr>
        <w:ind w:left="993" w:hanging="360"/>
      </w:pPr>
    </w:lvl>
    <w:lvl w:ilvl="2">
      <w:start w:val="1"/>
      <w:numFmt w:val="decimal"/>
      <w:lvlText w:val="(%3)"/>
      <w:lvlJc w:val="left"/>
      <w:pPr>
        <w:ind w:left="1980" w:hanging="360"/>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4D0D2E06"/>
    <w:multiLevelType w:val="hybridMultilevel"/>
    <w:tmpl w:val="C8ACEDA4"/>
    <w:lvl w:ilvl="0" w:tplc="D7BC01DC">
      <w:start w:val="1"/>
      <w:numFmt w:val="lowerLetter"/>
      <w:lvlText w:val="%1)"/>
      <w:lvlJc w:val="left"/>
      <w:pPr>
        <w:ind w:left="92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4DF575DC"/>
    <w:multiLevelType w:val="multilevel"/>
    <w:tmpl w:val="5FE671F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512D7FC0"/>
    <w:multiLevelType w:val="hybridMultilevel"/>
    <w:tmpl w:val="6352DF0A"/>
    <w:lvl w:ilvl="0" w:tplc="1E82D3B2">
      <w:start w:val="1"/>
      <w:numFmt w:val="lowerLetter"/>
      <w:lvlText w:val="%1)"/>
      <w:lvlJc w:val="left"/>
      <w:pPr>
        <w:ind w:left="786" w:hanging="360"/>
      </w:pPr>
    </w:lvl>
    <w:lvl w:ilvl="1" w:tplc="041A0019">
      <w:start w:val="1"/>
      <w:numFmt w:val="lowerLetter"/>
      <w:lvlText w:val="%2."/>
      <w:lvlJc w:val="left"/>
      <w:pPr>
        <w:ind w:left="1506" w:hanging="360"/>
      </w:pPr>
    </w:lvl>
    <w:lvl w:ilvl="2" w:tplc="041A001B">
      <w:start w:val="1"/>
      <w:numFmt w:val="lowerRoman"/>
      <w:lvlText w:val="%3."/>
      <w:lvlJc w:val="right"/>
      <w:pPr>
        <w:ind w:left="2226" w:hanging="180"/>
      </w:pPr>
    </w:lvl>
    <w:lvl w:ilvl="3" w:tplc="041A000F">
      <w:start w:val="1"/>
      <w:numFmt w:val="decimal"/>
      <w:lvlText w:val="%4."/>
      <w:lvlJc w:val="left"/>
      <w:pPr>
        <w:ind w:left="2946" w:hanging="360"/>
      </w:pPr>
    </w:lvl>
    <w:lvl w:ilvl="4" w:tplc="041A0019">
      <w:start w:val="1"/>
      <w:numFmt w:val="lowerLetter"/>
      <w:lvlText w:val="%5."/>
      <w:lvlJc w:val="left"/>
      <w:pPr>
        <w:ind w:left="3666" w:hanging="360"/>
      </w:pPr>
    </w:lvl>
    <w:lvl w:ilvl="5" w:tplc="041A001B">
      <w:start w:val="1"/>
      <w:numFmt w:val="lowerRoman"/>
      <w:lvlText w:val="%6."/>
      <w:lvlJc w:val="right"/>
      <w:pPr>
        <w:ind w:left="4386" w:hanging="180"/>
      </w:pPr>
    </w:lvl>
    <w:lvl w:ilvl="6" w:tplc="041A000F">
      <w:start w:val="1"/>
      <w:numFmt w:val="decimal"/>
      <w:lvlText w:val="%7."/>
      <w:lvlJc w:val="left"/>
      <w:pPr>
        <w:ind w:left="5106" w:hanging="360"/>
      </w:pPr>
    </w:lvl>
    <w:lvl w:ilvl="7" w:tplc="041A0019">
      <w:start w:val="1"/>
      <w:numFmt w:val="lowerLetter"/>
      <w:lvlText w:val="%8."/>
      <w:lvlJc w:val="left"/>
      <w:pPr>
        <w:ind w:left="5826" w:hanging="360"/>
      </w:pPr>
    </w:lvl>
    <w:lvl w:ilvl="8" w:tplc="041A001B">
      <w:start w:val="1"/>
      <w:numFmt w:val="lowerRoman"/>
      <w:lvlText w:val="%9."/>
      <w:lvlJc w:val="right"/>
      <w:pPr>
        <w:ind w:left="6546" w:hanging="180"/>
      </w:pPr>
    </w:lvl>
  </w:abstractNum>
  <w:abstractNum w:abstractNumId="43" w15:restartNumberingAfterBreak="0">
    <w:nsid w:val="5379019E"/>
    <w:multiLevelType w:val="hybridMultilevel"/>
    <w:tmpl w:val="6336A4DE"/>
    <w:lvl w:ilvl="0" w:tplc="1E82D3B2">
      <w:start w:val="1"/>
      <w:numFmt w:val="lowerLetter"/>
      <w:lvlText w:val="%1)"/>
      <w:lvlJc w:val="left"/>
      <w:pPr>
        <w:ind w:left="786" w:hanging="360"/>
      </w:pPr>
    </w:lvl>
    <w:lvl w:ilvl="1" w:tplc="041A0019">
      <w:start w:val="1"/>
      <w:numFmt w:val="lowerLetter"/>
      <w:lvlText w:val="%2."/>
      <w:lvlJc w:val="left"/>
      <w:pPr>
        <w:ind w:left="1506" w:hanging="360"/>
      </w:pPr>
    </w:lvl>
    <w:lvl w:ilvl="2" w:tplc="041A001B">
      <w:start w:val="1"/>
      <w:numFmt w:val="lowerRoman"/>
      <w:lvlText w:val="%3."/>
      <w:lvlJc w:val="right"/>
      <w:pPr>
        <w:ind w:left="2226" w:hanging="180"/>
      </w:pPr>
    </w:lvl>
    <w:lvl w:ilvl="3" w:tplc="041A000F">
      <w:start w:val="1"/>
      <w:numFmt w:val="decimal"/>
      <w:lvlText w:val="%4."/>
      <w:lvlJc w:val="left"/>
      <w:pPr>
        <w:ind w:left="2946" w:hanging="360"/>
      </w:pPr>
    </w:lvl>
    <w:lvl w:ilvl="4" w:tplc="041A0019">
      <w:start w:val="1"/>
      <w:numFmt w:val="lowerLetter"/>
      <w:lvlText w:val="%5."/>
      <w:lvlJc w:val="left"/>
      <w:pPr>
        <w:ind w:left="3666" w:hanging="360"/>
      </w:pPr>
    </w:lvl>
    <w:lvl w:ilvl="5" w:tplc="041A001B">
      <w:start w:val="1"/>
      <w:numFmt w:val="lowerRoman"/>
      <w:lvlText w:val="%6."/>
      <w:lvlJc w:val="right"/>
      <w:pPr>
        <w:ind w:left="4386" w:hanging="180"/>
      </w:pPr>
    </w:lvl>
    <w:lvl w:ilvl="6" w:tplc="041A000F">
      <w:start w:val="1"/>
      <w:numFmt w:val="decimal"/>
      <w:lvlText w:val="%7."/>
      <w:lvlJc w:val="left"/>
      <w:pPr>
        <w:ind w:left="5106" w:hanging="360"/>
      </w:pPr>
    </w:lvl>
    <w:lvl w:ilvl="7" w:tplc="041A0019">
      <w:start w:val="1"/>
      <w:numFmt w:val="lowerLetter"/>
      <w:lvlText w:val="%8."/>
      <w:lvlJc w:val="left"/>
      <w:pPr>
        <w:ind w:left="5826" w:hanging="360"/>
      </w:pPr>
    </w:lvl>
    <w:lvl w:ilvl="8" w:tplc="041A001B">
      <w:start w:val="1"/>
      <w:numFmt w:val="lowerRoman"/>
      <w:lvlText w:val="%9."/>
      <w:lvlJc w:val="right"/>
      <w:pPr>
        <w:ind w:left="6546" w:hanging="180"/>
      </w:pPr>
    </w:lvl>
  </w:abstractNum>
  <w:abstractNum w:abstractNumId="44" w15:restartNumberingAfterBreak="0">
    <w:nsid w:val="53AD622F"/>
    <w:multiLevelType w:val="multilevel"/>
    <w:tmpl w:val="65D40CD6"/>
    <w:lvl w:ilvl="0">
      <w:start w:val="1"/>
      <w:numFmt w:val="lowerLetter"/>
      <w:lvlText w:val="%1)"/>
      <w:lvlJc w:val="left"/>
      <w:pPr>
        <w:ind w:left="862" w:hanging="360"/>
      </w:pPr>
      <w:rPr>
        <w:rFonts w:hint="default"/>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45" w15:restartNumberingAfterBreak="0">
    <w:nsid w:val="55F43F3C"/>
    <w:multiLevelType w:val="hybridMultilevel"/>
    <w:tmpl w:val="279CEB46"/>
    <w:lvl w:ilvl="0" w:tplc="CE36AAA6">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6" w15:restartNumberingAfterBreak="0">
    <w:nsid w:val="569149BE"/>
    <w:multiLevelType w:val="hybridMultilevel"/>
    <w:tmpl w:val="9202F7B2"/>
    <w:lvl w:ilvl="0" w:tplc="EC82EE50">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56C35039"/>
    <w:multiLevelType w:val="hybridMultilevel"/>
    <w:tmpl w:val="4FC4A3B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58184682"/>
    <w:multiLevelType w:val="multilevel"/>
    <w:tmpl w:val="57E08D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F4C39DB"/>
    <w:multiLevelType w:val="hybridMultilevel"/>
    <w:tmpl w:val="8D464E98"/>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50" w15:restartNumberingAfterBreak="0">
    <w:nsid w:val="60667A45"/>
    <w:multiLevelType w:val="hybridMultilevel"/>
    <w:tmpl w:val="8A30C610"/>
    <w:lvl w:ilvl="0" w:tplc="878465DE">
      <w:start w:val="1"/>
      <w:numFmt w:val="lowerLetter"/>
      <w:lvlText w:val="%1)"/>
      <w:lvlJc w:val="left"/>
      <w:pPr>
        <w:ind w:left="786" w:hanging="360"/>
      </w:pPr>
    </w:lvl>
    <w:lvl w:ilvl="1" w:tplc="041A0019">
      <w:start w:val="1"/>
      <w:numFmt w:val="lowerLetter"/>
      <w:lvlText w:val="%2."/>
      <w:lvlJc w:val="left"/>
      <w:pPr>
        <w:ind w:left="1506" w:hanging="360"/>
      </w:pPr>
    </w:lvl>
    <w:lvl w:ilvl="2" w:tplc="041A001B">
      <w:start w:val="1"/>
      <w:numFmt w:val="lowerRoman"/>
      <w:lvlText w:val="%3."/>
      <w:lvlJc w:val="right"/>
      <w:pPr>
        <w:ind w:left="2226" w:hanging="180"/>
      </w:pPr>
    </w:lvl>
    <w:lvl w:ilvl="3" w:tplc="041A000F">
      <w:start w:val="1"/>
      <w:numFmt w:val="decimal"/>
      <w:lvlText w:val="%4."/>
      <w:lvlJc w:val="left"/>
      <w:pPr>
        <w:ind w:left="2946" w:hanging="360"/>
      </w:pPr>
    </w:lvl>
    <w:lvl w:ilvl="4" w:tplc="041A0019">
      <w:start w:val="1"/>
      <w:numFmt w:val="lowerLetter"/>
      <w:lvlText w:val="%5."/>
      <w:lvlJc w:val="left"/>
      <w:pPr>
        <w:ind w:left="3666" w:hanging="360"/>
      </w:pPr>
    </w:lvl>
    <w:lvl w:ilvl="5" w:tplc="041A001B">
      <w:start w:val="1"/>
      <w:numFmt w:val="lowerRoman"/>
      <w:lvlText w:val="%6."/>
      <w:lvlJc w:val="right"/>
      <w:pPr>
        <w:ind w:left="4386" w:hanging="180"/>
      </w:pPr>
    </w:lvl>
    <w:lvl w:ilvl="6" w:tplc="041A000F">
      <w:start w:val="1"/>
      <w:numFmt w:val="decimal"/>
      <w:lvlText w:val="%7."/>
      <w:lvlJc w:val="left"/>
      <w:pPr>
        <w:ind w:left="5106" w:hanging="360"/>
      </w:pPr>
    </w:lvl>
    <w:lvl w:ilvl="7" w:tplc="041A0019">
      <w:start w:val="1"/>
      <w:numFmt w:val="lowerLetter"/>
      <w:lvlText w:val="%8."/>
      <w:lvlJc w:val="left"/>
      <w:pPr>
        <w:ind w:left="5826" w:hanging="360"/>
      </w:pPr>
    </w:lvl>
    <w:lvl w:ilvl="8" w:tplc="041A001B">
      <w:start w:val="1"/>
      <w:numFmt w:val="lowerRoman"/>
      <w:lvlText w:val="%9."/>
      <w:lvlJc w:val="right"/>
      <w:pPr>
        <w:ind w:left="6546" w:hanging="180"/>
      </w:pPr>
    </w:lvl>
  </w:abstractNum>
  <w:abstractNum w:abstractNumId="51" w15:restartNumberingAfterBreak="0">
    <w:nsid w:val="60CF42FB"/>
    <w:multiLevelType w:val="hybridMultilevel"/>
    <w:tmpl w:val="2F424D36"/>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2" w15:restartNumberingAfterBreak="0">
    <w:nsid w:val="68D91CCD"/>
    <w:multiLevelType w:val="hybridMultilevel"/>
    <w:tmpl w:val="DF5EC7F8"/>
    <w:lvl w:ilvl="0" w:tplc="C3205914">
      <w:start w:val="1"/>
      <w:numFmt w:val="lowerLetter"/>
      <w:lvlText w:val="%1)"/>
      <w:lvlJc w:val="left"/>
      <w:pPr>
        <w:ind w:left="786" w:hanging="360"/>
      </w:pPr>
      <w:rPr>
        <w:rFonts w:hint="default"/>
      </w:rPr>
    </w:lvl>
    <w:lvl w:ilvl="1" w:tplc="041A0019">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53" w15:restartNumberingAfterBreak="0">
    <w:nsid w:val="6A341768"/>
    <w:multiLevelType w:val="multilevel"/>
    <w:tmpl w:val="6ADCDA00"/>
    <w:lvl w:ilvl="0">
      <w:start w:val="11"/>
      <w:numFmt w:val="bullet"/>
      <w:lvlText w:val="-"/>
      <w:lvlJc w:val="left"/>
      <w:pPr>
        <w:ind w:left="1222" w:hanging="360"/>
      </w:pPr>
      <w:rPr>
        <w:rFonts w:hint="default"/>
      </w:rPr>
    </w:lvl>
    <w:lvl w:ilvl="1">
      <w:start w:val="1"/>
      <w:numFmt w:val="bullet"/>
      <w:lvlText w:val="o"/>
      <w:lvlJc w:val="left"/>
      <w:pPr>
        <w:ind w:left="1942" w:hanging="360"/>
      </w:pPr>
      <w:rPr>
        <w:rFonts w:ascii="Courier New" w:hAnsi="Courier New" w:cs="Courier New" w:hint="default"/>
      </w:rPr>
    </w:lvl>
    <w:lvl w:ilvl="2">
      <w:start w:val="1"/>
      <w:numFmt w:val="bullet"/>
      <w:lvlText w:val=""/>
      <w:lvlJc w:val="left"/>
      <w:pPr>
        <w:ind w:left="2662" w:hanging="360"/>
      </w:pPr>
      <w:rPr>
        <w:rFonts w:ascii="Wingdings" w:hAnsi="Wingdings" w:cs="Wingdings" w:hint="default"/>
      </w:rPr>
    </w:lvl>
    <w:lvl w:ilvl="3">
      <w:start w:val="1"/>
      <w:numFmt w:val="bullet"/>
      <w:lvlText w:val=""/>
      <w:lvlJc w:val="left"/>
      <w:pPr>
        <w:ind w:left="3382" w:hanging="360"/>
      </w:pPr>
      <w:rPr>
        <w:rFonts w:ascii="Symbol" w:hAnsi="Symbol" w:cs="Symbol" w:hint="default"/>
      </w:rPr>
    </w:lvl>
    <w:lvl w:ilvl="4">
      <w:start w:val="1"/>
      <w:numFmt w:val="bullet"/>
      <w:lvlText w:val="o"/>
      <w:lvlJc w:val="left"/>
      <w:pPr>
        <w:ind w:left="4102" w:hanging="360"/>
      </w:pPr>
      <w:rPr>
        <w:rFonts w:ascii="Courier New" w:hAnsi="Courier New" w:cs="Courier New" w:hint="default"/>
      </w:rPr>
    </w:lvl>
    <w:lvl w:ilvl="5">
      <w:start w:val="1"/>
      <w:numFmt w:val="bullet"/>
      <w:lvlText w:val=""/>
      <w:lvlJc w:val="left"/>
      <w:pPr>
        <w:ind w:left="4822" w:hanging="360"/>
      </w:pPr>
      <w:rPr>
        <w:rFonts w:ascii="Wingdings" w:hAnsi="Wingdings" w:cs="Wingdings" w:hint="default"/>
      </w:rPr>
    </w:lvl>
    <w:lvl w:ilvl="6">
      <w:start w:val="1"/>
      <w:numFmt w:val="bullet"/>
      <w:lvlText w:val=""/>
      <w:lvlJc w:val="left"/>
      <w:pPr>
        <w:ind w:left="5542" w:hanging="360"/>
      </w:pPr>
      <w:rPr>
        <w:rFonts w:ascii="Symbol" w:hAnsi="Symbol" w:cs="Symbol" w:hint="default"/>
      </w:rPr>
    </w:lvl>
    <w:lvl w:ilvl="7">
      <w:start w:val="1"/>
      <w:numFmt w:val="bullet"/>
      <w:lvlText w:val="o"/>
      <w:lvlJc w:val="left"/>
      <w:pPr>
        <w:ind w:left="6262" w:hanging="360"/>
      </w:pPr>
      <w:rPr>
        <w:rFonts w:ascii="Courier New" w:hAnsi="Courier New" w:cs="Courier New" w:hint="default"/>
      </w:rPr>
    </w:lvl>
    <w:lvl w:ilvl="8">
      <w:start w:val="1"/>
      <w:numFmt w:val="bullet"/>
      <w:lvlText w:val=""/>
      <w:lvlJc w:val="left"/>
      <w:pPr>
        <w:ind w:left="6982" w:hanging="360"/>
      </w:pPr>
      <w:rPr>
        <w:rFonts w:ascii="Wingdings" w:hAnsi="Wingdings" w:cs="Wingdings" w:hint="default"/>
      </w:rPr>
    </w:lvl>
  </w:abstractNum>
  <w:abstractNum w:abstractNumId="54" w15:restartNumberingAfterBreak="0">
    <w:nsid w:val="6AD24168"/>
    <w:multiLevelType w:val="hybridMultilevel"/>
    <w:tmpl w:val="F0020082"/>
    <w:lvl w:ilvl="0" w:tplc="2B2A6BDC">
      <w:start w:val="1"/>
      <w:numFmt w:val="decimal"/>
      <w:lvlText w:val="(%1)"/>
      <w:lvlJc w:val="left"/>
      <w:pPr>
        <w:ind w:left="360" w:hanging="360"/>
      </w:pPr>
      <w:rPr>
        <w:color w:val="000000"/>
        <w:sz w:val="24"/>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55" w15:restartNumberingAfterBreak="0">
    <w:nsid w:val="6B9A408B"/>
    <w:multiLevelType w:val="hybridMultilevel"/>
    <w:tmpl w:val="3E7466D8"/>
    <w:lvl w:ilvl="0" w:tplc="9FFACB0A">
      <w:start w:val="7"/>
      <w:numFmt w:val="bullet"/>
      <w:lvlText w:val="-"/>
      <w:lvlJc w:val="left"/>
      <w:pPr>
        <w:ind w:left="720" w:hanging="360"/>
      </w:pPr>
      <w:rPr>
        <w:rFonts w:ascii="Times New Roman" w:eastAsia="Times New Roman" w:hAnsi="Times New Roman" w:cs="Times New Roman" w:hint="default"/>
      </w:rPr>
    </w:lvl>
    <w:lvl w:ilvl="1" w:tplc="041A0011">
      <w:start w:val="1"/>
      <w:numFmt w:val="decimal"/>
      <w:lvlText w:val="%2)"/>
      <w:lvlJc w:val="left"/>
      <w:pPr>
        <w:ind w:left="1440" w:hanging="360"/>
      </w:pPr>
    </w:lvl>
    <w:lvl w:ilvl="2" w:tplc="9FFACB0A">
      <w:start w:val="7"/>
      <w:numFmt w:val="bullet"/>
      <w:lvlText w:val="-"/>
      <w:lvlJc w:val="left"/>
      <w:pPr>
        <w:ind w:left="2340" w:hanging="360"/>
      </w:pPr>
      <w:rPr>
        <w:rFonts w:ascii="Times New Roman" w:eastAsia="Times New Roman" w:hAnsi="Times New Roman" w:cs="Times New Roman" w:hint="default"/>
      </w:rPr>
    </w:lvl>
    <w:lvl w:ilvl="3" w:tplc="BD3AFA38">
      <w:start w:val="1"/>
      <w:numFmt w:val="decimal"/>
      <w:lvlText w:val="(%4)"/>
      <w:lvlJc w:val="left"/>
      <w:pPr>
        <w:ind w:left="2880" w:hanging="360"/>
      </w:pPr>
      <w:rPr>
        <w:rFonts w:hint="default"/>
        <w:color w:val="000000"/>
        <w:sz w:val="24"/>
      </w:r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6BDA538C"/>
    <w:multiLevelType w:val="hybridMultilevel"/>
    <w:tmpl w:val="D684149A"/>
    <w:lvl w:ilvl="0" w:tplc="D758E384">
      <w:start w:val="1"/>
      <w:numFmt w:val="decimal"/>
      <w:lvlText w:val="(%1)"/>
      <w:lvlJc w:val="left"/>
      <w:pPr>
        <w:ind w:left="720" w:hanging="360"/>
      </w:pPr>
      <w:rPr>
        <w:rFonts w:ascii="Times New Roman" w:eastAsia="Calibri" w:hAnsi="Times New Roman" w:cs="Times New Roman"/>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72027B34"/>
    <w:multiLevelType w:val="multilevel"/>
    <w:tmpl w:val="B6B4C1AC"/>
    <w:lvl w:ilvl="0">
      <w:start w:val="1"/>
      <w:numFmt w:val="decimal"/>
      <w:lvlText w:val="(%1)"/>
      <w:lvlJc w:val="left"/>
      <w:pPr>
        <w:ind w:left="795" w:hanging="43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55A596B"/>
    <w:multiLevelType w:val="hybridMultilevel"/>
    <w:tmpl w:val="36D054A8"/>
    <w:lvl w:ilvl="0" w:tplc="1DC6A568">
      <w:start w:val="1"/>
      <w:numFmt w:val="decimal"/>
      <w:lvlText w:val="(%1)"/>
      <w:lvlJc w:val="left"/>
      <w:pPr>
        <w:ind w:left="735" w:hanging="375"/>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75CC6861"/>
    <w:multiLevelType w:val="hybridMultilevel"/>
    <w:tmpl w:val="4FC4A3B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7800582D"/>
    <w:multiLevelType w:val="hybridMultilevel"/>
    <w:tmpl w:val="E702E818"/>
    <w:lvl w:ilvl="0" w:tplc="041A0017">
      <w:start w:val="1"/>
      <w:numFmt w:val="lowerLetter"/>
      <w:lvlText w:val="%1)"/>
      <w:lvlJc w:val="left"/>
      <w:pPr>
        <w:ind w:left="928"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783B3405"/>
    <w:multiLevelType w:val="hybridMultilevel"/>
    <w:tmpl w:val="C0B2009C"/>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62" w15:restartNumberingAfterBreak="0">
    <w:nsid w:val="78BA41E9"/>
    <w:multiLevelType w:val="hybridMultilevel"/>
    <w:tmpl w:val="769CC614"/>
    <w:lvl w:ilvl="0" w:tplc="8A64A5C2">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BD457C4"/>
    <w:multiLevelType w:val="hybridMultilevel"/>
    <w:tmpl w:val="61B618E4"/>
    <w:lvl w:ilvl="0" w:tplc="1CC63F96">
      <w:start w:val="1"/>
      <w:numFmt w:val="decimal"/>
      <w:lvlText w:val="(%1)"/>
      <w:lvlJc w:val="left"/>
      <w:pPr>
        <w:ind w:left="720" w:hanging="360"/>
      </w:pPr>
      <w:rPr>
        <w:rFonts w:ascii="Times New Roman" w:hAnsi="Times New Roman"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1CC63F96">
      <w:start w:val="1"/>
      <w:numFmt w:val="decimal"/>
      <w:lvlText w:val="(%4)"/>
      <w:lvlJc w:val="left"/>
      <w:pPr>
        <w:ind w:left="2880" w:hanging="360"/>
      </w:pPr>
      <w:rPr>
        <w:rFonts w:ascii="Times New Roman" w:hAnsi="Times New Roman" w:hint="default"/>
        <w:b w:val="0"/>
        <w:i w:val="0"/>
        <w:sz w:val="24"/>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7C220412"/>
    <w:multiLevelType w:val="multilevel"/>
    <w:tmpl w:val="7526CE8A"/>
    <w:lvl w:ilvl="0">
      <w:start w:val="1"/>
      <w:numFmt w:val="decimal"/>
      <w:lvlText w:val="(%1)"/>
      <w:lvlJc w:val="left"/>
      <w:pPr>
        <w:ind w:left="720" w:hanging="360"/>
      </w:pPr>
      <w:rPr>
        <w:rFonts w:hint="default"/>
      </w:rPr>
    </w:lvl>
    <w:lvl w:ilvl="1">
      <w:start w:val="1"/>
      <w:numFmt w:val="lowerLetter"/>
      <w:lvlText w:val="%2)"/>
      <w:lvlJc w:val="left"/>
      <w:pPr>
        <w:ind w:left="357" w:hanging="357"/>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DC23F65"/>
    <w:multiLevelType w:val="hybridMultilevel"/>
    <w:tmpl w:val="5614B3D2"/>
    <w:lvl w:ilvl="0" w:tplc="E4820A58">
      <w:start w:val="2"/>
      <w:numFmt w:val="decimal"/>
      <w:lvlText w:val="(%1)"/>
      <w:lvlJc w:val="left"/>
      <w:pPr>
        <w:ind w:left="360" w:hanging="360"/>
      </w:pPr>
      <w:rPr>
        <w:rFonts w:ascii="Times New Roman" w:hAnsi="Times New Roman" w:hint="default"/>
        <w:b w:val="0"/>
        <w:i w:val="0"/>
        <w:sz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6" w15:restartNumberingAfterBreak="0">
    <w:nsid w:val="7DCA0083"/>
    <w:multiLevelType w:val="hybridMultilevel"/>
    <w:tmpl w:val="523663C2"/>
    <w:lvl w:ilvl="0" w:tplc="3DB6037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7" w15:restartNumberingAfterBreak="0">
    <w:nsid w:val="7EE9156B"/>
    <w:multiLevelType w:val="multilevel"/>
    <w:tmpl w:val="47F03D3E"/>
    <w:lvl w:ilvl="0">
      <w:start w:val="1"/>
      <w:numFmt w:val="decimal"/>
      <w:lvlText w:val="(%1)"/>
      <w:lvlJc w:val="left"/>
      <w:pPr>
        <w:ind w:left="360" w:hanging="360"/>
      </w:pPr>
      <w:rPr>
        <w:rFonts w:hint="default"/>
        <w:b w:val="0"/>
        <w:bCs w:val="0"/>
        <w:i w:val="0"/>
        <w:i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7"/>
  </w:num>
  <w:num w:numId="2">
    <w:abstractNumId w:val="28"/>
  </w:num>
  <w:num w:numId="3">
    <w:abstractNumId w:val="57"/>
  </w:num>
  <w:num w:numId="4">
    <w:abstractNumId w:val="39"/>
  </w:num>
  <w:num w:numId="5">
    <w:abstractNumId w:val="18"/>
  </w:num>
  <w:num w:numId="6">
    <w:abstractNumId w:val="59"/>
  </w:num>
  <w:num w:numId="7">
    <w:abstractNumId w:val="22"/>
  </w:num>
  <w:num w:numId="8">
    <w:abstractNumId w:val="9"/>
  </w:num>
  <w:num w:numId="9">
    <w:abstractNumId w:val="29"/>
  </w:num>
  <w:num w:numId="10">
    <w:abstractNumId w:val="15"/>
  </w:num>
  <w:num w:numId="11">
    <w:abstractNumId w:val="11"/>
  </w:num>
  <w:num w:numId="12">
    <w:abstractNumId w:val="2"/>
  </w:num>
  <w:num w:numId="13">
    <w:abstractNumId w:val="55"/>
  </w:num>
  <w:num w:numId="14">
    <w:abstractNumId w:val="38"/>
  </w:num>
  <w:num w:numId="15">
    <w:abstractNumId w:val="64"/>
  </w:num>
  <w:num w:numId="16">
    <w:abstractNumId w:val="53"/>
  </w:num>
  <w:num w:numId="17">
    <w:abstractNumId w:val="34"/>
  </w:num>
  <w:num w:numId="18">
    <w:abstractNumId w:val="44"/>
  </w:num>
  <w:num w:numId="19">
    <w:abstractNumId w:val="33"/>
  </w:num>
  <w:num w:numId="20">
    <w:abstractNumId w:val="23"/>
  </w:num>
  <w:num w:numId="21">
    <w:abstractNumId w:val="56"/>
  </w:num>
  <w:num w:numId="22">
    <w:abstractNumId w:val="5"/>
  </w:num>
  <w:num w:numId="23">
    <w:abstractNumId w:val="27"/>
  </w:num>
  <w:num w:numId="24">
    <w:abstractNumId w:val="46"/>
  </w:num>
  <w:num w:numId="25">
    <w:abstractNumId w:val="63"/>
  </w:num>
  <w:num w:numId="26">
    <w:abstractNumId w:val="32"/>
  </w:num>
  <w:num w:numId="27">
    <w:abstractNumId w:val="7"/>
  </w:num>
  <w:num w:numId="28">
    <w:abstractNumId w:val="6"/>
  </w:num>
  <w:num w:numId="29">
    <w:abstractNumId w:val="47"/>
  </w:num>
  <w:num w:numId="30">
    <w:abstractNumId w:val="65"/>
  </w:num>
  <w:num w:numId="31">
    <w:abstractNumId w:val="8"/>
  </w:num>
  <w:num w:numId="32">
    <w:abstractNumId w:val="12"/>
  </w:num>
  <w:num w:numId="33">
    <w:abstractNumId w:val="4"/>
  </w:num>
  <w:num w:numId="34">
    <w:abstractNumId w:val="52"/>
  </w:num>
  <w:num w:numId="35">
    <w:abstractNumId w:val="24"/>
  </w:num>
  <w:num w:numId="36">
    <w:abstractNumId w:val="13"/>
  </w:num>
  <w:num w:numId="37">
    <w:abstractNumId w:val="30"/>
  </w:num>
  <w:num w:numId="38">
    <w:abstractNumId w:val="14"/>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
  </w:num>
  <w:num w:numId="5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1"/>
  </w:num>
  <w:num w:numId="57">
    <w:abstractNumId w:val="35"/>
  </w:num>
  <w:num w:numId="58">
    <w:abstractNumId w:val="45"/>
  </w:num>
  <w:num w:numId="59">
    <w:abstractNumId w:val="66"/>
  </w:num>
  <w:num w:numId="60">
    <w:abstractNumId w:val="3"/>
  </w:num>
  <w:num w:numId="61">
    <w:abstractNumId w:val="25"/>
  </w:num>
  <w:num w:numId="62">
    <w:abstractNumId w:val="60"/>
  </w:num>
  <w:num w:numId="63">
    <w:abstractNumId w:val="17"/>
  </w:num>
  <w:num w:numId="64">
    <w:abstractNumId w:val="40"/>
  </w:num>
  <w:num w:numId="65">
    <w:abstractNumId w:val="31"/>
  </w:num>
  <w:num w:numId="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93D"/>
    <w:rsid w:val="00035D13"/>
    <w:rsid w:val="00065956"/>
    <w:rsid w:val="0008321B"/>
    <w:rsid w:val="000909AD"/>
    <w:rsid w:val="000A0B0F"/>
    <w:rsid w:val="000A34C5"/>
    <w:rsid w:val="00122E60"/>
    <w:rsid w:val="001252B4"/>
    <w:rsid w:val="001313DE"/>
    <w:rsid w:val="00133CE2"/>
    <w:rsid w:val="00180998"/>
    <w:rsid w:val="001E79CF"/>
    <w:rsid w:val="00243B74"/>
    <w:rsid w:val="00250031"/>
    <w:rsid w:val="00257D0C"/>
    <w:rsid w:val="002C4D0B"/>
    <w:rsid w:val="00300ABA"/>
    <w:rsid w:val="00361331"/>
    <w:rsid w:val="003A0C48"/>
    <w:rsid w:val="003A1DD0"/>
    <w:rsid w:val="003D092F"/>
    <w:rsid w:val="003E16DD"/>
    <w:rsid w:val="003F0131"/>
    <w:rsid w:val="00417E27"/>
    <w:rsid w:val="00420E36"/>
    <w:rsid w:val="004E6DF5"/>
    <w:rsid w:val="004F51A9"/>
    <w:rsid w:val="00510528"/>
    <w:rsid w:val="00534864"/>
    <w:rsid w:val="00550BB6"/>
    <w:rsid w:val="005862A2"/>
    <w:rsid w:val="0059096B"/>
    <w:rsid w:val="005A0D6C"/>
    <w:rsid w:val="006230BB"/>
    <w:rsid w:val="00641271"/>
    <w:rsid w:val="0066180F"/>
    <w:rsid w:val="00684D35"/>
    <w:rsid w:val="006A710D"/>
    <w:rsid w:val="006D66EA"/>
    <w:rsid w:val="006E3E9A"/>
    <w:rsid w:val="007466A3"/>
    <w:rsid w:val="007526B8"/>
    <w:rsid w:val="007916C6"/>
    <w:rsid w:val="007A0017"/>
    <w:rsid w:val="007A4FD7"/>
    <w:rsid w:val="007A5B24"/>
    <w:rsid w:val="007B669F"/>
    <w:rsid w:val="007F626C"/>
    <w:rsid w:val="0080190F"/>
    <w:rsid w:val="008603BC"/>
    <w:rsid w:val="008A7C3C"/>
    <w:rsid w:val="008B4649"/>
    <w:rsid w:val="00926F6B"/>
    <w:rsid w:val="009871BC"/>
    <w:rsid w:val="009B0526"/>
    <w:rsid w:val="009B09FD"/>
    <w:rsid w:val="00A57BBF"/>
    <w:rsid w:val="00A60D70"/>
    <w:rsid w:val="00A663C8"/>
    <w:rsid w:val="00A731B0"/>
    <w:rsid w:val="00AD0F07"/>
    <w:rsid w:val="00B075C2"/>
    <w:rsid w:val="00B1343C"/>
    <w:rsid w:val="00B30CC5"/>
    <w:rsid w:val="00B4130A"/>
    <w:rsid w:val="00B97304"/>
    <w:rsid w:val="00BB7960"/>
    <w:rsid w:val="00C50CB0"/>
    <w:rsid w:val="00CA301E"/>
    <w:rsid w:val="00CC2A0D"/>
    <w:rsid w:val="00D12774"/>
    <w:rsid w:val="00D80FBE"/>
    <w:rsid w:val="00D94A8C"/>
    <w:rsid w:val="00DB0E0F"/>
    <w:rsid w:val="00DE224B"/>
    <w:rsid w:val="00DF29A3"/>
    <w:rsid w:val="00E27E02"/>
    <w:rsid w:val="00E34F89"/>
    <w:rsid w:val="00E8398E"/>
    <w:rsid w:val="00EA10BE"/>
    <w:rsid w:val="00EB3B2C"/>
    <w:rsid w:val="00F011D3"/>
    <w:rsid w:val="00F140EF"/>
    <w:rsid w:val="00F56035"/>
    <w:rsid w:val="00F70D51"/>
    <w:rsid w:val="00F81F98"/>
    <w:rsid w:val="00FB60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3969548-43AD-40AC-B9A3-BC618B28B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hr-HR" w:eastAsia="hr-HR"/>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table" w:styleId="Reetkatablice">
    <w:name w:val="Table Grid"/>
    <w:basedOn w:val="Obinatabli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59"/>
    <w:rsid w:val="00DB0E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DB0E0F"/>
    <w:pPr>
      <w:numPr>
        <w:numId w:val="33"/>
      </w:numPr>
    </w:pPr>
  </w:style>
  <w:style w:type="character" w:styleId="Hiperveza">
    <w:name w:val="Hyperlink"/>
    <w:rsid w:val="000909AD"/>
    <w:rPr>
      <w:color w:val="0000FF"/>
      <w:u w:val="single"/>
    </w:rPr>
  </w:style>
  <w:style w:type="paragraph" w:styleId="Tekstbalonia">
    <w:name w:val="Balloon Text"/>
    <w:basedOn w:val="Normal"/>
    <w:link w:val="TekstbaloniaChar"/>
    <w:rsid w:val="001E79CF"/>
    <w:rPr>
      <w:rFonts w:ascii="Tahoma" w:hAnsi="Tahoma" w:cs="Tahoma"/>
      <w:sz w:val="16"/>
      <w:szCs w:val="16"/>
    </w:rPr>
  </w:style>
  <w:style w:type="character" w:customStyle="1" w:styleId="TekstbaloniaChar">
    <w:name w:val="Tekst balončića Char"/>
    <w:link w:val="Tekstbalonia"/>
    <w:rsid w:val="001E79CF"/>
    <w:rPr>
      <w:rFonts w:ascii="Tahoma" w:hAnsi="Tahoma" w:cs="Tahoma"/>
      <w:sz w:val="16"/>
      <w:szCs w:val="16"/>
    </w:rPr>
  </w:style>
  <w:style w:type="paragraph" w:styleId="Odlomakpopisa">
    <w:name w:val="List Paragraph"/>
    <w:basedOn w:val="Normal"/>
    <w:uiPriority w:val="34"/>
    <w:qFormat/>
    <w:rsid w:val="003A1DD0"/>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925776">
      <w:bodyDiv w:val="1"/>
      <w:marLeft w:val="0"/>
      <w:marRight w:val="0"/>
      <w:marTop w:val="0"/>
      <w:marBottom w:val="0"/>
      <w:divBdr>
        <w:top w:val="none" w:sz="0" w:space="0" w:color="auto"/>
        <w:left w:val="none" w:sz="0" w:space="0" w:color="auto"/>
        <w:bottom w:val="none" w:sz="0" w:space="0" w:color="auto"/>
        <w:right w:val="none" w:sz="0" w:space="0" w:color="auto"/>
      </w:divBdr>
    </w:div>
    <w:div w:id="725833173">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mps.hr/ribarstvo/default.aspx?id=1687" TargetMode="External"/><Relationship Id="rId7" Type="http://schemas.openxmlformats.org/officeDocument/2006/relationships/settings" Target="settings.xml"/><Relationship Id="rId12" Type="http://schemas.openxmlformats.org/officeDocument/2006/relationships/hyperlink" Target="https://euribarstvo.hr/" TargetMode="External"/><Relationship Id="rId17" Type="http://schemas.openxmlformats.org/officeDocument/2006/relationships/hyperlink" Target="http://ec.europa.eu/dgs/communication/services/visual_identity/pdf/use-emblem_en.pdf" TargetMode="External"/><Relationship Id="rId25" Type="http://schemas.openxmlformats.org/officeDocument/2006/relationships/hyperlink" Target="mailto:eufondovi.ribarstvo@mps.hr" TargetMode="Externa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ibarstvo.hr/" TargetMode="External"/><Relationship Id="rId24" Type="http://schemas.openxmlformats.org/officeDocument/2006/relationships/image" Target="media/image9.emf"/><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8.emf"/><Relationship Id="rId10" Type="http://schemas.openxmlformats.org/officeDocument/2006/relationships/hyperlink" Target="mailto:eufondovi.ribarstvo@mps.hr" TargetMode="External"/><Relationship Id="rId19" Type="http://schemas.openxmlformats.org/officeDocument/2006/relationships/hyperlink" Target="http://www.sabor.hr/Default.aspx?art=41593&amp;sec=4317" TargetMode="External"/><Relationship Id="rId4" Type="http://schemas.openxmlformats.org/officeDocument/2006/relationships/customXml" Target="../customXml/item4.xml"/><Relationship Id="rId9" Type="http://schemas.openxmlformats.org/officeDocument/2006/relationships/hyperlink" Target="mailto:eufondovi.ribarstvo@mps.hr" TargetMode="External"/><Relationship Id="rId14" Type="http://schemas.openxmlformats.org/officeDocument/2006/relationships/image" Target="media/image2.emf"/><Relationship Id="rId22" Type="http://schemas.openxmlformats.org/officeDocument/2006/relationships/image" Target="media/image7.emf"/><Relationship Id="rId27"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12ACC592F57B4C9E6690B77C10F504" ma:contentTypeVersion="0" ma:contentTypeDescription="Create a new document." ma:contentTypeScope="" ma:versionID="f93d58484154c266d83594d56142003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F6789-8BD4-437B-9348-E46120385E3C}">
  <ds:schemaRefs>
    <ds:schemaRef ds:uri="http://schemas.microsoft.com/sharepoint/v3/contenttype/forms"/>
  </ds:schemaRefs>
</ds:datastoreItem>
</file>

<file path=customXml/itemProps2.xml><?xml version="1.0" encoding="utf-8"?>
<ds:datastoreItem xmlns:ds="http://schemas.openxmlformats.org/officeDocument/2006/customXml" ds:itemID="{2DFEADB2-DACA-40FA-AE62-BF2A5D92D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94191CE-6B71-4A1B-8638-9DF7B7BEBA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09F04E-467A-4D50-B47C-F8C9EC778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10335</Words>
  <Characters>58915</Characters>
  <Application>Microsoft Office Word</Application>
  <DocSecurity>0</DocSecurity>
  <Lines>490</Lines>
  <Paragraphs>138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Predlozak</vt:lpstr>
    </vt:vector>
  </TitlesOfParts>
  <Company/>
  <LinksUpToDate>false</LinksUpToDate>
  <CharactersWithSpaces>69112</CharactersWithSpaces>
  <SharedDoc>false</SharedDoc>
  <HLinks>
    <vt:vector size="48" baseType="variant">
      <vt:variant>
        <vt:i4>393343</vt:i4>
      </vt:variant>
      <vt:variant>
        <vt:i4>21</vt:i4>
      </vt:variant>
      <vt:variant>
        <vt:i4>0</vt:i4>
      </vt:variant>
      <vt:variant>
        <vt:i4>5</vt:i4>
      </vt:variant>
      <vt:variant>
        <vt:lpwstr>mailto:eufondovi.ribarstvo@mps.hr</vt:lpwstr>
      </vt:variant>
      <vt:variant>
        <vt:lpwstr/>
      </vt:variant>
      <vt:variant>
        <vt:i4>4718661</vt:i4>
      </vt:variant>
      <vt:variant>
        <vt:i4>18</vt:i4>
      </vt:variant>
      <vt:variant>
        <vt:i4>0</vt:i4>
      </vt:variant>
      <vt:variant>
        <vt:i4>5</vt:i4>
      </vt:variant>
      <vt:variant>
        <vt:lpwstr>http://www.mps.hr/ribarstvo/default.aspx?id=1687</vt:lpwstr>
      </vt:variant>
      <vt:variant>
        <vt:lpwstr/>
      </vt:variant>
      <vt:variant>
        <vt:i4>7340069</vt:i4>
      </vt:variant>
      <vt:variant>
        <vt:i4>15</vt:i4>
      </vt:variant>
      <vt:variant>
        <vt:i4>0</vt:i4>
      </vt:variant>
      <vt:variant>
        <vt:i4>5</vt:i4>
      </vt:variant>
      <vt:variant>
        <vt:lpwstr>http://www.sabor.hr/Default.aspx?art=41593&amp;sec=4317</vt:lpwstr>
      </vt:variant>
      <vt:variant>
        <vt:lpwstr/>
      </vt:variant>
      <vt:variant>
        <vt:i4>4390930</vt:i4>
      </vt:variant>
      <vt:variant>
        <vt:i4>12</vt:i4>
      </vt:variant>
      <vt:variant>
        <vt:i4>0</vt:i4>
      </vt:variant>
      <vt:variant>
        <vt:i4>5</vt:i4>
      </vt:variant>
      <vt:variant>
        <vt:lpwstr>http://ec.europa.eu/dgs/communication/services/visual_identity/pdf/use-emblem_en.pdf</vt:lpwstr>
      </vt:variant>
      <vt:variant>
        <vt:lpwstr/>
      </vt:variant>
      <vt:variant>
        <vt:i4>3473460</vt:i4>
      </vt:variant>
      <vt:variant>
        <vt:i4>9</vt:i4>
      </vt:variant>
      <vt:variant>
        <vt:i4>0</vt:i4>
      </vt:variant>
      <vt:variant>
        <vt:i4>5</vt:i4>
      </vt:variant>
      <vt:variant>
        <vt:lpwstr>https://euribarstvo.hr/</vt:lpwstr>
      </vt:variant>
      <vt:variant>
        <vt:lpwstr/>
      </vt:variant>
      <vt:variant>
        <vt:i4>3473460</vt:i4>
      </vt:variant>
      <vt:variant>
        <vt:i4>6</vt:i4>
      </vt:variant>
      <vt:variant>
        <vt:i4>0</vt:i4>
      </vt:variant>
      <vt:variant>
        <vt:i4>5</vt:i4>
      </vt:variant>
      <vt:variant>
        <vt:lpwstr>https://euribarstvo.hr/</vt:lpwstr>
      </vt:variant>
      <vt:variant>
        <vt:lpwstr/>
      </vt:variant>
      <vt:variant>
        <vt:i4>393343</vt:i4>
      </vt:variant>
      <vt:variant>
        <vt:i4>3</vt:i4>
      </vt:variant>
      <vt:variant>
        <vt:i4>0</vt:i4>
      </vt:variant>
      <vt:variant>
        <vt:i4>5</vt:i4>
      </vt:variant>
      <vt:variant>
        <vt:lpwstr>mailto:eufondovi.ribarstvo@mps.hr</vt:lpwstr>
      </vt:variant>
      <vt:variant>
        <vt:lpwstr/>
      </vt:variant>
      <vt:variant>
        <vt:i4>393343</vt:i4>
      </vt:variant>
      <vt:variant>
        <vt:i4>0</vt:i4>
      </vt:variant>
      <vt:variant>
        <vt:i4>0</vt:i4>
      </vt:variant>
      <vt:variant>
        <vt:i4>5</vt:i4>
      </vt:variant>
      <vt:variant>
        <vt:lpwstr>mailto:eufondovi.ribarstvo@mps.hr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Jerbić</dc:creator>
  <cp:keywords/>
  <cp:lastModifiedBy>Helia Kovačević Grčić</cp:lastModifiedBy>
  <cp:revision>2</cp:revision>
  <cp:lastPrinted>1601-01-01T00:00:00Z</cp:lastPrinted>
  <dcterms:created xsi:type="dcterms:W3CDTF">2018-07-13T07:55:00Z</dcterms:created>
  <dcterms:modified xsi:type="dcterms:W3CDTF">2018-07-13T07:55:00Z</dcterms:modified>
</cp:coreProperties>
</file>