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891AA9" w:rsidRPr="0077506C" w:rsidTr="00BC6715">
        <w:tc>
          <w:tcPr>
            <w:tcW w:w="9923" w:type="dxa"/>
            <w:gridSpan w:val="8"/>
            <w:shd w:val="clear" w:color="auto" w:fill="FFFFFF"/>
          </w:tcPr>
          <w:p w:rsidR="00891AA9" w:rsidRPr="00862325" w:rsidRDefault="00891AA9" w:rsidP="00BC6715">
            <w:pPr>
              <w:pStyle w:val="Naslov1"/>
            </w:pPr>
            <w:r w:rsidRPr="00862325">
              <w:t>PRILOG 1.</w:t>
            </w:r>
          </w:p>
          <w:p w:rsidR="00891AA9" w:rsidRPr="008774DE" w:rsidRDefault="00891AA9" w:rsidP="00BC6715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OBRAZAC PRETHODNE PROCJENE</w:t>
            </w:r>
          </w:p>
        </w:tc>
      </w:tr>
      <w:tr w:rsidR="00891AA9" w:rsidRPr="0077506C" w:rsidTr="00BC6715">
        <w:tc>
          <w:tcPr>
            <w:tcW w:w="993" w:type="dxa"/>
            <w:shd w:val="clear" w:color="auto" w:fill="FFFFFF"/>
          </w:tcPr>
          <w:p w:rsidR="00891AA9" w:rsidRPr="00862325" w:rsidRDefault="00891AA9" w:rsidP="00BC6715">
            <w:pPr>
              <w:pStyle w:val="Naslov2"/>
            </w:pPr>
            <w:r w:rsidRPr="00862325">
              <w:t>1.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OPĆE INFORMACIJE</w:t>
            </w:r>
          </w:p>
        </w:tc>
      </w:tr>
      <w:tr w:rsidR="00891AA9" w:rsidRPr="0077506C" w:rsidTr="00BC6715"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Ministarstvo poljoprivrede</w:t>
            </w:r>
          </w:p>
        </w:tc>
      </w:tr>
      <w:tr w:rsidR="00891AA9" w:rsidRPr="0077506C" w:rsidTr="00BC6715"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Prijedloga Zakona o izmjenama Zakona o poljoprivrednom zemljištu Konačnim prijedlogom zakona</w:t>
            </w:r>
          </w:p>
        </w:tc>
      </w:tr>
      <w:tr w:rsidR="00891AA9" w:rsidRPr="0077506C" w:rsidTr="00BC6715"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12 rujna 2018.</w:t>
            </w:r>
          </w:p>
        </w:tc>
      </w:tr>
      <w:tr w:rsidR="00891AA9" w:rsidRPr="0077506C" w:rsidTr="00BC6715"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891AA9" w:rsidRDefault="00891AA9" w:rsidP="00BC671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Uprava poljoprivrede i prehrambene industrije</w:t>
            </w:r>
          </w:p>
          <w:p w:rsidR="00891AA9" w:rsidRDefault="00891AA9" w:rsidP="00BC671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Snježana Kraml</w:t>
            </w:r>
          </w:p>
          <w:p w:rsidR="00891AA9" w:rsidRDefault="00891AA9" w:rsidP="00BC671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01/6109-452</w:t>
            </w:r>
          </w:p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snjezana.kraml@mps.hr</w:t>
            </w:r>
          </w:p>
        </w:tc>
      </w:tr>
      <w:tr w:rsidR="00891AA9" w:rsidRPr="0077506C" w:rsidTr="00BC6715"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B74953">
              <w:rPr>
                <w:b/>
                <w:szCs w:val="24"/>
              </w:rPr>
              <w:t>Da/</w:t>
            </w:r>
            <w:r w:rsidRPr="008774DE">
              <w:rPr>
                <w:szCs w:val="24"/>
              </w:rPr>
              <w:t>Ne:</w:t>
            </w:r>
          </w:p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260" w:type="dxa"/>
            <w:gridSpan w:val="5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Naziv akta:</w:t>
            </w:r>
            <w:r>
              <w:rPr>
                <w:szCs w:val="24"/>
              </w:rPr>
              <w:t xml:space="preserve"> Nacionalni program reformi 2018.</w:t>
            </w:r>
          </w:p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  <w:p w:rsidR="00891AA9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Opis mjere:</w:t>
            </w:r>
          </w:p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Racionalizacija sustava pravnih osoba s javnim ovlastima agencijskog tipa </w:t>
            </w:r>
          </w:p>
        </w:tc>
      </w:tr>
      <w:tr w:rsidR="00891AA9" w:rsidRPr="0077506C" w:rsidTr="00BC6715"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Da/</w:t>
            </w:r>
            <w:r w:rsidRPr="00B74953">
              <w:rPr>
                <w:b/>
                <w:szCs w:val="24"/>
              </w:rPr>
              <w:t>Ne:</w:t>
            </w:r>
          </w:p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260" w:type="dxa"/>
            <w:gridSpan w:val="5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Naziv pravne stečevine EU:</w:t>
            </w:r>
          </w:p>
        </w:tc>
      </w:tr>
      <w:tr w:rsidR="00891AA9" w:rsidRPr="0077506C" w:rsidTr="00BC6715">
        <w:trPr>
          <w:trHeight w:val="314"/>
        </w:trPr>
        <w:tc>
          <w:tcPr>
            <w:tcW w:w="993" w:type="dxa"/>
            <w:shd w:val="clear" w:color="auto" w:fill="FFFFFF"/>
          </w:tcPr>
          <w:p w:rsidR="00891AA9" w:rsidRPr="00862325" w:rsidRDefault="00891AA9" w:rsidP="00BC6715">
            <w:pPr>
              <w:pStyle w:val="Naslov2"/>
            </w:pPr>
            <w:r w:rsidRPr="00862325">
              <w:t>2.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ANALIZA POSTOJEĆEG STANJA</w:t>
            </w:r>
          </w:p>
        </w:tc>
      </w:tr>
      <w:tr w:rsidR="00891AA9" w:rsidRPr="0077506C" w:rsidTr="00BC6715"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Promjena naziva ili ukidanje institucija koje su navedene u pojedinim odredbama Zakona uz preuzimanje poslova od strane drugih institucija. </w:t>
            </w:r>
          </w:p>
        </w:tc>
      </w:tr>
      <w:tr w:rsidR="00891AA9" w:rsidRPr="0077506C" w:rsidTr="00BC6715"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2.2.</w:t>
            </w:r>
          </w:p>
        </w:tc>
        <w:tc>
          <w:tcPr>
            <w:tcW w:w="25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Kako bi se uskladile odredbe zakona s novim nazivima institucija koje mijenjaju naziv, ukidaju se ili čije poslove preuzimaju druge institucije potrebno je izraditi izmjene zakona. </w:t>
            </w:r>
          </w:p>
        </w:tc>
      </w:tr>
      <w:tr w:rsidR="00891AA9" w:rsidRPr="0077506C" w:rsidTr="00BC6715">
        <w:trPr>
          <w:trHeight w:val="858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2.3.</w:t>
            </w:r>
          </w:p>
        </w:tc>
        <w:tc>
          <w:tcPr>
            <w:tcW w:w="25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Zaključak Vlade RH o smanjenju broja agencija i dr. od 2. kolovoza 2018.</w:t>
            </w:r>
          </w:p>
        </w:tc>
      </w:tr>
      <w:tr w:rsidR="00891AA9" w:rsidRPr="0077506C" w:rsidTr="00BC6715">
        <w:trPr>
          <w:trHeight w:val="240"/>
        </w:trPr>
        <w:tc>
          <w:tcPr>
            <w:tcW w:w="993" w:type="dxa"/>
            <w:shd w:val="clear" w:color="auto" w:fill="FFFFFF"/>
          </w:tcPr>
          <w:p w:rsidR="00891AA9" w:rsidRPr="00862325" w:rsidRDefault="00891AA9" w:rsidP="00BC6715">
            <w:pPr>
              <w:pStyle w:val="Naslov2"/>
            </w:pPr>
            <w:r w:rsidRPr="00862325">
              <w:t>3.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891AA9" w:rsidRPr="0077506C" w:rsidTr="00BC6715"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32217D">
              <w:rPr>
                <w:szCs w:val="24"/>
              </w:rPr>
              <w:t xml:space="preserve">Kako bi se uskladile odredbe zakona s novim nazivima institucija koje mijenjaju naziv, ukidaju se ili čije poslove </w:t>
            </w:r>
            <w:r w:rsidRPr="0032217D">
              <w:rPr>
                <w:szCs w:val="24"/>
              </w:rPr>
              <w:lastRenderedPageBreak/>
              <w:t>preuzimaju druge institucije potrebno je izraditi izmjene zakona.</w:t>
            </w:r>
          </w:p>
        </w:tc>
      </w:tr>
      <w:tr w:rsidR="00891AA9" w:rsidRPr="0077506C" w:rsidTr="00BC6715"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lastRenderedPageBreak/>
              <w:t>3.2.</w:t>
            </w:r>
          </w:p>
        </w:tc>
        <w:tc>
          <w:tcPr>
            <w:tcW w:w="25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Omogućavanje provedbe zakona.</w:t>
            </w:r>
          </w:p>
        </w:tc>
      </w:tr>
      <w:tr w:rsidR="00891AA9" w:rsidRPr="0077506C" w:rsidTr="00BC6715"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891AA9" w:rsidRPr="008774DE" w:rsidRDefault="00891AA9" w:rsidP="00BC6715">
            <w:pPr>
              <w:numPr>
                <w:ilvl w:val="0"/>
                <w:numId w:val="44"/>
              </w:num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siječnja 2019. </w:t>
            </w:r>
          </w:p>
        </w:tc>
      </w:tr>
      <w:tr w:rsidR="00891AA9" w:rsidRPr="0077506C" w:rsidTr="00BC6715">
        <w:trPr>
          <w:trHeight w:val="368"/>
        </w:trPr>
        <w:tc>
          <w:tcPr>
            <w:tcW w:w="993" w:type="dxa"/>
            <w:shd w:val="clear" w:color="auto" w:fill="FFFFFF"/>
          </w:tcPr>
          <w:p w:rsidR="00891AA9" w:rsidRPr="00862325" w:rsidRDefault="00891AA9" w:rsidP="00BC6715">
            <w:pPr>
              <w:pStyle w:val="Naslov2"/>
            </w:pPr>
            <w:r w:rsidRPr="00862325">
              <w:t>4.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 xml:space="preserve">UTVRĐIVANJE RJEŠENJA </w:t>
            </w:r>
          </w:p>
        </w:tc>
      </w:tr>
      <w:tr w:rsidR="00891AA9" w:rsidRPr="0077506C" w:rsidTr="00BC6715">
        <w:tc>
          <w:tcPr>
            <w:tcW w:w="993" w:type="dxa"/>
            <w:vMerge w:val="restart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891AA9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Moguća normativna rješenja (novi propis/izmjene i dopune važećeg/stavljanje van snage propisa i slično):</w:t>
            </w:r>
          </w:p>
          <w:p w:rsidR="00891AA9" w:rsidRDefault="00891AA9" w:rsidP="00BC6715">
            <w:pPr>
              <w:shd w:val="clear" w:color="auto" w:fill="FFFFFF"/>
              <w:rPr>
                <w:szCs w:val="24"/>
              </w:rPr>
            </w:pPr>
          </w:p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Izmjene postojećeg zakona. </w:t>
            </w:r>
          </w:p>
        </w:tc>
      </w:tr>
      <w:tr w:rsidR="00891AA9" w:rsidRPr="0077506C" w:rsidTr="00BC6715">
        <w:tc>
          <w:tcPr>
            <w:tcW w:w="993" w:type="dxa"/>
            <w:vMerge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Obrazloženje:</w:t>
            </w:r>
            <w:r>
              <w:rPr>
                <w:szCs w:val="24"/>
              </w:rPr>
              <w:t xml:space="preserve"> Zakon je na snazi i u primjeni i predložene izmjene nužne su za provedbu zakona</w:t>
            </w:r>
          </w:p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</w:tr>
      <w:tr w:rsidR="00891AA9" w:rsidRPr="0077506C" w:rsidTr="00BC6715">
        <w:trPr>
          <w:trHeight w:val="567"/>
        </w:trPr>
        <w:tc>
          <w:tcPr>
            <w:tcW w:w="993" w:type="dxa"/>
            <w:vMerge w:val="restart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 xml:space="preserve">Navedite koja su moguća </w:t>
            </w:r>
            <w:proofErr w:type="spellStart"/>
            <w:r w:rsidRPr="008774DE">
              <w:rPr>
                <w:szCs w:val="24"/>
              </w:rPr>
              <w:t>nenormativna</w:t>
            </w:r>
            <w:proofErr w:type="spellEnd"/>
            <w:r w:rsidRPr="008774DE">
              <w:rPr>
                <w:szCs w:val="24"/>
              </w:rPr>
              <w:t xml:space="preserve"> rješenja za postizanje navedenog ishoda.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 xml:space="preserve">Moguća </w:t>
            </w:r>
            <w:proofErr w:type="spellStart"/>
            <w:r w:rsidRPr="008774DE">
              <w:rPr>
                <w:szCs w:val="24"/>
              </w:rPr>
              <w:t>nenormativna</w:t>
            </w:r>
            <w:proofErr w:type="spellEnd"/>
            <w:r w:rsidRPr="008774DE">
              <w:rPr>
                <w:szCs w:val="24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8774DE">
              <w:rPr>
                <w:szCs w:val="24"/>
              </w:rPr>
              <w:t>koregulacija</w:t>
            </w:r>
            <w:proofErr w:type="spellEnd"/>
            <w:r w:rsidRPr="008774DE">
              <w:rPr>
                <w:szCs w:val="24"/>
              </w:rPr>
              <w:t xml:space="preserve"> i slično):</w:t>
            </w:r>
          </w:p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Nije moguće drugo </w:t>
            </w:r>
            <w:proofErr w:type="spellStart"/>
            <w:r>
              <w:rPr>
                <w:szCs w:val="24"/>
              </w:rPr>
              <w:t>nenormativno</w:t>
            </w:r>
            <w:proofErr w:type="spellEnd"/>
            <w:r>
              <w:rPr>
                <w:szCs w:val="24"/>
              </w:rPr>
              <w:t xml:space="preserve"> rješenje</w:t>
            </w:r>
          </w:p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</w:tr>
      <w:tr w:rsidR="00891AA9" w:rsidRPr="0077506C" w:rsidTr="00BC6715">
        <w:trPr>
          <w:trHeight w:val="567"/>
        </w:trPr>
        <w:tc>
          <w:tcPr>
            <w:tcW w:w="993" w:type="dxa"/>
            <w:vMerge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Obrazloženje:</w:t>
            </w:r>
            <w:r>
              <w:rPr>
                <w:szCs w:val="24"/>
              </w:rPr>
              <w:t xml:space="preserve"> Zakon je na snazi i u primjeni i predložene izmjene nužne su za provedbu zakona</w:t>
            </w:r>
          </w:p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</w:tr>
      <w:tr w:rsidR="00891AA9" w:rsidRPr="0077506C" w:rsidTr="00BC6715">
        <w:trPr>
          <w:trHeight w:val="419"/>
        </w:trPr>
        <w:tc>
          <w:tcPr>
            <w:tcW w:w="993" w:type="dxa"/>
            <w:shd w:val="clear" w:color="auto" w:fill="FFFFFF"/>
          </w:tcPr>
          <w:p w:rsidR="00891AA9" w:rsidRPr="00862325" w:rsidRDefault="00891AA9" w:rsidP="00BC6715">
            <w:pPr>
              <w:pStyle w:val="Naslov2"/>
            </w:pPr>
            <w:r w:rsidRPr="00862325">
              <w:t>5.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891AA9" w:rsidRPr="0077506C" w:rsidTr="00BC6715">
        <w:trPr>
          <w:trHeight w:val="382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 xml:space="preserve">UTVRĐIVANJE GOSPODARSKIH UČINAKA </w:t>
            </w:r>
          </w:p>
        </w:tc>
      </w:tr>
      <w:tr w:rsidR="00891AA9" w:rsidRPr="0077506C" w:rsidTr="00BC6715">
        <w:trPr>
          <w:trHeight w:val="382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Mjerilo učinka</w:t>
            </w:r>
          </w:p>
        </w:tc>
      </w:tr>
      <w:tr w:rsidR="00891AA9" w:rsidRPr="0077506C" w:rsidTr="00BC6715">
        <w:trPr>
          <w:trHeight w:val="382"/>
        </w:trPr>
        <w:tc>
          <w:tcPr>
            <w:tcW w:w="993" w:type="dxa"/>
            <w:vMerge w:val="restart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Veliki</w:t>
            </w:r>
          </w:p>
        </w:tc>
      </w:tr>
      <w:tr w:rsidR="00891AA9" w:rsidRPr="0077506C" w:rsidTr="00BC6715">
        <w:trPr>
          <w:trHeight w:val="382"/>
        </w:trPr>
        <w:tc>
          <w:tcPr>
            <w:tcW w:w="993" w:type="dxa"/>
            <w:vMerge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i/>
              </w:rPr>
            </w:pPr>
            <w:r w:rsidRPr="00B74953">
              <w:rPr>
                <w:i/>
                <w:szCs w:val="24"/>
              </w:rPr>
              <w:t>D</w:t>
            </w:r>
            <w:r w:rsidRPr="008774DE">
              <w:rPr>
                <w:i/>
                <w:szCs w:val="24"/>
              </w:rPr>
              <w:t>a/Ne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i/>
              </w:rPr>
            </w:pPr>
            <w:r w:rsidRPr="008774DE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i/>
              </w:rPr>
            </w:pPr>
            <w:r w:rsidRPr="008774DE">
              <w:rPr>
                <w:i/>
                <w:szCs w:val="24"/>
              </w:rPr>
              <w:t>Da/Ne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ind w:right="-251"/>
              <w:rPr>
                <w:szCs w:val="24"/>
              </w:rPr>
            </w:pPr>
            <w:r w:rsidRPr="008774DE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B74953" w:rsidRDefault="00891AA9" w:rsidP="00BC6715">
            <w:pPr>
              <w:shd w:val="clear" w:color="auto" w:fill="FFFFFF"/>
              <w:rPr>
                <w:szCs w:val="24"/>
              </w:rPr>
            </w:pPr>
            <w:r w:rsidRPr="00B74953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lastRenderedPageBreak/>
              <w:t>5.1.10.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Drugi očekivani izravni učinak:</w:t>
            </w:r>
          </w:p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74953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Obrazloženje za analizu utvrđivanja izravnih učinaka od 5.1.1. do 5.1.14.</w:t>
            </w:r>
          </w:p>
          <w:p w:rsidR="00891AA9" w:rsidRPr="0017648D" w:rsidRDefault="00891AA9" w:rsidP="00BC6715">
            <w:pPr>
              <w:shd w:val="clear" w:color="auto" w:fill="FFFFFF"/>
              <w:rPr>
                <w:szCs w:val="24"/>
              </w:rPr>
            </w:pPr>
            <w:r w:rsidRPr="0017648D">
              <w:rPr>
                <w:szCs w:val="24"/>
              </w:rPr>
              <w:t>N</w:t>
            </w:r>
            <w:r>
              <w:rPr>
                <w:szCs w:val="24"/>
              </w:rPr>
              <w:t xml:space="preserve">e radi se o izravnim gospodarskim učincima obzirom da se mijenjaju samo nazivi institucija 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Utvrdite veličinu adresata: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17648D" w:rsidRDefault="00891AA9" w:rsidP="00BC6715">
            <w:pPr>
              <w:shd w:val="clear" w:color="auto" w:fill="FFFFFF"/>
              <w:rPr>
                <w:szCs w:val="24"/>
              </w:rPr>
            </w:pPr>
            <w:r w:rsidRPr="0017648D">
              <w:rPr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Drugi utvrđeni adresati:</w:t>
            </w:r>
          </w:p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Obrazloženje za analizu utvrđivanja adresata od 5.1.16. do 5.1.26.:</w:t>
            </w:r>
          </w:p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rStyle w:val="pt-zadanifontodlomka-000003"/>
                <w:szCs w:val="24"/>
              </w:rPr>
              <w:t>Budući da se ne očekuju izravni gospodarski učinci, nema utvrđenih adresata prava u ovom području</w:t>
            </w:r>
            <w:r>
              <w:rPr>
                <w:rStyle w:val="pt-zadanifontodlomka-000003"/>
                <w:rFonts w:ascii="Helvetica" w:hAnsi="Helvetica" w:cs="Helvetica"/>
              </w:rPr>
              <w:t>.</w:t>
            </w:r>
          </w:p>
        </w:tc>
      </w:tr>
      <w:tr w:rsidR="00891AA9" w:rsidRPr="0077506C" w:rsidTr="00BC6715">
        <w:trPr>
          <w:trHeight w:val="299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5.1.28.</w:t>
            </w:r>
          </w:p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REZULTAT PRETHODNE PROCJENE GOSPODARSKIH UČINAKA</w:t>
            </w:r>
          </w:p>
          <w:p w:rsidR="00891AA9" w:rsidRPr="008774DE" w:rsidRDefault="00891AA9" w:rsidP="00BC6715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 xml:space="preserve">Da li je utvrđena barem jedna kombinacija: </w:t>
            </w:r>
          </w:p>
          <w:p w:rsidR="00891AA9" w:rsidRPr="008774DE" w:rsidRDefault="00891AA9" w:rsidP="00BC6715">
            <w:pPr>
              <w:pStyle w:val="Odlomakpopisa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mali broj adresata</w:t>
            </w:r>
          </w:p>
          <w:p w:rsidR="00891AA9" w:rsidRPr="008774DE" w:rsidRDefault="00891AA9" w:rsidP="00BC6715">
            <w:pPr>
              <w:pStyle w:val="Odlomakpopisa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veliki broj adresata</w:t>
            </w:r>
          </w:p>
          <w:p w:rsidR="00891AA9" w:rsidRPr="008774DE" w:rsidRDefault="00891AA9" w:rsidP="00BC6715">
            <w:pPr>
              <w:pStyle w:val="Odlomakpopisa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mali izravni učinak i veliki broj adresata.</w:t>
            </w:r>
          </w:p>
          <w:p w:rsidR="00891AA9" w:rsidRPr="008774DE" w:rsidRDefault="00891AA9" w:rsidP="00BC6715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891AA9" w:rsidRPr="0077506C" w:rsidTr="00BC6715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891AA9" w:rsidRPr="0077506C" w:rsidTr="00BC6715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891AA9" w:rsidRPr="0077506C" w:rsidTr="00BC6715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891AA9" w:rsidRPr="0077506C" w:rsidTr="00BC6715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891AA9" w:rsidRPr="0077506C" w:rsidTr="00BC6715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UTVRĐIVANJE UČINAKA NA TRŽIŠNO NATJECANJE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Mjerilo učinka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 xml:space="preserve">Veliki 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Da/Ne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color w:val="FF0000"/>
                <w:szCs w:val="24"/>
              </w:rPr>
            </w:pPr>
            <w:r w:rsidRPr="008774DE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Drugi očekivani izravni učinak:</w:t>
            </w:r>
          </w:p>
          <w:p w:rsidR="00891AA9" w:rsidRPr="008774DE" w:rsidRDefault="00891AA9" w:rsidP="00BC6715">
            <w:pPr>
              <w:shd w:val="clear" w:color="auto" w:fill="FFFFFF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Obrazloženje za analizu utvrđivanja izravnih učinaka od 5.2.1. do 5.2.4.:</w:t>
            </w:r>
          </w:p>
          <w:p w:rsidR="00891AA9" w:rsidRPr="00681290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681290">
              <w:rPr>
                <w:rStyle w:val="pt-zadanifontodlomka-000003"/>
                <w:szCs w:val="24"/>
              </w:rPr>
              <w:t>S obzirom na materiju koju uređuje propis, ne očekuju se učinci na tržišno natjecanje.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Utvrdite veličinu adresata: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Drugi utvrđeni adresati:</w:t>
            </w:r>
          </w:p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17648D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Obrazloženje za analizu utvrđivanja adresata od 5.2.6. do 5.2.16.:</w:t>
            </w:r>
          </w:p>
          <w:p w:rsidR="00891AA9" w:rsidRPr="00681290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681290">
              <w:rPr>
                <w:rStyle w:val="pt-zadanifontodlomka-000003"/>
                <w:szCs w:val="24"/>
              </w:rPr>
              <w:t>Budući da se ne očekuju izravni učinci na tržišno natjecanje nema detektiranih adresata prava u istom području.</w:t>
            </w:r>
          </w:p>
        </w:tc>
      </w:tr>
      <w:tr w:rsidR="00891AA9" w:rsidRPr="0077506C" w:rsidTr="00BC6715">
        <w:trPr>
          <w:trHeight w:val="3562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lastRenderedPageBreak/>
              <w:t>5.2.17.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REZULTAT PRETHODNE PROCJENE UČINAKA NA ZAŠTITU TRŽIŠNOG NATJECANJA</w:t>
            </w:r>
          </w:p>
          <w:p w:rsidR="00891AA9" w:rsidRPr="008774DE" w:rsidRDefault="00891AA9" w:rsidP="00BC6715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 xml:space="preserve">Da li je utvrđena barem jedna kombinacija: </w:t>
            </w:r>
          </w:p>
          <w:p w:rsidR="00891AA9" w:rsidRPr="008774DE" w:rsidRDefault="00891AA9" w:rsidP="00BC6715">
            <w:pPr>
              <w:pStyle w:val="Odlomakpopisa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mali broj adresata</w:t>
            </w:r>
          </w:p>
          <w:p w:rsidR="00891AA9" w:rsidRPr="008774DE" w:rsidRDefault="00891AA9" w:rsidP="00BC6715">
            <w:pPr>
              <w:pStyle w:val="Odlomakpopisa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veliki broj adresata</w:t>
            </w:r>
          </w:p>
          <w:p w:rsidR="00891AA9" w:rsidRPr="008774DE" w:rsidRDefault="00891AA9" w:rsidP="00BC6715">
            <w:pPr>
              <w:pStyle w:val="Odlomakpopisa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mali izravni učinak i veliki broj adresata.</w:t>
            </w:r>
          </w:p>
          <w:p w:rsidR="00891AA9" w:rsidRPr="008774DE" w:rsidRDefault="00891AA9" w:rsidP="00BC6715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891AA9" w:rsidRPr="0077506C" w:rsidTr="00BC6715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891AA9" w:rsidRPr="0077506C" w:rsidTr="00BC6715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891AA9" w:rsidRPr="0077506C" w:rsidTr="00BC6715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891AA9" w:rsidRPr="0077506C" w:rsidTr="00BC6715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891AA9" w:rsidRPr="0077506C" w:rsidTr="00BC6715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UTVRĐIVANJE SOCIJALNIH UČINAKA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Mjerilo učinka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 xml:space="preserve">Veliki 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Da/Ne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C97AEF" w:rsidRDefault="00891AA9" w:rsidP="00BC6715">
            <w:pPr>
              <w:shd w:val="clear" w:color="auto" w:fill="FFFFFF"/>
              <w:rPr>
                <w:szCs w:val="24"/>
              </w:rPr>
            </w:pPr>
            <w:r w:rsidRPr="00C97AEF">
              <w:rPr>
                <w:szCs w:val="24"/>
              </w:rPr>
              <w:t>Ne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Drugi očekivani izravni učinak:</w:t>
            </w:r>
          </w:p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Obrazloženje za analizu utvrđivanja izravnih učinaka od 5.3.1. do 5.3.7.:</w:t>
            </w:r>
          </w:p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681290">
              <w:rPr>
                <w:rStyle w:val="pt-zadanifontodlomka-000003"/>
                <w:szCs w:val="24"/>
              </w:rPr>
              <w:t>S obzirom na materiju koju uređuje propis, ne očekuju se</w:t>
            </w:r>
            <w:r>
              <w:rPr>
                <w:rStyle w:val="pt-zadanifontodlomka-000003"/>
                <w:szCs w:val="24"/>
              </w:rPr>
              <w:t xml:space="preserve"> socijalni</w:t>
            </w:r>
            <w:r w:rsidRPr="00681290">
              <w:rPr>
                <w:rStyle w:val="pt-zadanifontodlomka-000003"/>
                <w:szCs w:val="24"/>
              </w:rPr>
              <w:t xml:space="preserve"> učinci.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 xml:space="preserve">Središnja tijela državne uprave, druga državna tijela, pravosudna tijela, javne ustanove, jedinice lokalne i </w:t>
            </w:r>
            <w:r w:rsidRPr="008774DE">
              <w:rPr>
                <w:szCs w:val="24"/>
              </w:rPr>
              <w:lastRenderedPageBreak/>
              <w:t>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lastRenderedPageBreak/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Drugi utvrđeni adresati:</w:t>
            </w:r>
          </w:p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C97AEF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Obrazloženje za analizu utvrđivanja adresata od 5.3.9. do 5.3.19.:</w:t>
            </w:r>
          </w:p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681290">
              <w:rPr>
                <w:rStyle w:val="pt-zadanifontodlomka-000003"/>
                <w:szCs w:val="24"/>
              </w:rPr>
              <w:t xml:space="preserve">Budući da se ne očekuju izravni </w:t>
            </w:r>
            <w:r>
              <w:rPr>
                <w:rStyle w:val="pt-zadanifontodlomka-000003"/>
                <w:szCs w:val="24"/>
              </w:rPr>
              <w:t>socijalni učinci</w:t>
            </w:r>
            <w:r w:rsidRPr="00681290">
              <w:rPr>
                <w:rStyle w:val="pt-zadanifontodlomka-000003"/>
                <w:szCs w:val="24"/>
              </w:rPr>
              <w:t xml:space="preserve"> nema detektiranih adresata prava u istom području.</w:t>
            </w:r>
          </w:p>
        </w:tc>
      </w:tr>
      <w:tr w:rsidR="00891AA9" w:rsidRPr="0077506C" w:rsidTr="00BC6715">
        <w:trPr>
          <w:trHeight w:val="3401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REZULTAT PRETHODNE PROCJENE SOCIJALNIH UČINAKA:</w:t>
            </w:r>
          </w:p>
          <w:p w:rsidR="00891AA9" w:rsidRPr="008774DE" w:rsidRDefault="00891AA9" w:rsidP="00BC6715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 xml:space="preserve">Da li je utvrđena barem jedna kombinacija: </w:t>
            </w:r>
          </w:p>
          <w:p w:rsidR="00891AA9" w:rsidRPr="008774DE" w:rsidRDefault="00891AA9" w:rsidP="00BC6715">
            <w:pPr>
              <w:pStyle w:val="Odlomakpopisa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mali broj adresata</w:t>
            </w:r>
          </w:p>
          <w:p w:rsidR="00891AA9" w:rsidRPr="008774DE" w:rsidRDefault="00891AA9" w:rsidP="00BC6715">
            <w:pPr>
              <w:pStyle w:val="Odlomakpopisa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veliki broj adresata</w:t>
            </w:r>
          </w:p>
          <w:p w:rsidR="00891AA9" w:rsidRPr="008774DE" w:rsidRDefault="00891AA9" w:rsidP="00BC6715">
            <w:pPr>
              <w:pStyle w:val="Odlomakpopisa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mali izravni učinak i veliki broj adresata.</w:t>
            </w:r>
          </w:p>
          <w:p w:rsidR="00891AA9" w:rsidRPr="008774DE" w:rsidRDefault="00891AA9" w:rsidP="00BC6715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891AA9" w:rsidRPr="0077506C" w:rsidTr="00BC6715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891AA9" w:rsidRPr="0077506C" w:rsidTr="00BC6715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891AA9" w:rsidRPr="0077506C" w:rsidTr="00BC6715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891AA9" w:rsidRPr="0077506C" w:rsidTr="00BC6715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891AA9" w:rsidRPr="0077506C" w:rsidTr="00BC6715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UTVRĐIVANJE UČINAKA NA RAD I TRŽIŠTE RADA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Mjerilo učinka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 xml:space="preserve">Veliki 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Da/Ne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985ACB" w:rsidRDefault="00891AA9" w:rsidP="00BC6715">
            <w:pPr>
              <w:shd w:val="clear" w:color="auto" w:fill="FFFFFF"/>
              <w:rPr>
                <w:szCs w:val="24"/>
              </w:rPr>
            </w:pPr>
            <w:r w:rsidRPr="00985ACB">
              <w:rPr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5.4.3.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Drugi očekivani izravni učinak:</w:t>
            </w:r>
          </w:p>
          <w:p w:rsidR="00891AA9" w:rsidRPr="008774DE" w:rsidRDefault="00891AA9" w:rsidP="00BC6715">
            <w:pPr>
              <w:shd w:val="clear" w:color="auto" w:fill="FFFFFF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Obrazloženje za analizu utvrđivanja izravnih učinaka od 5.4.1 do 5.4.13:</w:t>
            </w:r>
          </w:p>
          <w:p w:rsidR="00891AA9" w:rsidRPr="00985ACB" w:rsidRDefault="00891AA9" w:rsidP="00BC6715">
            <w:pPr>
              <w:shd w:val="clear" w:color="auto" w:fill="FFFFFF"/>
              <w:rPr>
                <w:b/>
                <w:szCs w:val="24"/>
              </w:rPr>
            </w:pPr>
            <w:r>
              <w:rPr>
                <w:rStyle w:val="pt-zadanifontodlomka-000003"/>
                <w:szCs w:val="24"/>
              </w:rPr>
              <w:t>O</w:t>
            </w:r>
            <w:r w:rsidRPr="00985ACB">
              <w:rPr>
                <w:rStyle w:val="pt-zadanifontodlomka-000003"/>
                <w:szCs w:val="24"/>
              </w:rPr>
              <w:t>bzirom na materiju propisa, ne očekuje se izravan učinak na rad i tržište rada.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985ACB" w:rsidRDefault="00891AA9" w:rsidP="00BC6715">
            <w:pPr>
              <w:shd w:val="clear" w:color="auto" w:fill="FFFFFF"/>
              <w:rPr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Drugi utvrđeni adresati:</w:t>
            </w:r>
          </w:p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Obrazloženje za analizu utvrđivanja adresata od 5.4.14. do 5.4.25.</w:t>
            </w:r>
          </w:p>
          <w:p w:rsidR="00891AA9" w:rsidRPr="00985ACB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rStyle w:val="pt-zadanifontodlomka-000003"/>
                <w:szCs w:val="24"/>
              </w:rPr>
              <w:t>S obzirom da se ne očekuju učinci u ovom području, nema ni adresata na kojih bi isto moglo utjecati.</w:t>
            </w:r>
          </w:p>
        </w:tc>
      </w:tr>
      <w:tr w:rsidR="00891AA9" w:rsidRPr="0077506C" w:rsidTr="00BC6715">
        <w:trPr>
          <w:trHeight w:val="3436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5.4.27.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REZULTAT PRETHODNE PROCJENE UČINAKA NA RAD I TRŽIŠTE RADA:</w:t>
            </w:r>
          </w:p>
          <w:p w:rsidR="00891AA9" w:rsidRPr="008774DE" w:rsidRDefault="00891AA9" w:rsidP="00BC6715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 xml:space="preserve">Da li je utvrđena barem jedna kombinacija: </w:t>
            </w:r>
          </w:p>
          <w:p w:rsidR="00891AA9" w:rsidRPr="008774DE" w:rsidRDefault="00891AA9" w:rsidP="00BC6715">
            <w:pPr>
              <w:pStyle w:val="Odlomakpopisa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mali broj adresata</w:t>
            </w:r>
          </w:p>
          <w:p w:rsidR="00891AA9" w:rsidRPr="008774DE" w:rsidRDefault="00891AA9" w:rsidP="00BC6715">
            <w:pPr>
              <w:pStyle w:val="Odlomakpopisa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veliki broj adresata</w:t>
            </w:r>
          </w:p>
          <w:p w:rsidR="00891AA9" w:rsidRPr="008774DE" w:rsidRDefault="00891AA9" w:rsidP="00BC6715">
            <w:pPr>
              <w:pStyle w:val="Odlomakpopisa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mali izravni učinak i veliki broj adresata.</w:t>
            </w:r>
          </w:p>
          <w:p w:rsidR="00891AA9" w:rsidRPr="008774DE" w:rsidRDefault="00891AA9" w:rsidP="00BC6715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891AA9" w:rsidRPr="0077506C" w:rsidTr="00BC6715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891AA9" w:rsidRPr="0077506C" w:rsidTr="00BC6715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891AA9" w:rsidRPr="0077506C" w:rsidTr="00BC6715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891AA9" w:rsidRPr="0077506C" w:rsidTr="00BC6715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891AA9" w:rsidRPr="0077506C" w:rsidTr="00BC6715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UTVRĐIVANJE UČINAKA NA ZAŠTITU OKOLIŠA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Mjerilo učinka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Veliki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Da/Ne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proofErr w:type="spellStart"/>
            <w:r w:rsidRPr="008774DE">
              <w:rPr>
                <w:szCs w:val="24"/>
              </w:rPr>
              <w:t>Bioraznolikost</w:t>
            </w:r>
            <w:proofErr w:type="spellEnd"/>
            <w:r w:rsidRPr="008774DE">
              <w:rPr>
                <w:szCs w:val="24"/>
              </w:rPr>
              <w:t xml:space="preserve"> biljnog i životinjskog svijeta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lastRenderedPageBreak/>
              <w:t>5.5.8.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Drugi očekivani izravni učinak:</w:t>
            </w:r>
          </w:p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985ACB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Obrazloženje za analizu utvrđivanja izravnih učinaka od 5.5.1. do 5.5.10.:</w:t>
            </w:r>
          </w:p>
          <w:p w:rsidR="00891AA9" w:rsidRPr="00B60172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rStyle w:val="pt-zadanifontodlomka-000003"/>
                <w:szCs w:val="24"/>
              </w:rPr>
              <w:t>S obzirom na predmet propisa, nema detektiranih učinaka na okoliš.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B60172" w:rsidRDefault="00891AA9" w:rsidP="00BC6715">
            <w:pPr>
              <w:shd w:val="clear" w:color="auto" w:fill="FFFFFF"/>
              <w:rPr>
                <w:szCs w:val="24"/>
              </w:rPr>
            </w:pPr>
            <w:r w:rsidRPr="00B60172">
              <w:rPr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Drugi utvrđeni adresati:</w:t>
            </w:r>
          </w:p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Obrazloženje za analizu utvrđivanja adresata od 5.5.12. do 5.5.22.</w:t>
            </w:r>
          </w:p>
          <w:p w:rsidR="00891AA9" w:rsidRPr="00B60172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rStyle w:val="pt-zadanifontodlomka-000003"/>
                <w:szCs w:val="24"/>
              </w:rPr>
              <w:t>Nema detektiranih adresata u oblasti zaštite okoliša.</w:t>
            </w:r>
          </w:p>
        </w:tc>
      </w:tr>
      <w:tr w:rsidR="00891AA9" w:rsidRPr="0077506C" w:rsidTr="00BC6715">
        <w:trPr>
          <w:trHeight w:val="3418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5.5.24.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REZULTAT PRETHODNE PROCJENE UČINAKA NA ZAŠTITU OKOLIŠA:</w:t>
            </w:r>
          </w:p>
          <w:p w:rsidR="00891AA9" w:rsidRPr="008774DE" w:rsidRDefault="00891AA9" w:rsidP="00BC6715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 xml:space="preserve">Da li je utvrđena barem jedna kombinacija: </w:t>
            </w:r>
          </w:p>
          <w:p w:rsidR="00891AA9" w:rsidRPr="008774DE" w:rsidRDefault="00891AA9" w:rsidP="00BC6715">
            <w:pPr>
              <w:pStyle w:val="Odlomakpopisa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mali broj adresata</w:t>
            </w:r>
          </w:p>
          <w:p w:rsidR="00891AA9" w:rsidRPr="008774DE" w:rsidRDefault="00891AA9" w:rsidP="00BC6715">
            <w:pPr>
              <w:pStyle w:val="Odlomakpopisa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veliki broj adresata</w:t>
            </w:r>
          </w:p>
          <w:p w:rsidR="00891AA9" w:rsidRPr="008774DE" w:rsidRDefault="00891AA9" w:rsidP="00BC6715">
            <w:pPr>
              <w:pStyle w:val="Odlomakpopisa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mali izravni učinak i veliki broj adresata.</w:t>
            </w:r>
          </w:p>
          <w:p w:rsidR="00891AA9" w:rsidRPr="008774DE" w:rsidRDefault="00891AA9" w:rsidP="00BC6715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891AA9" w:rsidRPr="0077506C" w:rsidTr="00BC6715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891AA9" w:rsidRPr="0077506C" w:rsidTr="00BC6715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891AA9" w:rsidRPr="0077506C" w:rsidTr="00BC6715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891AA9" w:rsidRPr="0077506C" w:rsidTr="00BC6715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891AA9" w:rsidRPr="0077506C" w:rsidTr="00BC6715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UTVRĐIVANJE UČINAKA NA ZAŠTITU LJUDSKIH PRAVA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Mjerilo učinka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Veliki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Da/Ne</w:t>
            </w:r>
          </w:p>
        </w:tc>
      </w:tr>
      <w:tr w:rsidR="00891AA9" w:rsidRPr="0077506C" w:rsidTr="00BC6715">
        <w:trPr>
          <w:trHeight w:val="943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701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lastRenderedPageBreak/>
              <w:t>5.6.2.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Obrazloženje za analizu utvrđivanja izravnih učinaka od 5.6.1. do 5.6.9.:</w:t>
            </w:r>
          </w:p>
          <w:p w:rsidR="00891AA9" w:rsidRPr="000D4A0D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0D4A0D">
              <w:rPr>
                <w:rStyle w:val="pt-zadanifontodlomka-000003"/>
                <w:szCs w:val="24"/>
              </w:rPr>
              <w:t>S obzirom na materiju koja se uređuje propisom, ne očekuju se izravni učinci na ljudska prava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 xml:space="preserve">Srednji i </w:t>
            </w:r>
            <w:proofErr w:type="spellStart"/>
            <w:r w:rsidRPr="008774DE">
              <w:rPr>
                <w:szCs w:val="24"/>
              </w:rPr>
              <w:t>velikii</w:t>
            </w:r>
            <w:proofErr w:type="spellEnd"/>
            <w:r w:rsidRPr="008774DE">
              <w:rPr>
                <w:szCs w:val="24"/>
              </w:rPr>
              <w:t xml:space="preserve"> poduzetnici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5.6.21.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Drugi utvrđeni adresati:</w:t>
            </w:r>
          </w:p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B60172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Obrazloženje za analizu utvrđivanja adresata od 5.6.12. do 5.6.23.</w:t>
            </w:r>
          </w:p>
          <w:p w:rsidR="00891AA9" w:rsidRPr="00DE5D1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DE5D1E">
              <w:rPr>
                <w:rStyle w:val="pt-zadanifontodlomka-000003"/>
                <w:szCs w:val="24"/>
              </w:rPr>
              <w:t>S obzirom da propis nema učinaka na ljudska prava, nema ni detektiranih adresata prava u istom području.</w:t>
            </w:r>
          </w:p>
        </w:tc>
      </w:tr>
      <w:tr w:rsidR="00891AA9" w:rsidRPr="0077506C" w:rsidTr="00BC6715">
        <w:trPr>
          <w:trHeight w:val="3642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lastRenderedPageBreak/>
              <w:t>5.6.24.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REZULTAT PRETHODNE PROCJENE UČINAKA NA ZAŠTITU LJUDSKIH PRAVA:</w:t>
            </w:r>
          </w:p>
          <w:p w:rsidR="00891AA9" w:rsidRPr="008774DE" w:rsidRDefault="00891AA9" w:rsidP="00BC6715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 xml:space="preserve">Da li je utvrđena barem jedna kombinacija: </w:t>
            </w:r>
          </w:p>
          <w:p w:rsidR="00891AA9" w:rsidRPr="008774DE" w:rsidRDefault="00891AA9" w:rsidP="00BC6715">
            <w:pPr>
              <w:pStyle w:val="Odlomakpopisa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mali broj adresata</w:t>
            </w:r>
          </w:p>
          <w:p w:rsidR="00891AA9" w:rsidRPr="008774DE" w:rsidRDefault="00891AA9" w:rsidP="00BC6715">
            <w:pPr>
              <w:pStyle w:val="Odlomakpopisa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veliki broj adresata</w:t>
            </w:r>
          </w:p>
          <w:p w:rsidR="00891AA9" w:rsidRPr="008774DE" w:rsidRDefault="00891AA9" w:rsidP="00BC6715">
            <w:pPr>
              <w:pStyle w:val="Odlomakpopisa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mali izravni učinak i veliki broj adresata.</w:t>
            </w:r>
          </w:p>
          <w:p w:rsidR="00891AA9" w:rsidRPr="008774DE" w:rsidRDefault="00891AA9" w:rsidP="00BC6715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891AA9" w:rsidRPr="0077506C" w:rsidTr="00BC6715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891AA9" w:rsidRPr="0077506C" w:rsidTr="00BC6715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891AA9" w:rsidRPr="0077506C" w:rsidTr="00BC6715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891AA9" w:rsidRPr="0077506C" w:rsidTr="00BC6715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891AA9" w:rsidRPr="0077506C" w:rsidTr="00BC6715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91AA9" w:rsidRPr="0077506C" w:rsidRDefault="00891AA9" w:rsidP="00BC6715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891AA9" w:rsidRPr="00862325" w:rsidRDefault="00891AA9" w:rsidP="00BC6715">
            <w:pPr>
              <w:pStyle w:val="Naslov2"/>
            </w:pPr>
            <w:r w:rsidRPr="00862325">
              <w:t>6.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Prethodni test malog i srednjeg poduzetništva (Prethodni MSP test)</w:t>
            </w:r>
          </w:p>
          <w:p w:rsidR="00891AA9" w:rsidRPr="008774DE" w:rsidRDefault="00891AA9" w:rsidP="00BC6715">
            <w:pPr>
              <w:shd w:val="clear" w:color="auto" w:fill="FFFFFF"/>
              <w:jc w:val="both"/>
              <w:rPr>
                <w:b/>
                <w:szCs w:val="24"/>
              </w:rPr>
            </w:pPr>
            <w:r w:rsidRPr="008774DE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szCs w:val="24"/>
              </w:rPr>
            </w:pPr>
            <w:r w:rsidRPr="008774DE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 xml:space="preserve">Obrazloženje: </w:t>
            </w:r>
          </w:p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szCs w:val="24"/>
              </w:rPr>
            </w:pPr>
            <w:r w:rsidRPr="008774DE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Obrazloženje:</w:t>
            </w:r>
          </w:p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Obrazloženje:</w:t>
            </w:r>
          </w:p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Obrazloženje:</w:t>
            </w:r>
          </w:p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6.5.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891AA9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Obrazloženje:</w:t>
            </w:r>
          </w:p>
          <w:p w:rsidR="00891AA9" w:rsidRPr="00EA1081" w:rsidRDefault="00891AA9" w:rsidP="00BC6715">
            <w:pPr>
              <w:shd w:val="clear" w:color="auto" w:fill="FFFFFF"/>
              <w:rPr>
                <w:szCs w:val="24"/>
              </w:rPr>
            </w:pPr>
            <w:r w:rsidRPr="00EA1081">
              <w:rPr>
                <w:rStyle w:val="pt-zadanifontodlomka-000003"/>
                <w:szCs w:val="24"/>
              </w:rPr>
              <w:t>S obzirom na materiju propisa, nema učinka na  malo i srednje poduzetništvo.</w:t>
            </w:r>
          </w:p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62325" w:rsidRDefault="00891AA9" w:rsidP="00BC6715">
            <w:pPr>
              <w:pStyle w:val="Naslov2"/>
            </w:pPr>
            <w:r w:rsidRPr="00862325">
              <w:t>7.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Utvrđivanje potrebe za provođenjem SCM metodologije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i/>
                <w:szCs w:val="24"/>
              </w:rPr>
            </w:pPr>
            <w:r w:rsidRPr="008774DE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8774DE">
              <w:rPr>
                <w:rFonts w:eastAsia="Times New Roman"/>
                <w:i/>
                <w:szCs w:val="24"/>
              </w:rPr>
              <w:t>Cost</w:t>
            </w:r>
            <w:proofErr w:type="spellEnd"/>
            <w:r w:rsidRPr="008774DE">
              <w:rPr>
                <w:rFonts w:eastAsia="Times New Roman"/>
                <w:i/>
                <w:szCs w:val="24"/>
              </w:rPr>
              <w:t xml:space="preserve"> Model (SCM) </w:t>
            </w:r>
            <w:r w:rsidRPr="008774DE">
              <w:rPr>
                <w:rFonts w:eastAsia="Times New Roman"/>
                <w:i/>
                <w:szCs w:val="24"/>
              </w:rPr>
              <w:lastRenderedPageBreak/>
              <w:t xml:space="preserve">tablicu s procjenom mogućeg administrativnog troška za svaku propisanu obvezu i zahtjev (SCM kalkulator). </w:t>
            </w:r>
          </w:p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i/>
                <w:szCs w:val="24"/>
              </w:rPr>
            </w:pPr>
            <w:r w:rsidRPr="008774DE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i/>
                <w:szCs w:val="24"/>
              </w:rPr>
            </w:pPr>
            <w:r w:rsidRPr="008774DE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5" w:history="1">
              <w:r w:rsidRPr="008774DE">
                <w:rPr>
                  <w:rStyle w:val="Hiperveza"/>
                  <w:szCs w:val="24"/>
                </w:rPr>
                <w:t>http://www.mingo.hr/page/standard-cost-model</w:t>
              </w:r>
            </w:hyperlink>
          </w:p>
          <w:p w:rsidR="00891AA9" w:rsidRPr="008774DE" w:rsidRDefault="00891AA9" w:rsidP="00BC6715">
            <w:pPr>
              <w:shd w:val="clear" w:color="auto" w:fill="FFFFFF"/>
              <w:rPr>
                <w:b/>
                <w:szCs w:val="24"/>
              </w:rPr>
            </w:pP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62325" w:rsidRDefault="00891AA9" w:rsidP="00BC6715">
            <w:pPr>
              <w:pStyle w:val="Naslov2"/>
            </w:pPr>
            <w:r w:rsidRPr="00862325">
              <w:lastRenderedPageBreak/>
              <w:t>8.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b/>
                <w:szCs w:val="24"/>
              </w:rPr>
            </w:pPr>
            <w:r w:rsidRPr="008774DE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b/>
                <w:szCs w:val="24"/>
              </w:rPr>
            </w:pPr>
            <w:r w:rsidRPr="008774DE">
              <w:rPr>
                <w:rFonts w:eastAsia="Times New Roman"/>
                <w:i/>
                <w:szCs w:val="24"/>
              </w:rPr>
              <w:t>Ako</w:t>
            </w:r>
            <w:r w:rsidRPr="008774DE">
              <w:rPr>
                <w:i/>
                <w:szCs w:val="24"/>
              </w:rPr>
              <w:t xml:space="preserve"> je utvrđena barem jedna kombinacija: </w:t>
            </w:r>
          </w:p>
          <w:p w:rsidR="00891AA9" w:rsidRPr="008774DE" w:rsidRDefault="00891AA9" w:rsidP="00BC6715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–</w:t>
            </w:r>
            <w:r w:rsidRPr="008774DE">
              <w:rPr>
                <w:i/>
                <w:szCs w:val="24"/>
              </w:rPr>
              <w:tab/>
              <w:t>veliki izravni učinak i mali broj adresata,</w:t>
            </w:r>
          </w:p>
          <w:p w:rsidR="00891AA9" w:rsidRPr="008774DE" w:rsidRDefault="00891AA9" w:rsidP="00BC6715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–</w:t>
            </w:r>
            <w:r w:rsidRPr="008774DE">
              <w:rPr>
                <w:i/>
                <w:szCs w:val="24"/>
              </w:rPr>
              <w:tab/>
              <w:t>veliki izravni učinak i veliki broj adresata,</w:t>
            </w:r>
          </w:p>
          <w:p w:rsidR="00891AA9" w:rsidRPr="008774DE" w:rsidRDefault="00891AA9" w:rsidP="00BC6715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–</w:t>
            </w:r>
            <w:r w:rsidRPr="008774DE">
              <w:rPr>
                <w:i/>
                <w:szCs w:val="24"/>
              </w:rPr>
              <w:tab/>
              <w:t>mali izravni učinak i veliki broj adresata,</w:t>
            </w:r>
          </w:p>
          <w:p w:rsidR="00891AA9" w:rsidRPr="008774DE" w:rsidRDefault="00891AA9" w:rsidP="00BC6715">
            <w:pPr>
              <w:shd w:val="clear" w:color="auto" w:fill="FFFFFF"/>
              <w:jc w:val="both"/>
              <w:rPr>
                <w:i/>
                <w:szCs w:val="24"/>
              </w:rPr>
            </w:pPr>
          </w:p>
          <w:p w:rsidR="00891AA9" w:rsidRPr="008774DE" w:rsidRDefault="00891AA9" w:rsidP="00BC6715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b/>
                <w:szCs w:val="24"/>
              </w:rPr>
            </w:pPr>
            <w:r w:rsidRPr="008774DE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8774DE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b/>
                <w:szCs w:val="24"/>
              </w:rPr>
            </w:pPr>
            <w:r w:rsidRPr="008774DE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Potreba za PUP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b/>
                <w:szCs w:val="24"/>
              </w:rPr>
            </w:pPr>
            <w:r w:rsidRPr="008774DE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Potreba za MSP test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NE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62325" w:rsidRDefault="00891AA9" w:rsidP="00BC6715">
            <w:pPr>
              <w:pStyle w:val="Naslov2"/>
            </w:pPr>
            <w:r w:rsidRPr="00862325">
              <w:t>9.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b/>
                <w:szCs w:val="24"/>
              </w:rPr>
            </w:pPr>
            <w:r w:rsidRPr="008774DE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b/>
                <w:szCs w:val="24"/>
              </w:rPr>
            </w:pPr>
            <w:r w:rsidRPr="008774DE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0D2953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0D2953">
              <w:rPr>
                <w:rFonts w:eastAsia="Times New Roman"/>
                <w:szCs w:val="24"/>
              </w:rPr>
              <w:t>Potpis: Potpredsjednik Vlade Republike Hrvatske</w:t>
            </w:r>
          </w:p>
          <w:p w:rsidR="00891AA9" w:rsidRPr="000D2953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0D2953">
              <w:rPr>
                <w:rFonts w:eastAsia="Times New Roman"/>
                <w:szCs w:val="24"/>
              </w:rPr>
              <w:t xml:space="preserve">                      i ministar poljoprivrede </w:t>
            </w:r>
          </w:p>
          <w:p w:rsidR="00891AA9" w:rsidRPr="000D2953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0D2953">
              <w:rPr>
                <w:rFonts w:eastAsia="Times New Roman"/>
                <w:szCs w:val="24"/>
              </w:rPr>
              <w:t xml:space="preserve">                   Tomislav </w:t>
            </w:r>
            <w:proofErr w:type="spellStart"/>
            <w:r w:rsidRPr="000D2953">
              <w:rPr>
                <w:rFonts w:eastAsia="Times New Roman"/>
                <w:szCs w:val="24"/>
              </w:rPr>
              <w:t>Tolušić</w:t>
            </w:r>
            <w:proofErr w:type="spellEnd"/>
            <w:r w:rsidRPr="000D2953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0D2953">
              <w:rPr>
                <w:rFonts w:eastAsia="Times New Roman"/>
                <w:szCs w:val="24"/>
              </w:rPr>
              <w:t>dipl.iur</w:t>
            </w:r>
            <w:proofErr w:type="spellEnd"/>
            <w:r w:rsidRPr="000D2953">
              <w:rPr>
                <w:rFonts w:eastAsia="Times New Roman"/>
                <w:szCs w:val="24"/>
              </w:rPr>
              <w:t>.</w:t>
            </w:r>
          </w:p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0D2953">
              <w:rPr>
                <w:rFonts w:eastAsia="Times New Roman"/>
                <w:szCs w:val="24"/>
              </w:rPr>
              <w:t>Datum: 12. rujna 2018.</w:t>
            </w:r>
          </w:p>
        </w:tc>
      </w:tr>
      <w:tr w:rsidR="00891AA9" w:rsidRPr="0077506C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8774DE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891AA9" w:rsidRPr="0097347E" w:rsidTr="00BC6715">
        <w:trPr>
          <w:trHeight w:val="284"/>
        </w:trPr>
        <w:tc>
          <w:tcPr>
            <w:tcW w:w="993" w:type="dxa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891AA9" w:rsidRPr="008774DE" w:rsidRDefault="00891AA9" w:rsidP="00BC6715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Uputa:</w:t>
            </w:r>
          </w:p>
          <w:p w:rsidR="00891AA9" w:rsidRPr="008774DE" w:rsidRDefault="00891AA9" w:rsidP="00BC6715">
            <w:pPr>
              <w:pStyle w:val="Odlomakpopisa"/>
              <w:numPr>
                <w:ilvl w:val="0"/>
                <w:numId w:val="39"/>
              </w:numPr>
              <w:shd w:val="clear" w:color="auto" w:fill="FFFFFF"/>
              <w:jc w:val="both"/>
              <w:rPr>
                <w:rFonts w:eastAsia="Times New Roman"/>
                <w:i/>
                <w:szCs w:val="24"/>
              </w:rPr>
            </w:pPr>
            <w:r w:rsidRPr="008774DE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891AA9" w:rsidRDefault="00891AA9" w:rsidP="00891AA9">
      <w:pPr>
        <w:shd w:val="clear" w:color="auto" w:fill="FFFFFF"/>
      </w:pPr>
    </w:p>
    <w:p w:rsidR="00EF312C" w:rsidRDefault="00891AA9">
      <w:bookmarkStart w:id="0" w:name="_GoBack"/>
      <w:bookmarkEnd w:id="0"/>
    </w:p>
    <w:sectPr w:rsidR="00EF312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06C" w:rsidRDefault="00891AA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:rsidR="0077506C" w:rsidRDefault="00891AA9">
    <w:pPr>
      <w:pStyle w:val="Podnoje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50E79F0"/>
    <w:multiLevelType w:val="hybridMultilevel"/>
    <w:tmpl w:val="FE2C81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"/>
  </w:num>
  <w:num w:numId="3">
    <w:abstractNumId w:val="35"/>
  </w:num>
  <w:num w:numId="4">
    <w:abstractNumId w:val="4"/>
  </w:num>
  <w:num w:numId="5">
    <w:abstractNumId w:val="16"/>
  </w:num>
  <w:num w:numId="6">
    <w:abstractNumId w:val="13"/>
  </w:num>
  <w:num w:numId="7">
    <w:abstractNumId w:val="12"/>
  </w:num>
  <w:num w:numId="8">
    <w:abstractNumId w:val="25"/>
  </w:num>
  <w:num w:numId="9">
    <w:abstractNumId w:val="30"/>
  </w:num>
  <w:num w:numId="10">
    <w:abstractNumId w:val="27"/>
  </w:num>
  <w:num w:numId="11">
    <w:abstractNumId w:val="28"/>
  </w:num>
  <w:num w:numId="12">
    <w:abstractNumId w:val="24"/>
  </w:num>
  <w:num w:numId="13">
    <w:abstractNumId w:val="1"/>
  </w:num>
  <w:num w:numId="14">
    <w:abstractNumId w:val="11"/>
  </w:num>
  <w:num w:numId="15">
    <w:abstractNumId w:val="20"/>
  </w:num>
  <w:num w:numId="16">
    <w:abstractNumId w:val="8"/>
  </w:num>
  <w:num w:numId="17">
    <w:abstractNumId w:val="9"/>
  </w:num>
  <w:num w:numId="18">
    <w:abstractNumId w:val="39"/>
  </w:num>
  <w:num w:numId="19">
    <w:abstractNumId w:val="10"/>
  </w:num>
  <w:num w:numId="20">
    <w:abstractNumId w:val="31"/>
  </w:num>
  <w:num w:numId="21">
    <w:abstractNumId w:val="43"/>
  </w:num>
  <w:num w:numId="22">
    <w:abstractNumId w:val="37"/>
  </w:num>
  <w:num w:numId="23">
    <w:abstractNumId w:val="6"/>
  </w:num>
  <w:num w:numId="24">
    <w:abstractNumId w:val="17"/>
  </w:num>
  <w:num w:numId="25">
    <w:abstractNumId w:val="32"/>
  </w:num>
  <w:num w:numId="26">
    <w:abstractNumId w:val="36"/>
  </w:num>
  <w:num w:numId="27">
    <w:abstractNumId w:val="33"/>
  </w:num>
  <w:num w:numId="28">
    <w:abstractNumId w:val="34"/>
  </w:num>
  <w:num w:numId="29">
    <w:abstractNumId w:val="26"/>
  </w:num>
  <w:num w:numId="30">
    <w:abstractNumId w:val="21"/>
  </w:num>
  <w:num w:numId="31">
    <w:abstractNumId w:val="29"/>
  </w:num>
  <w:num w:numId="32">
    <w:abstractNumId w:val="7"/>
  </w:num>
  <w:num w:numId="33">
    <w:abstractNumId w:val="23"/>
  </w:num>
  <w:num w:numId="34">
    <w:abstractNumId w:val="14"/>
  </w:num>
  <w:num w:numId="35">
    <w:abstractNumId w:val="19"/>
  </w:num>
  <w:num w:numId="36">
    <w:abstractNumId w:val="0"/>
  </w:num>
  <w:num w:numId="37">
    <w:abstractNumId w:val="22"/>
  </w:num>
  <w:num w:numId="38">
    <w:abstractNumId w:val="2"/>
  </w:num>
  <w:num w:numId="39">
    <w:abstractNumId w:val="18"/>
  </w:num>
  <w:num w:numId="40">
    <w:abstractNumId w:val="15"/>
  </w:num>
  <w:num w:numId="41">
    <w:abstractNumId w:val="41"/>
  </w:num>
  <w:num w:numId="42">
    <w:abstractNumId w:val="40"/>
  </w:num>
  <w:num w:numId="43">
    <w:abstractNumId w:val="3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0D"/>
    <w:rsid w:val="00333763"/>
    <w:rsid w:val="0053080D"/>
    <w:rsid w:val="007165DC"/>
    <w:rsid w:val="0089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4BF23-E24D-480F-98D7-ECECC714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AA9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91AA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91AA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1AA9"/>
    <w:rPr>
      <w:rFonts w:ascii="Calibri Light" w:eastAsia="Times New Roman" w:hAnsi="Calibri Light" w:cs="Times New Roman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891AA9"/>
    <w:rPr>
      <w:rFonts w:ascii="Calibri Light" w:eastAsia="Times New Roman" w:hAnsi="Calibri Light" w:cs="Times New Roman"/>
      <w:b/>
      <w:bCs/>
      <w:i/>
      <w:iCs/>
      <w:sz w:val="28"/>
      <w:szCs w:val="28"/>
      <w:lang w:eastAsia="hr-HR"/>
    </w:rPr>
  </w:style>
  <w:style w:type="paragraph" w:customStyle="1" w:styleId="tb-na18">
    <w:name w:val="tb-na18"/>
    <w:basedOn w:val="Normal"/>
    <w:rsid w:val="00891AA9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891AA9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891AA9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891AA9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891AA9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891AA9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891AA9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891AA9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891AA9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891AA9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891AA9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891AA9"/>
  </w:style>
  <w:style w:type="paragraph" w:customStyle="1" w:styleId="prilog">
    <w:name w:val="prilog"/>
    <w:basedOn w:val="Normal"/>
    <w:rsid w:val="00891AA9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891AA9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891AA9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891AA9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891AA9"/>
  </w:style>
  <w:style w:type="paragraph" w:styleId="Odlomakpopisa">
    <w:name w:val="List Paragraph"/>
    <w:basedOn w:val="Normal"/>
    <w:uiPriority w:val="34"/>
    <w:qFormat/>
    <w:rsid w:val="00891AA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91AA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91AA9"/>
    <w:rPr>
      <w:rFonts w:ascii="Times New Roman" w:eastAsia="Calibri" w:hAnsi="Times New Roman" w:cs="Times New Roman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91AA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91AA9"/>
    <w:rPr>
      <w:rFonts w:ascii="Times New Roman" w:eastAsia="Calibri" w:hAnsi="Times New Roman" w:cs="Times New Roman"/>
      <w:sz w:val="24"/>
      <w:lang w:eastAsia="hr-HR"/>
    </w:rPr>
  </w:style>
  <w:style w:type="table" w:styleId="Reetkatablice">
    <w:name w:val="Table Grid"/>
    <w:basedOn w:val="Obinatablica"/>
    <w:uiPriority w:val="39"/>
    <w:rsid w:val="00891A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891AA9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1AA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1AA9"/>
    <w:rPr>
      <w:rFonts w:ascii="Segoe UI" w:eastAsia="Calibri" w:hAnsi="Segoe UI" w:cs="Segoe UI"/>
      <w:sz w:val="18"/>
      <w:szCs w:val="18"/>
      <w:lang w:eastAsia="hr-HR"/>
    </w:rPr>
  </w:style>
  <w:style w:type="character" w:styleId="Hiperveza">
    <w:name w:val="Hyperlink"/>
    <w:uiPriority w:val="99"/>
    <w:semiHidden/>
    <w:unhideWhenUsed/>
    <w:rsid w:val="00891AA9"/>
    <w:rPr>
      <w:color w:val="0000FF"/>
      <w:u w:val="single"/>
    </w:rPr>
  </w:style>
  <w:style w:type="character" w:customStyle="1" w:styleId="pt-zadanifontodlomka-000003">
    <w:name w:val="pt-zadanifontodlomka-000003"/>
    <w:rsid w:val="00891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mingo.hr/page/standard-cost-mod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3400</Words>
  <Characters>19380</Characters>
  <Application>Microsoft Office Word</Application>
  <DocSecurity>0</DocSecurity>
  <Lines>161</Lines>
  <Paragraphs>45</Paragraphs>
  <ScaleCrop>false</ScaleCrop>
  <Company/>
  <LinksUpToDate>false</LinksUpToDate>
  <CharactersWithSpaces>22735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Kraml</dc:creator>
  <cp:keywords/>
  <dc:description/>
  <cp:lastModifiedBy>Snježana Kraml</cp:lastModifiedBy>
  <cp:revision>2</cp:revision>
  <dcterms:created xsi:type="dcterms:W3CDTF">2018-09-13T14:35:00Z</dcterms:created>
  <dcterms:modified xsi:type="dcterms:W3CDTF">2018-09-13T14:37:00Z</dcterms:modified>
</cp:coreProperties>
</file>