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B9" w:rsidRDefault="00CF3428" w:rsidP="00744493">
      <w:pPr>
        <w:pStyle w:val="Naslov1"/>
      </w:pPr>
      <w:r>
        <w:t>PRIJEDLOG PLANA ZAKONODAVNIH AKTIVNOSTI ZA 2019. GODINU I OBRASCI PRETHODNE PROCJENE</w:t>
      </w:r>
    </w:p>
    <w:p w:rsidR="00B45A81" w:rsidRDefault="00B45A81"/>
    <w:p w:rsidR="00603832" w:rsidRDefault="00603832" w:rsidP="0012585F">
      <w:pPr>
        <w:pStyle w:val="Naslov2"/>
      </w:pPr>
      <w:r>
        <w:t>PRIJEDLOG PLANA ZAKONODAVNIH AKTIVNOSTI</w:t>
      </w:r>
    </w:p>
    <w:p w:rsidR="00E7793B" w:rsidRPr="00E7793B" w:rsidRDefault="00E7793B" w:rsidP="00E7793B">
      <w:bookmarkStart w:id="0" w:name="_GoBack"/>
      <w:bookmarkEnd w:id="0"/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B45A81" w:rsidRPr="003F270C" w:rsidTr="00505B04">
        <w:tc>
          <w:tcPr>
            <w:tcW w:w="9923" w:type="dxa"/>
            <w:gridSpan w:val="4"/>
            <w:shd w:val="clear" w:color="auto" w:fill="FFFFFF" w:themeFill="background1"/>
          </w:tcPr>
          <w:p w:rsidR="00B45A81" w:rsidRPr="003F270C" w:rsidRDefault="00B45A81" w:rsidP="00505B04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>PRILOG 2.</w:t>
            </w:r>
          </w:p>
          <w:p w:rsidR="00B45A81" w:rsidRPr="003F270C" w:rsidRDefault="00B45A81" w:rsidP="00505B04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OBRAZAC PRIJEDLOGA PLANA ZAKONODAVNIH AKTIVNOSTI </w:t>
            </w:r>
          </w:p>
          <w:p w:rsidR="00B45A81" w:rsidRPr="003F270C" w:rsidRDefault="00B45A81" w:rsidP="00505B0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ZA 2019. </w:t>
            </w:r>
            <w:r w:rsidRPr="003F270C">
              <w:rPr>
                <w:b/>
                <w:szCs w:val="24"/>
              </w:rPr>
              <w:t>GODINU</w:t>
            </w:r>
          </w:p>
          <w:p w:rsidR="00B45A81" w:rsidRPr="003F270C" w:rsidRDefault="00B45A81" w:rsidP="00505B04">
            <w:pPr>
              <w:jc w:val="center"/>
              <w:rPr>
                <w:b/>
                <w:szCs w:val="24"/>
              </w:rPr>
            </w:pPr>
          </w:p>
        </w:tc>
      </w:tr>
      <w:tr w:rsidR="00B45A81" w:rsidRPr="003F270C" w:rsidTr="00505B04">
        <w:tc>
          <w:tcPr>
            <w:tcW w:w="2127" w:type="dxa"/>
            <w:gridSpan w:val="2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>
              <w:rPr>
                <w:szCs w:val="24"/>
              </w:rPr>
              <w:t>MINISTARSTVO ZAŠTITE OKOLIŠA I ENERGETIKE</w:t>
            </w:r>
          </w:p>
        </w:tc>
      </w:tr>
      <w:tr w:rsidR="00B45A81" w:rsidRPr="003F270C" w:rsidTr="00505B04">
        <w:tc>
          <w:tcPr>
            <w:tcW w:w="851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B45A81" w:rsidRPr="003F270C" w:rsidTr="00505B04">
        <w:tc>
          <w:tcPr>
            <w:tcW w:w="851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7B4691">
              <w:rPr>
                <w:szCs w:val="24"/>
              </w:rPr>
              <w:t xml:space="preserve">Zakon o </w:t>
            </w:r>
            <w:r>
              <w:rPr>
                <w:szCs w:val="24"/>
              </w:rPr>
              <w:t>zaštiti zraka</w:t>
            </w:r>
          </w:p>
        </w:tc>
        <w:tc>
          <w:tcPr>
            <w:tcW w:w="2835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>
              <w:rPr>
                <w:szCs w:val="24"/>
              </w:rPr>
              <w:t>I.</w:t>
            </w:r>
            <w:r w:rsidRPr="00F01A98">
              <w:rPr>
                <w:szCs w:val="24"/>
              </w:rPr>
              <w:t xml:space="preserve"> tromjesečje</w:t>
            </w:r>
          </w:p>
        </w:tc>
      </w:tr>
      <w:tr w:rsidR="00B45A81" w:rsidRPr="003F270C" w:rsidTr="00505B04">
        <w:tc>
          <w:tcPr>
            <w:tcW w:w="851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7B4691">
              <w:rPr>
                <w:szCs w:val="24"/>
              </w:rPr>
              <w:t>Zakon o klimatskim promjenama i zaštiti ozonskog</w:t>
            </w:r>
            <w:r>
              <w:rPr>
                <w:szCs w:val="24"/>
              </w:rPr>
              <w:t xml:space="preserve"> </w:t>
            </w:r>
            <w:r w:rsidRPr="007B4691">
              <w:rPr>
                <w:szCs w:val="24"/>
              </w:rPr>
              <w:t>sloja</w:t>
            </w:r>
            <w:r>
              <w:rPr>
                <w:szCs w:val="24"/>
              </w:rPr>
              <w:t xml:space="preserve"> (EU)</w:t>
            </w:r>
          </w:p>
        </w:tc>
        <w:tc>
          <w:tcPr>
            <w:tcW w:w="2835" w:type="dxa"/>
            <w:shd w:val="clear" w:color="auto" w:fill="auto"/>
          </w:tcPr>
          <w:p w:rsidR="00B45A81" w:rsidRPr="00F01A98" w:rsidRDefault="00B45A81" w:rsidP="00505B04">
            <w:pPr>
              <w:rPr>
                <w:szCs w:val="24"/>
              </w:rPr>
            </w:pPr>
            <w:r>
              <w:rPr>
                <w:szCs w:val="24"/>
              </w:rPr>
              <w:t>I.</w:t>
            </w:r>
            <w:r w:rsidRPr="00F01A98">
              <w:rPr>
                <w:szCs w:val="24"/>
              </w:rPr>
              <w:t xml:space="preserve"> tromjesečje</w:t>
            </w:r>
          </w:p>
        </w:tc>
      </w:tr>
      <w:tr w:rsidR="00B45A81" w:rsidRPr="003F270C" w:rsidTr="00505B04">
        <w:tc>
          <w:tcPr>
            <w:tcW w:w="851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>
              <w:rPr>
                <w:szCs w:val="24"/>
              </w:rPr>
              <w:t xml:space="preserve">Zakon o izmjenama i dopunama Zakona o sigurnosti pri </w:t>
            </w:r>
            <w:proofErr w:type="spellStart"/>
            <w:r>
              <w:rPr>
                <w:szCs w:val="24"/>
              </w:rPr>
              <w:t>odobalnom</w:t>
            </w:r>
            <w:proofErr w:type="spellEnd"/>
            <w:r>
              <w:rPr>
                <w:szCs w:val="24"/>
              </w:rPr>
              <w:t xml:space="preserve"> istraživanju i eksploataciji ugljikovodika</w:t>
            </w:r>
          </w:p>
        </w:tc>
        <w:tc>
          <w:tcPr>
            <w:tcW w:w="2835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>
              <w:rPr>
                <w:szCs w:val="24"/>
              </w:rPr>
              <w:t>IV. tromjesečje</w:t>
            </w:r>
          </w:p>
        </w:tc>
      </w:tr>
      <w:tr w:rsidR="00B45A81" w:rsidRPr="003F270C" w:rsidTr="00505B04">
        <w:tc>
          <w:tcPr>
            <w:tcW w:w="851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</w:p>
        </w:tc>
      </w:tr>
      <w:tr w:rsidR="00B45A81" w:rsidRPr="003F270C" w:rsidTr="00505B04">
        <w:tc>
          <w:tcPr>
            <w:tcW w:w="9923" w:type="dxa"/>
            <w:gridSpan w:val="4"/>
            <w:shd w:val="clear" w:color="auto" w:fill="auto"/>
          </w:tcPr>
          <w:p w:rsidR="00B45A81" w:rsidRPr="003F270C" w:rsidRDefault="00B45A81" w:rsidP="00505B04">
            <w:pPr>
              <w:jc w:val="center"/>
              <w:rPr>
                <w:szCs w:val="24"/>
              </w:rPr>
            </w:pPr>
            <w:r w:rsidRPr="003F270C">
              <w:rPr>
                <w:szCs w:val="24"/>
              </w:rPr>
              <w:t>PRIJAVA NACRTA PRIJEDLOGA ZAKONA U SLUČAJU IZNIMKI OD PROVEDBE POSTUPKA PROCJENE UČINAKA PROPISA</w:t>
            </w:r>
          </w:p>
        </w:tc>
      </w:tr>
      <w:tr w:rsidR="00B45A81" w:rsidRPr="003F270C" w:rsidTr="00505B04">
        <w:tc>
          <w:tcPr>
            <w:tcW w:w="851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</w:p>
        </w:tc>
      </w:tr>
      <w:tr w:rsidR="00B45A81" w:rsidRPr="003F270C" w:rsidTr="00505B04">
        <w:tc>
          <w:tcPr>
            <w:tcW w:w="851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</w:p>
        </w:tc>
      </w:tr>
      <w:tr w:rsidR="00B45A81" w:rsidRPr="003F270C" w:rsidTr="00505B04">
        <w:tc>
          <w:tcPr>
            <w:tcW w:w="851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</w:p>
        </w:tc>
      </w:tr>
      <w:tr w:rsidR="00B45A81" w:rsidRPr="003F270C" w:rsidTr="00505B04">
        <w:tc>
          <w:tcPr>
            <w:tcW w:w="9923" w:type="dxa"/>
            <w:gridSpan w:val="4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B45A81" w:rsidRPr="003F270C" w:rsidTr="00505B04">
        <w:tc>
          <w:tcPr>
            <w:tcW w:w="9923" w:type="dxa"/>
            <w:gridSpan w:val="4"/>
            <w:shd w:val="clear" w:color="auto" w:fill="auto"/>
          </w:tcPr>
          <w:p w:rsidR="00B45A81" w:rsidRPr="003F270C" w:rsidRDefault="00B45A81" w:rsidP="00505B04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dr.sc Tomislav Ćorić, ministar</w:t>
            </w:r>
          </w:p>
          <w:p w:rsidR="00B45A81" w:rsidRPr="003F270C" w:rsidRDefault="00B45A81" w:rsidP="00505B04">
            <w:pPr>
              <w:jc w:val="both"/>
              <w:rPr>
                <w:rFonts w:eastAsia="Times New Roman"/>
                <w:szCs w:val="24"/>
              </w:rPr>
            </w:pPr>
          </w:p>
          <w:p w:rsidR="00B45A81" w:rsidRPr="003F270C" w:rsidRDefault="00B45A81" w:rsidP="00505B04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17. listopada  2018.</w:t>
            </w:r>
          </w:p>
          <w:p w:rsidR="00B45A81" w:rsidRPr="003F270C" w:rsidRDefault="00B45A81" w:rsidP="00505B04">
            <w:pPr>
              <w:rPr>
                <w:szCs w:val="24"/>
              </w:rPr>
            </w:pPr>
          </w:p>
        </w:tc>
      </w:tr>
      <w:tr w:rsidR="00B45A81" w:rsidRPr="003F270C" w:rsidTr="00505B04">
        <w:tc>
          <w:tcPr>
            <w:tcW w:w="9923" w:type="dxa"/>
            <w:gridSpan w:val="4"/>
            <w:shd w:val="clear" w:color="auto" w:fill="auto"/>
          </w:tcPr>
          <w:p w:rsidR="00B45A81" w:rsidRPr="003F270C" w:rsidRDefault="00B45A81" w:rsidP="00505B04">
            <w:pPr>
              <w:rPr>
                <w:szCs w:val="24"/>
              </w:rPr>
            </w:pPr>
            <w:r w:rsidRPr="003F270C">
              <w:rPr>
                <w:szCs w:val="24"/>
              </w:rPr>
              <w:t>Uputa:</w:t>
            </w:r>
          </w:p>
        </w:tc>
      </w:tr>
      <w:tr w:rsidR="00B45A81" w:rsidRPr="0097347E" w:rsidTr="00505B04">
        <w:tc>
          <w:tcPr>
            <w:tcW w:w="9923" w:type="dxa"/>
            <w:gridSpan w:val="4"/>
            <w:shd w:val="clear" w:color="auto" w:fill="auto"/>
          </w:tcPr>
          <w:p w:rsidR="00B45A81" w:rsidRPr="003F270C" w:rsidRDefault="00B45A81" w:rsidP="0066139A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:rsidR="00B45A81" w:rsidRPr="003F270C" w:rsidRDefault="00B45A81" w:rsidP="0066139A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3F270C">
              <w:rPr>
                <w:b/>
                <w:i/>
                <w:szCs w:val="24"/>
              </w:rPr>
              <w:t>(PUP)</w:t>
            </w:r>
            <w:r w:rsidRPr="003F270C">
              <w:rPr>
                <w:i/>
                <w:szCs w:val="24"/>
              </w:rPr>
              <w:t>"</w:t>
            </w:r>
          </w:p>
          <w:p w:rsidR="00B45A81" w:rsidRPr="003F270C" w:rsidRDefault="00B45A81" w:rsidP="0066139A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3F270C">
              <w:rPr>
                <w:b/>
                <w:i/>
                <w:szCs w:val="24"/>
              </w:rPr>
              <w:t>(EU)</w:t>
            </w:r>
            <w:r w:rsidRPr="003F270C">
              <w:rPr>
                <w:i/>
                <w:szCs w:val="24"/>
              </w:rPr>
              <w:t>"</w:t>
            </w:r>
          </w:p>
          <w:p w:rsidR="00B45A81" w:rsidRPr="003F270C" w:rsidRDefault="00B45A81" w:rsidP="0066139A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su dio programa rada Vlade Republike Hrvatske, drugog strateškog akta ili reformske mjere potrebno je dodati oznaku "</w:t>
            </w:r>
            <w:r w:rsidRPr="003F270C">
              <w:rPr>
                <w:b/>
                <w:i/>
                <w:szCs w:val="24"/>
              </w:rPr>
              <w:t>(RM)</w:t>
            </w:r>
            <w:r w:rsidRPr="003F270C">
              <w:rPr>
                <w:i/>
                <w:szCs w:val="24"/>
              </w:rPr>
              <w:t>"</w:t>
            </w:r>
          </w:p>
          <w:p w:rsidR="00B45A81" w:rsidRPr="003F270C" w:rsidRDefault="00B45A81" w:rsidP="0066139A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:rsidR="00B45A81" w:rsidRPr="003F270C" w:rsidRDefault="00B45A81" w:rsidP="0066139A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upućivanje u proceduru Vlade Republike Hrvatske potrebno je navesti odgovarajuće tromjesečje (I, II, III, IV)</w:t>
            </w:r>
          </w:p>
        </w:tc>
      </w:tr>
    </w:tbl>
    <w:p w:rsidR="00B45A81" w:rsidRDefault="00B45A81" w:rsidP="005442C0">
      <w:pPr>
        <w:pStyle w:val="Naslov2"/>
      </w:pPr>
    </w:p>
    <w:p w:rsidR="00B45A81" w:rsidRDefault="003D4E8C" w:rsidP="005442C0">
      <w:pPr>
        <w:pStyle w:val="Naslov2"/>
      </w:pPr>
      <w:r>
        <w:t xml:space="preserve">OBRAZAC PRETHODNE PROCJENE ZA </w:t>
      </w:r>
      <w:r w:rsidR="005C4F83">
        <w:t>ZAKON O ZAŠTITI ZRAKA</w:t>
      </w:r>
    </w:p>
    <w:p w:rsidR="005C4F83" w:rsidRDefault="005C4F83"/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1697"/>
        <w:gridCol w:w="1842"/>
        <w:gridCol w:w="567"/>
        <w:gridCol w:w="993"/>
        <w:gridCol w:w="319"/>
        <w:gridCol w:w="956"/>
      </w:tblGrid>
      <w:tr w:rsidR="005C4F83" w:rsidRPr="0077506C" w:rsidTr="002839F3">
        <w:tc>
          <w:tcPr>
            <w:tcW w:w="9923" w:type="dxa"/>
            <w:gridSpan w:val="8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OBRAZAC PRETHODNE PROCJENE</w:t>
            </w: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Pr="007B4691" w:rsidRDefault="005C4F83" w:rsidP="002839F3">
            <w:pPr>
              <w:rPr>
                <w:rFonts w:eastAsiaTheme="minorEastAsia"/>
                <w:noProof/>
              </w:rPr>
            </w:pPr>
            <w:r w:rsidRPr="007B4691">
              <w:rPr>
                <w:rFonts w:eastAsiaTheme="minorEastAsia"/>
                <w:noProof/>
              </w:rPr>
              <w:t>Ministarstvo zaštite okoliša i energetike</w:t>
            </w: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Pr="007B4691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B4691">
              <w:rPr>
                <w:szCs w:val="24"/>
              </w:rPr>
              <w:t xml:space="preserve">Zakon o </w:t>
            </w:r>
            <w:r>
              <w:rPr>
                <w:szCs w:val="24"/>
              </w:rPr>
              <w:t>zaštiti zraka</w:t>
            </w: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2018.</w:t>
            </w: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Pr="00832982" w:rsidRDefault="005C4F83" w:rsidP="002839F3">
            <w:pPr>
              <w:rPr>
                <w:rFonts w:eastAsiaTheme="minorEastAsia"/>
                <w:noProof/>
              </w:rPr>
            </w:pPr>
            <w:r w:rsidRPr="00832982">
              <w:rPr>
                <w:rFonts w:eastAsiaTheme="minorEastAsia"/>
                <w:noProof/>
              </w:rPr>
              <w:t>Uprava za klimatske aktivnosti, održivi razvoj i zaštitu zraka, tla i od svjetlosnog onečišćenja</w:t>
            </w:r>
          </w:p>
          <w:p w:rsidR="005C4F83" w:rsidRPr="00832982" w:rsidRDefault="005C4F83" w:rsidP="002839F3">
            <w:pPr>
              <w:shd w:val="clear" w:color="auto" w:fill="FFFFFF" w:themeFill="background1"/>
              <w:rPr>
                <w:rFonts w:eastAsiaTheme="minorEastAsia"/>
                <w:noProof/>
              </w:rPr>
            </w:pPr>
            <w:r w:rsidRPr="00832982">
              <w:rPr>
                <w:rFonts w:eastAsiaTheme="minorEastAsia"/>
                <w:noProof/>
              </w:rPr>
              <w:t xml:space="preserve">Služba za </w:t>
            </w:r>
            <w:r>
              <w:rPr>
                <w:rFonts w:eastAsiaTheme="minorEastAsia"/>
                <w:noProof/>
              </w:rPr>
              <w:t>zaštitu zraka, tla i od svjetlosnog onečišćenja</w:t>
            </w:r>
          </w:p>
          <w:p w:rsidR="005C4F83" w:rsidRPr="008E4B81" w:rsidRDefault="005C4F83" w:rsidP="002839F3">
            <w:pPr>
              <w:shd w:val="clear" w:color="auto" w:fill="FFFFFF" w:themeFill="background1"/>
              <w:rPr>
                <w:rFonts w:eastAsiaTheme="minorEastAsia"/>
                <w:noProof/>
                <w:highlight w:val="yellow"/>
              </w:rPr>
            </w:pP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Mario Stipetić, voditelj službe </w:t>
            </w: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01/3717 204, mario.stipetic@mzoe.hr </w:t>
            </w: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Sandra Krmpotić, stručni savjetnik - specijalist</w:t>
            </w: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01/3717 237, sandra.krmpotic@mzoe.hr 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1697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1697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A02BE8">
              <w:rPr>
                <w:szCs w:val="24"/>
              </w:rPr>
              <w:t>DA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5C4F83" w:rsidRPr="00AA38DA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AA38DA">
              <w:rPr>
                <w:rFonts w:eastAsia="Times New Roman"/>
                <w:szCs w:val="24"/>
              </w:rPr>
              <w:t xml:space="preserve">Naziv pravne stečevine EU: 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 xml:space="preserve">– Direktiva 2008/50/EZ Europskog parlamenta i Vijeća o kvaliteti okolnog zraka i </w:t>
            </w:r>
            <w:proofErr w:type="spellStart"/>
            <w:r w:rsidRPr="00292750">
              <w:rPr>
                <w:b w:val="0"/>
                <w:bCs w:val="0"/>
              </w:rPr>
              <w:t>čistijem</w:t>
            </w:r>
            <w:proofErr w:type="spellEnd"/>
            <w:r w:rsidRPr="00292750">
              <w:rPr>
                <w:b w:val="0"/>
                <w:bCs w:val="0"/>
              </w:rPr>
              <w:t xml:space="preserve"> zraku za Europu (SL L 152, 11. 6. 2008.),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 xml:space="preserve">– Direktiva 2004/107/EZ Europskog parlamenta i Vijeća koja se odnosi na arsen, kadmij, živu, nikal i </w:t>
            </w:r>
            <w:proofErr w:type="spellStart"/>
            <w:r w:rsidRPr="00292750">
              <w:rPr>
                <w:b w:val="0"/>
                <w:bCs w:val="0"/>
              </w:rPr>
              <w:t>policikličke</w:t>
            </w:r>
            <w:proofErr w:type="spellEnd"/>
            <w:r w:rsidRPr="00292750">
              <w:rPr>
                <w:b w:val="0"/>
                <w:bCs w:val="0"/>
              </w:rPr>
              <w:t xml:space="preserve"> aromatske ugljikovodike u vanjskom zraku (SL L 23, 26. 1. 2005.),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Vijeća 2001/81/EZ Europskog parlamenta i Vijeća o nacionalnim vršnim emisijama za određene (pojedine) onečišćujuće tvari (SL L 309, 27. 11. 2001.),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2009/30/EZ Europskog parlamenta i Vijeća o izmjenama i dopunama Direktive 98/70/EZ u pogledu specifikacije benzina i dizelskih goriva i plinskog ulja i uvođenju mehanizma praćenja i smanjenja emisija stakleničkih plinova i izmjenama i dopunama Direktive Vijeća 1999/32/EZ u pogledu specifikacije goriva koje koriste plovila za unutarnju plovidbu i ukidanju Direktive 93/12/EEZ (SL L 140, 5. 6. 2009.),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lastRenderedPageBreak/>
              <w:t>– Direktiva Vijeća 87/217/EEZ od 19. ožujka 1987. o sprječavanju i smanjenju onečišćenja okoliša azbestom (SL L 85, 28. 3. 1987.),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Vijeća 91/692/EEZ od 23. prosinca 1991. o standardiziranju i racionaliziranju izvještaja o provedbi određenih direktiva koje se odnose na okoliš (SL L 377, 31. 12. 1991.),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98/70/EZ Europskog parlamenta i Vijeća od 13. listopada 1998. o kakvoći benzinskih i dizelskih goriva i izmjeni Direktive Vijeća 93/12/EEZ (SL L 350, 28. 12. 1998.),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Vijeća 1999/32/EZ od 26. travnja 1999. o smanjenju sadržaja sumpora u određenim tekućim gorivima i o izmjeni Direktive 93/12/EEZ (SL L 121, 11. 5. 1999.),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2001/80/EZ Europskog parlamenta i Vijeća od 23. listopada 2001. o ograničenju emisija određenih onečišćujućih tvari u zrak iz velikih uređaja za loženje (SL L 309, 27. 11. 2001.),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2003/17/EZ Europskog parlamenta i Vijeća od 3. ožujka 2003. o izmjeni Direktive 98/70/EZ o kakvoći benzina i dizelskih goriva (Tekst značajan za EGP) (SL L 76, 22. 3. 2003.),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2004/42/EZ Europskog parlamenta i Vijeća od 21. travnja 2004. o ograničavanju emisija hlapivih organskih spojeva nastalih upotrebom organskih otapala u određenim bojama i lakovima i proizvodima za završnu obradu vozila, te o izmjeni Direktive 1999/13/EZ (SL L 143, 30. 4. 2004.),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2008/112/EZ Europskog parlamenta i Vijeća od 16. prosinca 2008. o izmjeni direktiva Vijeća 76/768/EEZ, 88/378/EEZ, 1999/13/EZ i direktiva 2000/53/EZ, 2002/96/EZ i 2004/42/EZ Europskog parlamenta i Vijeća radi njihove prilagodbe Uredbi (EZ) br. 1272/2008 o razvrstavanju, označivanju i pakiranju tvari i smjesa (Tekst značajan za EGP) (SL L 345, 23. 12. 2008.),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lastRenderedPageBreak/>
              <w:t>– Direktiva 2010/75/EU Europskog parlamenta i Vijeća od 24. studenoga 2010. o industrijskim emisijama (integrirano sprječavanje i kontrola onečišćenja) (preinačeno) (Tekst značajan za EGP) (SL L 334, 17. 12. 2010.),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Komisije 2010/79/EU od 19. studenoga 2010. o prilagodbi tehničkom napretku Priloga III. Direktivi 2004/42/EZ Europskog parlamenta i Vijeća o ograničavanju emisija hlapivih organskih spojeva (SL L 304, 20. 11. 2010.),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2012/33/EU Europskog parlamenta i Vijeća od 21. studenoga 2012. o izmjeni Direktive Vijeća 1999/32/EZ u vezi sa sadržajem sumpora u brodskim gorivima (SL L 327, 27. 11. 2012.).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Vijeća (EU) 2015/652 od 20. travnja 2015. o utvrđivanju metoda izračuna i zahtjeva u vezi s izvješćivanjem u skladu s Direktivom 98/70/EZ Europskog parlamenta i Vijeća o kakvoći benzinskih i dizelskih goriva (SL L 107, 25. 4. 2015),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 xml:space="preserve">– Direktiva Komisije (EU) 2015/1480 </w:t>
            </w:r>
            <w:proofErr w:type="spellStart"/>
            <w:r w:rsidRPr="00292750">
              <w:rPr>
                <w:b w:val="0"/>
                <w:bCs w:val="0"/>
              </w:rPr>
              <w:t>оd</w:t>
            </w:r>
            <w:proofErr w:type="spellEnd"/>
            <w:r w:rsidRPr="00292750">
              <w:rPr>
                <w:b w:val="0"/>
                <w:bCs w:val="0"/>
              </w:rPr>
              <w:t xml:space="preserve"> 28. kolovoza 2015. o izmjeni određenih priloga direktivama 2004/107/EZ i 2008/50/EZ Europskog parlamenta i Vijeća o utvrđivanju pravila za referentne metode, validaciju podataka i lokaciju točaka uzorkovanja za ocjenjivanje kvalitete zraka (Tekst značajan za EGP) (SL L 226, 29. 8. 2015.),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(EU) 2015/1513 Europskog parlamenta i Vijeća od 9. rujna 2015. o izmjeni Direktive 98/70/EZ o kakvoći benzinskih i dizelskih goriva i izmjeni Direktive 2009/28/EZ o promicanju uporabe energije iz obnovljivih izvora (Tekst značajan za EGP) (SL L 239, 15. 9. 2015.),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Direktiva (EU) 2015/2193 Europskog parlamenta i Vijeća od 25. studenoga 2015. o ograničenju emisija određenih onečišćujućih tvari u zrak iz srednjih uređaja za loženje (Tekst značajan za EGP) (SL L 313, 28. 11. 2015.),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lastRenderedPageBreak/>
              <w:t>– Direktiva (EU) 2016/2284 Europskog parlamenta i Vijeća od 14. prosinca 2016. o smanjenju nacionalnih emisija određenih onečišćujućih tvari, o izmjeni Direktive 2003/35/EZ i stavljanju izvan snage Direktive 2001/81/EZ (SL L 344, 17. 12. 2016.).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 w:rsidRPr="00292750">
              <w:rPr>
                <w:b w:val="0"/>
                <w:bCs w:val="0"/>
              </w:rPr>
              <w:t>– Provedben</w:t>
            </w:r>
            <w:r>
              <w:rPr>
                <w:b w:val="0"/>
                <w:bCs w:val="0"/>
              </w:rPr>
              <w:t>a</w:t>
            </w:r>
            <w:r w:rsidRPr="00292750">
              <w:rPr>
                <w:b w:val="0"/>
                <w:bCs w:val="0"/>
              </w:rPr>
              <w:t xml:space="preserve"> odluke Komisije 2011/850/EU od 12. prosinca 2011. o utvrđivanju pravila za direktive 2004/107/EZ i 2008/50/EZ Europskog parlamenta i Vijeća u pogledu uzajamne razmjene informacija i izvješćivanja o kvaliteti zraka (priopćena pod brojem dokumenta (2011) 9068) (SL L 335, 17. 12. 2011.) (u daljnjem tekstu: Odluka Komisije 2011/850/EU),</w:t>
            </w:r>
          </w:p>
          <w:p w:rsidR="005C4F83" w:rsidRPr="00292750" w:rsidRDefault="005C4F83" w:rsidP="002839F3">
            <w:pPr>
              <w:pStyle w:val="doc-ti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– Uredba</w:t>
            </w:r>
            <w:r w:rsidRPr="00292750">
              <w:rPr>
                <w:b w:val="0"/>
                <w:bCs w:val="0"/>
              </w:rPr>
              <w:t xml:space="preserve"> Komisije (EU) br. 1087/2013 </w:t>
            </w:r>
            <w:proofErr w:type="spellStart"/>
            <w:r w:rsidRPr="00292750">
              <w:rPr>
                <w:b w:val="0"/>
                <w:bCs w:val="0"/>
              </w:rPr>
              <w:t>оd</w:t>
            </w:r>
            <w:proofErr w:type="spellEnd"/>
            <w:r w:rsidRPr="00292750">
              <w:rPr>
                <w:b w:val="0"/>
                <w:bCs w:val="0"/>
              </w:rPr>
              <w:t xml:space="preserve"> 4. studenoga 2013. o izmjeni Uredbe (EZ) br. 1005/2009 Europskog parlamenta i Vijeća u pogledu izvješćivanja o metil </w:t>
            </w:r>
            <w:proofErr w:type="spellStart"/>
            <w:r w:rsidRPr="00292750">
              <w:rPr>
                <w:b w:val="0"/>
                <w:bCs w:val="0"/>
              </w:rPr>
              <w:t>bromidu</w:t>
            </w:r>
            <w:proofErr w:type="spellEnd"/>
            <w:r w:rsidRPr="00292750">
              <w:rPr>
                <w:b w:val="0"/>
                <w:bCs w:val="0"/>
              </w:rPr>
              <w:t xml:space="preserve"> (SL L 293, 5. 11. 2013.)</w:t>
            </w:r>
            <w:r>
              <w:rPr>
                <w:b w:val="0"/>
                <w:bCs w:val="0"/>
              </w:rPr>
              <w:t>.</w:t>
            </w:r>
          </w:p>
          <w:p w:rsidR="005C4F83" w:rsidRPr="00EE6A52" w:rsidRDefault="005C4F83" w:rsidP="002839F3">
            <w:pPr>
              <w:pStyle w:val="doc-ti"/>
              <w:spacing w:before="0" w:after="0"/>
              <w:jc w:val="both"/>
              <w:rPr>
                <w:b w:val="0"/>
                <w:bCs w:val="0"/>
              </w:rPr>
            </w:pPr>
          </w:p>
        </w:tc>
      </w:tr>
      <w:tr w:rsidR="005C4F83" w:rsidRPr="0077506C" w:rsidTr="002839F3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Pr="00E45DC6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45DC6">
              <w:rPr>
                <w:szCs w:val="24"/>
              </w:rPr>
              <w:t xml:space="preserve">Prijedlogom novog zakona poboljšava se </w:t>
            </w:r>
            <w:r>
              <w:rPr>
                <w:szCs w:val="24"/>
              </w:rPr>
              <w:t xml:space="preserve">pravni </w:t>
            </w:r>
            <w:r w:rsidRPr="00E45DC6">
              <w:rPr>
                <w:szCs w:val="24"/>
              </w:rPr>
              <w:t xml:space="preserve">okvir za provedbu </w:t>
            </w:r>
            <w:r>
              <w:rPr>
                <w:szCs w:val="24"/>
              </w:rPr>
              <w:t>zaštite zraka</w:t>
            </w:r>
            <w:r w:rsidRPr="00E45DC6">
              <w:rPr>
                <w:szCs w:val="24"/>
              </w:rPr>
              <w:t>. Uz osiguravanje provedbi propisa Europske unije to podrazumijeva i daljnje razvijanje ciljeva, prioriteta, mjera i mehanizama djelovanja</w:t>
            </w:r>
            <w:r>
              <w:rPr>
                <w:szCs w:val="24"/>
              </w:rPr>
              <w:t xml:space="preserve"> kao i sustava praćenja i procjenjivanja i izvješćivanja</w:t>
            </w:r>
            <w:r w:rsidRPr="00E45DC6">
              <w:rPr>
                <w:szCs w:val="24"/>
              </w:rPr>
              <w:t>.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C61B0D">
              <w:rPr>
                <w:szCs w:val="24"/>
              </w:rPr>
              <w:t xml:space="preserve">Zbog obima </w:t>
            </w:r>
            <w:r>
              <w:rPr>
                <w:szCs w:val="24"/>
              </w:rPr>
              <w:t xml:space="preserve">postojećeg </w:t>
            </w:r>
            <w:r w:rsidRPr="00C61B0D">
              <w:rPr>
                <w:szCs w:val="24"/>
              </w:rPr>
              <w:t xml:space="preserve">Zakona koji se odnosi </w:t>
            </w:r>
            <w:r>
              <w:rPr>
                <w:szCs w:val="24"/>
              </w:rPr>
              <w:t>na</w:t>
            </w:r>
            <w:r w:rsidRPr="00C61B0D">
              <w:rPr>
                <w:szCs w:val="24"/>
              </w:rPr>
              <w:t xml:space="preserve"> zaštitu zraka i na zaštitu ozonskog sloja, ublažavanje klimatskih promjena i prilagodbu klimatskim promjenama, </w:t>
            </w:r>
            <w:r>
              <w:rPr>
                <w:szCs w:val="24"/>
              </w:rPr>
              <w:t>potrebna je r</w:t>
            </w:r>
            <w:r w:rsidRPr="00C61B0D">
              <w:rPr>
                <w:szCs w:val="24"/>
              </w:rPr>
              <w:t>eorganizacij</w:t>
            </w:r>
            <w:r>
              <w:rPr>
                <w:szCs w:val="24"/>
              </w:rPr>
              <w:t>a</w:t>
            </w:r>
            <w:r w:rsidRPr="00C61B0D">
              <w:rPr>
                <w:szCs w:val="24"/>
              </w:rPr>
              <w:t xml:space="preserve"> postojećeg pravnog okvira i razdvajanje zraka od zaštite klime i ozonskog sloja</w:t>
            </w:r>
            <w:r>
              <w:rPr>
                <w:szCs w:val="24"/>
              </w:rPr>
              <w:t>.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C61B0D">
              <w:rPr>
                <w:szCs w:val="24"/>
              </w:rPr>
              <w:t>Nacrtom prijedloga Zakona o zaštiti zraka će se jasnije definirati zaštita zraka kao jedne od sastavnica okoliša</w:t>
            </w:r>
            <w:r>
              <w:rPr>
                <w:szCs w:val="24"/>
              </w:rPr>
              <w:t xml:space="preserve">. Dodatno će se otkloniti </w:t>
            </w:r>
            <w:r w:rsidRPr="00C61B0D">
              <w:rPr>
                <w:szCs w:val="24"/>
              </w:rPr>
              <w:t xml:space="preserve">učene nejasnoće u području </w:t>
            </w:r>
            <w:r>
              <w:rPr>
                <w:szCs w:val="24"/>
              </w:rPr>
              <w:t>primjene postojećeg Zakona  i</w:t>
            </w:r>
            <w:r w:rsidRPr="00C61B0D">
              <w:rPr>
                <w:szCs w:val="24"/>
              </w:rPr>
              <w:t xml:space="preserve"> omogućiti će se jednostavnija i učinkovitija primjena zakonskih i </w:t>
            </w:r>
            <w:proofErr w:type="spellStart"/>
            <w:r w:rsidRPr="00C61B0D">
              <w:rPr>
                <w:szCs w:val="24"/>
              </w:rPr>
              <w:t>podzakonskih</w:t>
            </w:r>
            <w:proofErr w:type="spellEnd"/>
            <w:r w:rsidRPr="00C61B0D">
              <w:rPr>
                <w:szCs w:val="24"/>
              </w:rPr>
              <w:t xml:space="preserve"> akata koji se odnose na zrak.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3253AD">
              <w:rPr>
                <w:szCs w:val="24"/>
              </w:rPr>
              <w:t xml:space="preserve">Novi </w:t>
            </w:r>
            <w:r>
              <w:rPr>
                <w:szCs w:val="24"/>
              </w:rPr>
              <w:t xml:space="preserve">Zakon o zaštiti zraka </w:t>
            </w:r>
            <w:r w:rsidRPr="003253AD">
              <w:rPr>
                <w:szCs w:val="24"/>
              </w:rPr>
              <w:t xml:space="preserve">naglasak stavlja na </w:t>
            </w:r>
            <w:r>
              <w:rPr>
                <w:szCs w:val="24"/>
              </w:rPr>
              <w:t xml:space="preserve">unapređenju </w:t>
            </w:r>
            <w:r w:rsidRPr="003253AD">
              <w:rPr>
                <w:szCs w:val="24"/>
              </w:rPr>
              <w:t>provedb</w:t>
            </w:r>
            <w:r>
              <w:rPr>
                <w:szCs w:val="24"/>
              </w:rPr>
              <w:t>i</w:t>
            </w:r>
            <w:r w:rsidRPr="003253AD">
              <w:rPr>
                <w:szCs w:val="24"/>
              </w:rPr>
              <w:t xml:space="preserve"> obuhvaćenih </w:t>
            </w:r>
            <w:r>
              <w:rPr>
                <w:szCs w:val="24"/>
              </w:rPr>
              <w:t xml:space="preserve">Direktiva i </w:t>
            </w:r>
            <w:r w:rsidRPr="003253AD">
              <w:rPr>
                <w:szCs w:val="24"/>
              </w:rPr>
              <w:t>uredbi Europske unije te njihovih provedbenih propisa, uvažavajući pri tome odredbe koje državama članicama daju pravo da pojedina pitanja uređuju kroz nacionalno zakonodavstvo</w:t>
            </w:r>
            <w:r>
              <w:rPr>
                <w:szCs w:val="24"/>
              </w:rPr>
              <w:t>.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  <w:r w:rsidRPr="00C61B0D">
              <w:rPr>
                <w:szCs w:val="24"/>
              </w:rPr>
              <w:t xml:space="preserve">Zakonom će se odrediti nadležnost i odgovornost za zaštitu zraka, planski dokumenti, praćenje i procjenjivanje kvalitete zraka, mjere za sprječavanje i smanjivanje onečišćavanja zraka, izvještavanje o kvaliteti zraka i razmjeni podataka, djelatnost praćenja kvalitete zraka </w:t>
            </w:r>
            <w:r w:rsidRPr="00C61B0D">
              <w:rPr>
                <w:szCs w:val="24"/>
              </w:rPr>
              <w:lastRenderedPageBreak/>
              <w:t>i emisija u zrak, informacijski sustav zaštite zraka, financiranje zaštite zraka, upravni i inspekcijski nadzor.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DB016C">
              <w:rPr>
                <w:szCs w:val="24"/>
              </w:rPr>
              <w:t xml:space="preserve">U </w:t>
            </w:r>
            <w:r>
              <w:rPr>
                <w:szCs w:val="24"/>
              </w:rPr>
              <w:t xml:space="preserve">većem </w:t>
            </w:r>
            <w:r w:rsidRPr="00DB016C">
              <w:rPr>
                <w:szCs w:val="24"/>
              </w:rPr>
              <w:t xml:space="preserve">dijelu </w:t>
            </w:r>
            <w:r>
              <w:rPr>
                <w:szCs w:val="24"/>
              </w:rPr>
              <w:t xml:space="preserve">Zakona koji se odnosi na odredbe vezane uz zaštitu zraka </w:t>
            </w:r>
            <w:r w:rsidRPr="00DB016C">
              <w:rPr>
                <w:szCs w:val="24"/>
              </w:rPr>
              <w:t>ne</w:t>
            </w:r>
            <w:r>
              <w:rPr>
                <w:szCs w:val="24"/>
              </w:rPr>
              <w:t>će biti</w:t>
            </w:r>
            <w:r w:rsidRPr="00DB016C">
              <w:rPr>
                <w:szCs w:val="24"/>
              </w:rPr>
              <w:t xml:space="preserve"> značajnijih promjena u odnosu </w:t>
            </w:r>
            <w:r>
              <w:rPr>
                <w:szCs w:val="24"/>
              </w:rPr>
              <w:t>odredbe propisane u postojećem</w:t>
            </w:r>
            <w:r w:rsidRPr="00DB016C">
              <w:rPr>
                <w:szCs w:val="24"/>
              </w:rPr>
              <w:t xml:space="preserve"> Zakon</w:t>
            </w:r>
            <w:r>
              <w:rPr>
                <w:szCs w:val="24"/>
              </w:rPr>
              <w:t>u</w:t>
            </w:r>
            <w:r w:rsidRPr="00DB016C">
              <w:rPr>
                <w:szCs w:val="24"/>
              </w:rPr>
              <w:t xml:space="preserve"> o zaštiti </w:t>
            </w:r>
            <w:r w:rsidRPr="00E45DC6">
              <w:rPr>
                <w:bCs/>
                <w:szCs w:val="24"/>
              </w:rPr>
              <w:t xml:space="preserve">zraka </w:t>
            </w:r>
            <w:r w:rsidRPr="006C7720">
              <w:t>("Narodne novine", br. 130/2011, 47/2014</w:t>
            </w:r>
            <w:r>
              <w:t>, 61/2017)</w:t>
            </w:r>
            <w:r>
              <w:rPr>
                <w:szCs w:val="24"/>
              </w:rPr>
              <w:t>.</w:t>
            </w: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667188">
              <w:rPr>
                <w:rFonts w:eastAsia="Times New Roman"/>
                <w:szCs w:val="24"/>
              </w:rPr>
              <w:t xml:space="preserve">Područje zaštite zraka uređeno je </w:t>
            </w:r>
            <w:r>
              <w:rPr>
                <w:rFonts w:eastAsia="Times New Roman"/>
                <w:szCs w:val="24"/>
              </w:rPr>
              <w:t xml:space="preserve">postojećim Zakonom </w:t>
            </w:r>
            <w:r w:rsidRPr="00E45DC6">
              <w:rPr>
                <w:bCs/>
                <w:szCs w:val="24"/>
              </w:rPr>
              <w:t xml:space="preserve">o zaštiti zraka </w:t>
            </w:r>
            <w:r w:rsidRPr="006C7720">
              <w:t>("Narodne novine", br. 130/2011, 47/2014</w:t>
            </w:r>
            <w:r>
              <w:t xml:space="preserve">, 61/2017) kojim se </w:t>
            </w:r>
            <w:r>
              <w:rPr>
                <w:rFonts w:eastAsia="Times New Roman"/>
                <w:szCs w:val="24"/>
              </w:rPr>
              <w:t>određuju</w:t>
            </w:r>
            <w:r w:rsidRPr="0054386F">
              <w:rPr>
                <w:rFonts w:eastAsia="Times New Roman"/>
                <w:szCs w:val="24"/>
              </w:rPr>
              <w:t xml:space="preserve"> nadležnost</w:t>
            </w:r>
            <w:r>
              <w:rPr>
                <w:rFonts w:eastAsia="Times New Roman"/>
                <w:szCs w:val="24"/>
              </w:rPr>
              <w:t>i</w:t>
            </w:r>
            <w:r w:rsidRPr="0054386F">
              <w:rPr>
                <w:rFonts w:eastAsia="Times New Roman"/>
                <w:szCs w:val="24"/>
              </w:rPr>
              <w:t xml:space="preserve"> i odgovornost za zaštitu </w:t>
            </w:r>
            <w:r>
              <w:rPr>
                <w:rFonts w:eastAsia="Times New Roman"/>
                <w:szCs w:val="24"/>
              </w:rPr>
              <w:t>zraka</w:t>
            </w:r>
            <w:r w:rsidRPr="00327CEE">
              <w:rPr>
                <w:rFonts w:eastAsia="Times New Roman"/>
                <w:szCs w:val="24"/>
              </w:rPr>
              <w:t xml:space="preserve"> i ozonskog sloja, ublažavanje klimatskih promjena i prilagodbu klimatskim promjenama, planski dokumenti, praćenje i procjenjivanje kvalitete zraka, mjere za sprječavanje i smanjivanje onečišćavanja zraka, izvještavanje o kvaliteti zraka i razmjeni podataka, djelatnost praćenja kvalitete zraka i emisija u zrak, tvari koje oštećuju ozonski sloj i </w:t>
            </w:r>
            <w:proofErr w:type="spellStart"/>
            <w:r w:rsidRPr="00327CEE">
              <w:rPr>
                <w:rFonts w:eastAsia="Times New Roman"/>
                <w:szCs w:val="24"/>
              </w:rPr>
              <w:t>fluorirani</w:t>
            </w:r>
            <w:proofErr w:type="spellEnd"/>
            <w:r w:rsidRPr="00327CEE">
              <w:rPr>
                <w:rFonts w:eastAsia="Times New Roman"/>
                <w:szCs w:val="24"/>
              </w:rPr>
              <w:t xml:space="preserve"> staklenički plinovi, praćenje emisija stakleničkih plinova i mjere za ublažavanje i prilagodbu klimatskim promjenama, informacijski sustav zaštite zraka, financiranje zaštite zraka, ozonskog sloja, ublažavanja klimatskih promjena i prilagodbe klimatskim promjenama,</w:t>
            </w:r>
            <w:r>
              <w:rPr>
                <w:rFonts w:eastAsia="Times New Roman"/>
                <w:szCs w:val="24"/>
              </w:rPr>
              <w:t xml:space="preserve"> te </w:t>
            </w:r>
            <w:r w:rsidRPr="00327CEE">
              <w:rPr>
                <w:rFonts w:eastAsia="Times New Roman"/>
                <w:szCs w:val="24"/>
              </w:rPr>
              <w:t xml:space="preserve"> upravni i inspekcijski nadzor.</w:t>
            </w:r>
            <w:r>
              <w:rPr>
                <w:rFonts w:eastAsia="Times New Roman"/>
                <w:szCs w:val="24"/>
              </w:rPr>
              <w:t xml:space="preserve"> Nadalje postojećim </w:t>
            </w:r>
            <w:r w:rsidRPr="00667188">
              <w:rPr>
                <w:rFonts w:eastAsia="Times New Roman"/>
                <w:szCs w:val="24"/>
              </w:rPr>
              <w:t xml:space="preserve">Zakonom o zaštiti zraka propisano je donošenje niza </w:t>
            </w:r>
            <w:proofErr w:type="spellStart"/>
            <w:r w:rsidRPr="00667188">
              <w:rPr>
                <w:rFonts w:eastAsia="Times New Roman"/>
                <w:szCs w:val="24"/>
              </w:rPr>
              <w:t>podzakonskih</w:t>
            </w:r>
            <w:proofErr w:type="spellEnd"/>
            <w:r w:rsidRPr="00667188">
              <w:rPr>
                <w:rFonts w:eastAsia="Times New Roman"/>
                <w:szCs w:val="24"/>
              </w:rPr>
              <w:t xml:space="preserve"> propisa kojima se pobliže uređuju pojedine teme u području zaštite zraka.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5C4F83" w:rsidRPr="00C61B0D" w:rsidRDefault="005C4F83" w:rsidP="002839F3">
            <w:pPr>
              <w:jc w:val="both"/>
              <w:rPr>
                <w:szCs w:val="24"/>
                <w:u w:val="single"/>
              </w:rPr>
            </w:pPr>
            <w:r w:rsidRPr="00667188">
              <w:rPr>
                <w:rFonts w:eastAsia="Times New Roman"/>
                <w:szCs w:val="24"/>
              </w:rPr>
              <w:t xml:space="preserve">Tijekom provedbe Zakona i provedbenih propisa donesenih temeljem njega uočene su određene nejasnoće i nepreciznosti u proteklom razdoblju primjene Zakona i </w:t>
            </w:r>
            <w:proofErr w:type="spellStart"/>
            <w:r w:rsidRPr="00667188">
              <w:rPr>
                <w:rFonts w:eastAsia="Times New Roman"/>
                <w:szCs w:val="24"/>
              </w:rPr>
              <w:t>podzakonskih</w:t>
            </w:r>
            <w:proofErr w:type="spellEnd"/>
            <w:r w:rsidRPr="00667188">
              <w:rPr>
                <w:rFonts w:eastAsia="Times New Roman"/>
                <w:szCs w:val="24"/>
              </w:rPr>
              <w:t xml:space="preserve"> akata.</w:t>
            </w:r>
            <w:r>
              <w:rPr>
                <w:rFonts w:eastAsia="Times New Roman"/>
                <w:szCs w:val="24"/>
              </w:rPr>
              <w:t xml:space="preserve"> Također</w:t>
            </w:r>
            <w:r w:rsidRPr="00DB016C">
              <w:rPr>
                <w:rFonts w:eastAsia="Times New Roman"/>
                <w:szCs w:val="24"/>
              </w:rPr>
              <w:t>, tijekom 2018. godine usvojeno je niz novih EU zakonodavnih paketa, kojima se uređuje ili restrukturira</w:t>
            </w:r>
            <w:r>
              <w:rPr>
                <w:rFonts w:eastAsia="Times New Roman"/>
                <w:szCs w:val="24"/>
              </w:rPr>
              <w:t xml:space="preserve"> područje zaštite ozonskog sloja i ublažavanja klimatskih promjena. </w:t>
            </w:r>
            <w:r w:rsidRPr="000C122C">
              <w:rPr>
                <w:szCs w:val="24"/>
              </w:rPr>
              <w:t>Uslijed</w:t>
            </w:r>
            <w:r>
              <w:rPr>
                <w:szCs w:val="24"/>
              </w:rPr>
              <w:t xml:space="preserve"> cijelog niza novih EU propisa koji su proširili i nadopunili opseg dosadašnjih zakonskih odredbi propisanih Zakonom o zaštiti zraka i njegovim izmjenama (''Narodne novine'', br. </w:t>
            </w:r>
            <w:r w:rsidRPr="00F33D1F">
              <w:rPr>
                <w:szCs w:val="24"/>
              </w:rPr>
              <w:t>130/2011</w:t>
            </w:r>
            <w:r>
              <w:rPr>
                <w:szCs w:val="24"/>
              </w:rPr>
              <w:t xml:space="preserve">, </w:t>
            </w:r>
            <w:r w:rsidRPr="00F33D1F">
              <w:rPr>
                <w:szCs w:val="24"/>
              </w:rPr>
              <w:t>47/2014</w:t>
            </w:r>
            <w:r>
              <w:rPr>
                <w:szCs w:val="24"/>
              </w:rPr>
              <w:t xml:space="preserve"> i </w:t>
            </w:r>
            <w:r w:rsidRPr="00F33D1F">
              <w:rPr>
                <w:szCs w:val="24"/>
              </w:rPr>
              <w:t>61/2017</w:t>
            </w:r>
            <w:r>
              <w:rPr>
                <w:szCs w:val="24"/>
              </w:rPr>
              <w:t xml:space="preserve">), vezanih za problematiku klimatskih promjena i zaštite ozonskog sloja, kao i potrebu za izmjenama i dopunama u većem opsegu nego što je to propisano samo za izmjene postojećeg Zakona, </w:t>
            </w:r>
            <w:r w:rsidRPr="00BB3188">
              <w:rPr>
                <w:szCs w:val="24"/>
                <w:u w:val="single"/>
              </w:rPr>
              <w:t xml:space="preserve">proizlazi potreba za </w:t>
            </w:r>
            <w:r w:rsidRPr="00C61B0D">
              <w:rPr>
                <w:szCs w:val="24"/>
                <w:u w:val="single"/>
              </w:rPr>
              <w:t>r</w:t>
            </w:r>
            <w:r w:rsidRPr="00C61B0D">
              <w:rPr>
                <w:rFonts w:eastAsia="Times New Roman"/>
                <w:szCs w:val="24"/>
                <w:u w:val="single"/>
              </w:rPr>
              <w:t xml:space="preserve">eorganizacijom postojećeg pravnog okvira i razdvajanjem zraka od zaštite klime i ozonskog sloja i donošenje dvaju zakona, </w:t>
            </w:r>
            <w:r w:rsidRPr="00C61B0D">
              <w:rPr>
                <w:szCs w:val="24"/>
                <w:u w:val="single"/>
              </w:rPr>
              <w:t>Zakona o zaštiti zraka i Zakona o klimatskim promjenama i zaštiti ozonskog sloja.</w:t>
            </w:r>
          </w:p>
          <w:p w:rsidR="005C4F83" w:rsidRDefault="005C4F83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5C4F83" w:rsidRPr="00667188" w:rsidRDefault="005C4F83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Predloženim rješenjem </w:t>
            </w:r>
            <w:r w:rsidRPr="00667188">
              <w:rPr>
                <w:rFonts w:eastAsia="Times New Roman"/>
                <w:szCs w:val="24"/>
              </w:rPr>
              <w:t xml:space="preserve">omogućiti će se jednostavnija i učinkovitija primjena zakonskih i </w:t>
            </w:r>
            <w:proofErr w:type="spellStart"/>
            <w:r w:rsidRPr="00667188">
              <w:rPr>
                <w:rFonts w:eastAsia="Times New Roman"/>
                <w:szCs w:val="24"/>
              </w:rPr>
              <w:t>podzakonskih</w:t>
            </w:r>
            <w:proofErr w:type="spellEnd"/>
            <w:r w:rsidRPr="00667188">
              <w:rPr>
                <w:rFonts w:eastAsia="Times New Roman"/>
                <w:szCs w:val="24"/>
              </w:rPr>
              <w:t xml:space="preserve"> akata koji se odnose na zrak.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  <w:u w:val="single"/>
              </w:rPr>
            </w:pPr>
          </w:p>
          <w:p w:rsidR="005C4F83" w:rsidRPr="00BB3188" w:rsidRDefault="005C4F83" w:rsidP="002839F3">
            <w:pPr>
              <w:shd w:val="clear" w:color="auto" w:fill="FFFFFF" w:themeFill="background1"/>
              <w:jc w:val="both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Sukladno navedenom potrebno je postojeći zakonodavni okvir vezan uz zaštitu zraka urediti kao zaseban radi pojednostavljivanja i lakše provedbe odredbi zakona koje se odnose na područje zaštite zraka.</w:t>
            </w:r>
            <w:r w:rsidRPr="00BB3188">
              <w:rPr>
                <w:szCs w:val="24"/>
                <w:u w:val="single"/>
              </w:rPr>
              <w:t xml:space="preserve"> 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dokaz, argument, analizu koja podržava potrebu za </w:t>
            </w:r>
            <w:r w:rsidRPr="0077506C">
              <w:rPr>
                <w:szCs w:val="24"/>
              </w:rPr>
              <w:lastRenderedPageBreak/>
              <w:t>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Postojeći Zakon donesen je 2011. godine (NN 130/11) te je u dva navrata izmijenjen i dopunjavan zbog usklađenja s EU </w:t>
            </w:r>
            <w:r>
              <w:rPr>
                <w:bCs/>
                <w:szCs w:val="24"/>
              </w:rPr>
              <w:lastRenderedPageBreak/>
              <w:t>zakonodavstvom. S obzirom na specifičnosti područja zaštite zraka i klimatskih promjena i zaštite ozonskog sloja te uređenost EU zakonodavstva koje brojnim Direktivama jasno razgraničuje zaštitu zraka od zaštite klime i ozonskog sloja potrebno je  reorganizirati postojeći zakonodavni okvir odvajanjem tih dviju tematskih cjelina.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5C4F83" w:rsidRPr="0077506C" w:rsidTr="002839F3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Pr="00E45DC6" w:rsidRDefault="005C4F83" w:rsidP="002839F3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E45DC6">
              <w:rPr>
                <w:bCs/>
                <w:szCs w:val="24"/>
              </w:rPr>
              <w:t xml:space="preserve">Formalni cilj je usklađivanje propisa Republike Hrvatske s zakonodavstvom EU. </w:t>
            </w:r>
          </w:p>
          <w:p w:rsidR="005C4F83" w:rsidRPr="00E45DC6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21564A">
              <w:rPr>
                <w:szCs w:val="24"/>
              </w:rPr>
              <w:t>Cilj je olakšana primjena propisa u području zaštite zraka, vezano uz izradu  planskih dokumenti, praćenje i procjenjivanje kvalitete zraka, mjere za sprječavanje i smanjivanje onečišćavanja zraka, izvještavanje o kvaliteti zraka i razmjeni podataka, djelatnost praćenja kvalitete zraka i emisija u zrak, informacijski sustav zaštite zraka, financiranje zaštite zraka, upravni i inspekcijski nadzor.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5C4F83" w:rsidRPr="00E45DC6" w:rsidRDefault="005C4F83" w:rsidP="002839F3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E45DC6">
              <w:rPr>
                <w:szCs w:val="24"/>
              </w:rPr>
              <w:t>Ovim se Zakonom na sveobuhvat</w:t>
            </w:r>
            <w:r>
              <w:rPr>
                <w:szCs w:val="24"/>
              </w:rPr>
              <w:t>a</w:t>
            </w:r>
            <w:r w:rsidRPr="00E45DC6">
              <w:rPr>
                <w:szCs w:val="24"/>
              </w:rPr>
              <w:t xml:space="preserve">n način </w:t>
            </w:r>
            <w:r>
              <w:rPr>
                <w:szCs w:val="24"/>
              </w:rPr>
              <w:t xml:space="preserve">urediti će se </w:t>
            </w:r>
            <w:r w:rsidRPr="00E45DC6">
              <w:rPr>
                <w:szCs w:val="24"/>
              </w:rPr>
              <w:t xml:space="preserve">pravni okvir koji će omogućiti donošenje nacionalnih </w:t>
            </w:r>
            <w:proofErr w:type="spellStart"/>
            <w:r w:rsidRPr="00E45DC6">
              <w:rPr>
                <w:szCs w:val="24"/>
              </w:rPr>
              <w:t>podzakonskih</w:t>
            </w:r>
            <w:proofErr w:type="spellEnd"/>
            <w:r w:rsidRPr="00E45DC6">
              <w:rPr>
                <w:szCs w:val="24"/>
              </w:rPr>
              <w:t xml:space="preserve"> propisa u cilju provedbe svih relevantnih EU propisa kojima se regulira područje </w:t>
            </w:r>
            <w:r>
              <w:rPr>
                <w:szCs w:val="24"/>
              </w:rPr>
              <w:t>zaštite zraka</w:t>
            </w:r>
            <w:r w:rsidRPr="00E45DC6">
              <w:rPr>
                <w:szCs w:val="24"/>
              </w:rPr>
              <w:t>.</w:t>
            </w: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jc w:val="both"/>
            </w:pPr>
            <w:r>
              <w:rPr>
                <w:szCs w:val="24"/>
              </w:rPr>
              <w:t>Novi Zakon o zaštiti zraka, donosi p</w:t>
            </w:r>
            <w:r w:rsidRPr="001B2D1A">
              <w:rPr>
                <w:szCs w:val="24"/>
              </w:rPr>
              <w:t xml:space="preserve">ozitivne promjene </w:t>
            </w:r>
            <w:r>
              <w:rPr>
                <w:szCs w:val="24"/>
              </w:rPr>
              <w:t>u vidu</w:t>
            </w:r>
            <w:r w:rsidRPr="001B2D1A">
              <w:rPr>
                <w:szCs w:val="24"/>
              </w:rPr>
              <w:t xml:space="preserve"> poboljšanj</w:t>
            </w:r>
            <w:r>
              <w:rPr>
                <w:szCs w:val="24"/>
              </w:rPr>
              <w:t>a</w:t>
            </w:r>
            <w:r w:rsidRPr="001B2D1A">
              <w:rPr>
                <w:szCs w:val="24"/>
              </w:rPr>
              <w:t xml:space="preserve"> pravnog okvira</w:t>
            </w:r>
            <w:r>
              <w:rPr>
                <w:szCs w:val="24"/>
              </w:rPr>
              <w:t>,</w:t>
            </w:r>
            <w:r w:rsidRPr="001B2D1A">
              <w:rPr>
                <w:szCs w:val="24"/>
              </w:rPr>
              <w:t xml:space="preserve"> </w:t>
            </w:r>
            <w:r>
              <w:rPr>
                <w:szCs w:val="24"/>
              </w:rPr>
              <w:t>odnosno ispravke pojedinih nedostataka</w:t>
            </w:r>
            <w:r w:rsidRPr="001B2D1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koji su uočeni u primjeni važećeg </w:t>
            </w:r>
            <w:r w:rsidRPr="001B2D1A">
              <w:rPr>
                <w:szCs w:val="24"/>
              </w:rPr>
              <w:t>Zakon</w:t>
            </w:r>
            <w:r>
              <w:rPr>
                <w:szCs w:val="24"/>
              </w:rPr>
              <w:t>a</w:t>
            </w:r>
            <w:r w:rsidRPr="001B2D1A">
              <w:rPr>
                <w:szCs w:val="24"/>
              </w:rPr>
              <w:t xml:space="preserve"> o</w:t>
            </w:r>
            <w:r w:rsidRPr="00435CFF">
              <w:rPr>
                <w:szCs w:val="24"/>
              </w:rPr>
              <w:t xml:space="preserve"> zaštiti zraka ("Narodne novine", br. 130/2011, 47/2014</w:t>
            </w:r>
            <w:r>
              <w:rPr>
                <w:szCs w:val="24"/>
              </w:rPr>
              <w:t>, 61/2017</w:t>
            </w:r>
            <w:r w:rsidRPr="00435CFF">
              <w:rPr>
                <w:szCs w:val="24"/>
              </w:rPr>
              <w:t>)</w:t>
            </w:r>
            <w:r>
              <w:rPr>
                <w:szCs w:val="24"/>
              </w:rPr>
              <w:t xml:space="preserve"> i pojednostavljene primjene istog</w:t>
            </w:r>
            <w:r w:rsidRPr="00435CFF">
              <w:rPr>
                <w:szCs w:val="24"/>
              </w:rPr>
              <w:t>.</w:t>
            </w:r>
            <w:r>
              <w:t xml:space="preserve"> 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</w:pPr>
          </w:p>
          <w:p w:rsidR="005C4F83" w:rsidRDefault="005C4F83" w:rsidP="002839F3">
            <w:pPr>
              <w:shd w:val="clear" w:color="auto" w:fill="FFFFFF" w:themeFill="background1"/>
              <w:jc w:val="both"/>
            </w:pPr>
            <w:r>
              <w:t>Ishod ovakvog normativnog rješenja je donošenje i novog Zakona o zaštiti klime i ozonskog sloja kojim će se regulirati provedba politike i mjera u području zaštite klime i ozonskog sloja.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</w:pPr>
          </w:p>
          <w:p w:rsidR="005C4F83" w:rsidRPr="004269EE" w:rsidRDefault="005C4F83" w:rsidP="002839F3">
            <w:pPr>
              <w:shd w:val="clear" w:color="auto" w:fill="FFFFFF" w:themeFill="background1"/>
              <w:jc w:val="both"/>
            </w:pPr>
          </w:p>
        </w:tc>
      </w:tr>
      <w:tr w:rsidR="005C4F83" w:rsidRPr="0077506C" w:rsidTr="002839F3"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Pr="0021564A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rStyle w:val="defaultparagraphfont-000009"/>
                <w:sz w:val="24"/>
                <w:szCs w:val="24"/>
              </w:rPr>
              <w:t>Po donošenju.</w:t>
            </w:r>
          </w:p>
        </w:tc>
      </w:tr>
      <w:tr w:rsidR="005C4F83" w:rsidRPr="0077506C" w:rsidTr="002839F3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5C4F83" w:rsidRPr="0077506C" w:rsidTr="002839F3"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Novi Zakon o zaštiti zraka.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Izmjene i dopune zakona o zaštiti zraka.</w:t>
            </w:r>
          </w:p>
        </w:tc>
      </w:tr>
      <w:tr w:rsidR="005C4F83" w:rsidRPr="0077506C" w:rsidTr="002839F3"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Postojeći Zakon donesen je 2011. godine (NN 130/11) te je u dva navrata izmijenjen i dopunjavan zbog usklađenja s EU zakonodavstvom. S obzirom na specifičnosti područja zaštite zraka i klimatskih promjena i zaštite ozonskog sloja te uređenost EU zakonodavstva koje brojnim Direktivama jasno razgraničuje zaštitu zraka od zaštite klime i ozonskog sloja potrebno je  reorganizirati postojeći zakonodavni okvir odvajanjem tih dviju tematskih cjelina.</w:t>
            </w: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Novim Zakonom o zaštiti zraka r</w:t>
            </w:r>
            <w:r w:rsidRPr="0021564A">
              <w:rPr>
                <w:szCs w:val="24"/>
              </w:rPr>
              <w:t>eorganiz</w:t>
            </w:r>
            <w:r>
              <w:rPr>
                <w:szCs w:val="24"/>
              </w:rPr>
              <w:t xml:space="preserve">ira se </w:t>
            </w:r>
            <w:r w:rsidRPr="0021564A">
              <w:rPr>
                <w:szCs w:val="24"/>
              </w:rPr>
              <w:t>postojeć</w:t>
            </w:r>
            <w:r>
              <w:rPr>
                <w:szCs w:val="24"/>
              </w:rPr>
              <w:t>i</w:t>
            </w:r>
            <w:r w:rsidRPr="0021564A">
              <w:rPr>
                <w:szCs w:val="24"/>
              </w:rPr>
              <w:t xml:space="preserve"> pravn</w:t>
            </w:r>
            <w:r>
              <w:rPr>
                <w:szCs w:val="24"/>
              </w:rPr>
              <w:t>i</w:t>
            </w:r>
            <w:r w:rsidRPr="0021564A">
              <w:rPr>
                <w:szCs w:val="24"/>
              </w:rPr>
              <w:t xml:space="preserve"> okvir i razdvaja</w:t>
            </w:r>
            <w:r>
              <w:rPr>
                <w:szCs w:val="24"/>
              </w:rPr>
              <w:t xml:space="preserve"> se </w:t>
            </w:r>
            <w:r w:rsidRPr="0021564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područje zaštite </w:t>
            </w:r>
            <w:r w:rsidRPr="0021564A">
              <w:rPr>
                <w:szCs w:val="24"/>
              </w:rPr>
              <w:t xml:space="preserve">zraka od zaštite klime i ozonskog sloja, </w:t>
            </w:r>
            <w:r>
              <w:rPr>
                <w:szCs w:val="24"/>
              </w:rPr>
              <w:t xml:space="preserve">te se </w:t>
            </w:r>
            <w:r w:rsidRPr="0021564A">
              <w:rPr>
                <w:szCs w:val="24"/>
              </w:rPr>
              <w:t>omoguć</w:t>
            </w:r>
            <w:r>
              <w:rPr>
                <w:szCs w:val="24"/>
              </w:rPr>
              <w:t>ava</w:t>
            </w:r>
            <w:r w:rsidRPr="0021564A">
              <w:rPr>
                <w:szCs w:val="24"/>
              </w:rPr>
              <w:t xml:space="preserve"> jednostavnija i učinkovitija primjena zakonskih i </w:t>
            </w:r>
            <w:proofErr w:type="spellStart"/>
            <w:r w:rsidRPr="0021564A">
              <w:rPr>
                <w:szCs w:val="24"/>
              </w:rPr>
              <w:t>podzakonskih</w:t>
            </w:r>
            <w:proofErr w:type="spellEnd"/>
            <w:r w:rsidRPr="0021564A">
              <w:rPr>
                <w:szCs w:val="24"/>
              </w:rPr>
              <w:t xml:space="preserve"> akata koji se odnose na zrak.</w:t>
            </w: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Izmjenama i dopunama Zakona o zaštiti zraka dodatno se opterećuje postojeći Zakon koji postaje još opširniji i nepregledniji.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114AE5">
              <w:rPr>
                <w:szCs w:val="24"/>
              </w:rPr>
              <w:t>Nenormativna</w:t>
            </w:r>
            <w:proofErr w:type="spellEnd"/>
            <w:r w:rsidRPr="00114AE5">
              <w:rPr>
                <w:szCs w:val="24"/>
              </w:rPr>
              <w:t xml:space="preserve"> rješenja nisu primjenjiva.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114AE5">
              <w:rPr>
                <w:szCs w:val="24"/>
              </w:rPr>
              <w:t xml:space="preserve">Usklađivanje s pravnom stečevinom Europske unije </w:t>
            </w:r>
            <w:r>
              <w:rPr>
                <w:szCs w:val="24"/>
              </w:rPr>
              <w:t xml:space="preserve">i pojednostavljenje provedbe propisa moguće je </w:t>
            </w:r>
            <w:r w:rsidRPr="00114AE5">
              <w:rPr>
                <w:szCs w:val="24"/>
              </w:rPr>
              <w:t xml:space="preserve">samo kroz normativno rješenje te bi svaki oblik </w:t>
            </w:r>
            <w:proofErr w:type="spellStart"/>
            <w:r w:rsidRPr="00114AE5">
              <w:rPr>
                <w:szCs w:val="24"/>
              </w:rPr>
              <w:t>nenormativnog</w:t>
            </w:r>
            <w:proofErr w:type="spellEnd"/>
            <w:r w:rsidRPr="00114AE5">
              <w:rPr>
                <w:szCs w:val="24"/>
              </w:rPr>
              <w:t xml:space="preserve"> rješenja mogao ugroziti izvršenje obveza </w:t>
            </w:r>
            <w:r>
              <w:rPr>
                <w:szCs w:val="24"/>
              </w:rPr>
              <w:t>propisan</w:t>
            </w:r>
            <w:r w:rsidRPr="00114AE5">
              <w:rPr>
                <w:szCs w:val="24"/>
              </w:rPr>
              <w:t>ih EU zakonodavstvom kao i postizanja općenito cilja i promjena do kojih treba dovesti ovaj Zakon.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5C4F83" w:rsidRPr="0077506C" w:rsidTr="002839F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5C4F83" w:rsidRPr="0077506C" w:rsidTr="002839F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C4F83" w:rsidRPr="0077506C" w:rsidTr="002839F3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5C4F83" w:rsidRPr="0077506C" w:rsidTr="002839F3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 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rPr>
                <w:szCs w:val="24"/>
              </w:rPr>
            </w:pPr>
            <w:r w:rsidRPr="00926546">
              <w:rPr>
                <w:szCs w:val="24"/>
              </w:rPr>
              <w:t>Obrazloženje za analizu utvrđivanja izravnih učinaka od 5.1.1. do 5.1.14.</w:t>
            </w:r>
          </w:p>
          <w:p w:rsidR="005C4F83" w:rsidRDefault="005C4F83" w:rsidP="002839F3">
            <w:pPr>
              <w:shd w:val="clear" w:color="auto" w:fill="FFFFFF" w:themeFill="background1"/>
              <w:rPr>
                <w:rFonts w:eastAsia="Times New Roman"/>
                <w:color w:val="000000"/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Novim Zakonom o zaštiti zraka neće biti značajnijih povećanja troškova jer su postojećim Zakonodavnim okvirom definirane obveze svih dionika te se iste neće povećavati prijedlogom zakona.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5C4F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Predloženo normativno rješenje nema izravan značajan učinak na navedene adresate s obzirom da predloženim rješenjem nema povećanja obveza nego se zadržavaju definirane obveze svih dionika.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5C4F83" w:rsidRPr="0077506C" w:rsidTr="002839F3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5.1.28.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5C4F83" w:rsidRPr="0077506C" w:rsidTr="002839F3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C4F83" w:rsidRPr="0077506C" w:rsidTr="002839F3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C4F83" w:rsidRPr="0077506C" w:rsidTr="002839F3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0B424D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5C4F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D838F5">
              <w:rPr>
                <w:b/>
                <w:szCs w:val="24"/>
              </w:rPr>
              <w:t xml:space="preserve">Novim Zakonom o zaštiti zraka neće </w:t>
            </w:r>
            <w:r>
              <w:rPr>
                <w:b/>
                <w:szCs w:val="24"/>
              </w:rPr>
              <w:t>dodatnih učinaka na tržišno natjecanje</w:t>
            </w:r>
            <w:r w:rsidRPr="00D838F5">
              <w:rPr>
                <w:b/>
                <w:szCs w:val="24"/>
              </w:rPr>
              <w:t xml:space="preserve"> jer su postojećim Zakonodavnim okvirom definirane obveze svih dionika te se iste neće povećavati prijedlogom zakona.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5C4F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D838F5">
              <w:rPr>
                <w:b/>
                <w:szCs w:val="24"/>
              </w:rPr>
              <w:t>Predloženo normativno rješenje nema izravan značajan učinak na navedene adresate s obzirom da predloženim rješenjem nema povećanja obveza nego se zadržavaju definirane obveze svih dionika.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5C4F83" w:rsidRPr="0077506C" w:rsidTr="002839F3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C4F83" w:rsidRPr="0077506C" w:rsidTr="002839F3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C4F83" w:rsidRPr="0077506C" w:rsidTr="002839F3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D838F5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D838F5">
              <w:rPr>
                <w:rFonts w:eastAsia="Times New Roman"/>
                <w:b/>
                <w:szCs w:val="24"/>
              </w:rPr>
              <w:t xml:space="preserve">Normativno rješenje neće imati </w:t>
            </w:r>
            <w:r>
              <w:rPr>
                <w:rFonts w:eastAsia="Times New Roman"/>
                <w:b/>
                <w:szCs w:val="24"/>
              </w:rPr>
              <w:t xml:space="preserve">socijalni </w:t>
            </w:r>
            <w:r w:rsidRPr="00D838F5">
              <w:rPr>
                <w:rFonts w:eastAsia="Times New Roman"/>
                <w:b/>
                <w:szCs w:val="24"/>
              </w:rPr>
              <w:t>učinak</w:t>
            </w:r>
            <w:r>
              <w:rPr>
                <w:rFonts w:eastAsia="Times New Roman"/>
                <w:b/>
                <w:szCs w:val="24"/>
              </w:rPr>
              <w:t xml:space="preserve">. 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5C4F83" w:rsidRPr="0077506C" w:rsidTr="002839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5810D4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5810D4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4F7CE0"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4F7C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4F7CE0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5843DC"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5843D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5843DC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BB4A5F"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BB4A5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BB4A5F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ED0AB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ED0ABA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2A2C63"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2A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2A2C63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40F5E"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40F5E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40F5E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884706"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88470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884706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5C4F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5C4F83" w:rsidRPr="00D838F5" w:rsidRDefault="005C4F83" w:rsidP="002839F3">
            <w:pPr>
              <w:rPr>
                <w:rFonts w:eastAsia="Times New Roman"/>
                <w:b/>
                <w:szCs w:val="24"/>
              </w:rPr>
            </w:pPr>
            <w:r w:rsidRPr="00D838F5">
              <w:rPr>
                <w:rFonts w:eastAsia="Times New Roman"/>
                <w:b/>
                <w:szCs w:val="24"/>
              </w:rPr>
              <w:t xml:space="preserve">Zakonodavstvo EU u području zaštite zraka uređeno je nizom Direktiva i Uredbi koje su hrvatsko zakonodavstvo prenesene u postojećem Zakonu i nizu </w:t>
            </w:r>
            <w:proofErr w:type="spellStart"/>
            <w:r w:rsidRPr="00D838F5">
              <w:rPr>
                <w:rFonts w:eastAsia="Times New Roman"/>
                <w:b/>
                <w:szCs w:val="24"/>
              </w:rPr>
              <w:t>podzakonskih</w:t>
            </w:r>
            <w:proofErr w:type="spellEnd"/>
            <w:r w:rsidRPr="00D838F5">
              <w:rPr>
                <w:rFonts w:eastAsia="Times New Roman"/>
                <w:b/>
                <w:szCs w:val="24"/>
              </w:rPr>
              <w:t xml:space="preserve"> akata koji se </w:t>
            </w:r>
            <w:proofErr w:type="spellStart"/>
            <w:r w:rsidRPr="00D838F5">
              <w:rPr>
                <w:rFonts w:eastAsia="Times New Roman"/>
                <w:b/>
                <w:szCs w:val="24"/>
              </w:rPr>
              <w:t>donose</w:t>
            </w:r>
            <w:r w:rsidRPr="009B6065">
              <w:rPr>
                <w:rFonts w:eastAsia="Times New Roman"/>
                <w:b/>
                <w:szCs w:val="24"/>
              </w:rPr>
              <w:t>ni</w:t>
            </w:r>
            <w:proofErr w:type="spellEnd"/>
            <w:r w:rsidRPr="00D838F5">
              <w:rPr>
                <w:rFonts w:eastAsia="Times New Roman"/>
                <w:b/>
                <w:szCs w:val="24"/>
              </w:rPr>
              <w:t xml:space="preserve"> na temelju istog.</w:t>
            </w:r>
          </w:p>
          <w:p w:rsidR="005C4F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5C4F83" w:rsidRPr="009B6065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B6065">
              <w:rPr>
                <w:b/>
                <w:szCs w:val="24"/>
              </w:rPr>
              <w:t xml:space="preserve">Provedba definiranih politika i mjera u području zaštite zraka doprinijet će zaštiti zdravlja i kvaliteti života u urbanim cjelinama. Ujedno  provedba mjera zaštite zraka kao dijela koncepta </w:t>
            </w:r>
            <w:proofErr w:type="spellStart"/>
            <w:r w:rsidRPr="009B6065">
              <w:rPr>
                <w:b/>
                <w:szCs w:val="24"/>
              </w:rPr>
              <w:t>niskougljičnog</w:t>
            </w:r>
            <w:proofErr w:type="spellEnd"/>
            <w:r w:rsidRPr="009B6065">
              <w:rPr>
                <w:b/>
                <w:szCs w:val="24"/>
              </w:rPr>
              <w:t xml:space="preserve"> razvoja doprinose razvoju tržišta zelenih proizvoda i usluga te novih zelenih radnih mjesta.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86668D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86668D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51F4B"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51F4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51F4B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61DF6"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61DF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61DF6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1406A"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1406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1406A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pravosudna tijela, javne ustanove, jedinice lokalne i područne </w:t>
            </w:r>
            <w:r w:rsidRPr="0077506C">
              <w:rPr>
                <w:szCs w:val="24"/>
              </w:rPr>
              <w:lastRenderedPageBreak/>
              <w:t>(regionalne) samouprave, pravne osobe s javnim ovlastima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F5188B">
              <w:rPr>
                <w:szCs w:val="24"/>
              </w:rPr>
              <w:t>Obrazloženje za analizu utvrđivanja adresata od 5.4.14. do 5.4.25.</w:t>
            </w:r>
          </w:p>
          <w:p w:rsidR="005C4F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5C4F83" w:rsidRPr="009B6065" w:rsidRDefault="005C4F83" w:rsidP="002839F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9B6065">
              <w:rPr>
                <w:b/>
                <w:szCs w:val="24"/>
              </w:rPr>
              <w:t xml:space="preserve">Provedba već definiranih politika i mjera u području zaštite zraka doprinijet će zaštiti zdravlja i kvaliteti života u urbanim cjelinama zbog smanjenja onečišćenja zraka. Ujedno  provedba mjera zaštite zraka kao dijela koncepta </w:t>
            </w:r>
            <w:proofErr w:type="spellStart"/>
            <w:r w:rsidRPr="009B6065">
              <w:rPr>
                <w:b/>
                <w:szCs w:val="24"/>
              </w:rPr>
              <w:t>niskougljičnog</w:t>
            </w:r>
            <w:proofErr w:type="spellEnd"/>
            <w:r w:rsidRPr="009B6065">
              <w:rPr>
                <w:b/>
                <w:szCs w:val="24"/>
              </w:rPr>
              <w:t xml:space="preserve"> razvoja doprinose razvoju tržišta zelenih proizvoda, gospodarskom rastu i povećanju zaposlenosti. 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5C4F83" w:rsidRPr="0077506C" w:rsidTr="002839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0B424D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0B424D">
                    <w:rPr>
                      <w:rFonts w:eastAsia="Times New Roman"/>
                      <w:b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DB01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DB01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DB01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DB01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202E3C">
              <w:rPr>
                <w:szCs w:val="24"/>
              </w:rPr>
              <w:t>Obrazloženje za analizu utvrđivanja izravnih učinaka od 5.5.1. do 5.5.10.:</w:t>
            </w:r>
          </w:p>
          <w:p w:rsidR="005C4F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5C4F83" w:rsidRPr="009B6065" w:rsidRDefault="005C4F83" w:rsidP="002839F3">
            <w:pPr>
              <w:jc w:val="both"/>
              <w:rPr>
                <w:rFonts w:eastAsia="Times New Roman"/>
                <w:b/>
                <w:color w:val="000000"/>
                <w:szCs w:val="24"/>
              </w:rPr>
            </w:pPr>
            <w:r w:rsidRPr="009B6065">
              <w:rPr>
                <w:rFonts w:eastAsia="Times New Roman"/>
                <w:b/>
                <w:color w:val="000000"/>
                <w:szCs w:val="24"/>
              </w:rPr>
              <w:lastRenderedPageBreak/>
              <w:t>Novim Zakonom olakšati će se razumijevanje i primjena propisa vezanih uz zaštitu zraka. Iako pozitivno, normativno rješenje neće imati značajan učinak na okoliš. Prijedlogom novog Zakona će se postojeće mjere nastaviti primjenjivati i nakon 2020. godine u svim sektorima.</w:t>
            </w:r>
          </w:p>
          <w:p w:rsidR="005C4F83" w:rsidRPr="0077506C" w:rsidRDefault="005C4F83" w:rsidP="002839F3">
            <w:pPr>
              <w:jc w:val="both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81FC8"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81FC8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81FC8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34A95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34A95">
              <w:rPr>
                <w:szCs w:val="24"/>
              </w:rPr>
              <w:t>Obrazloženje za analizu utvrđivanja adresata od 5.5.12. do 5.5.22.</w:t>
            </w:r>
          </w:p>
          <w:p w:rsidR="005C4F83" w:rsidRPr="00734A95" w:rsidRDefault="005C4F83" w:rsidP="002839F3">
            <w:pPr>
              <w:shd w:val="clear" w:color="auto" w:fill="FFFFFF" w:themeFill="background1"/>
              <w:jc w:val="both"/>
            </w:pPr>
          </w:p>
          <w:p w:rsidR="005C4F83" w:rsidRPr="009B6065" w:rsidRDefault="005C4F83" w:rsidP="002839F3">
            <w:pPr>
              <w:shd w:val="clear" w:color="auto" w:fill="FFFFFF" w:themeFill="background1"/>
              <w:jc w:val="both"/>
              <w:rPr>
                <w:b/>
              </w:rPr>
            </w:pPr>
            <w:r w:rsidRPr="009B6065">
              <w:rPr>
                <w:b/>
              </w:rPr>
              <w:t xml:space="preserve">Provođenje mjera zaštite zraka obuhvaća sve sektore (iz industrijskog i energetskog sektora, poljoprivreda, promet) te iste provode svi navedeni adresati u </w:t>
            </w:r>
            <w:r>
              <w:rPr>
                <w:b/>
              </w:rPr>
              <w:t xml:space="preserve">već definiranom </w:t>
            </w:r>
            <w:r w:rsidRPr="009B6065">
              <w:rPr>
                <w:b/>
              </w:rPr>
              <w:t xml:space="preserve">određenom obimu. </w:t>
            </w:r>
          </w:p>
          <w:p w:rsidR="005C4F83" w:rsidRPr="00734A95" w:rsidRDefault="005C4F83" w:rsidP="002839F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5C4F83" w:rsidRPr="0077506C" w:rsidTr="002839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0B424D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0B424D">
                    <w:rPr>
                      <w:rFonts w:eastAsia="Times New Roman"/>
                      <w:b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5C4F83" w:rsidRPr="0077506C" w:rsidTr="002839F3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5C4F83" w:rsidRPr="0077506C" w:rsidRDefault="005C4F83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5C4F83" w:rsidRPr="0077506C" w:rsidTr="002839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5C4F83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5C4F83" w:rsidRPr="0077506C" w:rsidRDefault="005C4F83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095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9B6065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0E7D83">
              <w:rPr>
                <w:szCs w:val="24"/>
              </w:rPr>
              <w:t>Obrazloženje:</w:t>
            </w:r>
            <w:r w:rsidRPr="000E7D83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9B6065">
              <w:rPr>
                <w:rFonts w:ascii="Helvetica" w:hAnsi="Helvetica" w:cs="Helvetica"/>
                <w:b/>
                <w:sz w:val="18"/>
                <w:szCs w:val="18"/>
              </w:rPr>
              <w:t>A</w:t>
            </w:r>
            <w:r w:rsidRPr="009B6065">
              <w:rPr>
                <w:b/>
                <w:szCs w:val="24"/>
              </w:rPr>
              <w:t>dministrativne obveze koje će poduzetnici ima</w:t>
            </w:r>
            <w:r>
              <w:rPr>
                <w:b/>
                <w:szCs w:val="24"/>
              </w:rPr>
              <w:t>ti</w:t>
            </w:r>
            <w:r w:rsidRPr="009B6065">
              <w:rPr>
                <w:b/>
                <w:szCs w:val="24"/>
              </w:rPr>
              <w:t xml:space="preserve"> temeljem nacrta novog Zakona već su propisane Zakonom o zaštiti zraka ("Narodne novine", br. 130/2011, 47/2014, 61/2017) </w:t>
            </w:r>
            <w:r>
              <w:rPr>
                <w:b/>
                <w:szCs w:val="24"/>
              </w:rPr>
              <w:t>te će se iste preuzeti i ovim</w:t>
            </w:r>
            <w:r w:rsidRPr="009B6065">
              <w:rPr>
                <w:b/>
                <w:szCs w:val="24"/>
              </w:rPr>
              <w:t xml:space="preserve"> Zakon</w:t>
            </w:r>
            <w:r>
              <w:rPr>
                <w:b/>
                <w:szCs w:val="24"/>
              </w:rPr>
              <w:t>om</w:t>
            </w:r>
            <w:r w:rsidRPr="009B6065">
              <w:rPr>
                <w:b/>
                <w:szCs w:val="24"/>
              </w:rPr>
              <w:t xml:space="preserve">. </w:t>
            </w:r>
          </w:p>
          <w:p w:rsidR="005C4F83" w:rsidRPr="000E7D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:rsidR="005C4F83" w:rsidRPr="000E7D83" w:rsidRDefault="005C4F83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0E7D83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0E7D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0E7D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0E7D83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9B6065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proofErr w:type="spellStart"/>
            <w:r w:rsidRPr="000E7D83">
              <w:rPr>
                <w:szCs w:val="24"/>
              </w:rPr>
              <w:t>Obrazloženje:</w:t>
            </w:r>
            <w:r w:rsidRPr="009B6065">
              <w:rPr>
                <w:b/>
                <w:szCs w:val="24"/>
              </w:rPr>
              <w:t>Navedenim</w:t>
            </w:r>
            <w:proofErr w:type="spellEnd"/>
            <w:r w:rsidRPr="009B6065">
              <w:rPr>
                <w:b/>
                <w:szCs w:val="24"/>
              </w:rPr>
              <w:t xml:space="preserve"> normativnim rješenjem ne stvaraju se prepreke slobodi tržišne konkurencije.</w:t>
            </w:r>
          </w:p>
          <w:p w:rsidR="005C4F83" w:rsidRPr="000E7D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:rsidR="005C4F83" w:rsidRPr="000E7D83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0E7D83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0E7D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0E7D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0E7D83"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0E7D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0E7D83">
              <w:rPr>
                <w:szCs w:val="24"/>
              </w:rPr>
              <w:t>Obrazloženje</w:t>
            </w:r>
            <w:r w:rsidRPr="000B424D">
              <w:rPr>
                <w:b/>
                <w:szCs w:val="24"/>
              </w:rPr>
              <w:t>: Dosadašnje obveze se ne povećavaju i ne</w:t>
            </w:r>
            <w:r w:rsidRPr="001F5D42">
              <w:rPr>
                <w:b/>
                <w:szCs w:val="24"/>
              </w:rPr>
              <w:t xml:space="preserve"> uvode se </w:t>
            </w:r>
            <w:r>
              <w:rPr>
                <w:b/>
                <w:szCs w:val="24"/>
              </w:rPr>
              <w:t>nova davanja, već p</w:t>
            </w:r>
            <w:r w:rsidRPr="009B6065">
              <w:rPr>
                <w:b/>
                <w:szCs w:val="24"/>
              </w:rPr>
              <w:t xml:space="preserve">ostojeće obveze za gospodarstvenike </w:t>
            </w:r>
            <w:r>
              <w:rPr>
                <w:b/>
                <w:szCs w:val="24"/>
              </w:rPr>
              <w:t xml:space="preserve">koje su </w:t>
            </w:r>
            <w:r w:rsidRPr="009B6065">
              <w:rPr>
                <w:b/>
                <w:szCs w:val="24"/>
              </w:rPr>
              <w:t xml:space="preserve">i do sada propisane Zakonom o zaštiti zraka </w:t>
            </w:r>
            <w:r w:rsidRPr="009B6065">
              <w:rPr>
                <w:b/>
              </w:rPr>
              <w:t xml:space="preserve">("Narodne novine", br. 130/2011, 47/2014, 61/2017) </w:t>
            </w:r>
            <w:r>
              <w:rPr>
                <w:b/>
              </w:rPr>
              <w:t xml:space="preserve">ostaju iste te će se preuzeti ovim </w:t>
            </w:r>
            <w:r w:rsidRPr="009B6065">
              <w:rPr>
                <w:b/>
              </w:rPr>
              <w:t>Zakon</w:t>
            </w:r>
            <w:r>
              <w:rPr>
                <w:b/>
              </w:rPr>
              <w:t>om.</w:t>
            </w:r>
            <w:r w:rsidRPr="009B6065">
              <w:rPr>
                <w:b/>
              </w:rPr>
              <w:t xml:space="preserve"> 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879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Pr="009B6065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proofErr w:type="spellStart"/>
            <w:r w:rsidRPr="0077506C">
              <w:rPr>
                <w:szCs w:val="24"/>
              </w:rPr>
              <w:t>Obrazloženje:</w:t>
            </w:r>
            <w:r w:rsidRPr="009B6065">
              <w:rPr>
                <w:b/>
                <w:szCs w:val="24"/>
              </w:rPr>
              <w:t>Predloženi</w:t>
            </w:r>
            <w:proofErr w:type="spellEnd"/>
            <w:r w:rsidRPr="009B6065">
              <w:rPr>
                <w:b/>
                <w:szCs w:val="24"/>
              </w:rPr>
              <w:t xml:space="preserve"> Nacrt prijedloga zakona nema posebnih učinaka na mikro poduzetnike.</w:t>
            </w:r>
          </w:p>
          <w:p w:rsidR="005C4F83" w:rsidRPr="0054196B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5C4F83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 xml:space="preserve">Obrazloženje: </w:t>
            </w:r>
            <w:r w:rsidRPr="009B6065">
              <w:rPr>
                <w:b/>
                <w:szCs w:val="24"/>
              </w:rPr>
              <w:t>Nacrtom Zakona o zaštiti zraka propisati će se administrativne obveze koje poduzetnici već imaju a propisane su Zakonom o zaštiti zraka ("Narodne novine", br. 130/2011, 47/2014, 61/2017).</w:t>
            </w:r>
          </w:p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5" w:history="1">
              <w:r w:rsidRPr="001D17A4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5C4F83" w:rsidRPr="0077506C" w:rsidRDefault="005C4F83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0B424D" w:rsidRDefault="005C4F83" w:rsidP="002839F3">
            <w:pPr>
              <w:shd w:val="clear" w:color="auto" w:fill="FFFFFF" w:themeFill="background1"/>
              <w:jc w:val="center"/>
              <w:rPr>
                <w:rFonts w:eastAsia="Times New Roman"/>
                <w:b/>
                <w:szCs w:val="24"/>
              </w:rPr>
            </w:pPr>
            <w:r w:rsidRPr="000B424D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0B424D" w:rsidRDefault="005C4F83" w:rsidP="002839F3">
            <w:pPr>
              <w:shd w:val="clear" w:color="auto" w:fill="FFFFFF" w:themeFill="background1"/>
              <w:jc w:val="center"/>
              <w:rPr>
                <w:rFonts w:eastAsia="Times New Roman"/>
                <w:b/>
                <w:szCs w:val="24"/>
              </w:rPr>
            </w:pPr>
            <w:r w:rsidRPr="000B424D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0B424D" w:rsidRDefault="005C4F83" w:rsidP="002839F3">
            <w:pPr>
              <w:shd w:val="clear" w:color="auto" w:fill="FFFFFF" w:themeFill="background1"/>
              <w:jc w:val="center"/>
              <w:rPr>
                <w:rFonts w:eastAsia="Times New Roman"/>
                <w:b/>
                <w:szCs w:val="24"/>
              </w:rPr>
            </w:pPr>
            <w:r w:rsidRPr="000B424D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0B424D" w:rsidRDefault="005C4F83" w:rsidP="002839F3">
            <w:pPr>
              <w:shd w:val="clear" w:color="auto" w:fill="FFFFFF" w:themeFill="background1"/>
              <w:jc w:val="center"/>
              <w:rPr>
                <w:rFonts w:eastAsia="Times New Roman"/>
                <w:b/>
                <w:szCs w:val="24"/>
              </w:rPr>
            </w:pPr>
            <w:r w:rsidRPr="000B424D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0B424D" w:rsidRDefault="005C4F83" w:rsidP="002839F3">
            <w:pPr>
              <w:shd w:val="clear" w:color="auto" w:fill="FFFFFF" w:themeFill="background1"/>
              <w:jc w:val="center"/>
              <w:rPr>
                <w:rFonts w:eastAsia="Times New Roman"/>
                <w:b/>
                <w:szCs w:val="24"/>
              </w:rPr>
            </w:pPr>
            <w:r w:rsidRPr="000B424D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0B424D" w:rsidRDefault="005C4F83" w:rsidP="002839F3">
            <w:pPr>
              <w:shd w:val="clear" w:color="auto" w:fill="FFFFFF" w:themeFill="background1"/>
              <w:jc w:val="center"/>
              <w:rPr>
                <w:rFonts w:eastAsia="Times New Roman"/>
                <w:b/>
                <w:szCs w:val="24"/>
              </w:rPr>
            </w:pPr>
            <w:r w:rsidRPr="000B424D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0B424D" w:rsidRDefault="005C4F83" w:rsidP="002839F3">
            <w:pPr>
              <w:shd w:val="clear" w:color="auto" w:fill="FFFFFF" w:themeFill="background1"/>
              <w:jc w:val="center"/>
              <w:rPr>
                <w:rFonts w:eastAsia="Times New Roman"/>
                <w:b/>
                <w:szCs w:val="24"/>
              </w:rPr>
            </w:pPr>
            <w:r w:rsidRPr="000B424D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0B424D" w:rsidRDefault="005C4F83" w:rsidP="002839F3">
            <w:pPr>
              <w:shd w:val="clear" w:color="auto" w:fill="FFFFFF" w:themeFill="background1"/>
              <w:jc w:val="center"/>
              <w:rPr>
                <w:rFonts w:eastAsia="Times New Roman"/>
                <w:b/>
                <w:szCs w:val="24"/>
              </w:rPr>
            </w:pPr>
            <w:r w:rsidRPr="000B424D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4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dr. </w:t>
            </w:r>
            <w:proofErr w:type="spellStart"/>
            <w:r>
              <w:rPr>
                <w:rFonts w:eastAsia="Times New Roman"/>
                <w:szCs w:val="24"/>
              </w:rPr>
              <w:t>sc</w:t>
            </w:r>
            <w:proofErr w:type="spellEnd"/>
            <w:r>
              <w:rPr>
                <w:rFonts w:eastAsia="Times New Roman"/>
                <w:szCs w:val="24"/>
              </w:rPr>
              <w:t>. Tomislav Ćorić, ministar</w:t>
            </w: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>17. listopada 2018.</w:t>
            </w:r>
          </w:p>
        </w:tc>
      </w:tr>
      <w:tr w:rsidR="005C4F83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5C4F83" w:rsidRPr="0097347E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5C4F83" w:rsidRPr="0077506C" w:rsidRDefault="005C4F83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5C4F83" w:rsidRPr="0077506C" w:rsidRDefault="005C4F83" w:rsidP="0066139A">
            <w:pPr>
              <w:pStyle w:val="Odlomakpopisa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lastRenderedPageBreak/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5C4F83" w:rsidRDefault="005C4F83" w:rsidP="005442C0">
      <w:pPr>
        <w:pStyle w:val="Naslov2"/>
      </w:pPr>
    </w:p>
    <w:p w:rsidR="005C4F83" w:rsidRDefault="001065FF" w:rsidP="005442C0">
      <w:pPr>
        <w:pStyle w:val="Naslov2"/>
      </w:pPr>
      <w:r>
        <w:t>OBRAZAC PRETHODNE PROCJENE ZA ZAKON</w:t>
      </w:r>
      <w:r w:rsidR="00BC59E5">
        <w:t xml:space="preserve"> O KLIMATSKIM PROMJENAMA I ZAŠTITI OZONSKOG SLOJA</w:t>
      </w:r>
      <w:r>
        <w:t xml:space="preserve"> </w:t>
      </w:r>
    </w:p>
    <w:p w:rsidR="00BC59E5" w:rsidRDefault="00BC59E5"/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1697"/>
        <w:gridCol w:w="2409"/>
        <w:gridCol w:w="284"/>
        <w:gridCol w:w="992"/>
        <w:gridCol w:w="36"/>
        <w:gridCol w:w="956"/>
      </w:tblGrid>
      <w:tr w:rsidR="00BC59E5" w:rsidRPr="0077506C" w:rsidTr="002839F3">
        <w:tc>
          <w:tcPr>
            <w:tcW w:w="9923" w:type="dxa"/>
            <w:gridSpan w:val="8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Pr="007B4691" w:rsidRDefault="00BC59E5" w:rsidP="002839F3">
            <w:pPr>
              <w:rPr>
                <w:rFonts w:eastAsiaTheme="minorEastAsia"/>
                <w:noProof/>
              </w:rPr>
            </w:pPr>
            <w:r w:rsidRPr="007B4691">
              <w:rPr>
                <w:rFonts w:eastAsiaTheme="minorEastAsia"/>
                <w:noProof/>
              </w:rPr>
              <w:t>Ministarstvo zaštite okoliša i energetike</w:t>
            </w: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Pr="007B4691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B4691">
              <w:rPr>
                <w:szCs w:val="24"/>
              </w:rPr>
              <w:t>Zakon o klimatskim promjenama i zaštiti ozonskog</w:t>
            </w:r>
            <w:r>
              <w:rPr>
                <w:szCs w:val="24"/>
              </w:rPr>
              <w:t xml:space="preserve"> </w:t>
            </w:r>
            <w:r w:rsidRPr="007B4691">
              <w:rPr>
                <w:szCs w:val="24"/>
              </w:rPr>
              <w:t>sloja</w:t>
            </w: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2018.</w:t>
            </w: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Pr="00832982" w:rsidRDefault="00BC59E5" w:rsidP="002839F3">
            <w:pPr>
              <w:rPr>
                <w:rFonts w:eastAsiaTheme="minorEastAsia"/>
                <w:noProof/>
              </w:rPr>
            </w:pPr>
            <w:r w:rsidRPr="00832982">
              <w:rPr>
                <w:rFonts w:eastAsiaTheme="minorEastAsia"/>
                <w:noProof/>
              </w:rPr>
              <w:t>Uprava za klimatske aktivnosti, održivi razvoj i zaštitu zraka, tla i od svjetlosnog onečišćenja</w:t>
            </w:r>
          </w:p>
          <w:p w:rsidR="00BC59E5" w:rsidRPr="00832982" w:rsidRDefault="00BC59E5" w:rsidP="002839F3">
            <w:pPr>
              <w:shd w:val="clear" w:color="auto" w:fill="FFFFFF" w:themeFill="background1"/>
              <w:rPr>
                <w:rFonts w:eastAsiaTheme="minorEastAsia"/>
                <w:noProof/>
              </w:rPr>
            </w:pPr>
            <w:r w:rsidRPr="00832982">
              <w:rPr>
                <w:rFonts w:eastAsiaTheme="minorEastAsia"/>
                <w:noProof/>
              </w:rPr>
              <w:t>Sektor za klimatske aktivnosti i održivi razvoj</w:t>
            </w:r>
          </w:p>
          <w:p w:rsidR="00BC59E5" w:rsidRPr="00832982" w:rsidRDefault="00BC59E5" w:rsidP="002839F3">
            <w:pPr>
              <w:shd w:val="clear" w:color="auto" w:fill="FFFFFF" w:themeFill="background1"/>
              <w:rPr>
                <w:rFonts w:eastAsiaTheme="minorEastAsia"/>
                <w:noProof/>
              </w:rPr>
            </w:pPr>
            <w:r w:rsidRPr="00832982">
              <w:rPr>
                <w:rFonts w:eastAsiaTheme="minorEastAsia"/>
                <w:noProof/>
              </w:rPr>
              <w:t>Služba za klimatske aktivnosti i zaštitu ozonskog sloja</w:t>
            </w:r>
          </w:p>
          <w:p w:rsidR="00BC59E5" w:rsidRPr="008E4B81" w:rsidRDefault="00BC59E5" w:rsidP="002839F3">
            <w:pPr>
              <w:shd w:val="clear" w:color="auto" w:fill="FFFFFF" w:themeFill="background1"/>
              <w:rPr>
                <w:rFonts w:eastAsiaTheme="minorEastAsia"/>
                <w:noProof/>
                <w:highlight w:val="yellow"/>
              </w:rPr>
            </w:pPr>
          </w:p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Jasenka Nećak, načelnica sektora</w:t>
            </w:r>
          </w:p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01/3717 228, </w:t>
            </w:r>
            <w:hyperlink r:id="rId6" w:history="1">
              <w:r w:rsidRPr="00400D18">
                <w:rPr>
                  <w:rStyle w:val="Hiperveza"/>
                  <w:szCs w:val="24"/>
                </w:rPr>
                <w:t>jasenka.necak@mzoe.hr</w:t>
              </w:r>
            </w:hyperlink>
          </w:p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Višnja Grgasović, voditeljica Službe</w:t>
            </w:r>
          </w:p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01/3717 217, </w:t>
            </w:r>
            <w:hyperlink r:id="rId7" w:history="1">
              <w:r w:rsidRPr="00400D18">
                <w:rPr>
                  <w:rStyle w:val="Hiperveza"/>
                  <w:szCs w:val="24"/>
                </w:rPr>
                <w:t>visnja.grgasovic@mzoe.hr</w:t>
              </w:r>
            </w:hyperlink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1697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1697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A02BE8">
              <w:rPr>
                <w:szCs w:val="24"/>
              </w:rPr>
              <w:t>DA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BC59E5" w:rsidRPr="00AA38DA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AA38DA">
              <w:rPr>
                <w:rFonts w:eastAsia="Times New Roman"/>
                <w:szCs w:val="24"/>
              </w:rPr>
              <w:t xml:space="preserve">Naziv pravne stečevine EU: </w:t>
            </w:r>
          </w:p>
          <w:p w:rsidR="00BC59E5" w:rsidRPr="00AA38DA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 xml:space="preserve">– </w:t>
            </w:r>
            <w:r w:rsidRPr="00AA38DA">
              <w:rPr>
                <w:rFonts w:eastAsia="Times New Roman"/>
                <w:szCs w:val="24"/>
              </w:rPr>
              <w:t>Direktiva 2018/410 Europskog parlamenta i Vijeća od 14. ožujka 2018. o izmjeni Direktive 2003/87/EZ radi poboljšanja troškovno učinkovitih smanjenja emisija i ulaganja za niske emisije ugljika te Odluke (EU) 2015/1814 (SL L 76, 19.3.2018.)</w:t>
            </w: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>– Direktiva 2009/29/EZ Europskog parlamenta i Vijeća kojom se izmjenjuje i dopunjuje Direktiva 2003/87/EZ kako bi se unaprijedio i proširio sustav trgovanja emisijskim jedinicama Zajednice (SL L 140, 5. 6. 2009.),</w:t>
            </w: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Pr="007B640B" w:rsidRDefault="00BC59E5" w:rsidP="002839F3">
            <w:pPr>
              <w:ind w:firstLine="32"/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 xml:space="preserve">– </w:t>
            </w:r>
            <w:r w:rsidRPr="007B640B">
              <w:rPr>
                <w:rFonts w:eastAsia="Times New Roman"/>
                <w:szCs w:val="24"/>
              </w:rPr>
              <w:t xml:space="preserve">Direktiva 2008/101/EZ Europskog parlamenta i Vijeća kojom se izmjenjuje i dopunjuje Direktiva 2003/87/EZ kako bi se zrakoplovne aktivnosti uključile u sustav trgovanja kvotama emisijama </w:t>
            </w:r>
            <w:r w:rsidRPr="007B640B">
              <w:rPr>
                <w:rFonts w:eastAsia="Times New Roman"/>
                <w:szCs w:val="24"/>
              </w:rPr>
              <w:lastRenderedPageBreak/>
              <w:t>stakleničkih plinova unutar Zajednice (SL L 8, 13. 1. 2009.)– Direktiva 2003/87/EZ Europskog parlamenta i Vijeća kojom se utvrđuje shema za trgovanje kvotama emisije stakleničkih plinova unutar Zajednice i kojom se izmjenjuje i dopunjuje Direktiva Vijeća 96/61/EZ (SL L 275, 25. 10. 2003.)</w:t>
            </w:r>
          </w:p>
          <w:p w:rsidR="00BC59E5" w:rsidRPr="00EE6A52" w:rsidRDefault="00BC59E5" w:rsidP="002839F3">
            <w:pPr>
              <w:pStyle w:val="Odlomakpopisa"/>
              <w:ind w:left="4"/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 xml:space="preserve">– Direktiva 2004/101/EZ Europskog parlamenta i Vijeća kojom se dopunjuje Direktiva 2003/87/EZ kojom se utvrđuje shema za trgovanje kvotama emisije stakleničkih plinova unutar Zajednice, vezano za projektne mehanizme </w:t>
            </w:r>
            <w:proofErr w:type="spellStart"/>
            <w:r w:rsidRPr="00A02BE8">
              <w:rPr>
                <w:rFonts w:eastAsia="Times New Roman"/>
                <w:szCs w:val="24"/>
              </w:rPr>
              <w:t>Kyotskog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protokola (SL L 338, 13. 11. 2004.)</w:t>
            </w: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 xml:space="preserve">– </w:t>
            </w:r>
            <w:r w:rsidRPr="00535BD6">
              <w:rPr>
                <w:rFonts w:eastAsia="Times New Roman"/>
                <w:szCs w:val="24"/>
              </w:rPr>
              <w:t>Direktiva 2003/87/EZ Europskog parlamenta i Vijeća kojom se utvrđuje sustav trgovanja emisijskim jedinicama stakleničkih plinova unutar Zajednice i kojom se izmjenjuje i dopunjuje Direktiva Vijeća 96/61/EZ (SL L 275, 25. 10. 2003.)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>– Direktiva 2009/30/EZ Europskog parlamenta i Vijeća o izmjenama i dopunama Direktive 98/70/EZ u pogledu specifikacije benzina i dizelskih goriva i plinskog ulja i uvođenju mehanizma praćenja i smanjenja emisija stakleničkih plinova i izmjenama i dopunama Direktive Vijeća 1999/32/EZ u pogledu specifikacije goriva koje koriste plovila za unutarnju plovidbu i ukidanju Direktive 93/12/EEZ (SL L 140, 5. 6. 2009.)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 xml:space="preserve">– Direktiva Vijeća (EU) </w:t>
            </w:r>
            <w:r>
              <w:rPr>
                <w:rFonts w:eastAsia="Times New Roman"/>
                <w:szCs w:val="24"/>
              </w:rPr>
              <w:t>652/</w:t>
            </w:r>
            <w:r w:rsidRPr="00A02BE8">
              <w:rPr>
                <w:rFonts w:eastAsia="Times New Roman"/>
                <w:szCs w:val="24"/>
              </w:rPr>
              <w:t>2015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A02BE8">
              <w:rPr>
                <w:rFonts w:eastAsia="Times New Roman"/>
                <w:szCs w:val="24"/>
              </w:rPr>
              <w:t>od 20. travnja 2015. o utvrđivanju metoda izračuna i zahtjeva u vezi s izvješćivanjem u skladu s Direktivom 98/70/EZ Europskog parlamenta i Vijeća o kakvoći benzinskih i dizelskih goriva (SL L 107, 25. 4. 2015)</w:t>
            </w: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– Uredba</w:t>
            </w:r>
            <w:r w:rsidRPr="00F3024E">
              <w:rPr>
                <w:rFonts w:eastAsia="Times New Roman"/>
                <w:szCs w:val="24"/>
              </w:rPr>
              <w:t xml:space="preserve"> Komisije (EU) br. 1031/2010 od 12. studenoga 2010. o rasporedu, upravljanju i drugim aspektima dražbi emisijskih jedinica stakleničkih plinova prema Direktivi 2003/87/EZ Europskoga parlamenta i Vijeća o uspostavi sustava trgovanja emisijskim jedinicama stakleničkih plinova unutar Zajednice (Tekst značajan za EGP) (SL L 302, 18. 11. 2010.) </w:t>
            </w:r>
          </w:p>
          <w:p w:rsidR="00BC59E5" w:rsidRPr="00F3024E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A38DA">
              <w:rPr>
                <w:rFonts w:eastAsia="Times New Roman"/>
                <w:szCs w:val="24"/>
              </w:rPr>
              <w:t xml:space="preserve">– </w:t>
            </w:r>
            <w:r>
              <w:rPr>
                <w:rFonts w:eastAsia="Times New Roman"/>
                <w:szCs w:val="24"/>
              </w:rPr>
              <w:t>Odluka</w:t>
            </w:r>
            <w:r w:rsidRPr="00F3024E">
              <w:rPr>
                <w:rFonts w:eastAsia="Times New Roman"/>
                <w:szCs w:val="24"/>
              </w:rPr>
              <w:t xml:space="preserve"> Komisije 2011/278/EU od 27. travnja 2011. o utvrđivanju prijelaznih propisa na razini Unije za usklađenu besplatnu dodjelu emisijskih jedinica na temelju članka 10.a Direktive 2003/87/EZ Europskog parlamenta i Vijeća </w:t>
            </w:r>
            <w:r w:rsidRPr="00F3024E">
              <w:rPr>
                <w:rFonts w:eastAsia="Times New Roman"/>
                <w:szCs w:val="24"/>
              </w:rPr>
              <w:lastRenderedPageBreak/>
              <w:t xml:space="preserve">(priopćena pod brojem dokumenta C(2011) 2772) (SL L 130, 17. 5. 2011.) </w:t>
            </w:r>
          </w:p>
          <w:p w:rsidR="00BC59E5" w:rsidRPr="008D2A19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A38DA">
              <w:rPr>
                <w:rFonts w:eastAsia="Times New Roman"/>
                <w:szCs w:val="24"/>
              </w:rPr>
              <w:t xml:space="preserve">– </w:t>
            </w:r>
            <w:r>
              <w:rPr>
                <w:rFonts w:eastAsia="Times New Roman"/>
                <w:szCs w:val="24"/>
              </w:rPr>
              <w:t>Uredba</w:t>
            </w:r>
            <w:r w:rsidRPr="00F3024E">
              <w:rPr>
                <w:rFonts w:eastAsia="Times New Roman"/>
                <w:szCs w:val="24"/>
              </w:rPr>
              <w:t xml:space="preserve"> Komisije (EU) br. 550/2011 od 7. lipnja 2011. o utvrđivanju određenih ograničenja koja se primjenjuju na korištenje međunarodnih emisijskih kredita iz projekata koji uključuju industrijske plinove, na temelju Direktive 2003/87/EZ Europskog parlamenta i Vijeća (Tekst značajan za EGP) (SL L 149, 8. 6. 2011.) </w:t>
            </w:r>
          </w:p>
          <w:p w:rsidR="00BC59E5" w:rsidRPr="00F3024E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– Uredba</w:t>
            </w:r>
            <w:r w:rsidRPr="00F3024E">
              <w:rPr>
                <w:rFonts w:eastAsia="Times New Roman"/>
                <w:szCs w:val="24"/>
              </w:rPr>
              <w:t xml:space="preserve"> Komisije (EU) br. 600/2012 od 21. lipnja 2012. o verifikaciji izvješća o stakleničkim plinovima i izvješća o tonskim kilometrima te o akreditaciji verifikatora u skladu s Direktivom 2003/87/EZ Europskog parlamenta i Vijeća (Tekst značajan za EGP) (SL L 181, 12. 7. 2012.) </w:t>
            </w:r>
          </w:p>
          <w:p w:rsidR="00BC59E5" w:rsidRPr="00B85404" w:rsidRDefault="00BC59E5" w:rsidP="002839F3">
            <w:pPr>
              <w:pStyle w:val="Odlomakpopisa"/>
              <w:ind w:left="0"/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F3024E">
              <w:rPr>
                <w:rFonts w:eastAsia="Times New Roman"/>
                <w:szCs w:val="24"/>
              </w:rPr>
              <w:t>–</w:t>
            </w:r>
            <w:r>
              <w:rPr>
                <w:rFonts w:eastAsia="Times New Roman"/>
                <w:szCs w:val="24"/>
              </w:rPr>
              <w:t xml:space="preserve"> Uredba</w:t>
            </w:r>
            <w:r w:rsidRPr="00F3024E">
              <w:rPr>
                <w:rFonts w:eastAsia="Times New Roman"/>
                <w:szCs w:val="24"/>
              </w:rPr>
              <w:t xml:space="preserve"> Komisije (EU) br. 601/2012 od 21. lipnja 2012. o praćenju i izvješćivanju o emisijama stakleničkih plinova u skladu s Direktivom 2003/87/EZ Europskog parlamenta i Vijeća (Tekst značajan za EGP) (SL L 181, 12. 7. 2012.) 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pStyle w:val="doc-ti"/>
              <w:spacing w:before="0" w:after="0"/>
              <w:ind w:left="33"/>
              <w:jc w:val="both"/>
              <w:rPr>
                <w:b w:val="0"/>
                <w:bCs w:val="0"/>
              </w:rPr>
            </w:pPr>
            <w:r w:rsidRPr="00AA38DA">
              <w:rPr>
                <w:b w:val="0"/>
                <w:bCs w:val="0"/>
              </w:rPr>
              <w:t>– Uredba (EU) br. 421/2014 Europskog parlamenta i vijeća od 16. travnja 2014. o izmjeni Direktive 2003/87/EZ o uspostavi sustava trgovanja emisijskim jedinicama stakleničkih plinova unutar Zajednice s ciljem provedbe međunarodnog sporazuma o primjeni jedinstvene globalne tržišno utemeljene mjere na emisije iz međunarodnog zrakoplovstva</w:t>
            </w:r>
            <w:r>
              <w:rPr>
                <w:b w:val="0"/>
                <w:bCs w:val="0"/>
              </w:rPr>
              <w:t xml:space="preserve"> do 2020 (SL L 129, 30.4.2014.)</w:t>
            </w:r>
          </w:p>
          <w:p w:rsidR="00BC59E5" w:rsidRPr="00B26AC6" w:rsidRDefault="00BC59E5" w:rsidP="002839F3">
            <w:pPr>
              <w:pStyle w:val="doc-ti"/>
              <w:spacing w:before="0" w:after="0"/>
              <w:ind w:left="33"/>
              <w:jc w:val="both"/>
              <w:rPr>
                <w:b w:val="0"/>
                <w:bCs w:val="0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 xml:space="preserve">– </w:t>
            </w:r>
            <w:r w:rsidRPr="00AA38DA">
              <w:rPr>
                <w:rFonts w:eastAsia="Times New Roman"/>
                <w:szCs w:val="24"/>
              </w:rPr>
              <w:t xml:space="preserve">Uredba (EU) br. </w:t>
            </w:r>
            <w:r>
              <w:rPr>
                <w:rFonts w:eastAsia="Times New Roman"/>
                <w:szCs w:val="24"/>
              </w:rPr>
              <w:t>2392/</w:t>
            </w:r>
            <w:r w:rsidRPr="00AA38DA">
              <w:rPr>
                <w:rFonts w:eastAsia="Times New Roman"/>
                <w:szCs w:val="24"/>
              </w:rPr>
              <w:t>2017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AA38DA">
              <w:rPr>
                <w:rFonts w:eastAsia="Times New Roman"/>
                <w:szCs w:val="24"/>
              </w:rPr>
              <w:t>Europskog parlamenta i vijeća od 13. prosinca 2017. o izmjeni Direktive 2003/87/EZ kako bi se nastavila postojeća ograničenja područja primjene za zrakoplovne djelatnosti i pripremila provedba globalne tržišno utemeljene mjere od 2021. (SL L 350, 29.12.2017)</w:t>
            </w: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– </w:t>
            </w:r>
            <w:r w:rsidRPr="009863EA">
              <w:rPr>
                <w:rFonts w:eastAsia="Times New Roman"/>
                <w:szCs w:val="24"/>
              </w:rPr>
              <w:t xml:space="preserve">Odluka Komisije 2005/381/EZ od 4. svibnja 2005. o donošenju upitnika za izvješćivanje o primjeni Direktive 2003/87/EZ Europskog parlamenta i Vijeća o uspostavi sustava trgovanja emisijskim jedinicama stakleničkih plinova unutar Zajednice i o izmjeni Direktive 96/61/EZ (priopćena pod brojem dokumenta C(2005) 1359) (Tekst značajan za EGP) (SL L 126, 19. 5. 2005.) kako je izmijenjena i dopunjena Odlukom Komisije 2006/803/EZ od </w:t>
            </w:r>
            <w:r w:rsidRPr="009863EA">
              <w:rPr>
                <w:rFonts w:eastAsia="Times New Roman"/>
                <w:szCs w:val="24"/>
              </w:rPr>
              <w:lastRenderedPageBreak/>
              <w:t>23. studenoga 2006. o izmjeni Odluke 2005/381/EZ o uvođenju upitnika za izvješćivanje o primjeni Direktive 2003/87/EZ Europskog parlamenta i Vijeća o utvrđivanju sustava trgovanja emisijskim jedinicama stakleničkih plinova unutar Zajednice i o izmjeni Direktive Vijeća 96/61/EZ (priopćeno pod brojem dokumenta C(2006) 5546) (Tekst značajan za EGP) (SL L 126, 19. 5. 2005.)</w:t>
            </w:r>
          </w:p>
          <w:p w:rsidR="00BC59E5" w:rsidRPr="009863EA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9863EA">
              <w:rPr>
                <w:rFonts w:eastAsia="Times New Roman"/>
                <w:szCs w:val="24"/>
              </w:rPr>
              <w:t xml:space="preserve">– Odluka 2006/780/EZ od 13. studenoga 2006. o izbjegavanju dvostrukoga brojanja smanjenja emisija stakleničkih plinova na temelju sustava Zajednice za trgovanje emisijama za projektne aktivnosti na temelju </w:t>
            </w:r>
            <w:proofErr w:type="spellStart"/>
            <w:r w:rsidRPr="009863EA">
              <w:rPr>
                <w:rFonts w:eastAsia="Times New Roman"/>
                <w:szCs w:val="24"/>
              </w:rPr>
              <w:t>Kyotskog</w:t>
            </w:r>
            <w:proofErr w:type="spellEnd"/>
            <w:r w:rsidRPr="009863EA">
              <w:rPr>
                <w:rFonts w:eastAsia="Times New Roman"/>
                <w:szCs w:val="24"/>
              </w:rPr>
              <w:t xml:space="preserve"> protokola u skladu s Direktivom 2003/87/EZ Europskoga parlamenta i Vijeća (priopćeno pod brojem dokumenta C(2006) 5362) (SL L 316, 16. 11. 2006)</w:t>
            </w: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– Uredba</w:t>
            </w:r>
            <w:r w:rsidRPr="009863EA">
              <w:rPr>
                <w:rFonts w:eastAsia="Times New Roman"/>
                <w:szCs w:val="24"/>
              </w:rPr>
              <w:t xml:space="preserve"> Komisije (EU) br. 550/2011 od 7. lipnja 2011. o utvrđivanju određenih ograničenja koja se primjenjuju na korištenje međunarodnih emisijskih kredita iz projekata koji uključuju industrijske plinove, na temelju Direktive 2003/87/EZ Europskog parlamenta i Vijeća (Tekst značajan za EGP) (SL L 149, 8. 6. 2011.)</w:t>
            </w: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 xml:space="preserve">- Uredba Komisije (EU) br. </w:t>
            </w:r>
            <w:r>
              <w:rPr>
                <w:rFonts w:eastAsia="Times New Roman"/>
                <w:szCs w:val="24"/>
              </w:rPr>
              <w:t xml:space="preserve">389/2013 </w:t>
            </w:r>
            <w:r w:rsidRPr="00A02BE8">
              <w:rPr>
                <w:rFonts w:eastAsia="Times New Roman"/>
                <w:szCs w:val="24"/>
              </w:rPr>
              <w:t>od 2. svibnja 2013. o uspostavi Registra Unije u skladu s Direktivom 2003/87/EZ Europskog parlamenta i Vijeća, odlukama Komisije br. 280/2004/EZ i br. 406/2009/EZ Europskog parlamenta i Vijeća i o ukidanju uredbi Komisije (EU) br. 920/2010 i br. 1193/2011 (Tekst značajan za EGP) (SL L 122, 3. 5. 2013.)</w:t>
            </w: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 U</w:t>
            </w:r>
            <w:r w:rsidRPr="009937EA">
              <w:rPr>
                <w:rFonts w:eastAsia="Times New Roman"/>
                <w:szCs w:val="24"/>
              </w:rPr>
              <w:t>redba Komisije (EU) br. 1844</w:t>
            </w:r>
            <w:r>
              <w:rPr>
                <w:rFonts w:eastAsia="Times New Roman"/>
                <w:szCs w:val="24"/>
              </w:rPr>
              <w:t>/2015</w:t>
            </w:r>
            <w:r w:rsidRPr="009937EA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9937EA">
              <w:rPr>
                <w:rFonts w:eastAsia="Times New Roman"/>
                <w:szCs w:val="24"/>
              </w:rPr>
              <w:t>оd</w:t>
            </w:r>
            <w:proofErr w:type="spellEnd"/>
            <w:r w:rsidRPr="009937EA">
              <w:rPr>
                <w:rFonts w:eastAsia="Times New Roman"/>
                <w:szCs w:val="24"/>
              </w:rPr>
              <w:t xml:space="preserve"> 13. srpnja 2015. o izmjeni Uredbe (EU) br. 389/2013 u pogledu tehničke provedbe </w:t>
            </w:r>
            <w:proofErr w:type="spellStart"/>
            <w:r w:rsidRPr="009937EA">
              <w:rPr>
                <w:rFonts w:eastAsia="Times New Roman"/>
                <w:szCs w:val="24"/>
              </w:rPr>
              <w:t>Kyotskog</w:t>
            </w:r>
            <w:proofErr w:type="spellEnd"/>
            <w:r w:rsidRPr="009937EA">
              <w:rPr>
                <w:rFonts w:eastAsia="Times New Roman"/>
                <w:szCs w:val="24"/>
              </w:rPr>
              <w:t xml:space="preserve"> protokola nakon 2012. (Tekst značajan za EGP) (SL L 268, 15. 10. 2015.)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  <w:r w:rsidRPr="009863EA">
              <w:rPr>
                <w:rFonts w:eastAsia="Times New Roman"/>
                <w:szCs w:val="24"/>
              </w:rPr>
              <w:t>Uredba (EU) br. 525/2013 Europskoga parlamenta i Vijeća od 21. svibnja 2013. o mehanizmu za praćenje i izvješćivanje o emisijama stakleničkih plinova i za izvješćivanje o drugim informacijama u vezi klimatskih promjena na nacionalnoj razini i razini Unije te stavljanju izvan snage Odluke Komisije br. 280/2004/EZ (Tekst značajan za EGP) (SL L 165, 18. 6. 2013.)</w:t>
            </w:r>
          </w:p>
          <w:p w:rsidR="00BC59E5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9863EA">
              <w:rPr>
                <w:rFonts w:eastAsia="Times New Roman"/>
                <w:szCs w:val="24"/>
              </w:rPr>
              <w:lastRenderedPageBreak/>
              <w:t xml:space="preserve">- Uredba Komisije (EU) br. 666/2014 </w:t>
            </w:r>
            <w:proofErr w:type="spellStart"/>
            <w:r w:rsidRPr="009863EA">
              <w:rPr>
                <w:rFonts w:eastAsia="Times New Roman"/>
                <w:szCs w:val="24"/>
              </w:rPr>
              <w:t>оd</w:t>
            </w:r>
            <w:proofErr w:type="spellEnd"/>
            <w:r w:rsidRPr="009863EA">
              <w:rPr>
                <w:rFonts w:eastAsia="Times New Roman"/>
                <w:szCs w:val="24"/>
              </w:rPr>
              <w:t xml:space="preserve"> 12. ožujka 2014. o uspostavi materijalnih zahtjeva za sustav inventara Unije i uzimanju u obzir promjena potencijala globalnog zagrijavanja i međunarodno dogovorenih smjernica za inventare u skladu s Uredbom (EU) br. 525/2013 Europskog parlamenta i Vijeća (Tekst značajan za EGP) (SL L 179, 19. 6. 2014.)</w:t>
            </w:r>
          </w:p>
          <w:p w:rsidR="00BC59E5" w:rsidRPr="009863EA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9863EA">
              <w:rPr>
                <w:rFonts w:eastAsia="Times New Roman"/>
                <w:szCs w:val="24"/>
              </w:rPr>
              <w:t xml:space="preserve">- Uredba (EU) br. 662/2014 Europskoga parlamenta i Vijeća od 15. svibnja 2014. o izmjeni Uredbe (EU) br. 525/2013 s obzirom na tehničku provedbu </w:t>
            </w:r>
            <w:proofErr w:type="spellStart"/>
            <w:r w:rsidRPr="009863EA">
              <w:rPr>
                <w:rFonts w:eastAsia="Times New Roman"/>
                <w:szCs w:val="24"/>
              </w:rPr>
              <w:t>Kyotskog</w:t>
            </w:r>
            <w:proofErr w:type="spellEnd"/>
            <w:r w:rsidRPr="009863EA">
              <w:rPr>
                <w:rFonts w:eastAsia="Times New Roman"/>
                <w:szCs w:val="24"/>
              </w:rPr>
              <w:t xml:space="preserve"> protokola uz Okvirnu konvenciju Ujedinjenih naroda o promjeni klime (Tekst značajan za EGP (SL L 189, 27. 6. 2014.)</w:t>
            </w:r>
          </w:p>
          <w:p w:rsidR="00BC59E5" w:rsidRPr="009863EA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9863EA">
              <w:rPr>
                <w:rFonts w:eastAsia="Times New Roman"/>
                <w:szCs w:val="24"/>
              </w:rPr>
              <w:t>– Uredba Komisije (EU) br. 749/2014 od 30. lipnja 2014. o strukturi, formatu, postupcima podnošenja i pregledu informacija koje države članice dostavljaju u skladu s Uredbom (EU) br. 525/2013 Europskog parlamenta i Vijeća (Tekst značajan za EGP) (SL L 203, 11. 7. 2014.)</w:t>
            </w:r>
          </w:p>
          <w:p w:rsidR="00BC59E5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9863EA">
              <w:rPr>
                <w:rFonts w:eastAsia="Times New Roman"/>
                <w:szCs w:val="24"/>
              </w:rPr>
              <w:t>– Uredba (EU) br. 842/2018 Europskog parlamenta i Vijeća od 30. svibnja 2018. o obvezujućem godišnjem smanjenju emisija stakleničkih plinova u državama članicama od 2021. do 2030. kojim se doprinosi mjerama u području klime za ispunjenje obveza u okviru Pariškog sporazuma i izmjeni Uredbe (EU) br. 525/2013 (Tekst značajan za EGP (SL L 156, 19.6.2018.)</w:t>
            </w:r>
          </w:p>
          <w:p w:rsidR="00BC59E5" w:rsidRPr="00AA38DA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 xml:space="preserve">– </w:t>
            </w:r>
            <w:r w:rsidRPr="00AA38DA">
              <w:rPr>
                <w:rFonts w:eastAsia="Times New Roman"/>
                <w:szCs w:val="24"/>
              </w:rPr>
              <w:t xml:space="preserve">Uredba (EU) br. </w:t>
            </w:r>
            <w:r>
              <w:rPr>
                <w:rFonts w:eastAsia="Times New Roman"/>
                <w:szCs w:val="24"/>
              </w:rPr>
              <w:t>841/</w:t>
            </w:r>
            <w:r w:rsidRPr="00AA38DA">
              <w:rPr>
                <w:rFonts w:eastAsia="Times New Roman"/>
                <w:szCs w:val="24"/>
              </w:rPr>
              <w:t>2018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AA38DA">
              <w:rPr>
                <w:rFonts w:eastAsia="Times New Roman"/>
                <w:szCs w:val="24"/>
              </w:rPr>
              <w:t>Europskog parlamenta i Vijeća od 30. svibnja 2018. o uključivanju emisija i uklanjanja stakleničkih plinova iz korištenja zemljišta, prenamjene zemljišta i šumarstva u okvir za klimatsku i energetsku politiku do 2030. te o izmjeni Uredbe (EU) br. 525/2013 i Odluke br. 529/2013/EU (Tekst značajan za EGP (SL L 156, 19.6.2018.)</w:t>
            </w:r>
          </w:p>
          <w:p w:rsidR="00BC59E5" w:rsidRDefault="00BC59E5" w:rsidP="002839F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EE6A52">
              <w:rPr>
                <w:rFonts w:eastAsia="Times New Roman"/>
                <w:szCs w:val="24"/>
              </w:rPr>
              <w:t>- Odluka br. 2009/406/EZ Europskog parlamenta i Vijeća od 23. travnja 2009. o naporima koje poduzimaju države članice radi smanjenja emisija stakleničkih plinova s ciljem ostvarenja ciljeva Zajednice vezanih za smanjenje emisija stakleničkih plinova do 2020. godine (SL L 140, 5. 6. 2009.) (u daljnjem tekstu: Odluka 406/2009/EZ),</w:t>
            </w:r>
          </w:p>
          <w:p w:rsidR="00BC59E5" w:rsidRPr="00EE6A52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EE6A52">
              <w:rPr>
                <w:rFonts w:eastAsia="Times New Roman"/>
                <w:szCs w:val="24"/>
              </w:rPr>
              <w:t xml:space="preserve">– Odluka Komisije br. 2013/162/EU od 26. ožujka 2013. o utvrđivanju godišnjih emisijskih jedinica za </w:t>
            </w:r>
            <w:r w:rsidRPr="00EE6A52">
              <w:rPr>
                <w:rFonts w:eastAsia="Times New Roman"/>
                <w:szCs w:val="24"/>
              </w:rPr>
              <w:lastRenderedPageBreak/>
              <w:t>razdoblje od 2013. do 2020. u skladu s Odlukom br. 406/2009/EZ Europskog parlamenta i Vijeća (priopćena pod brojem dokumenta C(2013) 1708) (SL L 90, 28. 3. 2013.)</w:t>
            </w:r>
          </w:p>
          <w:p w:rsidR="00BC59E5" w:rsidRPr="00EE6A52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EE6A52">
              <w:rPr>
                <w:rFonts w:eastAsia="Times New Roman"/>
                <w:szCs w:val="24"/>
              </w:rPr>
              <w:t>- Provedbena Odluka Komisije br. 2013/634/EU od 31. listopada 2013. o prilagodbama godišnjih emisijskih kvota država članica za razdoblje 2013. – 2020. u skladu s Odlukom 406/2009/EZ Europskog parlamenta i Vijeća(SL L 292, 1. 11. 2013.)</w:t>
            </w: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EE6A52">
              <w:rPr>
                <w:rFonts w:eastAsia="Times New Roman"/>
                <w:szCs w:val="24"/>
              </w:rPr>
              <w:t>- Odluka Komisije br. 1471/2017 od 10. kolovoza 2017. o izmjeni Odluke 2013/162/EU radi revidiranja godišnjih emisijskih jedinica država članica za razdoblje od 2017. do 2020. (SL L 209, 12. 8. 2017.)</w:t>
            </w:r>
          </w:p>
          <w:p w:rsidR="00BC59E5" w:rsidRPr="00EE6A52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  <w:r w:rsidRPr="00EE6A52">
              <w:rPr>
                <w:rFonts w:eastAsia="Times New Roman"/>
                <w:szCs w:val="24"/>
              </w:rPr>
              <w:t>Odluka (EU) 529/2013 Europskog parlamenta i Vijeća od 21. svibnja 2013. o pravilima za obračun emisija i uklanjanja stakleničkih plinova koji nastaju iz djelatnosti vezanih uz korištenje zemljišta, prenamjenu zemljišta i šumarstvo te informacijama o mjerama u vezi tih djelatnosti (SL L 165, 18. 6. 2013.)</w:t>
            </w:r>
          </w:p>
          <w:p w:rsidR="00BC59E5" w:rsidRPr="00EE6A52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softHyphen/>
            </w:r>
            <w:r w:rsidRPr="00AA38DA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U</w:t>
            </w:r>
            <w:r w:rsidRPr="00A02BE8">
              <w:rPr>
                <w:rFonts w:eastAsia="Times New Roman"/>
                <w:szCs w:val="24"/>
              </w:rPr>
              <w:t xml:space="preserve">redba Komisije (EU) br. 1191/2014 od 30. listopada 2014. o određivanju oblika i načina podnošenja izvješća iz članka 19. Uredbe (EU) br. 517/2014 Europskog parlamenta i Vijeća o </w:t>
            </w:r>
            <w:proofErr w:type="spellStart"/>
            <w:r w:rsidRPr="00A02BE8">
              <w:rPr>
                <w:rFonts w:eastAsia="Times New Roman"/>
                <w:szCs w:val="24"/>
              </w:rPr>
              <w:t>fluoriranim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stakleničkim plinovima (SL L 318, 5.11.2014.)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Pr="00A02BE8">
              <w:rPr>
                <w:rFonts w:eastAsia="Times New Roman"/>
                <w:szCs w:val="24"/>
              </w:rPr>
              <w:t xml:space="preserve">Provedbena uredba Komisije (EU) </w:t>
            </w:r>
            <w:r>
              <w:rPr>
                <w:rFonts w:eastAsia="Times New Roman"/>
                <w:szCs w:val="24"/>
              </w:rPr>
              <w:t xml:space="preserve">2065/2015 </w:t>
            </w:r>
            <w:proofErr w:type="spellStart"/>
            <w:r w:rsidRPr="00A02BE8">
              <w:rPr>
                <w:rFonts w:eastAsia="Times New Roman"/>
                <w:szCs w:val="24"/>
              </w:rPr>
              <w:t>оd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17. studenoga 2015. o utvrđivanju, u skladu s Uredbom (EU) br. 517/2014 Europskog parlamenta i Vijeća, formata kojim se države članice koriste za obavješćivanje o svojim programima osposobljavanja i certifikacije (SL L 301, 18.11.2015.)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Pr="00A02BE8">
              <w:rPr>
                <w:rFonts w:eastAsia="Times New Roman"/>
                <w:szCs w:val="24"/>
              </w:rPr>
              <w:t>Provedbena uredba Komisije (EU) 2066</w:t>
            </w:r>
            <w:r>
              <w:rPr>
                <w:rFonts w:eastAsia="Times New Roman"/>
                <w:szCs w:val="24"/>
              </w:rPr>
              <w:t>/2015</w:t>
            </w:r>
            <w:r w:rsidRPr="00A02BE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02BE8">
              <w:rPr>
                <w:rFonts w:eastAsia="Times New Roman"/>
                <w:szCs w:val="24"/>
              </w:rPr>
              <w:t>оd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17. studenoga 2015. o utvrđivanju, u skladu s Uredbom (EU) br. 517/2014 Europskog parlamenta i Vijeća, minimalnih zahtjeva i uvjeta za uzajamno priznavanje certifikacije fizičkih osoba koje obavljaju ugradnju, servisiranje, održavanje, popravak ili stavljanje izvan pogona električnih rasklopnih uređaja koji sadržavaju </w:t>
            </w:r>
            <w:proofErr w:type="spellStart"/>
            <w:r w:rsidRPr="00A02BE8">
              <w:rPr>
                <w:rFonts w:eastAsia="Times New Roman"/>
                <w:szCs w:val="24"/>
              </w:rPr>
              <w:t>fluorirane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stakleničke plinove, ili prikupljanje </w:t>
            </w:r>
            <w:proofErr w:type="spellStart"/>
            <w:r w:rsidRPr="00A02BE8">
              <w:rPr>
                <w:rFonts w:eastAsia="Times New Roman"/>
                <w:szCs w:val="24"/>
              </w:rPr>
              <w:t>fluoriranih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stakleničkih plinova iz električnih </w:t>
            </w:r>
            <w:r w:rsidRPr="00A02BE8">
              <w:rPr>
                <w:rFonts w:eastAsia="Times New Roman"/>
                <w:szCs w:val="24"/>
              </w:rPr>
              <w:lastRenderedPageBreak/>
              <w:t>rasklopnih uređaja (Tekst značajan za EGP) (SL L 301, 18.11.2015.)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Pr="00A02BE8">
              <w:rPr>
                <w:rFonts w:eastAsia="Times New Roman"/>
                <w:szCs w:val="24"/>
              </w:rPr>
              <w:t xml:space="preserve">Provedbena uredba Komisije (EU) </w:t>
            </w:r>
            <w:r>
              <w:rPr>
                <w:rFonts w:eastAsia="Times New Roman"/>
                <w:szCs w:val="24"/>
              </w:rPr>
              <w:t xml:space="preserve">2067/2015 </w:t>
            </w:r>
            <w:proofErr w:type="spellStart"/>
            <w:r w:rsidRPr="00A02BE8">
              <w:rPr>
                <w:rFonts w:eastAsia="Times New Roman"/>
                <w:szCs w:val="24"/>
              </w:rPr>
              <w:t>оd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17. studenoga 2015. o utvrđivanju, u skladu s Uredbom (EU) br. 517/2014 Europskog parlamenta i Vijeća, minimalnih zahtjeva i uvjeta za uzajamno priznavanje certifikacije fizičkih osoba u pogledu nepokretne rashladne i klimatizacijske opreme i dizalica topline te rashladnih jedinica kamiona hladnjača i prikolica hladnjača koji sadržavaju </w:t>
            </w:r>
            <w:proofErr w:type="spellStart"/>
            <w:r w:rsidRPr="00A02BE8">
              <w:rPr>
                <w:rFonts w:eastAsia="Times New Roman"/>
                <w:szCs w:val="24"/>
              </w:rPr>
              <w:t>fluorirane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stakleničke plinove, kao i certifikacije poduzeća u pogledu nepokretne rashladne i klimatizacijske opreme i dizalica topline koji sadržavaju </w:t>
            </w:r>
            <w:proofErr w:type="spellStart"/>
            <w:r w:rsidRPr="00A02BE8">
              <w:rPr>
                <w:rFonts w:eastAsia="Times New Roman"/>
                <w:szCs w:val="24"/>
              </w:rPr>
              <w:t>fluorirane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stakleničke plinove (Tekst značajan za EGP) (SL L 301, 18.11.2015.)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Pr="00A02BE8">
              <w:rPr>
                <w:rFonts w:eastAsia="Times New Roman"/>
                <w:szCs w:val="24"/>
              </w:rPr>
              <w:t>Provedbena uredba Komisije (EU) 2068</w:t>
            </w:r>
            <w:r>
              <w:rPr>
                <w:rFonts w:eastAsia="Times New Roman"/>
                <w:szCs w:val="24"/>
              </w:rPr>
              <w:t>/2015</w:t>
            </w:r>
            <w:r w:rsidRPr="00A02BE8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A02BE8">
              <w:rPr>
                <w:rFonts w:eastAsia="Times New Roman"/>
                <w:szCs w:val="24"/>
              </w:rPr>
              <w:t>оd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17. studenoga 2015. o utvrđivanju, u skladu s Uredbom (EU) br. 517/2014 Europskog parlamenta i Vijeća, oblika oznaka za proizvode i opremu koji sadržavaju </w:t>
            </w:r>
            <w:proofErr w:type="spellStart"/>
            <w:r w:rsidRPr="00A02BE8">
              <w:rPr>
                <w:rFonts w:eastAsia="Times New Roman"/>
                <w:szCs w:val="24"/>
              </w:rPr>
              <w:t>fluorirane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stakleničke plinove (SL L 301, 18.11.2015.)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- </w:t>
            </w:r>
            <w:r w:rsidRPr="00A02BE8">
              <w:rPr>
                <w:rFonts w:eastAsia="Times New Roman"/>
                <w:szCs w:val="24"/>
              </w:rPr>
              <w:t>Provedbena uredba Komisije (EU) 879</w:t>
            </w:r>
            <w:r>
              <w:rPr>
                <w:rFonts w:eastAsia="Times New Roman"/>
                <w:szCs w:val="24"/>
              </w:rPr>
              <w:t xml:space="preserve">/2016 </w:t>
            </w:r>
            <w:proofErr w:type="spellStart"/>
            <w:r w:rsidRPr="00A02BE8">
              <w:rPr>
                <w:rFonts w:eastAsia="Times New Roman"/>
                <w:szCs w:val="24"/>
              </w:rPr>
              <w:t>оd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2. lipnja 2016. o utvrđivanju detaljnih pravila, u skladu s Uredbom (EU) br. 517/2014 Europskog parlamenta i Vijeća, u pogledu izjave o sukladnosti za stavljanje na tržište rashladne i klimatizacijske opreme te opreme za dizalice topline punjene </w:t>
            </w:r>
            <w:proofErr w:type="spellStart"/>
            <w:r w:rsidRPr="00A02BE8">
              <w:rPr>
                <w:rFonts w:eastAsia="Times New Roman"/>
                <w:szCs w:val="24"/>
              </w:rPr>
              <w:t>fluorougljikovodicima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i verifikaciji te izjave koju obavlja neovisni revizor (Tekst značajan za EGP) (SL L 146, 3.6.2016.).</w:t>
            </w:r>
          </w:p>
          <w:p w:rsidR="00BC59E5" w:rsidRPr="00AA38DA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 xml:space="preserve">– </w:t>
            </w:r>
            <w:r>
              <w:rPr>
                <w:rFonts w:eastAsia="Times New Roman"/>
                <w:szCs w:val="24"/>
              </w:rPr>
              <w:t>Uredba</w:t>
            </w:r>
            <w:r w:rsidRPr="00A02BE8">
              <w:rPr>
                <w:rFonts w:eastAsia="Times New Roman"/>
                <w:szCs w:val="24"/>
              </w:rPr>
              <w:t xml:space="preserve"> Komisije (EZ) br. 1497/2007 od 18. prosinca 2007. o utvrđivanju, u skladu s Uredbom (EZ) br. 842/2006 Europskog parlamenta i Vijeća, standardnih zahtjeva za provjeru propuštanja nepokretnih protupožarnih sustava koji sadrže određene </w:t>
            </w:r>
            <w:proofErr w:type="spellStart"/>
            <w:r w:rsidRPr="00A02BE8">
              <w:rPr>
                <w:rFonts w:eastAsia="Times New Roman"/>
                <w:szCs w:val="24"/>
              </w:rPr>
              <w:t>fluorirane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stakleničke plinove (Tekst značajan za EGP) (SL L 333, 19. 12. 2007.) 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– Uredba</w:t>
            </w:r>
            <w:r w:rsidRPr="00A02BE8">
              <w:rPr>
                <w:rFonts w:eastAsia="Times New Roman"/>
                <w:szCs w:val="24"/>
              </w:rPr>
              <w:t xml:space="preserve"> Komisije (EZ) br. 1516/2007 od 19. prosinca 2007. o utvrđivanju, u skladu s Uredbom (EZ) br. 842/2006 Europskog parlamenta i Vijeća, standardnih zahtjeva u pogledu provjere propuštanja nepokretne opreme za hlađenje i klimatizaciju i dizalica topline, koje sadrže određene </w:t>
            </w:r>
            <w:proofErr w:type="spellStart"/>
            <w:r w:rsidRPr="00A02BE8">
              <w:rPr>
                <w:rFonts w:eastAsia="Times New Roman"/>
                <w:szCs w:val="24"/>
              </w:rPr>
              <w:t>fluorirane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stakleničke plinove (Tekst značajan za EGP) (SL L 335, 20. 12. 2007.)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– Uredba</w:t>
            </w:r>
            <w:r w:rsidRPr="00A02BE8">
              <w:rPr>
                <w:rFonts w:eastAsia="Times New Roman"/>
                <w:szCs w:val="24"/>
              </w:rPr>
              <w:t xml:space="preserve"> Komisije (EZ) br. 304/2008 od 2. travnja 2008. o utvrđivanju, u skladu s Uredbom (EZ) br. 842/2006 Europskog parlamenta i Vijeća, minimalnih zahtjeva i uvjeta za uzajamno priznavanje certifikacije poduzeća i osoblja u pogledu nepokretnih protupožarnih sustava i vatrogasnih aparata koji sadrže određene </w:t>
            </w:r>
            <w:proofErr w:type="spellStart"/>
            <w:r w:rsidRPr="00A02BE8">
              <w:rPr>
                <w:rFonts w:eastAsia="Times New Roman"/>
                <w:szCs w:val="24"/>
              </w:rPr>
              <w:t>fluorirane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stakleničke plinove (Tekst značajan za EGP) (SL L 92, 3. 4. 2008.)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 xml:space="preserve">– </w:t>
            </w:r>
            <w:r>
              <w:rPr>
                <w:rFonts w:eastAsia="Times New Roman"/>
                <w:szCs w:val="24"/>
              </w:rPr>
              <w:t>Uredba</w:t>
            </w:r>
            <w:r w:rsidRPr="00A02BE8">
              <w:rPr>
                <w:rFonts w:eastAsia="Times New Roman"/>
                <w:szCs w:val="24"/>
              </w:rPr>
              <w:t xml:space="preserve"> Komisije (EZ) br. 306/2008 od 2. travnja 2008. o utvrđivanju, u skladu s Uredbom (EZ) br. 842/2006 Europskog parlamenta i Vijeća, minimalnih zahtjeva i uvjeta za uzajamno priznavanje certifikacije osoblja koje iz opreme rekuperira otapala na bazi određenih </w:t>
            </w:r>
            <w:proofErr w:type="spellStart"/>
            <w:r w:rsidRPr="00A02BE8">
              <w:rPr>
                <w:rFonts w:eastAsia="Times New Roman"/>
                <w:szCs w:val="24"/>
              </w:rPr>
              <w:t>fluoriranih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stakleničkih plinova (Tekst značajan za EGP) (SL L 92, 3. 4. 2008.)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– Uredba</w:t>
            </w:r>
            <w:r w:rsidRPr="00A02BE8">
              <w:rPr>
                <w:rFonts w:eastAsia="Times New Roman"/>
                <w:szCs w:val="24"/>
              </w:rPr>
              <w:t xml:space="preserve"> Komisije (EZ) br. 307/2008 od 2. travnja 2008. o utvrđivanju, u skladu s Uredbom (EZ) br. 842/2006 Europskog parlamenta i Vijeća, minimalnih zahtjeva za programe osposobljavanja i uvjeta za uzajamno priznavanje potvrda o osposobljavanju za osoblje u pogledu klimatizacijskih sustava u određenim motornim vozilima koji sadrže određene </w:t>
            </w:r>
            <w:proofErr w:type="spellStart"/>
            <w:r w:rsidRPr="00A02BE8">
              <w:rPr>
                <w:rFonts w:eastAsia="Times New Roman"/>
                <w:szCs w:val="24"/>
              </w:rPr>
              <w:t>fluorirane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stakleničke plinove (Tekst značajan za EGP) (SL L 92, 3. 4. 2008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 xml:space="preserve">– Uredbe (EZ) br. 1005/2009 Europskog parlamenta i Vijeća od 16. rujna 2009. o tvarima koje oštećuju ozonski sloj (preinaka) (Tekst značajan za EGP) (SL L 286, 31. 10. 2009.) kako je izmijenjena i dopunjena Uredbom Komisije (EU) br. 744/2010 od 18. kolovoza 2010. o izmjeni Uredbe (EZ) br. 1005/2009 Europskoga parlamenta i Vijeća o tvarima koje oštećuju ozonski sloj, s obzirom na kritične primjene halona (Tekst značajan za EGP) (SL L 218, 19. 8. 2010.) 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>– Odl</w:t>
            </w:r>
            <w:r>
              <w:rPr>
                <w:rFonts w:eastAsia="Times New Roman"/>
                <w:szCs w:val="24"/>
              </w:rPr>
              <w:t>uka</w:t>
            </w:r>
            <w:r w:rsidRPr="00A02BE8">
              <w:rPr>
                <w:rFonts w:eastAsia="Times New Roman"/>
                <w:szCs w:val="24"/>
              </w:rPr>
              <w:t xml:space="preserve"> Komisije 2010/372/EU od 18. lipnja 2010. o upotrebi kontroliranih tvari kao procesnih agensa na temelju članka 8. stavka 4. Uredbe (EZ) br. 1005/2009 Europskog parlamenta i Vijeća (priopćena pod brojem dokumenta C(2010) 3847) (SL L 169, 3. 7. 2010.) 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szCs w:val="24"/>
              </w:rPr>
            </w:pPr>
            <w:r w:rsidRPr="00A02BE8">
              <w:rPr>
                <w:rFonts w:eastAsia="Times New Roman"/>
                <w:szCs w:val="24"/>
              </w:rPr>
              <w:t>– Ur</w:t>
            </w:r>
            <w:r>
              <w:rPr>
                <w:rFonts w:eastAsia="Times New Roman"/>
                <w:szCs w:val="24"/>
              </w:rPr>
              <w:t>edba</w:t>
            </w:r>
            <w:r w:rsidRPr="00A02BE8">
              <w:rPr>
                <w:rFonts w:eastAsia="Times New Roman"/>
                <w:szCs w:val="24"/>
              </w:rPr>
              <w:t xml:space="preserve"> Komisije (EU) br. 291/2011 od 24. ožujka 2011. o neophodnim laboratorijskim i analitičkim uporabama kontroliranih tvari koje nisu </w:t>
            </w:r>
            <w:proofErr w:type="spellStart"/>
            <w:r w:rsidRPr="00A02BE8">
              <w:rPr>
                <w:rFonts w:eastAsia="Times New Roman"/>
                <w:szCs w:val="24"/>
              </w:rPr>
              <w:t>klorofluorougljikovodici</w:t>
            </w:r>
            <w:proofErr w:type="spellEnd"/>
            <w:r w:rsidRPr="00A02BE8">
              <w:rPr>
                <w:rFonts w:eastAsia="Times New Roman"/>
                <w:szCs w:val="24"/>
              </w:rPr>
              <w:t xml:space="preserve"> u Uniji na temelju Uredbe </w:t>
            </w:r>
            <w:r w:rsidRPr="00A02BE8">
              <w:rPr>
                <w:rFonts w:eastAsia="Times New Roman"/>
                <w:szCs w:val="24"/>
              </w:rPr>
              <w:lastRenderedPageBreak/>
              <w:t>(EZ) br. 1005/2009 Europskog parlamenta i Vijeća o tvarima koje oštećuju ozonski sloj (SL L 79, 25. 3. 2011.)</w:t>
            </w:r>
          </w:p>
          <w:p w:rsidR="00BC59E5" w:rsidRPr="00A02BE8" w:rsidRDefault="00BC59E5" w:rsidP="002839F3">
            <w:pPr>
              <w:jc w:val="both"/>
              <w:rPr>
                <w:rFonts w:eastAsia="Times New Roman"/>
                <w:szCs w:val="24"/>
              </w:rPr>
            </w:pPr>
          </w:p>
          <w:p w:rsidR="00BC59E5" w:rsidRDefault="00BC59E5" w:rsidP="002839F3">
            <w:pPr>
              <w:pStyle w:val="doc-ti"/>
              <w:spacing w:before="0" w:after="0"/>
              <w:jc w:val="both"/>
              <w:rPr>
                <w:b w:val="0"/>
                <w:bCs w:val="0"/>
              </w:rPr>
            </w:pPr>
            <w:r w:rsidRPr="00AA38DA">
              <w:rPr>
                <w:b w:val="0"/>
                <w:bCs w:val="0"/>
              </w:rPr>
              <w:t>– Uredba Komisije (EU) br. 605</w:t>
            </w:r>
            <w:r>
              <w:rPr>
                <w:b w:val="0"/>
                <w:bCs w:val="0"/>
              </w:rPr>
              <w:t>/2017</w:t>
            </w:r>
            <w:r w:rsidRPr="00AA38DA">
              <w:rPr>
                <w:b w:val="0"/>
                <w:bCs w:val="0"/>
              </w:rPr>
              <w:t xml:space="preserve"> </w:t>
            </w:r>
            <w:proofErr w:type="spellStart"/>
            <w:r w:rsidRPr="00AA38DA">
              <w:rPr>
                <w:b w:val="0"/>
                <w:bCs w:val="0"/>
              </w:rPr>
              <w:t>оd</w:t>
            </w:r>
            <w:proofErr w:type="spellEnd"/>
            <w:r w:rsidRPr="00AA38DA">
              <w:rPr>
                <w:b w:val="0"/>
                <w:bCs w:val="0"/>
              </w:rPr>
              <w:t xml:space="preserve"> 29. ožujka 2017. o</w:t>
            </w:r>
            <w:r>
              <w:rPr>
                <w:b w:val="0"/>
                <w:bCs w:val="0"/>
              </w:rPr>
              <w:t xml:space="preserve"> izmjeni Priloga </w:t>
            </w:r>
            <w:r w:rsidRPr="00AA38DA">
              <w:rPr>
                <w:b w:val="0"/>
                <w:bCs w:val="0"/>
              </w:rPr>
              <w:t xml:space="preserve">VI. Uredbi (EZ) br. 1005/2009 Europskog parlamenta i Vijeća o tvarima koje oštećuju ozonski sloj </w:t>
            </w:r>
            <w:r w:rsidRPr="00A02BE8">
              <w:rPr>
                <w:b w:val="0"/>
                <w:bCs w:val="0"/>
              </w:rPr>
              <w:t>(SL L 84, 30.3.2017.)</w:t>
            </w:r>
          </w:p>
          <w:p w:rsidR="00BC59E5" w:rsidRDefault="00BC59E5" w:rsidP="002839F3">
            <w:pPr>
              <w:pStyle w:val="doc-ti"/>
              <w:spacing w:before="0" w:after="0"/>
              <w:jc w:val="both"/>
              <w:rPr>
                <w:b w:val="0"/>
                <w:bCs w:val="0"/>
              </w:rPr>
            </w:pPr>
          </w:p>
          <w:p w:rsidR="00BC59E5" w:rsidRPr="00EE6A52" w:rsidRDefault="00BC59E5" w:rsidP="002839F3">
            <w:pPr>
              <w:pStyle w:val="doc-ti"/>
              <w:spacing w:before="0" w:after="0"/>
              <w:jc w:val="both"/>
              <w:rPr>
                <w:b w:val="0"/>
                <w:bCs w:val="0"/>
              </w:rPr>
            </w:pPr>
          </w:p>
        </w:tc>
      </w:tr>
      <w:tr w:rsidR="00BC59E5" w:rsidRPr="0077506C" w:rsidTr="002839F3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Pr="00E45DC6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45DC6">
              <w:rPr>
                <w:szCs w:val="24"/>
              </w:rPr>
              <w:t xml:space="preserve">Prijedlogom novog zakona poboljšava se </w:t>
            </w:r>
            <w:r>
              <w:rPr>
                <w:szCs w:val="24"/>
              </w:rPr>
              <w:t xml:space="preserve">pravni </w:t>
            </w:r>
            <w:r w:rsidRPr="00E45DC6">
              <w:rPr>
                <w:szCs w:val="24"/>
              </w:rPr>
              <w:t xml:space="preserve">okvir za provedbu </w:t>
            </w:r>
            <w:r>
              <w:rPr>
                <w:szCs w:val="24"/>
              </w:rPr>
              <w:t xml:space="preserve">zaštite </w:t>
            </w:r>
            <w:r w:rsidRPr="00C61B0D">
              <w:rPr>
                <w:szCs w:val="24"/>
              </w:rPr>
              <w:t>ozonskog sloja, ublažavanje klimatskih promjena i prilagodbu klimatskim promjenama</w:t>
            </w:r>
            <w:r>
              <w:rPr>
                <w:szCs w:val="24"/>
              </w:rPr>
              <w:t xml:space="preserve">. </w:t>
            </w:r>
            <w:r w:rsidRPr="00E45DC6">
              <w:rPr>
                <w:szCs w:val="24"/>
              </w:rPr>
              <w:t>Uz osiguravanje provedbi propisa Europske unije to podrazumijeva i daljnje razvijanje ciljeva, prioriteta, mjera i mehanizama djelovanja</w:t>
            </w:r>
            <w:r>
              <w:rPr>
                <w:szCs w:val="24"/>
              </w:rPr>
              <w:t xml:space="preserve"> kao i sustava praćenja i procjenjivanja i izvješćivanja</w:t>
            </w:r>
            <w:r w:rsidRPr="00E45DC6">
              <w:rPr>
                <w:szCs w:val="24"/>
              </w:rPr>
              <w:t>.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C61B0D">
              <w:rPr>
                <w:szCs w:val="24"/>
              </w:rPr>
              <w:t xml:space="preserve">Zbog obima </w:t>
            </w:r>
            <w:r>
              <w:rPr>
                <w:szCs w:val="24"/>
              </w:rPr>
              <w:t xml:space="preserve">postojećeg </w:t>
            </w:r>
            <w:r w:rsidRPr="00C61B0D">
              <w:rPr>
                <w:szCs w:val="24"/>
              </w:rPr>
              <w:t xml:space="preserve">Zakona koji se odnosi </w:t>
            </w:r>
            <w:r>
              <w:rPr>
                <w:szCs w:val="24"/>
              </w:rPr>
              <w:t>na zaštitu zraka,  klimatske promjene i</w:t>
            </w:r>
            <w:r w:rsidRPr="00C61B0D">
              <w:rPr>
                <w:szCs w:val="24"/>
              </w:rPr>
              <w:t xml:space="preserve"> zaštitu ozonskog sloja, </w:t>
            </w:r>
            <w:r>
              <w:rPr>
                <w:szCs w:val="24"/>
              </w:rPr>
              <w:t>potrebna je r</w:t>
            </w:r>
            <w:r w:rsidRPr="00C61B0D">
              <w:rPr>
                <w:szCs w:val="24"/>
              </w:rPr>
              <w:t>eorganizacij</w:t>
            </w:r>
            <w:r>
              <w:rPr>
                <w:szCs w:val="24"/>
              </w:rPr>
              <w:t>a</w:t>
            </w:r>
            <w:r w:rsidRPr="00C61B0D">
              <w:rPr>
                <w:szCs w:val="24"/>
              </w:rPr>
              <w:t xml:space="preserve"> postojećeg pravnog okvira i razdvajanje zraka od </w:t>
            </w:r>
            <w:r>
              <w:rPr>
                <w:szCs w:val="24"/>
              </w:rPr>
              <w:t>klimatskih promjena</w:t>
            </w:r>
            <w:r w:rsidRPr="00C61B0D">
              <w:rPr>
                <w:szCs w:val="24"/>
              </w:rPr>
              <w:t xml:space="preserve"> i </w:t>
            </w:r>
            <w:r>
              <w:rPr>
                <w:szCs w:val="24"/>
              </w:rPr>
              <w:t xml:space="preserve">zaštite </w:t>
            </w:r>
            <w:r w:rsidRPr="00C61B0D">
              <w:rPr>
                <w:szCs w:val="24"/>
              </w:rPr>
              <w:t>ozonskog sloja</w:t>
            </w:r>
            <w:r>
              <w:rPr>
                <w:szCs w:val="24"/>
              </w:rPr>
              <w:t>.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  <w:highlight w:val="yellow"/>
              </w:rPr>
            </w:pPr>
            <w:r w:rsidRPr="003253AD">
              <w:rPr>
                <w:szCs w:val="24"/>
              </w:rPr>
              <w:t xml:space="preserve">Novi </w:t>
            </w:r>
            <w:r>
              <w:rPr>
                <w:szCs w:val="24"/>
              </w:rPr>
              <w:t>Zakon o klimatskim promjenama i zaštiti ozonskog sloja</w:t>
            </w:r>
            <w:r w:rsidRPr="003253AD">
              <w:rPr>
                <w:szCs w:val="24"/>
              </w:rPr>
              <w:t xml:space="preserve"> naglasak stavlja na provedbe obuhvaćenih uredbi Europske unije te njihovih provedbenih propisa, uvažavajući pri tome odredbe koje državama članicama daju pravo da pojedina pitanja uređuju kroz nacionalno zakonodavstvo</w:t>
            </w:r>
            <w:r>
              <w:rPr>
                <w:szCs w:val="24"/>
              </w:rPr>
              <w:t>.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DB016C">
              <w:rPr>
                <w:szCs w:val="24"/>
              </w:rPr>
              <w:t xml:space="preserve">U </w:t>
            </w:r>
            <w:r>
              <w:rPr>
                <w:szCs w:val="24"/>
              </w:rPr>
              <w:t xml:space="preserve">većem </w:t>
            </w:r>
            <w:r w:rsidRPr="00DB016C">
              <w:rPr>
                <w:szCs w:val="24"/>
              </w:rPr>
              <w:t xml:space="preserve">dijelu </w:t>
            </w:r>
            <w:r>
              <w:rPr>
                <w:szCs w:val="24"/>
              </w:rPr>
              <w:t>Zakona koji se odnosi na odredbe vezane uz klimatske promjene i zaštitu ozonskog sloja</w:t>
            </w:r>
            <w:r w:rsidRPr="003253AD">
              <w:rPr>
                <w:szCs w:val="24"/>
              </w:rPr>
              <w:t xml:space="preserve"> </w:t>
            </w:r>
            <w:r w:rsidRPr="00DB016C">
              <w:rPr>
                <w:szCs w:val="24"/>
              </w:rPr>
              <w:t>ne</w:t>
            </w:r>
            <w:r>
              <w:rPr>
                <w:szCs w:val="24"/>
              </w:rPr>
              <w:t>će biti</w:t>
            </w:r>
            <w:r w:rsidRPr="00DB016C">
              <w:rPr>
                <w:szCs w:val="24"/>
              </w:rPr>
              <w:t xml:space="preserve"> značajnijih promjena u odnosu </w:t>
            </w:r>
            <w:r>
              <w:rPr>
                <w:szCs w:val="24"/>
              </w:rPr>
              <w:t>odredbe propisane u postojećem</w:t>
            </w:r>
            <w:r w:rsidRPr="00DB016C">
              <w:rPr>
                <w:szCs w:val="24"/>
              </w:rPr>
              <w:t xml:space="preserve"> Zakon</w:t>
            </w:r>
            <w:r>
              <w:rPr>
                <w:szCs w:val="24"/>
              </w:rPr>
              <w:t>u</w:t>
            </w:r>
            <w:r w:rsidRPr="00DB016C">
              <w:rPr>
                <w:szCs w:val="24"/>
              </w:rPr>
              <w:t xml:space="preserve"> o zaštiti </w:t>
            </w:r>
            <w:r w:rsidRPr="00E45DC6">
              <w:rPr>
                <w:bCs/>
                <w:szCs w:val="24"/>
              </w:rPr>
              <w:t xml:space="preserve">zraka </w:t>
            </w:r>
            <w:r w:rsidRPr="006C7720">
              <w:t>("Narodne novine", br. 130/2011, 47/2014</w:t>
            </w:r>
            <w:r>
              <w:t>, 61/2017)</w:t>
            </w:r>
            <w:r>
              <w:rPr>
                <w:szCs w:val="24"/>
              </w:rPr>
              <w:t>.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Pr="00896842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color w:val="FF0000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I postojećim Zakonom </w:t>
            </w:r>
            <w:r w:rsidRPr="00E45DC6">
              <w:rPr>
                <w:bCs/>
                <w:szCs w:val="24"/>
              </w:rPr>
              <w:t xml:space="preserve">o zaštiti zraka </w:t>
            </w:r>
            <w:r w:rsidRPr="006C7720">
              <w:t>("Narodne novine", br. 130/2011, 47/2014</w:t>
            </w:r>
            <w:r>
              <w:t xml:space="preserve">, 61/2017) </w:t>
            </w:r>
            <w:r>
              <w:rPr>
                <w:rFonts w:eastAsia="Times New Roman"/>
                <w:szCs w:val="24"/>
              </w:rPr>
              <w:t>određene su</w:t>
            </w:r>
            <w:r w:rsidRPr="0054386F">
              <w:rPr>
                <w:rFonts w:eastAsia="Times New Roman"/>
                <w:szCs w:val="24"/>
              </w:rPr>
              <w:t xml:space="preserve"> nadležnost</w:t>
            </w:r>
            <w:r>
              <w:rPr>
                <w:rFonts w:eastAsia="Times New Roman"/>
                <w:szCs w:val="24"/>
              </w:rPr>
              <w:t>i</w:t>
            </w:r>
            <w:r w:rsidRPr="0054386F">
              <w:rPr>
                <w:rFonts w:eastAsia="Times New Roman"/>
                <w:szCs w:val="24"/>
              </w:rPr>
              <w:t xml:space="preserve"> i odgovornost za zaštitu ozonskog sloja, ublažavanje klimatskih promjena i pr</w:t>
            </w:r>
            <w:r>
              <w:rPr>
                <w:rFonts w:eastAsia="Times New Roman"/>
                <w:szCs w:val="24"/>
              </w:rPr>
              <w:t>ilagodbu klimatskim promjenama</w:t>
            </w:r>
            <w:r w:rsidRPr="0054386F">
              <w:rPr>
                <w:rFonts w:eastAsia="Times New Roman"/>
                <w:szCs w:val="24"/>
              </w:rPr>
              <w:t xml:space="preserve">, djelatnost praćenja tvari koje oštećuju ozonski sloj i </w:t>
            </w:r>
            <w:proofErr w:type="spellStart"/>
            <w:r w:rsidRPr="0054386F">
              <w:rPr>
                <w:rFonts w:eastAsia="Times New Roman"/>
                <w:szCs w:val="24"/>
              </w:rPr>
              <w:t>fluorirani</w:t>
            </w:r>
            <w:r>
              <w:rPr>
                <w:rFonts w:eastAsia="Times New Roman"/>
                <w:szCs w:val="24"/>
              </w:rPr>
              <w:t>h</w:t>
            </w:r>
            <w:proofErr w:type="spellEnd"/>
            <w:r w:rsidRPr="0054386F">
              <w:rPr>
                <w:rFonts w:eastAsia="Times New Roman"/>
                <w:szCs w:val="24"/>
              </w:rPr>
              <w:t xml:space="preserve"> staklenički</w:t>
            </w:r>
            <w:r>
              <w:rPr>
                <w:rFonts w:eastAsia="Times New Roman"/>
                <w:szCs w:val="24"/>
              </w:rPr>
              <w:t>h plinova</w:t>
            </w:r>
            <w:r w:rsidRPr="0054386F">
              <w:rPr>
                <w:rFonts w:eastAsia="Times New Roman"/>
                <w:szCs w:val="24"/>
              </w:rPr>
              <w:t xml:space="preserve">, praćenje emisija stakleničkih plinova i mjere za ublažavanje i prilagodbu klimatskim promjenama, informacijski sustav ozonskog sloja, </w:t>
            </w:r>
            <w:r>
              <w:rPr>
                <w:rFonts w:eastAsia="Times New Roman"/>
                <w:szCs w:val="24"/>
              </w:rPr>
              <w:t xml:space="preserve">te upravni i inspekcijski nadzor. </w:t>
            </w:r>
            <w:r w:rsidRPr="00DB016C">
              <w:rPr>
                <w:rFonts w:eastAsia="Times New Roman"/>
                <w:szCs w:val="24"/>
              </w:rPr>
              <w:t xml:space="preserve">Međutim, tijekom 2018. godine usvojeno je niz novih EU zakonodavnih paketa, kojima se uređuje ili restrukturira: direktiva o EU sustavu trgovanja emisijama stakleničkih plinova, </w:t>
            </w:r>
            <w:r w:rsidRPr="00DB016C">
              <w:rPr>
                <w:szCs w:val="24"/>
              </w:rPr>
              <w:t xml:space="preserve">uredba </w:t>
            </w:r>
            <w:r>
              <w:rPr>
                <w:szCs w:val="24"/>
              </w:rPr>
              <w:t xml:space="preserve">o </w:t>
            </w:r>
            <w:r w:rsidRPr="00E40E98">
              <w:rPr>
                <w:szCs w:val="24"/>
              </w:rPr>
              <w:t>obvezujućem godišnjem smanjenju emisija stakleničkih plinova u državama članicama od 2021. do 2030. kojim se doprinosi mjerama u području klime za ispunjenje obveza u okviru Pariškog sporazuma</w:t>
            </w:r>
            <w:r>
              <w:rPr>
                <w:szCs w:val="24"/>
              </w:rPr>
              <w:t xml:space="preserve">, uredba </w:t>
            </w:r>
            <w:r w:rsidRPr="00E40E98">
              <w:rPr>
                <w:szCs w:val="24"/>
              </w:rPr>
              <w:t>o uključivanju emisija i uklanjanja stakleničkih plinova iz korištenja zemljišta, prenamjene zemljišta i šumarstva u okvir za klimatsku i energetsku politiku do 2030.</w:t>
            </w:r>
            <w:r>
              <w:rPr>
                <w:szCs w:val="24"/>
              </w:rPr>
              <w:t xml:space="preserve">, uredba </w:t>
            </w:r>
            <w:r>
              <w:rPr>
                <w:szCs w:val="24"/>
              </w:rPr>
              <w:lastRenderedPageBreak/>
              <w:t xml:space="preserve">o upravljanju energetskom unijom i klimatskom politikom te uredba </w:t>
            </w:r>
            <w:r w:rsidRPr="00FF6D84">
              <w:rPr>
                <w:szCs w:val="24"/>
              </w:rPr>
              <w:t xml:space="preserve">o </w:t>
            </w:r>
            <w:r>
              <w:rPr>
                <w:szCs w:val="24"/>
              </w:rPr>
              <w:t xml:space="preserve">području </w:t>
            </w:r>
            <w:r w:rsidRPr="00FF6D84">
              <w:rPr>
                <w:szCs w:val="24"/>
              </w:rPr>
              <w:t>primjene zrakoplovn</w:t>
            </w:r>
            <w:r>
              <w:rPr>
                <w:szCs w:val="24"/>
              </w:rPr>
              <w:t>ih djelatnosti i pripreme provedbe</w:t>
            </w:r>
            <w:r w:rsidRPr="00FF6D84">
              <w:rPr>
                <w:szCs w:val="24"/>
              </w:rPr>
              <w:t xml:space="preserve"> globaln</w:t>
            </w:r>
            <w:r>
              <w:rPr>
                <w:szCs w:val="24"/>
              </w:rPr>
              <w:t>ih</w:t>
            </w:r>
            <w:r w:rsidRPr="00FF6D84">
              <w:rPr>
                <w:szCs w:val="24"/>
              </w:rPr>
              <w:t xml:space="preserve"> tržišno utemeljen</w:t>
            </w:r>
            <w:r>
              <w:rPr>
                <w:szCs w:val="24"/>
              </w:rPr>
              <w:t>ih</w:t>
            </w:r>
            <w:r w:rsidRPr="00FF6D84">
              <w:rPr>
                <w:szCs w:val="24"/>
              </w:rPr>
              <w:t xml:space="preserve"> mjer</w:t>
            </w:r>
            <w:r>
              <w:rPr>
                <w:szCs w:val="24"/>
              </w:rPr>
              <w:t>a</w:t>
            </w:r>
            <w:r w:rsidRPr="00FF6D84">
              <w:rPr>
                <w:szCs w:val="24"/>
              </w:rPr>
              <w:t xml:space="preserve"> od 2021.</w:t>
            </w:r>
            <w:r>
              <w:rPr>
                <w:szCs w:val="24"/>
              </w:rPr>
              <w:t xml:space="preserve"> godine.</w:t>
            </w:r>
          </w:p>
          <w:p w:rsidR="00BC59E5" w:rsidRDefault="00BC59E5" w:rsidP="002839F3">
            <w:pPr>
              <w:ind w:firstLine="709"/>
              <w:jc w:val="both"/>
              <w:rPr>
                <w:rFonts w:eastAsia="Times New Roman"/>
                <w:color w:val="FF0000"/>
                <w:szCs w:val="24"/>
              </w:rPr>
            </w:pPr>
          </w:p>
          <w:p w:rsidR="00BC59E5" w:rsidRPr="00BB3188" w:rsidRDefault="00BC59E5" w:rsidP="002839F3">
            <w:pPr>
              <w:jc w:val="both"/>
              <w:rPr>
                <w:szCs w:val="24"/>
                <w:u w:val="single"/>
              </w:rPr>
            </w:pPr>
            <w:r w:rsidRPr="000C122C">
              <w:rPr>
                <w:szCs w:val="24"/>
              </w:rPr>
              <w:t>Uslijed</w:t>
            </w:r>
            <w:r>
              <w:rPr>
                <w:szCs w:val="24"/>
              </w:rPr>
              <w:t xml:space="preserve"> niza, gore navedenih novih EU propisa koji su proširili i nadopunili opseg dosadašnjih zakonskih odredbi propisanih Zakonom o zaštiti zraka i njegovim izmjenama (''Narodne novine'', br. </w:t>
            </w:r>
            <w:r w:rsidRPr="00F33D1F">
              <w:rPr>
                <w:szCs w:val="24"/>
              </w:rPr>
              <w:t>130/2011</w:t>
            </w:r>
            <w:r>
              <w:rPr>
                <w:szCs w:val="24"/>
              </w:rPr>
              <w:t xml:space="preserve">, </w:t>
            </w:r>
            <w:r w:rsidRPr="00F33D1F">
              <w:rPr>
                <w:szCs w:val="24"/>
              </w:rPr>
              <w:t>47/2014</w:t>
            </w:r>
            <w:r>
              <w:rPr>
                <w:szCs w:val="24"/>
              </w:rPr>
              <w:t xml:space="preserve"> i </w:t>
            </w:r>
            <w:r w:rsidRPr="00F33D1F">
              <w:rPr>
                <w:szCs w:val="24"/>
              </w:rPr>
              <w:t>61/2017</w:t>
            </w:r>
            <w:r>
              <w:rPr>
                <w:szCs w:val="24"/>
              </w:rPr>
              <w:t xml:space="preserve">), vezanih za problematiku klimatskih promjena i zaštite ozonskog sloja, kao i potrebu za izmjenama i dopunama u većem opsegu nego što je to propisano samo za izmjene postojećeg Zakona, </w:t>
            </w:r>
            <w:r w:rsidRPr="00BB3188">
              <w:rPr>
                <w:szCs w:val="24"/>
                <w:u w:val="single"/>
              </w:rPr>
              <w:t xml:space="preserve">proizlazi potreba za izdvajanje spomenute problematike iz Zakona o zaštiti zraka i izradi posebnog Zakona o klimatskim </w:t>
            </w:r>
            <w:r>
              <w:rPr>
                <w:szCs w:val="24"/>
                <w:u w:val="single"/>
              </w:rPr>
              <w:t>promjenama</w:t>
            </w:r>
            <w:r w:rsidRPr="00BB3188">
              <w:rPr>
                <w:szCs w:val="24"/>
                <w:u w:val="single"/>
              </w:rPr>
              <w:t xml:space="preserve"> i zaštiti ozonskog sloja.  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C59E5" w:rsidRPr="0077506C" w:rsidTr="002839F3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Default="00BC59E5" w:rsidP="002839F3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Postojeći Zakon donesen je 2011. godine (NN 130/11) te je u dva navrata izmijenjen i dopunjavan zbog usklađenja s EU zakonodavstvom. S obzirom na specifičnosti područja zaštite zraka i klimatskih promjena i zaštite ozonskog sloja te uređenost EU zakonodavstva koje brojnim Direktivama jasno razgraničuje zaštitu zraka od zaštite klime i ozonskog sloja potrebno je  reorganizirati postojeći zakonodavni okvir odvajanjem tih dviju tematskih cjelina.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</w:p>
          <w:p w:rsidR="00BC59E5" w:rsidRPr="00E45DC6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45DC6">
              <w:rPr>
                <w:szCs w:val="24"/>
              </w:rPr>
              <w:t xml:space="preserve">Pariški sporazum, usvojen 12. prosinca 2015. </w:t>
            </w:r>
            <w:r>
              <w:rPr>
                <w:szCs w:val="24"/>
              </w:rPr>
              <w:t xml:space="preserve">godine </w:t>
            </w:r>
            <w:r w:rsidRPr="00E45DC6">
              <w:rPr>
                <w:szCs w:val="24"/>
              </w:rPr>
              <w:t xml:space="preserve">u okviru UNFCCC-a stupio je na snagu 4. studenoga 2016. godine. </w:t>
            </w:r>
            <w:r>
              <w:rPr>
                <w:szCs w:val="24"/>
              </w:rPr>
              <w:t xml:space="preserve">Cilj Pariškog sporazuma je </w:t>
            </w:r>
            <w:r w:rsidRPr="00E45DC6">
              <w:rPr>
                <w:szCs w:val="24"/>
              </w:rPr>
              <w:t>zadržati povećanje globalne prosječne temperature na razini koja je znatno niža od 2 °C iznad razine u predindustrijskom razdoblju te uložiti napore u ograničavanje povišenja temperature na 1,5 °C</w:t>
            </w:r>
            <w:r>
              <w:rPr>
                <w:szCs w:val="24"/>
              </w:rPr>
              <w:t>.</w:t>
            </w:r>
            <w:r w:rsidRPr="00E45DC6">
              <w:rPr>
                <w:szCs w:val="24"/>
              </w:rPr>
              <w:t xml:space="preserve"> Stranke </w:t>
            </w:r>
            <w:r>
              <w:rPr>
                <w:szCs w:val="24"/>
              </w:rPr>
              <w:t xml:space="preserve">su također obvezne izvještavati o i </w:t>
            </w:r>
            <w:proofErr w:type="spellStart"/>
            <w:r>
              <w:rPr>
                <w:szCs w:val="24"/>
              </w:rPr>
              <w:t>i</w:t>
            </w:r>
            <w:proofErr w:type="spellEnd"/>
            <w:r>
              <w:rPr>
                <w:szCs w:val="24"/>
              </w:rPr>
              <w:t xml:space="preserve"> naporima za njihovo smanjenje. Ciljevi država stranaka se preispituju i</w:t>
            </w:r>
            <w:r w:rsidRPr="00F97FDD">
              <w:rPr>
                <w:szCs w:val="24"/>
              </w:rPr>
              <w:t xml:space="preserve"> revidiraju u petogodišnjim ciklusima</w:t>
            </w:r>
            <w:r>
              <w:rPr>
                <w:szCs w:val="24"/>
              </w:rPr>
              <w:t xml:space="preserve">, kao i </w:t>
            </w:r>
            <w:r w:rsidRPr="00DB016C">
              <w:rPr>
                <w:szCs w:val="24"/>
              </w:rPr>
              <w:t>provedba Pariškog sporazuma kako bi se procijenio kolektivni napredak u smjeru postizanja njegovih dugoročnih ciljeva. U skladu s obvezom iz Direktive 2009/29/EZ Europskog parlamenta i Vijeća i Odluke br. 406/2009/EZ Europskog parlamenta i Vijeća svi gospodarski sektori trebali bi doprinositi smanjenju emisija stakleničkih plinova.</w:t>
            </w:r>
            <w:r w:rsidRPr="00E45DC6">
              <w:rPr>
                <w:szCs w:val="24"/>
              </w:rPr>
              <w:t xml:space="preserve"> U skladu s Pariškim sporazumom Unija i njezine države članice obvezali su se na postizanje cilja smanjenja emisija na </w:t>
            </w:r>
            <w:r>
              <w:rPr>
                <w:szCs w:val="24"/>
              </w:rPr>
              <w:t>razini cjelokupnog gospodarstva, za</w:t>
            </w:r>
            <w:r w:rsidRPr="00E45DC6">
              <w:rPr>
                <w:szCs w:val="24"/>
              </w:rPr>
              <w:t xml:space="preserve"> najmanje 40 % </w:t>
            </w:r>
            <w:r>
              <w:rPr>
                <w:szCs w:val="24"/>
              </w:rPr>
              <w:t xml:space="preserve">do 2030. godine. To se provodi </w:t>
            </w:r>
            <w:r w:rsidRPr="00E45DC6">
              <w:rPr>
                <w:szCs w:val="24"/>
              </w:rPr>
              <w:t xml:space="preserve">zajednički </w:t>
            </w:r>
            <w:r>
              <w:rPr>
                <w:szCs w:val="24"/>
              </w:rPr>
              <w:t xml:space="preserve">na razini cijele EU, </w:t>
            </w:r>
            <w:r w:rsidRPr="00E45DC6">
              <w:rPr>
                <w:szCs w:val="24"/>
              </w:rPr>
              <w:t>uz smanjenja u sustavu trgovanja emisijama Europske unije (''EU</w:t>
            </w:r>
            <w:r>
              <w:rPr>
                <w:szCs w:val="24"/>
              </w:rPr>
              <w:t xml:space="preserve"> ETS</w:t>
            </w:r>
            <w:r w:rsidRPr="00E45DC6">
              <w:rPr>
                <w:szCs w:val="24"/>
              </w:rPr>
              <w:t>'')</w:t>
            </w:r>
            <w:r>
              <w:rPr>
                <w:szCs w:val="24"/>
              </w:rPr>
              <w:t xml:space="preserve"> </w:t>
            </w:r>
            <w:r w:rsidRPr="00E45DC6">
              <w:rPr>
                <w:szCs w:val="24"/>
              </w:rPr>
              <w:t xml:space="preserve">i </w:t>
            </w:r>
            <w:r>
              <w:rPr>
                <w:szCs w:val="24"/>
              </w:rPr>
              <w:t xml:space="preserve">u </w:t>
            </w:r>
            <w:r w:rsidRPr="00E45DC6">
              <w:rPr>
                <w:szCs w:val="24"/>
              </w:rPr>
              <w:t>sektorima izvan sustava trgovanja emisijama do 2030.</w:t>
            </w:r>
            <w:r>
              <w:rPr>
                <w:szCs w:val="24"/>
              </w:rPr>
              <w:t xml:space="preserve"> godine, u kojem su države članice dobile nacionalne kvote kojih se trebaju pridržavati.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Pr="00E45DC6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45DC6">
              <w:rPr>
                <w:szCs w:val="24"/>
              </w:rPr>
              <w:t xml:space="preserve">Europsko vijeće u svojim je zaključcima potvrdilo da će djelotvoran, reformiran EU sustav trgovanja emisijama s instrumentom za stabilizaciju tržišta biti glavni europski instrument za postizanje cilja smanjenja emisija od najmanje 40 %, uz godišnji faktor smanjenja od 2,2 % od 2021. nadalje. Europsko vijeće potvrdilo je i da besplatna dodjela emisijskih jedinica neće prestati važiti, nego da će se postojeće mjere nastaviti primjenjivati i nakon 2020. godine radi sprečavanja rizika od istjecanja ugljika zbog klimatske politike, dokle god se ne poduzimaju usporedivi napori u drugim velikim </w:t>
            </w:r>
            <w:r w:rsidRPr="00E45DC6">
              <w:rPr>
                <w:szCs w:val="24"/>
              </w:rPr>
              <w:lastRenderedPageBreak/>
              <w:t xml:space="preserve">gospodarstvima te bez smanjivanja udjela emisijskih jedinica koje trebaju biti prodane na dražbi. 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26546">
              <w:rPr>
                <w:szCs w:val="24"/>
              </w:rPr>
              <w:t xml:space="preserve">Nizom mjera Unije teži se povećati sposobnost država članica da ispune svoje klimatske obveze i one su ključne za postizanje potrebnih smanjenja emisija stakleničkih plinova u sektorima izvan sustava trgovanja emisijama. Te mjere uključuju propise o </w:t>
            </w:r>
            <w:proofErr w:type="spellStart"/>
            <w:r w:rsidRPr="00926546">
              <w:rPr>
                <w:szCs w:val="24"/>
              </w:rPr>
              <w:t>fluoriranim</w:t>
            </w:r>
            <w:proofErr w:type="spellEnd"/>
            <w:r w:rsidRPr="00926546">
              <w:rPr>
                <w:szCs w:val="24"/>
              </w:rPr>
              <w:t xml:space="preserve"> stakleničkim plinovima, smanjenju CO2 iz cestovnih vozila, energetskim svojstvima zgrada, obnovljivoj energiji, energetskoj učinkovitosti i kružnom gospodarstvu, kao i instrumente financiranja Unije za ulaganja povezana s klimom.</w:t>
            </w:r>
          </w:p>
          <w:p w:rsidR="00BC59E5" w:rsidRPr="00E45DC6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Pr="00E45DC6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U sektorima izvan sustava trgovanja s</w:t>
            </w:r>
            <w:r w:rsidRPr="00E45DC6">
              <w:rPr>
                <w:szCs w:val="24"/>
              </w:rPr>
              <w:t xml:space="preserve">ve države članice </w:t>
            </w:r>
            <w:r>
              <w:rPr>
                <w:szCs w:val="24"/>
              </w:rPr>
              <w:t>doprinose</w:t>
            </w:r>
            <w:r w:rsidRPr="00E45DC6">
              <w:rPr>
                <w:szCs w:val="24"/>
              </w:rPr>
              <w:t xml:space="preserve"> ukupnom smanjenju u </w:t>
            </w:r>
            <w:r>
              <w:rPr>
                <w:szCs w:val="24"/>
              </w:rPr>
              <w:t>EU</w:t>
            </w:r>
            <w:r w:rsidRPr="00E45DC6">
              <w:rPr>
                <w:szCs w:val="24"/>
              </w:rPr>
              <w:t xml:space="preserve"> </w:t>
            </w:r>
            <w:r>
              <w:rPr>
                <w:szCs w:val="24"/>
              </w:rPr>
              <w:t>do</w:t>
            </w:r>
            <w:r w:rsidRPr="00E45DC6">
              <w:rPr>
                <w:szCs w:val="24"/>
              </w:rPr>
              <w:t xml:space="preserve"> 2030., s rasponom ciljeva od 0 % do -40 % u odnosu na</w:t>
            </w:r>
            <w:r>
              <w:rPr>
                <w:szCs w:val="24"/>
              </w:rPr>
              <w:t xml:space="preserve"> razine iz</w:t>
            </w:r>
            <w:r w:rsidRPr="00E45DC6">
              <w:rPr>
                <w:szCs w:val="24"/>
              </w:rPr>
              <w:t xml:space="preserve"> 2005. godin</w:t>
            </w:r>
            <w:r>
              <w:rPr>
                <w:szCs w:val="24"/>
              </w:rPr>
              <w:t>e</w:t>
            </w:r>
            <w:r w:rsidRPr="00E45DC6">
              <w:rPr>
                <w:szCs w:val="24"/>
              </w:rPr>
              <w:t xml:space="preserve">. </w:t>
            </w:r>
            <w:r>
              <w:rPr>
                <w:szCs w:val="24"/>
              </w:rPr>
              <w:t>Nastavlja se primjena m</w:t>
            </w:r>
            <w:r w:rsidRPr="00E45DC6">
              <w:rPr>
                <w:szCs w:val="24"/>
              </w:rPr>
              <w:t>etodologij</w:t>
            </w:r>
            <w:r>
              <w:rPr>
                <w:szCs w:val="24"/>
              </w:rPr>
              <w:t xml:space="preserve">e za </w:t>
            </w:r>
            <w:r w:rsidRPr="00E45DC6">
              <w:rPr>
                <w:szCs w:val="24"/>
              </w:rPr>
              <w:t>utvrđivanj</w:t>
            </w:r>
            <w:r>
              <w:rPr>
                <w:szCs w:val="24"/>
              </w:rPr>
              <w:t>e</w:t>
            </w:r>
            <w:r w:rsidRPr="00E45DC6">
              <w:rPr>
                <w:szCs w:val="24"/>
              </w:rPr>
              <w:t xml:space="preserve"> nacionalnih ciljeva </w:t>
            </w:r>
            <w:r>
              <w:rPr>
                <w:szCs w:val="24"/>
              </w:rPr>
              <w:t>iz Odluke</w:t>
            </w:r>
            <w:r w:rsidRPr="00E45DC6">
              <w:rPr>
                <w:szCs w:val="24"/>
              </w:rPr>
              <w:t xml:space="preserve"> br. 406/2009/EZ</w:t>
            </w:r>
            <w:r>
              <w:rPr>
                <w:szCs w:val="24"/>
              </w:rPr>
              <w:t xml:space="preserve">, </w:t>
            </w:r>
            <w:r w:rsidRPr="00E45DC6">
              <w:rPr>
                <w:szCs w:val="24"/>
              </w:rPr>
              <w:t>na temelju relativnog bruto domaće</w:t>
            </w:r>
            <w:r>
              <w:rPr>
                <w:szCs w:val="24"/>
              </w:rPr>
              <w:t>g proizvoda (BDP) po stanovniku te je za RH utvrđen cilj smanjenja emisija za 7% do 2030. godine.</w:t>
            </w:r>
            <w:r w:rsidRPr="00E45DC6">
              <w:rPr>
                <w:szCs w:val="24"/>
              </w:rPr>
              <w:t xml:space="preserve"> 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 w:val="23"/>
                <w:szCs w:val="23"/>
              </w:rPr>
            </w:pPr>
          </w:p>
          <w:p w:rsidR="00BC59E5" w:rsidRPr="00DB01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DB016C">
              <w:rPr>
                <w:szCs w:val="24"/>
              </w:rPr>
              <w:t xml:space="preserve">Novim propisom o uključivanju emisija i uklanjanja stakleničkih plinova iz korištenja zemljišta, prenamjene zemljišta i šumarstva (LULUCF) EU uvodi i pitanje sektora LULUCF, koji ima potencijal za pružanje dugoročnih klimatskih koristi i tako može doprinijeti postizanju cilja EU za smanjenje emisija stakleničkih plinova, kao i dugoročnih klimatskih ciljeva Pariškog sporazuma. </w:t>
            </w:r>
          </w:p>
          <w:p w:rsidR="00BC59E5" w:rsidRPr="00DB01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DB016C">
              <w:rPr>
                <w:szCs w:val="24"/>
              </w:rPr>
              <w:t>Postupcima održivog upravljanja u sektoru LULUCF može se doprinijeti ublažavanju klimatskih promjena na nekoliko načina, a osobito smanjenjem emisija te održavanjem i povećavanjem ponora i zaliha ugljika.</w:t>
            </w:r>
          </w:p>
          <w:p w:rsidR="00BC59E5" w:rsidRPr="00DB01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DB016C">
              <w:rPr>
                <w:szCs w:val="24"/>
              </w:rPr>
              <w:t xml:space="preserve">U dijelu koji se odnosi na tvari koje oštećuju ozonski sloj i </w:t>
            </w:r>
            <w:proofErr w:type="spellStart"/>
            <w:r w:rsidRPr="00DB016C">
              <w:rPr>
                <w:szCs w:val="24"/>
              </w:rPr>
              <w:t>fluorirane</w:t>
            </w:r>
            <w:proofErr w:type="spellEnd"/>
            <w:r w:rsidRPr="00DB016C">
              <w:rPr>
                <w:szCs w:val="24"/>
              </w:rPr>
              <w:t xml:space="preserve"> stakleničke plinove u tijeku je revizija EU Uredbe 1005/2009. U ostalom dijelu nema značajnijih promjena u odnosu </w:t>
            </w:r>
            <w:r>
              <w:rPr>
                <w:szCs w:val="24"/>
              </w:rPr>
              <w:t>odredbe propisane u postojećem</w:t>
            </w:r>
            <w:r w:rsidRPr="00DB016C">
              <w:rPr>
                <w:szCs w:val="24"/>
              </w:rPr>
              <w:t xml:space="preserve"> Zakon</w:t>
            </w:r>
            <w:r>
              <w:rPr>
                <w:szCs w:val="24"/>
              </w:rPr>
              <w:t>u</w:t>
            </w:r>
            <w:r w:rsidRPr="00DB016C">
              <w:rPr>
                <w:szCs w:val="24"/>
              </w:rPr>
              <w:t xml:space="preserve"> o zaštiti </w:t>
            </w:r>
            <w:r w:rsidRPr="00E45DC6">
              <w:rPr>
                <w:bCs/>
                <w:szCs w:val="24"/>
              </w:rPr>
              <w:t xml:space="preserve">zraka </w:t>
            </w:r>
            <w:r w:rsidRPr="006C7720">
              <w:t>("Narodne novine", br. 130/2011, 47/2014</w:t>
            </w:r>
            <w:r>
              <w:t>, 61/2017)</w:t>
            </w:r>
            <w:r>
              <w:rPr>
                <w:szCs w:val="24"/>
              </w:rPr>
              <w:t>.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BC59E5" w:rsidRPr="0077506C" w:rsidTr="002839F3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Pr="00E45DC6" w:rsidRDefault="00BC59E5" w:rsidP="002839F3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E45DC6">
              <w:rPr>
                <w:bCs/>
                <w:szCs w:val="24"/>
              </w:rPr>
              <w:t xml:space="preserve">Formalni cilj je usklađivanje propisa Republike Hrvatske s zakonodavstvom EU. </w:t>
            </w:r>
          </w:p>
          <w:p w:rsidR="00BC59E5" w:rsidRPr="00E45DC6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Pr="00E45DC6" w:rsidRDefault="00BC59E5" w:rsidP="002839F3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 w:rsidRPr="00E45DC6">
              <w:rPr>
                <w:szCs w:val="24"/>
              </w:rPr>
              <w:t>Ovim se Zakonom na sveobuhvat</w:t>
            </w:r>
            <w:r>
              <w:rPr>
                <w:szCs w:val="24"/>
              </w:rPr>
              <w:t>a</w:t>
            </w:r>
            <w:r w:rsidRPr="00E45DC6">
              <w:rPr>
                <w:szCs w:val="24"/>
              </w:rPr>
              <w:t xml:space="preserve">n način uređuje pravni okvir kojim će se omogućiti donošenje nacionalnih </w:t>
            </w:r>
            <w:proofErr w:type="spellStart"/>
            <w:r w:rsidRPr="00E45DC6">
              <w:rPr>
                <w:szCs w:val="24"/>
              </w:rPr>
              <w:t>podzakonskih</w:t>
            </w:r>
            <w:proofErr w:type="spellEnd"/>
            <w:r w:rsidRPr="00E45DC6">
              <w:rPr>
                <w:szCs w:val="24"/>
              </w:rPr>
              <w:t xml:space="preserve"> propisa u cilju provedbe svih relevantnih EU propisa kojima se regulira područje </w:t>
            </w:r>
            <w:r>
              <w:rPr>
                <w:szCs w:val="24"/>
              </w:rPr>
              <w:t>klimatskih promjena</w:t>
            </w:r>
            <w:r w:rsidRPr="00E45DC6">
              <w:rPr>
                <w:szCs w:val="24"/>
              </w:rPr>
              <w:t xml:space="preserve"> i </w:t>
            </w:r>
            <w:r>
              <w:rPr>
                <w:szCs w:val="24"/>
              </w:rPr>
              <w:t xml:space="preserve">zaštite </w:t>
            </w:r>
            <w:r w:rsidRPr="00E45DC6">
              <w:rPr>
                <w:szCs w:val="24"/>
              </w:rPr>
              <w:t>ozonskoga sloja.</w:t>
            </w: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Ishod je novi Zakon o klimatskim promjenama i zaštiti ozonskog sloja, koji će u sebi sadržavati nove odredbe EU zakonodavstva iz područja klimatskih promjena i zaštite ozonskog sloja. 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Pr="004269EE" w:rsidRDefault="00BC59E5" w:rsidP="002839F3">
            <w:pPr>
              <w:shd w:val="clear" w:color="auto" w:fill="FFFFFF" w:themeFill="background1"/>
              <w:jc w:val="both"/>
            </w:pPr>
            <w:r>
              <w:rPr>
                <w:szCs w:val="24"/>
              </w:rPr>
              <w:t>Nadalje, p</w:t>
            </w:r>
            <w:r w:rsidRPr="001B2D1A">
              <w:rPr>
                <w:szCs w:val="24"/>
              </w:rPr>
              <w:t xml:space="preserve">ozitivne promjene koje donosi novi zakon su poboljšanje pravnog okvira </w:t>
            </w:r>
            <w:r>
              <w:rPr>
                <w:szCs w:val="24"/>
              </w:rPr>
              <w:t>odnosno ispravke pojedinih nedostataka</w:t>
            </w:r>
            <w:r w:rsidRPr="001B2D1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koji su </w:t>
            </w:r>
            <w:r>
              <w:rPr>
                <w:szCs w:val="24"/>
              </w:rPr>
              <w:lastRenderedPageBreak/>
              <w:t xml:space="preserve">uočeni u primjeni važećeg </w:t>
            </w:r>
            <w:r w:rsidRPr="001B2D1A">
              <w:rPr>
                <w:szCs w:val="24"/>
              </w:rPr>
              <w:t>Zakon</w:t>
            </w:r>
            <w:r>
              <w:rPr>
                <w:szCs w:val="24"/>
              </w:rPr>
              <w:t>a</w:t>
            </w:r>
            <w:r w:rsidRPr="001B2D1A">
              <w:rPr>
                <w:szCs w:val="24"/>
              </w:rPr>
              <w:t xml:space="preserve"> o</w:t>
            </w:r>
            <w:r w:rsidRPr="00435CFF">
              <w:rPr>
                <w:szCs w:val="24"/>
              </w:rPr>
              <w:t xml:space="preserve"> zaštiti zraka ("Narodne novine", br. 130/2011, 47/2014</w:t>
            </w:r>
            <w:r>
              <w:rPr>
                <w:szCs w:val="24"/>
              </w:rPr>
              <w:t>, 61/2017</w:t>
            </w:r>
            <w:r w:rsidRPr="00435CFF">
              <w:rPr>
                <w:szCs w:val="24"/>
              </w:rPr>
              <w:t>).</w:t>
            </w:r>
            <w:r>
              <w:t xml:space="preserve"> </w:t>
            </w:r>
          </w:p>
        </w:tc>
      </w:tr>
      <w:tr w:rsidR="00BC59E5" w:rsidRPr="0077506C" w:rsidTr="002839F3"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rStyle w:val="defaultparagraphfont-000009"/>
                <w:sz w:val="24"/>
                <w:szCs w:val="24"/>
              </w:rPr>
              <w:t>Po donošenju.</w:t>
            </w:r>
          </w:p>
        </w:tc>
      </w:tr>
      <w:tr w:rsidR="00BC59E5" w:rsidRPr="0077506C" w:rsidTr="002839F3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BC59E5" w:rsidRPr="0077506C" w:rsidTr="002839F3"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Novi Zakon o klimatskim promjenama i zaštiti ozonskog sloja</w:t>
            </w:r>
          </w:p>
        </w:tc>
      </w:tr>
      <w:tr w:rsidR="00BC59E5" w:rsidRPr="0077506C" w:rsidTr="002839F3"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 obzirom na specifičnosti područja zaštite zraka i klimatskih promjena i zaštite ozonskog sloja te uređenost EU zakonodavstva koje brojnim Direktivama jasno razgraničuje zaštitu zraka od klimatskih promjena i zaštite ozonskog sloja potrebno je reorganizirati postojeći zakonodavni okvir odvajanjem tih dviju tematskih cjelina.</w:t>
            </w:r>
          </w:p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Novim Zakonom o zaštiti zraka r</w:t>
            </w:r>
            <w:r w:rsidRPr="0021564A">
              <w:rPr>
                <w:szCs w:val="24"/>
              </w:rPr>
              <w:t>eorganiz</w:t>
            </w:r>
            <w:r>
              <w:rPr>
                <w:szCs w:val="24"/>
              </w:rPr>
              <w:t xml:space="preserve">ira se </w:t>
            </w:r>
            <w:r w:rsidRPr="0021564A">
              <w:rPr>
                <w:szCs w:val="24"/>
              </w:rPr>
              <w:t>postojeć</w:t>
            </w:r>
            <w:r>
              <w:rPr>
                <w:szCs w:val="24"/>
              </w:rPr>
              <w:t>i</w:t>
            </w:r>
            <w:r w:rsidRPr="0021564A">
              <w:rPr>
                <w:szCs w:val="24"/>
              </w:rPr>
              <w:t xml:space="preserve"> pravn</w:t>
            </w:r>
            <w:r>
              <w:rPr>
                <w:szCs w:val="24"/>
              </w:rPr>
              <w:t>i</w:t>
            </w:r>
            <w:r w:rsidRPr="0021564A">
              <w:rPr>
                <w:szCs w:val="24"/>
              </w:rPr>
              <w:t xml:space="preserve"> okvir i razdvaja</w:t>
            </w:r>
            <w:r>
              <w:rPr>
                <w:szCs w:val="24"/>
              </w:rPr>
              <w:t xml:space="preserve"> se </w:t>
            </w:r>
            <w:r w:rsidRPr="0021564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područje zaštite </w:t>
            </w:r>
            <w:r w:rsidRPr="0021564A">
              <w:rPr>
                <w:szCs w:val="24"/>
              </w:rPr>
              <w:t xml:space="preserve">zraka od zaštite klime i ozonskog sloja, </w:t>
            </w:r>
            <w:r>
              <w:rPr>
                <w:szCs w:val="24"/>
              </w:rPr>
              <w:t xml:space="preserve">te se </w:t>
            </w:r>
            <w:r w:rsidRPr="0021564A">
              <w:rPr>
                <w:szCs w:val="24"/>
              </w:rPr>
              <w:t>omoguć</w:t>
            </w:r>
            <w:r>
              <w:rPr>
                <w:szCs w:val="24"/>
              </w:rPr>
              <w:t>ava</w:t>
            </w:r>
            <w:r w:rsidRPr="0021564A">
              <w:rPr>
                <w:szCs w:val="24"/>
              </w:rPr>
              <w:t xml:space="preserve"> jednostavnija i učinkovitija primjena zakonskih i </w:t>
            </w:r>
            <w:proofErr w:type="spellStart"/>
            <w:r w:rsidRPr="0021564A">
              <w:rPr>
                <w:szCs w:val="24"/>
              </w:rPr>
              <w:t>podzakonskih</w:t>
            </w:r>
            <w:proofErr w:type="spellEnd"/>
            <w:r w:rsidRPr="0021564A">
              <w:rPr>
                <w:szCs w:val="24"/>
              </w:rPr>
              <w:t xml:space="preserve"> akata koji se odnose na</w:t>
            </w:r>
            <w:r>
              <w:rPr>
                <w:bCs/>
                <w:szCs w:val="24"/>
              </w:rPr>
              <w:t xml:space="preserve"> klimatske promjene i zaštitu ozonskog sloja.</w:t>
            </w:r>
            <w:r w:rsidRPr="0021564A">
              <w:rPr>
                <w:szCs w:val="24"/>
              </w:rPr>
              <w:t xml:space="preserve"> </w:t>
            </w:r>
          </w:p>
        </w:tc>
      </w:tr>
      <w:tr w:rsidR="00BC59E5" w:rsidRPr="0077506C" w:rsidTr="002839F3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114AE5">
              <w:rPr>
                <w:szCs w:val="24"/>
              </w:rPr>
              <w:t>Nenormativna</w:t>
            </w:r>
            <w:proofErr w:type="spellEnd"/>
            <w:r w:rsidRPr="00114AE5">
              <w:rPr>
                <w:szCs w:val="24"/>
              </w:rPr>
              <w:t xml:space="preserve"> rješenja nisu primjenjiva.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C59E5" w:rsidRPr="0077506C" w:rsidTr="002839F3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114AE5">
              <w:rPr>
                <w:szCs w:val="24"/>
              </w:rPr>
              <w:t xml:space="preserve">Usklađivanje s pravnom stečevinom Europske unije moguće je samo kroz normativno rješenje te bi svaki oblik </w:t>
            </w:r>
            <w:proofErr w:type="spellStart"/>
            <w:r w:rsidRPr="00114AE5">
              <w:rPr>
                <w:szCs w:val="24"/>
              </w:rPr>
              <w:t>nenormativnog</w:t>
            </w:r>
            <w:proofErr w:type="spellEnd"/>
            <w:r w:rsidRPr="00114AE5">
              <w:rPr>
                <w:szCs w:val="24"/>
              </w:rPr>
              <w:t xml:space="preserve"> rješenja mogao ugroziti izvršenje obveza </w:t>
            </w:r>
            <w:r>
              <w:rPr>
                <w:szCs w:val="24"/>
              </w:rPr>
              <w:t>propisan</w:t>
            </w:r>
            <w:r w:rsidRPr="00114AE5">
              <w:rPr>
                <w:szCs w:val="24"/>
              </w:rPr>
              <w:t>ih novim EU zakonodavstvom kao i postizanja općenito cilja i promjena do kojih treba dovesti ovaj Zakon.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C59E5" w:rsidRPr="0077506C" w:rsidTr="002839F3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BC59E5" w:rsidRPr="0077506C" w:rsidTr="002839F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BC59E5" w:rsidRPr="0077506C" w:rsidTr="002839F3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BC59E5" w:rsidRPr="0077506C" w:rsidTr="002839F3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BC59E5" w:rsidRPr="0077506C" w:rsidTr="002839F3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rPr>
                <w:szCs w:val="24"/>
              </w:rPr>
            </w:pPr>
            <w:r w:rsidRPr="00926546">
              <w:rPr>
                <w:szCs w:val="24"/>
              </w:rPr>
              <w:t>Obrazloženje za analizu utvrđivanja izravnih učinaka od 5.1.1. do 5.1.14.</w:t>
            </w:r>
          </w:p>
          <w:p w:rsidR="00BC59E5" w:rsidRDefault="00BC59E5" w:rsidP="002839F3">
            <w:pPr>
              <w:shd w:val="clear" w:color="auto" w:fill="FFFFFF" w:themeFill="background1"/>
              <w:rPr>
                <w:rFonts w:eastAsia="Times New Roman"/>
                <w:color w:val="000000"/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color w:val="000000"/>
                <w:szCs w:val="24"/>
              </w:rPr>
            </w:pPr>
            <w:r w:rsidRPr="001D598F">
              <w:rPr>
                <w:rFonts w:eastAsia="Times New Roman"/>
                <w:color w:val="000000"/>
                <w:szCs w:val="24"/>
              </w:rPr>
              <w:t xml:space="preserve">Izmjenom Direktive o EU sustavu trgovanja emisijama </w:t>
            </w:r>
            <w:r>
              <w:rPr>
                <w:rFonts w:eastAsia="Times New Roman"/>
                <w:color w:val="000000"/>
                <w:szCs w:val="24"/>
              </w:rPr>
              <w:t xml:space="preserve">koja se prenosi u zakonodavstvo RH ovim Zakonom, </w:t>
            </w:r>
            <w:r w:rsidRPr="001D598F">
              <w:rPr>
                <w:rFonts w:eastAsia="Times New Roman"/>
                <w:color w:val="000000"/>
                <w:szCs w:val="24"/>
              </w:rPr>
              <w:t>će se postojeće mjere smanjenja emisija nastaviti primjenjivati nakon 2020. godine. Za postizanje otporne energetske unije koja će svojim građanima i industriji osigurati sigurnu, održivu, konkurentnu i povoljnu energiju potreban je nastavak ambicio</w:t>
            </w:r>
            <w:r>
              <w:rPr>
                <w:rFonts w:eastAsia="Times New Roman"/>
                <w:color w:val="000000"/>
                <w:szCs w:val="24"/>
              </w:rPr>
              <w:t>znog djelovanja u području klimatskih promjena</w:t>
            </w:r>
            <w:r w:rsidRPr="001D598F">
              <w:rPr>
                <w:rFonts w:eastAsia="Times New Roman"/>
                <w:color w:val="000000"/>
                <w:szCs w:val="24"/>
              </w:rPr>
              <w:t xml:space="preserve"> u okviru kojeg je EU sustav trgovanja emisijama</w:t>
            </w:r>
            <w:r>
              <w:rPr>
                <w:rFonts w:eastAsia="Times New Roman"/>
                <w:color w:val="000000"/>
                <w:szCs w:val="24"/>
              </w:rPr>
              <w:t>, osnova klimatske politike EU</w:t>
            </w:r>
            <w:r w:rsidRPr="001D598F">
              <w:rPr>
                <w:rFonts w:eastAsia="Times New Roman"/>
                <w:color w:val="000000"/>
                <w:szCs w:val="24"/>
              </w:rPr>
              <w:t>, kao i napredak u drugim aspektima energetske unije. Provedbom ambicije</w:t>
            </w:r>
            <w:r>
              <w:rPr>
                <w:rFonts w:eastAsia="Times New Roman"/>
                <w:color w:val="000000"/>
                <w:szCs w:val="24"/>
              </w:rPr>
              <w:t>,</w:t>
            </w:r>
            <w:r w:rsidRPr="001D598F">
              <w:rPr>
                <w:rFonts w:eastAsia="Times New Roman"/>
                <w:color w:val="000000"/>
                <w:szCs w:val="24"/>
              </w:rPr>
              <w:t xml:space="preserve"> određene u okviru klimatske i energetske politike Unije do 2030.</w:t>
            </w:r>
            <w:r>
              <w:rPr>
                <w:rFonts w:eastAsia="Times New Roman"/>
                <w:color w:val="000000"/>
                <w:szCs w:val="24"/>
              </w:rPr>
              <w:t>, doprinosi se ostvarivanju, za ulaganje u čistije tehnologije poticajne</w:t>
            </w:r>
            <w:r w:rsidRPr="001D598F">
              <w:rPr>
                <w:rFonts w:eastAsia="Times New Roman"/>
                <w:color w:val="000000"/>
                <w:szCs w:val="24"/>
              </w:rPr>
              <w:t xml:space="preserve"> cijene ugljika i daljnjem poticanju troškovno učinkovitog smanjenja emisija stakleničkih plinova.</w:t>
            </w:r>
          </w:p>
          <w:p w:rsidR="00BC59E5" w:rsidRDefault="00BC59E5" w:rsidP="002839F3">
            <w:pPr>
              <w:shd w:val="clear" w:color="auto" w:fill="FFFFFF" w:themeFill="background1"/>
              <w:rPr>
                <w:rFonts w:eastAsia="Times New Roman"/>
                <w:color w:val="000000"/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Nadalje, novom revidiranom Direktivom</w:t>
            </w:r>
            <w:r w:rsidRPr="00705654">
              <w:rPr>
                <w:rFonts w:eastAsia="Times New Roman"/>
                <w:color w:val="000000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</w:rPr>
              <w:t>o EU sustavu</w:t>
            </w:r>
            <w:r w:rsidRPr="00705654">
              <w:rPr>
                <w:rFonts w:eastAsia="Times New Roman"/>
                <w:color w:val="000000"/>
                <w:szCs w:val="24"/>
              </w:rPr>
              <w:t xml:space="preserve"> trgovanja emisijama</w:t>
            </w:r>
            <w:r>
              <w:rPr>
                <w:rFonts w:eastAsia="Times New Roman"/>
                <w:color w:val="000000"/>
                <w:szCs w:val="24"/>
              </w:rPr>
              <w:t xml:space="preserve"> omogućeno je osiguranje nadoknade, </w:t>
            </w:r>
            <w:r w:rsidRPr="00705654">
              <w:rPr>
                <w:rFonts w:eastAsia="Times New Roman"/>
                <w:color w:val="000000"/>
                <w:szCs w:val="24"/>
              </w:rPr>
              <w:t xml:space="preserve">u skladu s pravilima o državnim potporama, određenim postrojenjima u sektorima ili </w:t>
            </w:r>
            <w:proofErr w:type="spellStart"/>
            <w:r w:rsidRPr="00705654">
              <w:rPr>
                <w:rFonts w:eastAsia="Times New Roman"/>
                <w:color w:val="000000"/>
                <w:szCs w:val="24"/>
              </w:rPr>
              <w:t>podsektorima</w:t>
            </w:r>
            <w:proofErr w:type="spellEnd"/>
            <w:r w:rsidRPr="00705654">
              <w:rPr>
                <w:rFonts w:eastAsia="Times New Roman"/>
                <w:color w:val="000000"/>
                <w:szCs w:val="24"/>
              </w:rPr>
              <w:t xml:space="preserve"> za koje je utvrđena izloženost znatnom riziku od istjecanja ugljika zbog troškova povezanih s emisijama stakleničkih plinova ugrađenih u cijene električne energije, među ostalim, za potrošnju električne energije samih postrojenja, proizvedene izgaranjem otpadnih plinova</w:t>
            </w:r>
            <w:r>
              <w:rPr>
                <w:rFonts w:eastAsia="Times New Roman"/>
                <w:color w:val="000000"/>
                <w:szCs w:val="24"/>
              </w:rPr>
              <w:t>. Nadoknada</w:t>
            </w:r>
            <w:r w:rsidRPr="00705654">
              <w:rPr>
                <w:rFonts w:eastAsia="Times New Roman"/>
                <w:color w:val="000000"/>
                <w:szCs w:val="24"/>
              </w:rPr>
              <w:t xml:space="preserve"> neizravnih t</w:t>
            </w:r>
            <w:r>
              <w:rPr>
                <w:rFonts w:eastAsia="Times New Roman"/>
                <w:color w:val="000000"/>
                <w:szCs w:val="24"/>
              </w:rPr>
              <w:t xml:space="preserve">roškova do najviše 25 </w:t>
            </w:r>
            <w:r w:rsidRPr="00705654">
              <w:rPr>
                <w:rFonts w:eastAsia="Times New Roman"/>
                <w:color w:val="000000"/>
                <w:szCs w:val="24"/>
              </w:rPr>
              <w:t xml:space="preserve">% prihoda ostvarenih dražbama emisijskih jedinica pospješiti </w:t>
            </w:r>
            <w:r>
              <w:rPr>
                <w:rFonts w:eastAsia="Times New Roman"/>
                <w:color w:val="000000"/>
                <w:szCs w:val="24"/>
              </w:rPr>
              <w:t xml:space="preserve">će </w:t>
            </w:r>
            <w:r w:rsidRPr="00705654">
              <w:rPr>
                <w:rFonts w:eastAsia="Times New Roman"/>
                <w:color w:val="000000"/>
                <w:szCs w:val="24"/>
              </w:rPr>
              <w:t>postizanje ciljeva EU sustava trgovanja emisijama i očuvati cjelovitost unutarnjeg tržišta i uvjeta tržišnog natjecanja</w:t>
            </w:r>
            <w:r>
              <w:rPr>
                <w:rFonts w:eastAsia="Times New Roman"/>
                <w:color w:val="000000"/>
                <w:szCs w:val="24"/>
              </w:rPr>
              <w:t>.</w:t>
            </w:r>
            <w:r w:rsidRPr="00705654">
              <w:rPr>
                <w:rFonts w:eastAsia="Times New Roman"/>
                <w:color w:val="000000"/>
                <w:szCs w:val="24"/>
              </w:rPr>
              <w:t xml:space="preserve"> 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color w:val="000000"/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Nadalje, smanjenje </w:t>
            </w:r>
            <w:r w:rsidRPr="001D598F">
              <w:rPr>
                <w:rFonts w:eastAsia="Times New Roman"/>
                <w:color w:val="000000"/>
                <w:szCs w:val="24"/>
              </w:rPr>
              <w:t>emisija stakleničkih plinova</w:t>
            </w:r>
            <w:r>
              <w:rPr>
                <w:rFonts w:eastAsia="Times New Roman"/>
                <w:color w:val="000000"/>
                <w:szCs w:val="24"/>
              </w:rPr>
              <w:t xml:space="preserve"> iziskuje dodatna ulaganja gospodarskih subjekata, uvođenjem alternativnih sirovina, goriva i procesa te dodatne mjere energetske učinkovitosti.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BC59E5" w:rsidRPr="0077506C" w:rsidTr="002839F3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C59E5" w:rsidRPr="0077506C" w:rsidTr="002839F3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C59E5" w:rsidRPr="0077506C" w:rsidTr="002839F3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BC59E5" w:rsidRPr="0077506C" w:rsidTr="002839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D10460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BC59E5" w:rsidRPr="0077506C" w:rsidTr="002839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BC59E5" w:rsidRPr="0077506C" w:rsidTr="002839F3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C59E5" w:rsidRPr="0077506C" w:rsidTr="002839F3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C59E5" w:rsidRPr="0077506C" w:rsidTr="002839F3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BC59E5" w:rsidRPr="0077506C" w:rsidTr="002839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BC59E5" w:rsidRPr="0077506C" w:rsidTr="002839F3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C59E5" w:rsidRPr="0077506C" w:rsidTr="002839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5810D4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5810D4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4F7CE0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4F7CE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4F7CE0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5843D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5843D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5843DC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BB4A5F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BB4A5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BB4A5F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ED0AB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ED0ABA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2A2C63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2A2C63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2A2C63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40F5E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40F5E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40F5E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88470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88470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884706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86668D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86668D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51F4B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51F4B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951F4B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61DF6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61DF6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61DF6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1406A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1406A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1406A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Trgovačka društva u vlasništvu Republike Hrvatske i trgovačka društva u vlasništvu </w:t>
            </w:r>
            <w:r w:rsidRPr="0077506C">
              <w:rPr>
                <w:szCs w:val="24"/>
              </w:rPr>
              <w:lastRenderedPageBreak/>
              <w:t>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F5188B">
              <w:rPr>
                <w:szCs w:val="24"/>
              </w:rPr>
              <w:t>Obrazloženje za analizu utvrđivanja adresata od 5.4.14. do 5.4.25.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35664">
              <w:rPr>
                <w:szCs w:val="24"/>
              </w:rPr>
              <w:t xml:space="preserve">Prelazak na </w:t>
            </w:r>
            <w:proofErr w:type="spellStart"/>
            <w:r w:rsidRPr="00935664">
              <w:rPr>
                <w:szCs w:val="24"/>
              </w:rPr>
              <w:t>niskougljično</w:t>
            </w:r>
            <w:proofErr w:type="spellEnd"/>
            <w:r w:rsidRPr="00935664">
              <w:rPr>
                <w:szCs w:val="24"/>
              </w:rPr>
              <w:t xml:space="preserve"> gospodarstvo prilika je za gospodars</w:t>
            </w:r>
            <w:r>
              <w:rPr>
                <w:szCs w:val="24"/>
              </w:rPr>
              <w:t>ki rast, povećanje zaposlenosti. Procjene pokazuju da se</w:t>
            </w:r>
            <w:r w:rsidRPr="00935664">
              <w:rPr>
                <w:szCs w:val="24"/>
              </w:rPr>
              <w:t xml:space="preserve"> </w:t>
            </w:r>
            <w:r>
              <w:rPr>
                <w:szCs w:val="24"/>
              </w:rPr>
              <w:t>pr</w:t>
            </w:r>
            <w:r w:rsidRPr="00935664">
              <w:rPr>
                <w:szCs w:val="24"/>
              </w:rPr>
              <w:t xml:space="preserve">elaskom na </w:t>
            </w:r>
            <w:proofErr w:type="spellStart"/>
            <w:r w:rsidRPr="00935664">
              <w:rPr>
                <w:szCs w:val="24"/>
              </w:rPr>
              <w:t>niskougljično</w:t>
            </w:r>
            <w:proofErr w:type="spellEnd"/>
            <w:r w:rsidRPr="0093566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gospodarstvo </w:t>
            </w:r>
            <w:r w:rsidRPr="00935664">
              <w:rPr>
                <w:szCs w:val="24"/>
              </w:rPr>
              <w:t xml:space="preserve">otvaraju nova zelena radna mjesta, posebice u turizmu i poljoprivredi, a postoje i neiskorišteni potencijali u građevinskom sektoru i novog zapošljavanja vezano uz povećanje energetske učinkovitosti u sektoru </w:t>
            </w:r>
            <w:proofErr w:type="spellStart"/>
            <w:r w:rsidRPr="00935664">
              <w:rPr>
                <w:szCs w:val="24"/>
              </w:rPr>
              <w:t>zgradarstva</w:t>
            </w:r>
            <w:proofErr w:type="spellEnd"/>
            <w:r w:rsidRPr="00935664">
              <w:rPr>
                <w:szCs w:val="24"/>
              </w:rPr>
              <w:t>. (80.000 – 100.00)</w:t>
            </w:r>
            <w:r>
              <w:rPr>
                <w:szCs w:val="24"/>
              </w:rPr>
              <w:t xml:space="preserve">. 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proofErr w:type="spellStart"/>
            <w:r w:rsidRPr="00935664">
              <w:rPr>
                <w:szCs w:val="24"/>
              </w:rPr>
              <w:t>Niskougljična</w:t>
            </w:r>
            <w:proofErr w:type="spellEnd"/>
            <w:r w:rsidRPr="00935664">
              <w:rPr>
                <w:szCs w:val="24"/>
              </w:rPr>
              <w:t xml:space="preserve"> strategija vodi viziji društva u kojem ćemo živjeti zdravije, ugodnije, s većom mobilnosti, opskrba energijom će biti sigurnija, gotovo potpuno vlastita,</w:t>
            </w:r>
            <w:r>
              <w:rPr>
                <w:szCs w:val="24"/>
              </w:rPr>
              <w:t xml:space="preserve"> </w:t>
            </w:r>
            <w:r w:rsidRPr="00935664">
              <w:rPr>
                <w:szCs w:val="24"/>
              </w:rPr>
              <w:t xml:space="preserve">energija </w:t>
            </w:r>
            <w:r>
              <w:rPr>
                <w:szCs w:val="24"/>
              </w:rPr>
              <w:t xml:space="preserve">će se </w:t>
            </w:r>
            <w:r w:rsidRPr="00935664">
              <w:rPr>
                <w:szCs w:val="24"/>
              </w:rPr>
              <w:t>proizvoditi iz obnovljivih izvora</w:t>
            </w:r>
            <w:r>
              <w:rPr>
                <w:szCs w:val="24"/>
              </w:rPr>
              <w:t>, a što uključuje i veće sudjelovanje građana.</w:t>
            </w: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935664">
              <w:rPr>
                <w:szCs w:val="24"/>
              </w:rPr>
              <w:t>Postizanje održivog razvoja temeljenog na znanju i konkurentnoj ekon</w:t>
            </w:r>
            <w:r>
              <w:rPr>
                <w:szCs w:val="24"/>
              </w:rPr>
              <w:t xml:space="preserve">omiji s niskom razinom ugljika </w:t>
            </w:r>
            <w:r w:rsidRPr="00935664">
              <w:rPr>
                <w:szCs w:val="24"/>
              </w:rPr>
              <w:t>i učinkovitim korištenjem resursa</w:t>
            </w:r>
            <w:r>
              <w:rPr>
                <w:szCs w:val="24"/>
              </w:rPr>
              <w:t xml:space="preserve">, povlači za sobom i uštede, posebno energije. Za postizanje </w:t>
            </w:r>
            <w:proofErr w:type="spellStart"/>
            <w:r>
              <w:rPr>
                <w:szCs w:val="24"/>
              </w:rPr>
              <w:t>niskougljičnog</w:t>
            </w:r>
            <w:proofErr w:type="spellEnd"/>
            <w:r>
              <w:rPr>
                <w:szCs w:val="24"/>
              </w:rPr>
              <w:t xml:space="preserve"> razvoja potrebno je uključiti sve dionike na nacionalnoj i lokalnoj razini. Prilika je i za p</w:t>
            </w:r>
            <w:r w:rsidRPr="00935664">
              <w:rPr>
                <w:szCs w:val="24"/>
              </w:rPr>
              <w:t xml:space="preserve">ovećanje sigurnosti opskrbe energijom, smanjenje ovisnosti o uvozu, </w:t>
            </w:r>
            <w:r>
              <w:rPr>
                <w:szCs w:val="24"/>
              </w:rPr>
              <w:t xml:space="preserve">te </w:t>
            </w:r>
            <w:r w:rsidRPr="00935664">
              <w:rPr>
                <w:szCs w:val="24"/>
              </w:rPr>
              <w:t>za poboljšanje kvalitete života zbog smanjenja onečišćenja zraka.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C59E5" w:rsidRPr="0077506C" w:rsidTr="002839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3165A6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color w:val="000000"/>
                      <w:szCs w:val="24"/>
                    </w:rPr>
                  </w:pPr>
                  <w:r w:rsidRPr="003165A6">
                    <w:rPr>
                      <w:rFonts w:eastAsia="Times New Roman"/>
                      <w:b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DB01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DB016C">
              <w:rPr>
                <w:b/>
                <w:szCs w:val="24"/>
              </w:rPr>
              <w:t>DA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DB01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DB01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DB016C">
              <w:rPr>
                <w:b/>
                <w:szCs w:val="24"/>
              </w:rPr>
              <w:t>DA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DB01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DB016C">
              <w:rPr>
                <w:b/>
                <w:szCs w:val="24"/>
              </w:rPr>
              <w:t>DA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202E3C">
              <w:rPr>
                <w:szCs w:val="24"/>
              </w:rPr>
              <w:t>Obrazloženje za analizu utvrđivanja izravnih učinaka od 5.5.1. do 5.5.10.:</w:t>
            </w:r>
          </w:p>
          <w:p w:rsidR="00BC59E5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BC59E5" w:rsidRDefault="00BC59E5" w:rsidP="002839F3">
            <w:pPr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Prijedlogom novog Zakona </w:t>
            </w:r>
            <w:r w:rsidRPr="001D598F">
              <w:rPr>
                <w:rFonts w:eastAsia="Times New Roman"/>
                <w:color w:val="000000"/>
                <w:szCs w:val="24"/>
              </w:rPr>
              <w:t xml:space="preserve">će se postojeće mjere smanjenja emisija </w:t>
            </w:r>
            <w:r>
              <w:rPr>
                <w:rFonts w:eastAsia="Times New Roman"/>
                <w:color w:val="000000"/>
                <w:szCs w:val="24"/>
              </w:rPr>
              <w:t xml:space="preserve">stakleničkih plinova </w:t>
            </w:r>
            <w:r w:rsidRPr="001D598F">
              <w:rPr>
                <w:rFonts w:eastAsia="Times New Roman"/>
                <w:color w:val="000000"/>
                <w:szCs w:val="24"/>
              </w:rPr>
              <w:t xml:space="preserve">nastaviti primjenjivati </w:t>
            </w:r>
            <w:r>
              <w:rPr>
                <w:rFonts w:eastAsia="Times New Roman"/>
                <w:color w:val="000000"/>
                <w:szCs w:val="24"/>
              </w:rPr>
              <w:t xml:space="preserve">i </w:t>
            </w:r>
            <w:r w:rsidRPr="001D598F">
              <w:rPr>
                <w:rFonts w:eastAsia="Times New Roman"/>
                <w:color w:val="000000"/>
                <w:szCs w:val="24"/>
              </w:rPr>
              <w:t>nakon 2020. godi</w:t>
            </w:r>
            <w:r>
              <w:rPr>
                <w:rFonts w:eastAsia="Times New Roman"/>
                <w:color w:val="000000"/>
                <w:szCs w:val="24"/>
              </w:rPr>
              <w:t>ne u svim sektorima, s većim ambicijama u postizanju cilja smanjenja emisija stakleničkih plinova.</w:t>
            </w:r>
          </w:p>
          <w:p w:rsidR="00BC59E5" w:rsidRPr="0077506C" w:rsidRDefault="00BC59E5" w:rsidP="002839F3">
            <w:pPr>
              <w:jc w:val="both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81FC8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81FC8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F81FC8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34A95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34A95">
              <w:rPr>
                <w:szCs w:val="24"/>
              </w:rPr>
              <w:t>Obrazloženje za analizu utvrđivanja adresata od 5.5.12. do 5.5.22.</w:t>
            </w:r>
          </w:p>
          <w:p w:rsidR="00BC59E5" w:rsidRPr="00734A95" w:rsidRDefault="00BC59E5" w:rsidP="002839F3">
            <w:pPr>
              <w:shd w:val="clear" w:color="auto" w:fill="FFFFFF" w:themeFill="background1"/>
              <w:jc w:val="both"/>
            </w:pPr>
          </w:p>
          <w:p w:rsidR="00BC59E5" w:rsidRPr="00734A95" w:rsidRDefault="00BC59E5" w:rsidP="002839F3">
            <w:pPr>
              <w:shd w:val="clear" w:color="auto" w:fill="FFFFFF" w:themeFill="background1"/>
              <w:jc w:val="both"/>
            </w:pPr>
            <w:r w:rsidRPr="00734A95">
              <w:t>Sustav trgovanja</w:t>
            </w:r>
            <w:r>
              <w:t xml:space="preserve"> emisijama stakleničkih plinova </w:t>
            </w:r>
            <w:r w:rsidRPr="00734A95">
              <w:t>obuhvaća postrojenja (iz industrijskog i energetskog sektora, termoenergetski objekti veći od 20 MW, rafinerije, metalna, cementna, papirna, keramičarska, staklarska industrija), zrakoplove, a samo praćenje emisija od 2018. godine uključuje i brodove.</w:t>
            </w:r>
          </w:p>
          <w:p w:rsidR="00BC59E5" w:rsidRPr="00734A95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C59E5" w:rsidRPr="0077506C" w:rsidTr="002839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DA</w:t>
                  </w: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4677" w:type="dxa"/>
            <w:gridSpan w:val="5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BC59E5" w:rsidRPr="0077506C" w:rsidTr="002839F3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5.6.18.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BC59E5" w:rsidRPr="0077506C" w:rsidRDefault="00BC59E5" w:rsidP="0066139A">
            <w:pPr>
              <w:pStyle w:val="Odlomakpopisa"/>
              <w:numPr>
                <w:ilvl w:val="1"/>
                <w:numId w:val="2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BC59E5" w:rsidRPr="0077506C" w:rsidTr="002839F3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BC59E5" w:rsidRPr="0077506C" w:rsidTr="002839F3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BC59E5" w:rsidRPr="0077506C" w:rsidRDefault="00BC59E5" w:rsidP="002839F3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0E7D83">
              <w:rPr>
                <w:szCs w:val="24"/>
              </w:rPr>
              <w:t>Obrazloženje:</w:t>
            </w:r>
            <w:r w:rsidRPr="000E7D83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Pr="0010407D">
              <w:rPr>
                <w:szCs w:val="24"/>
              </w:rPr>
              <w:t xml:space="preserve">Neće biti novih </w:t>
            </w:r>
            <w:r>
              <w:rPr>
                <w:szCs w:val="24"/>
              </w:rPr>
              <w:t xml:space="preserve">administrativnih obveza jer su navedene obveze </w:t>
            </w:r>
            <w:r w:rsidRPr="000E7D83">
              <w:rPr>
                <w:szCs w:val="24"/>
              </w:rPr>
              <w:t xml:space="preserve">propisane </w:t>
            </w:r>
            <w:r>
              <w:rPr>
                <w:szCs w:val="24"/>
              </w:rPr>
              <w:t xml:space="preserve">postojećim </w:t>
            </w:r>
            <w:r w:rsidRPr="000E7D83">
              <w:rPr>
                <w:szCs w:val="24"/>
              </w:rPr>
              <w:t>Zakonom o zaštiti zraka ("Narodne novine", b</w:t>
            </w:r>
            <w:r>
              <w:rPr>
                <w:szCs w:val="24"/>
              </w:rPr>
              <w:t>r. 130/2011, 47/2014, 61/2017) te će se prenijeti</w:t>
            </w:r>
            <w:r w:rsidRPr="000E7D83">
              <w:rPr>
                <w:szCs w:val="24"/>
              </w:rPr>
              <w:t xml:space="preserve"> </w:t>
            </w:r>
            <w:r>
              <w:rPr>
                <w:szCs w:val="24"/>
              </w:rPr>
              <w:t>u Zakon</w:t>
            </w:r>
            <w:r w:rsidRPr="000E7D83">
              <w:rPr>
                <w:szCs w:val="24"/>
              </w:rPr>
              <w:t xml:space="preserve"> o klimatskim promjenama i zaštiti ozonskog sloja.</w:t>
            </w:r>
          </w:p>
          <w:p w:rsidR="00BC59E5" w:rsidRPr="000E7D83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BC59E5" w:rsidRPr="000E7D83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0E7D83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0E7D83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0E7D83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0E7D83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0E7D83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0E7D83">
              <w:rPr>
                <w:szCs w:val="24"/>
              </w:rPr>
              <w:t>Obrazloženje:</w:t>
            </w:r>
          </w:p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0E7D83">
              <w:rPr>
                <w:szCs w:val="24"/>
              </w:rPr>
              <w:lastRenderedPageBreak/>
              <w:t>Navedenim normativnim rješenjem ne stvaraju se prepreke slobodi tržišne konkurencije</w:t>
            </w:r>
            <w:r>
              <w:rPr>
                <w:szCs w:val="24"/>
              </w:rPr>
              <w:t>.</w:t>
            </w:r>
          </w:p>
          <w:p w:rsidR="00BC59E5" w:rsidRPr="000E7D83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BC59E5" w:rsidRPr="000E7D83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0E7D83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0E7D83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BC59E5" w:rsidRPr="000E7D83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0E7D83">
              <w:rPr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0E7D83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0E7D83">
              <w:rPr>
                <w:szCs w:val="24"/>
              </w:rPr>
              <w:t xml:space="preserve">Obrazloženje: Postojeće obveze za gospodarstvenike već su i do sada propisane Zakonom o zaštiti zraka </w:t>
            </w:r>
            <w:r w:rsidRPr="000E7D83">
              <w:t>("Narodne novine", br. 130/2011, 47/2014, 61/2017) a prijedlogom Zakona o klimatskim promjenama i zaštiti ozonskog sloja obveze se neće povećavati, već će ostati iste.</w:t>
            </w:r>
          </w:p>
          <w:p w:rsidR="00BC59E5" w:rsidRPr="000E7D83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BC59E5" w:rsidRPr="0054196B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54196B">
              <w:rPr>
                <w:szCs w:val="24"/>
              </w:rPr>
              <w:t>Predloženi Nacrt prijedloga zakona nema posebnih učinaka na mikro poduzetnike.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  <w:p w:rsidR="00BC59E5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Obrazloženje: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nacrtom Zakona o klimatskim promjenama i zaštiti ozonskog sloja</w:t>
            </w:r>
            <w:r w:rsidRPr="0077506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propisati će se </w:t>
            </w:r>
            <w:r w:rsidRPr="0077506C">
              <w:rPr>
                <w:szCs w:val="24"/>
              </w:rPr>
              <w:t xml:space="preserve">administrativne obveze </w:t>
            </w:r>
            <w:r>
              <w:rPr>
                <w:szCs w:val="24"/>
              </w:rPr>
              <w:t xml:space="preserve">koje poduzetnici već imaju a </w:t>
            </w:r>
            <w:r w:rsidRPr="0054196B">
              <w:rPr>
                <w:szCs w:val="24"/>
              </w:rPr>
              <w:t>propisane</w:t>
            </w:r>
            <w:r>
              <w:rPr>
                <w:szCs w:val="24"/>
              </w:rPr>
              <w:t xml:space="preserve"> su </w:t>
            </w:r>
            <w:r w:rsidRPr="0054196B">
              <w:rPr>
                <w:szCs w:val="24"/>
              </w:rPr>
              <w:t>Zakonom</w:t>
            </w:r>
            <w:r>
              <w:rPr>
                <w:szCs w:val="24"/>
              </w:rPr>
              <w:t xml:space="preserve"> o zaštiti zraka </w:t>
            </w:r>
            <w:r w:rsidRPr="0054196B">
              <w:rPr>
                <w:szCs w:val="24"/>
              </w:rPr>
              <w:t>("Narodne novine", br. 130/2011, 47/2014, 61/2017)</w:t>
            </w:r>
            <w:r>
              <w:rPr>
                <w:szCs w:val="24"/>
              </w:rPr>
              <w:t>.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BC59E5" w:rsidRPr="0077506C" w:rsidRDefault="00BC59E5" w:rsidP="002839F3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9E5" w:rsidRPr="0010407D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10407D">
              <w:rPr>
                <w:rFonts w:eastAsia="Times New Roman"/>
                <w:b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10407D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10407D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0407D">
              <w:rPr>
                <w:rFonts w:eastAsia="Times New Roman"/>
                <w:b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0407D">
              <w:rPr>
                <w:rFonts w:eastAsia="Times New Roman"/>
                <w:b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0407D">
              <w:rPr>
                <w:rFonts w:eastAsia="Times New Roman"/>
                <w:b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0407D">
              <w:rPr>
                <w:rFonts w:eastAsia="Times New Roman"/>
                <w:b/>
                <w:szCs w:val="24"/>
              </w:rPr>
              <w:t>N</w:t>
            </w:r>
            <w:r>
              <w:rPr>
                <w:rFonts w:eastAsia="Times New Roman"/>
                <w:b/>
                <w:szCs w:val="24"/>
              </w:rPr>
              <w:t>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0407D">
              <w:rPr>
                <w:rFonts w:eastAsia="Times New Roman"/>
                <w:b/>
                <w:szCs w:val="24"/>
              </w:rPr>
              <w:t>N</w:t>
            </w:r>
            <w:r>
              <w:rPr>
                <w:rFonts w:eastAsia="Times New Roman"/>
                <w:b/>
                <w:szCs w:val="24"/>
              </w:rPr>
              <w:t>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10407D">
              <w:rPr>
                <w:rFonts w:eastAsia="Times New Roman"/>
                <w:b/>
                <w:szCs w:val="24"/>
              </w:rPr>
              <w:t>N</w:t>
            </w:r>
            <w:r>
              <w:rPr>
                <w:rFonts w:eastAsia="Times New Roman"/>
                <w:b/>
                <w:szCs w:val="24"/>
              </w:rPr>
              <w:t>E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dr. </w:t>
            </w:r>
            <w:proofErr w:type="spellStart"/>
            <w:r>
              <w:rPr>
                <w:rFonts w:eastAsia="Times New Roman"/>
                <w:szCs w:val="24"/>
              </w:rPr>
              <w:t>sc</w:t>
            </w:r>
            <w:proofErr w:type="spellEnd"/>
            <w:r>
              <w:rPr>
                <w:rFonts w:eastAsia="Times New Roman"/>
                <w:szCs w:val="24"/>
              </w:rPr>
              <w:t>. Tomislav Ćorić, ministar</w:t>
            </w: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>17. listopada 2018.</w:t>
            </w:r>
          </w:p>
        </w:tc>
      </w:tr>
      <w:tr w:rsidR="00BC59E5" w:rsidRPr="0077506C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BC59E5" w:rsidRPr="0097347E" w:rsidTr="002839F3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BC59E5" w:rsidRPr="0077506C" w:rsidRDefault="00BC59E5" w:rsidP="002839F3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BC59E5" w:rsidRPr="0077506C" w:rsidRDefault="00BC59E5" w:rsidP="0066139A">
            <w:pPr>
              <w:pStyle w:val="Odlomakpopisa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BC59E5" w:rsidRDefault="00BC59E5" w:rsidP="0066139A">
      <w:pPr>
        <w:pStyle w:val="Naslov2"/>
      </w:pPr>
    </w:p>
    <w:p w:rsidR="00AB04CD" w:rsidRDefault="00AA005E" w:rsidP="0066139A">
      <w:pPr>
        <w:pStyle w:val="Naslov2"/>
      </w:pPr>
      <w:r>
        <w:t xml:space="preserve">OBRAZAC PRETHODNE PROCJENE ZA </w:t>
      </w:r>
      <w:r w:rsidR="00AB04CD" w:rsidRPr="00AB04CD">
        <w:t>IZMJENE I DOPUNE ZAKONA O SIGURNOSTI PRI ODOBALNOM ISTRAŽIVANJU I EKSPLOATACIJI UGLJIKOVODIKA</w:t>
      </w:r>
    </w:p>
    <w:p w:rsidR="0066139A" w:rsidRPr="0066139A" w:rsidRDefault="0066139A" w:rsidP="0066139A"/>
    <w:tbl>
      <w:tblPr>
        <w:tblStyle w:val="Reetkatablice"/>
        <w:tblW w:w="0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AB04CD" w:rsidTr="00AB04CD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PRILOG 1.</w:t>
            </w:r>
          </w:p>
          <w:p w:rsidR="00AB04CD" w:rsidRDefault="00AB04C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OBRAZAC PRETHODNE PROCJENE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OPĆE INFORMACIJE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zaštite okoliša i energetike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Izmjene i dopune Zakona o sigurnosti pri </w:t>
            </w:r>
            <w:proofErr w:type="spellStart"/>
            <w:r>
              <w:rPr>
                <w:szCs w:val="24"/>
              </w:rPr>
              <w:t>odobalnom</w:t>
            </w:r>
            <w:proofErr w:type="spellEnd"/>
            <w:r>
              <w:rPr>
                <w:szCs w:val="24"/>
              </w:rPr>
              <w:t xml:space="preserve"> istraživanju i eksploataciji ugljikovodika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10. rujna 2018.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Služba za ugljikovodike, skladištenje prirodnog plina i trajno zbrinjavanje ugljikovog dioksida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Domagoj Jeić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01 6431935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domagoj.jeic@mzoe.hr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1.5.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Je li nacrt prijedloga zakona dio programa rada Vlade Republike Hrvatske, drugog akta planiranja ili reformske mjere?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Da/Ne: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Naziv akta: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Opis mjere: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Je li nacrt prijedloga zakona vezan za usklađivanje zakonodavstva Republike Hrvatske s pravnom stečevinom Europske unije?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Da/Ne: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Naziv pravne stečevine EU:</w:t>
            </w:r>
          </w:p>
        </w:tc>
      </w:tr>
      <w:tr w:rsidR="00AB04CD" w:rsidTr="00AB04CD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ANALIZA POSTOJEĆEG STANJA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Što je problem koji zahtjeva izradu ili </w:t>
            </w:r>
            <w:r>
              <w:rPr>
                <w:szCs w:val="24"/>
              </w:rPr>
              <w:lastRenderedPageBreak/>
              <w:t>promjenu zakonodavstva?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Kroz cijeli postojeći Zakon o sigurnosti pri </w:t>
            </w:r>
            <w:proofErr w:type="spellStart"/>
            <w:r>
              <w:rPr>
                <w:szCs w:val="24"/>
              </w:rPr>
              <w:t>odobalnom</w:t>
            </w:r>
            <w:proofErr w:type="spellEnd"/>
            <w:r>
              <w:rPr>
                <w:szCs w:val="24"/>
              </w:rPr>
              <w:t xml:space="preserve"> istraživanju i eksploataciji ugljikovodika nezgodno je prebačena odgovornost s </w:t>
            </w:r>
            <w:r>
              <w:rPr>
                <w:szCs w:val="24"/>
              </w:rPr>
              <w:lastRenderedPageBreak/>
              <w:t xml:space="preserve">gospodarskog subjekta na nadležno tijelo, što otvara moguće probleme oko naplate šteta u slučaju posljedica velikih nesreća na okoliš, a i napravljeno je na takav način da nisu provedive te da mogu dovesti do nesigurnosti u postupanju ili do mogućih odgovornosti nadležnog tijela u slučaju neispunjenja obaveza rudarskih gospodarskih subjekata. Nadalje, postoji dio odredbi u kojima je izostavljen dio teksta bitan za razumijevanje i određivanje obaveza rudarskih gospodarskih subjekata </w:t>
            </w:r>
            <w:r>
              <w:t>tj. problem je u nedorečenim postupcima koje svaka strana tumači na svoj način</w:t>
            </w:r>
            <w:r>
              <w:rPr>
                <w:szCs w:val="24"/>
              </w:rPr>
              <w:t xml:space="preserve">, a i rokovi naznačeni u Zakonu mogu stvoriti nerazumijevanje rudarskim gospodarskim subjektima (30 dana prije aktivnosti predati dokumente ne znači kako će nadležno tijelo u 30 dana isti dokument pregledati i odobriti). Uz navedeno, svrha provođenja istraga i inspekcija koje se navode u postojećem Zakonu nije u cijelosti jasna te je provođenje </w:t>
            </w:r>
            <w:proofErr w:type="spellStart"/>
            <w:r>
              <w:rPr>
                <w:szCs w:val="24"/>
              </w:rPr>
              <w:t>proaktivnog</w:t>
            </w:r>
            <w:proofErr w:type="spellEnd"/>
            <w:r>
              <w:rPr>
                <w:szCs w:val="24"/>
              </w:rPr>
              <w:t xml:space="preserve"> organiziranja inspekcijskog nadzora otežano, a i sama uloga nadležnog tijela u provedbi inspekcijskog nadzora i istrazi velikih nesreća ili drugih iznenadnih događaja nije definirana u skladu s drugim propisima. 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Postoji i problem oko sukoba interesa kod člana Hrvatskog Registra Brodova jer HRB je certifikacijska kuća koja </w:t>
            </w:r>
            <w:proofErr w:type="spellStart"/>
            <w:r>
              <w:rPr>
                <w:szCs w:val="24"/>
              </w:rPr>
              <w:t>odobalnim</w:t>
            </w:r>
            <w:proofErr w:type="spellEnd"/>
            <w:r>
              <w:rPr>
                <w:szCs w:val="24"/>
              </w:rPr>
              <w:t xml:space="preserve"> objektima izdaje niz svjedodžbi i/ili certifikata uz naplatu usluge operatoru/ovlašteniku dozvole, a ponovno te iste dokumente uz opetovanu naplatu procjenjuje tijekom rada u nadležnom tijelu, te je za svoju uslugu dva puta plaćen od istog gospodarskog subjekta.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Novim propisom uvest će se realni rokovi te se očekuje  prebacivanje odgovornosti natrag na gospodarski subjekt, kao i jasno određivanje obaveza rudarskih gospodarskih subjekata.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Potrebno je ujednačavanje terminologije kako bi ona kroz cijeli Zakon bila razumljiva i </w:t>
            </w:r>
            <w:proofErr w:type="spellStart"/>
            <w:r>
              <w:rPr>
                <w:szCs w:val="24"/>
              </w:rPr>
              <w:t>jednakoznačna</w:t>
            </w:r>
            <w:proofErr w:type="spellEnd"/>
            <w:r>
              <w:rPr>
                <w:szCs w:val="24"/>
              </w:rPr>
              <w:t>, kao i usklađivanje definicija pojedinih pojmova. Potrebno je točno definiranje uloge nadležnog tijela u provedbi inspekcijskog nadzora i istrazi velikih nesreća ili drugih iznenadnih događaja jer isto nije definirano u skladu s drugim propisima.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AB04CD" w:rsidTr="00AB04CD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Primjena postojećeg propisa ne omogućava mogućnost naplate šteta u slučaju posljedica velikih nesreća na okoliš te provođenje učinkovitih istraga i inspekcija. Nadalje, prema postojećem propisu postoji nesigurnost od strane gospodarskih subjekata u provođenju aktivnosti jer postoje neujednačeni termini i propisane procedure.</w:t>
            </w:r>
          </w:p>
        </w:tc>
      </w:tr>
      <w:tr w:rsidR="00AB04CD" w:rsidTr="00AB04CD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</w:pPr>
            <w:r>
              <w:rPr>
                <w:szCs w:val="24"/>
              </w:rPr>
              <w:t xml:space="preserve">Ciljevi koji se namjeravaju postići su: usklađivanje pojmova unutar Zakona, realno postavljanje rokova, prebacivanje odgovornosti s nadležnog tijela na gospodarske subjekte, promjenu člana Koordinacije u svrhu izbjegavanja sukoba interesa, </w:t>
            </w:r>
            <w:r>
              <w:t xml:space="preserve">uspostavljanje djelotvornog mehanizma provedbe odredbi i osiguranja poštivanja obaveza od strane svih rudarskih gospodarskih subjekata određivanjem primjerenih prekršajnih odredbi, postavljanje svrsishodnog okvira za provođenje inspekcija, istraga i nadzora, dopuna teksta bitnog za razumijevanje i određivanje obaveza rudarskih gospodarskih subjekata kako bi se izbjegli nedorečeni postupci, izmjena odredbi kojima se propisuje način traženja </w:t>
            </w:r>
            <w:r>
              <w:lastRenderedPageBreak/>
              <w:t xml:space="preserve">inspekcijskog nadzora kako bi se omogućilo </w:t>
            </w:r>
            <w:proofErr w:type="spellStart"/>
            <w:r>
              <w:t>proaktivno</w:t>
            </w:r>
            <w:proofErr w:type="spellEnd"/>
            <w:r>
              <w:t xml:space="preserve"> organiziranje inspekcijskog nadzora, pojašnjavanje uloge nadležnog tijela u provedbi inspekcijskog nadzora i istrazi velikih nesreća ili drugih iznenadnih događaja te uspostavljanje djelotvornog mehanizma provedbe odredbi i osiguranja poštivanja obaveza od strane svih rudarskih gospodarskih subjekata određivanjem primjerenih prekršajnih odredbi.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3.2.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Veća sigurnost, zaštita okoliša, imovine i ljudi, te u</w:t>
            </w:r>
            <w:r>
              <w:rPr>
                <w:color w:val="000000"/>
                <w:shd w:val="clear" w:color="auto" w:fill="FFFFFF"/>
              </w:rPr>
              <w:t>spostava adekvatne raspodjele nadležnosti državnih tijela za nadzor provedbe Zakona i preciznijim utvrđivanjem obveza gospodarskih subjekata.</w:t>
            </w:r>
          </w:p>
        </w:tc>
      </w:tr>
      <w:tr w:rsidR="00AB04CD" w:rsidTr="00AB04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3.3.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Godina dana.</w:t>
            </w:r>
          </w:p>
        </w:tc>
      </w:tr>
      <w:tr w:rsidR="00AB04CD" w:rsidTr="00AB04CD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UTVRĐIVANJE RJEŠENJA </w:t>
            </w:r>
          </w:p>
        </w:tc>
      </w:tr>
      <w:tr w:rsidR="00AB04CD" w:rsidTr="00AB04C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Izrada zakona o izmjenama i dopunama Zakona o sigurnosti pri </w:t>
            </w:r>
            <w:proofErr w:type="spellStart"/>
            <w:r>
              <w:rPr>
                <w:szCs w:val="24"/>
              </w:rPr>
              <w:t>odobalnom</w:t>
            </w:r>
            <w:proofErr w:type="spellEnd"/>
            <w:r>
              <w:rPr>
                <w:szCs w:val="24"/>
              </w:rPr>
              <w:t xml:space="preserve"> istraživanju i eksploataciji ugljikovodika.</w:t>
            </w:r>
          </w:p>
        </w:tc>
      </w:tr>
      <w:tr w:rsidR="00AB04CD" w:rsidTr="00AB04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>S obzirom na opseg promjena, a u skladu s Jedinstvenim metodološko-</w:t>
            </w:r>
            <w:proofErr w:type="spellStart"/>
            <w:r>
              <w:rPr>
                <w:color w:val="000000"/>
                <w:shd w:val="clear" w:color="auto" w:fill="FFFFFF"/>
              </w:rPr>
              <w:t>nomotehničkim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pravilima za izradu akata koje donosi Hrvatski sabor, donošenje z</w:t>
            </w:r>
            <w:r>
              <w:rPr>
                <w:szCs w:val="24"/>
              </w:rPr>
              <w:t xml:space="preserve">akona o izmjenama i dopunama Zakona o sigurnosti pri </w:t>
            </w:r>
            <w:proofErr w:type="spellStart"/>
            <w:r>
              <w:rPr>
                <w:szCs w:val="24"/>
              </w:rPr>
              <w:t>odobalnom</w:t>
            </w:r>
            <w:proofErr w:type="spellEnd"/>
            <w:r>
              <w:rPr>
                <w:szCs w:val="24"/>
              </w:rPr>
              <w:t xml:space="preserve"> istraživanju i eksploataciji ugljikovodika je preferirana opcija.</w:t>
            </w:r>
          </w:p>
        </w:tc>
      </w:tr>
      <w:tr w:rsidR="00AB04CD" w:rsidTr="00AB04CD">
        <w:trPr>
          <w:trHeight w:val="5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4.2.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Navedite koja su moguća </w:t>
            </w:r>
            <w:proofErr w:type="spellStart"/>
            <w:r>
              <w:rPr>
                <w:szCs w:val="24"/>
              </w:rPr>
              <w:t>nenormativna</w:t>
            </w:r>
            <w:proofErr w:type="spellEnd"/>
            <w:r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Moguća </w:t>
            </w:r>
            <w:proofErr w:type="spellStart"/>
            <w:r>
              <w:rPr>
                <w:szCs w:val="24"/>
              </w:rPr>
              <w:t>nenormativna</w:t>
            </w:r>
            <w:proofErr w:type="spellEnd"/>
            <w:r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>
              <w:rPr>
                <w:szCs w:val="24"/>
              </w:rPr>
              <w:t>koregulacija</w:t>
            </w:r>
            <w:proofErr w:type="spellEnd"/>
            <w:r>
              <w:rPr>
                <w:szCs w:val="24"/>
              </w:rPr>
              <w:t xml:space="preserve"> i slično):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rPr>
                <w:szCs w:val="24"/>
              </w:rPr>
              <w:t>Nenormativna</w:t>
            </w:r>
            <w:proofErr w:type="spellEnd"/>
            <w:r>
              <w:rPr>
                <w:szCs w:val="24"/>
              </w:rPr>
              <w:t xml:space="preserve"> rješenja ne postoje.</w:t>
            </w:r>
          </w:p>
        </w:tc>
      </w:tr>
      <w:tr w:rsidR="00AB04CD" w:rsidTr="00AB04CD">
        <w:trPr>
          <w:trHeight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Nema mogućnosti </w:t>
            </w:r>
            <w:proofErr w:type="spellStart"/>
            <w:r>
              <w:rPr>
                <w:szCs w:val="24"/>
              </w:rPr>
              <w:t>nenormativnog</w:t>
            </w:r>
            <w:proofErr w:type="spellEnd"/>
            <w:r>
              <w:rPr>
                <w:szCs w:val="24"/>
              </w:rPr>
              <w:t xml:space="preserve"> rješavanja s obzirom da sve nužne promjene je moguće propisati jedino normativnim rješenjem.</w:t>
            </w:r>
          </w:p>
        </w:tc>
      </w:tr>
      <w:tr w:rsidR="00AB04CD" w:rsidTr="00AB04CD">
        <w:trPr>
          <w:trHeight w:val="4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AB04CD" w:rsidTr="00AB04CD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UTVRĐIVANJE GOSPODARSKIH UČINAKA </w:t>
            </w:r>
          </w:p>
        </w:tc>
      </w:tr>
      <w:tr w:rsidR="00AB04CD" w:rsidTr="00AB04CD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Mjerilo učinka</w:t>
            </w:r>
          </w:p>
        </w:tc>
      </w:tr>
      <w:tr w:rsidR="00AB04CD" w:rsidTr="00AB04CD">
        <w:trPr>
          <w:trHeight w:val="3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Veliki</w:t>
            </w:r>
          </w:p>
        </w:tc>
      </w:tr>
      <w:tr w:rsidR="00AB04CD" w:rsidTr="00AB04CD">
        <w:trPr>
          <w:trHeight w:val="3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</w:rPr>
            </w:pPr>
            <w:r>
              <w:rPr>
                <w:i/>
                <w:szCs w:val="24"/>
              </w:rPr>
              <w:t>Da/Ne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ind w:right="-251"/>
              <w:rPr>
                <w:szCs w:val="24"/>
              </w:rPr>
            </w:pPr>
            <w:r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5.1.9.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Drugi očekivani izravni učinak: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IZRAVNIH UČINAKA OD 5.1.1. DO 5.1.14.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Neznatan izravni gospodarski učinak.</w:t>
            </w:r>
          </w:p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UTVRDITE VELIČINU ADRESATA: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Drugi utvrđeni adresati: SAVJETNICI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adresata od 5.1.16. do 5.1.26.: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Mali broj adresata.</w:t>
            </w:r>
          </w:p>
        </w:tc>
      </w:tr>
      <w:tr w:rsidR="00AB04CD" w:rsidTr="00AB04CD">
        <w:trPr>
          <w:trHeight w:val="29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5.1.28.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REZULTAT PRETHODNE PROCJENE GOSPODARSKIH UČINAKA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Da li je utvrđena barem jedna kombinacija: 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mali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veliki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mali izravni učinak i veliki broj adresata.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AB04CD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B04CD">
              <w:trPr>
                <w:trHeight w:val="268"/>
              </w:trPr>
              <w:tc>
                <w:tcPr>
                  <w:tcW w:w="620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B04CD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68"/>
              </w:trPr>
              <w:tc>
                <w:tcPr>
                  <w:tcW w:w="41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68"/>
              </w:trPr>
              <w:tc>
                <w:tcPr>
                  <w:tcW w:w="41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AB04CD" w:rsidRDefault="00AB04C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5.2.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UTVRĐIVANJE UČINAKA NA TRŽIŠNO NATJECANJE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Mjerilo učinka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Veliki </w:t>
            </w:r>
          </w:p>
        </w:tc>
      </w:tr>
      <w:tr w:rsidR="00AB04CD" w:rsidTr="00AB04CD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Drugi očekivani izravni učinak: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izravnih učinaka od 5.2.1. do 5.2.4.: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Nema učinaka na tržišno natjecanje.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Utvrdite veličinu adresata: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Drugi utvrđeni adresati: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adresata od 5.2.6. do 5.2.16.:</w:t>
            </w:r>
          </w:p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Donošenje ovoga Zakona neće imati utjecaj na adresate.</w:t>
            </w:r>
          </w:p>
        </w:tc>
      </w:tr>
      <w:tr w:rsidR="00AB04CD" w:rsidTr="00AB04CD">
        <w:trPr>
          <w:trHeight w:val="35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5.2.17.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REZULTAT PRETHODNE PROCJENE UČINAKA NA ZAŠTITU TRŽIŠNOG NATJECANJA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Da li je utvrđena barem jedna kombinacija: 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mali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veliki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mali izravni učinak i veliki broj adresata.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AB04CD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B04CD">
              <w:trPr>
                <w:trHeight w:val="268"/>
              </w:trPr>
              <w:tc>
                <w:tcPr>
                  <w:tcW w:w="620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B04CD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68"/>
              </w:trPr>
              <w:tc>
                <w:tcPr>
                  <w:tcW w:w="41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68"/>
              </w:trPr>
              <w:tc>
                <w:tcPr>
                  <w:tcW w:w="41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AB04CD" w:rsidRDefault="00AB04C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UTVRĐIVANJE SOCIJALNIH UČINAKA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Mjerilo učinka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Veliki </w:t>
            </w:r>
          </w:p>
        </w:tc>
      </w:tr>
      <w:tr w:rsidR="00AB04CD" w:rsidTr="00AB04CD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Drugi očekivani izravni učinak:</w:t>
            </w:r>
          </w:p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izravnih učinaka od 5.3.1. do 5.3.7.: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Nema izravnih socijalnih učinaka.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Središnja tijela državne uprave, druga državna tijela, pravosudna tijela, javne ustanove, jedinice lokalne i </w:t>
            </w:r>
            <w:r>
              <w:rPr>
                <w:szCs w:val="24"/>
              </w:rPr>
              <w:lastRenderedPageBreak/>
              <w:t>područne (regionalne) samouprave, pravne osobe s javnim ovlastima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Drugi utvrđeni adresati: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adresata od 5.3.9. do 5.3.19.:</w:t>
            </w:r>
          </w:p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color w:val="000000"/>
                <w:shd w:val="clear" w:color="auto" w:fill="FFFFFF"/>
              </w:rPr>
              <w:t>Donošenje ovoga Zakona neće imati utjecaj na adresate.</w:t>
            </w:r>
          </w:p>
        </w:tc>
      </w:tr>
      <w:tr w:rsidR="00AB04CD" w:rsidTr="00AB04CD">
        <w:trPr>
          <w:trHeight w:val="3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REZULTAT PRETHODNE PROCJENE SOCIJALNIH UČINAKA: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Da li je utvrđena barem jedna kombinacija: 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mali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veliki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mali izravni učinak i veliki broj adresata.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B04C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B04CD">
              <w:trPr>
                <w:trHeight w:val="299"/>
              </w:trPr>
              <w:tc>
                <w:tcPr>
                  <w:tcW w:w="623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B04C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99"/>
              </w:trPr>
              <w:tc>
                <w:tcPr>
                  <w:tcW w:w="41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99"/>
              </w:trPr>
              <w:tc>
                <w:tcPr>
                  <w:tcW w:w="41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AB04CD" w:rsidRDefault="00AB04C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UTVRĐIVANJE UČINAKA NA RAD I TRŽIŠTE RADA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Mjerilo učinka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Veliki </w:t>
            </w:r>
          </w:p>
        </w:tc>
      </w:tr>
      <w:tr w:rsidR="00AB04CD" w:rsidTr="00AB04CD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Drugi očekivani izravni učinak:</w:t>
            </w:r>
          </w:p>
          <w:p w:rsidR="00AB04CD" w:rsidRDefault="00AB04CD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izravnih učinaka od 5.4.1 do 5.4.13: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Neznatan izravni učinak na rad i tržište rada.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Drugi utvrđeni adresati: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adresata od 5.4.14. do 5.4.25.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Neznatan broj adresata.</w:t>
            </w:r>
          </w:p>
        </w:tc>
      </w:tr>
      <w:tr w:rsidR="00AB04CD" w:rsidTr="00AB04CD">
        <w:trPr>
          <w:trHeight w:val="34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REZULTAT PRETHODNE PROCJENE UČINAKA NA RAD I TRŽIŠTE RADA: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Da li je utvrđena barem jedna kombinacija: 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mali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veliki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mali izravni učinak i veliki broj adresata.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B04C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B04CD">
              <w:trPr>
                <w:trHeight w:val="299"/>
              </w:trPr>
              <w:tc>
                <w:tcPr>
                  <w:tcW w:w="623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B04C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99"/>
              </w:trPr>
              <w:tc>
                <w:tcPr>
                  <w:tcW w:w="41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99"/>
              </w:trPr>
              <w:tc>
                <w:tcPr>
                  <w:tcW w:w="41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AB04CD" w:rsidRDefault="00AB04C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UTVRĐIVANJE UČINAKA NA ZAŠTITU OKOLIŠA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Mjerilo učinka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Veliki</w:t>
            </w:r>
          </w:p>
        </w:tc>
      </w:tr>
      <w:tr w:rsidR="00AB04CD" w:rsidTr="00AB04CD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rPr>
                <w:szCs w:val="24"/>
              </w:rPr>
              <w:t>Bioraznolikost</w:t>
            </w:r>
            <w:proofErr w:type="spellEnd"/>
            <w:r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5.5.8.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Drugi očekivani izravni učinak:</w:t>
            </w:r>
          </w:p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izravnih učinaka od 5.5.1. do 5.5.10.: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Mali izravni učinak na zaštitu okoliša.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Drugi utvrđeni adresati: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adresata od 5.5.12. do 5.5.22.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Mali broj adresata.</w:t>
            </w:r>
          </w:p>
        </w:tc>
      </w:tr>
      <w:tr w:rsidR="00AB04CD" w:rsidTr="00AB04CD">
        <w:trPr>
          <w:trHeight w:val="3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REZULTAT PRETHODNE PROCJENE UČINAKA NA ZAŠTITU OKOLIŠA: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Da li je utvrđena barem jedna kombinacija: 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mali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veliki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mali izravni učinak i veliki broj adresata.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B04C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B04CD">
              <w:trPr>
                <w:trHeight w:val="299"/>
              </w:trPr>
              <w:tc>
                <w:tcPr>
                  <w:tcW w:w="623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B04C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99"/>
              </w:trPr>
              <w:tc>
                <w:tcPr>
                  <w:tcW w:w="41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99"/>
              </w:trPr>
              <w:tc>
                <w:tcPr>
                  <w:tcW w:w="41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AB04CD" w:rsidRDefault="00AB04C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UTVRĐIVANJE UČINAKA NA ZAŠTITU LJUDSKIH PRAVA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Mjerilo učinka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Veliki</w:t>
            </w:r>
          </w:p>
        </w:tc>
      </w:tr>
      <w:tr w:rsidR="00AB04CD" w:rsidTr="00AB04CD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i/>
                <w:szCs w:val="24"/>
              </w:rPr>
              <w:t>Da/Ne</w:t>
            </w:r>
          </w:p>
        </w:tc>
      </w:tr>
      <w:tr w:rsidR="00AB04CD" w:rsidTr="00AB04CD">
        <w:trPr>
          <w:trHeight w:val="9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5.6.1.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izravnih učinaka od 5.6.1. do 5.6.9.: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Nema učinaka na zaštitu ljudskih prava.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Drugi utvrđeni adresati: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 za analizu utvrđivanja adresata od 5.6.12. do 5.6.23.</w:t>
            </w:r>
          </w:p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>Donošenje ovoga Zakona neće imati utjecaj na adresate.</w:t>
            </w:r>
          </w:p>
        </w:tc>
      </w:tr>
      <w:tr w:rsidR="00AB04CD" w:rsidTr="00AB04CD">
        <w:trPr>
          <w:trHeight w:val="36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REZULTAT PRETHODNE PROCJENE UČINAKA NA ZAŠTITU LJUDSKIH PRAVA: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Da li je utvrđena barem jedna kombinacija: 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mali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veliki izravni učinak i veliki broj adresata</w:t>
            </w:r>
          </w:p>
          <w:p w:rsidR="00AB04CD" w:rsidRDefault="00AB04CD" w:rsidP="0066139A">
            <w:pPr>
              <w:pStyle w:val="Odlomakpopisa"/>
              <w:numPr>
                <w:ilvl w:val="1"/>
                <w:numId w:val="4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  <w:lang w:eastAsia="en-US"/>
              </w:rPr>
            </w:pPr>
            <w:r>
              <w:rPr>
                <w:i/>
                <w:szCs w:val="24"/>
                <w:lang w:eastAsia="en-US"/>
              </w:rPr>
              <w:t>mali izravni učinak i veliki broj adresata.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B04C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AB04CD">
              <w:trPr>
                <w:trHeight w:val="299"/>
              </w:trPr>
              <w:tc>
                <w:tcPr>
                  <w:tcW w:w="623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AB04C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99"/>
              </w:trPr>
              <w:tc>
                <w:tcPr>
                  <w:tcW w:w="41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AB04CD">
              <w:trPr>
                <w:trHeight w:val="299"/>
              </w:trPr>
              <w:tc>
                <w:tcPr>
                  <w:tcW w:w="41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B04CD" w:rsidRDefault="00AB04CD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AB04CD" w:rsidRDefault="00AB04CD">
                  <w:pPr>
                    <w:shd w:val="clear" w:color="auto" w:fill="FFFFFF" w:themeFill="background1"/>
                    <w:spacing w:line="276" w:lineRule="auto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AB04CD" w:rsidRDefault="00AB04CD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Prethodni test malog i srednjeg poduzetništva (Prethodni MSP test)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AB04CD" w:rsidTr="00AB04CD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Hoće li propis imati učinke na određeni broj malih i srednjih poduzetnika kroz administrativne troškove provedbe postupaka ukoliko se za poduzetnike propisuju jednokratne ili periodične administrativne obveze,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Obrazloženje: </w:t>
            </w:r>
          </w:p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Hoće li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Obrazloženje:</w:t>
            </w:r>
          </w:p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Hoće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Obrazloženje:</w:t>
            </w:r>
          </w:p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Hoće li propis imati posebne učinke na mikro poduzetnike?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Obrazloženje:</w:t>
            </w:r>
          </w:p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AB04CD" w:rsidTr="00AB04CD">
        <w:trPr>
          <w:trHeight w:val="2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04CD" w:rsidRDefault="00AB0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Obrazloženje: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Ovim Nacrtom prijedloga Zakona ne uvode se nikakve administrativne obveze za male i srednje poduzetnike, kao ni naknade i davanja koje bi imale učinke na financijske rezultate poslovanja poduzetnika i koje bi uzrokovale troškove prilagodbe zbog primjene propisa s obzirom da se isti odnosi </w:t>
            </w:r>
            <w:r>
              <w:rPr>
                <w:szCs w:val="24"/>
              </w:rPr>
              <w:t>na velike poduzetnike čije poslovanje omogućava praćenje i ispunjavanje novih propisa, te ih financijski ne opterećuje.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Utvrđivanje potrebe za provođenjem SCM metodologije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>
              <w:rPr>
                <w:rFonts w:eastAsia="Times New Roman"/>
                <w:i/>
                <w:szCs w:val="24"/>
              </w:rPr>
              <w:t>Cost</w:t>
            </w:r>
            <w:proofErr w:type="spellEnd"/>
            <w:r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9" w:history="1">
              <w:r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AB04CD" w:rsidRDefault="00AB04CD">
            <w:pPr>
              <w:shd w:val="clear" w:color="auto" w:fill="FFFFFF" w:themeFill="background1"/>
              <w:rPr>
                <w:rFonts w:eastAsia="Calibri"/>
                <w:b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i/>
                <w:szCs w:val="24"/>
              </w:rPr>
              <w:t>Ako</w:t>
            </w:r>
            <w:r>
              <w:rPr>
                <w:i/>
                <w:szCs w:val="24"/>
              </w:rPr>
              <w:t xml:space="preserve"> je utvrđena barem jedna kombinacija: 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rFonts w:eastAsia="Calibri"/>
                <w:i/>
                <w:szCs w:val="24"/>
              </w:rPr>
            </w:pPr>
            <w:r>
              <w:rPr>
                <w:i/>
                <w:szCs w:val="24"/>
              </w:rPr>
              <w:t>–</w:t>
            </w:r>
            <w:r>
              <w:rPr>
                <w:i/>
                <w:szCs w:val="24"/>
              </w:rPr>
              <w:tab/>
              <w:t>veliki izravni učinak i mali broj adresata,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–</w:t>
            </w:r>
            <w:r>
              <w:rPr>
                <w:i/>
                <w:szCs w:val="24"/>
              </w:rPr>
              <w:tab/>
              <w:t>veliki izravni učinak i veliki broj adresata,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–</w:t>
            </w:r>
            <w:r>
              <w:rPr>
                <w:i/>
                <w:szCs w:val="24"/>
              </w:rPr>
              <w:tab/>
              <w:t>mali izravni učinak i veliki broj adresata,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Potreba za PUP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Potreba za MSP test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Potpis: dr. </w:t>
            </w:r>
            <w:proofErr w:type="spellStart"/>
            <w:r>
              <w:rPr>
                <w:rFonts w:eastAsia="Times New Roman"/>
                <w:szCs w:val="24"/>
              </w:rPr>
              <w:t>sc</w:t>
            </w:r>
            <w:proofErr w:type="spellEnd"/>
            <w:r>
              <w:rPr>
                <w:rFonts w:eastAsia="Times New Roman"/>
                <w:szCs w:val="24"/>
              </w:rPr>
              <w:t>. Tomislav Ćorić, ministar</w:t>
            </w:r>
          </w:p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Datum:17. listopada 2018.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AB04CD" w:rsidTr="00AB04CD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04CD" w:rsidRDefault="00AB04CD">
            <w:pPr>
              <w:shd w:val="clear" w:color="auto" w:fill="FFFFFF" w:themeFill="background1"/>
              <w:rPr>
                <w:rFonts w:eastAsia="Calibri"/>
                <w:szCs w:val="24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04CD" w:rsidRDefault="00AB04CD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Uputa:</w:t>
            </w:r>
          </w:p>
          <w:p w:rsidR="00AB04CD" w:rsidRDefault="00AB04CD" w:rsidP="0066139A">
            <w:pPr>
              <w:pStyle w:val="Odlomakpopisa"/>
              <w:numPr>
                <w:ilvl w:val="0"/>
                <w:numId w:val="5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  <w:lang w:eastAsia="en-US"/>
              </w:rPr>
            </w:pPr>
            <w:r>
              <w:rPr>
                <w:rFonts w:eastAsia="Times New Roman"/>
                <w:i/>
                <w:szCs w:val="24"/>
                <w:lang w:eastAsia="en-US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B04CD" w:rsidRDefault="00AB04CD" w:rsidP="00AB04CD">
      <w:pPr>
        <w:shd w:val="clear" w:color="auto" w:fill="FFFFFF" w:themeFill="background1"/>
        <w:rPr>
          <w:rFonts w:eastAsia="Calibri"/>
          <w:lang w:eastAsia="hr-HR"/>
        </w:rPr>
      </w:pPr>
    </w:p>
    <w:p w:rsidR="00BC59E5" w:rsidRDefault="00BC59E5"/>
    <w:sectPr w:rsidR="00BC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56"/>
    <w:rsid w:val="001065FF"/>
    <w:rsid w:val="0012585F"/>
    <w:rsid w:val="0017389F"/>
    <w:rsid w:val="003D4E8C"/>
    <w:rsid w:val="005442C0"/>
    <w:rsid w:val="005C4F83"/>
    <w:rsid w:val="00603832"/>
    <w:rsid w:val="006462B9"/>
    <w:rsid w:val="0066139A"/>
    <w:rsid w:val="006B11DA"/>
    <w:rsid w:val="00744493"/>
    <w:rsid w:val="00757857"/>
    <w:rsid w:val="008D2656"/>
    <w:rsid w:val="00973CAC"/>
    <w:rsid w:val="00AA005E"/>
    <w:rsid w:val="00AB04CD"/>
    <w:rsid w:val="00B45A81"/>
    <w:rsid w:val="00BC59E5"/>
    <w:rsid w:val="00CF3428"/>
    <w:rsid w:val="00D31B5B"/>
    <w:rsid w:val="00E7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43AC"/>
  <w15:chartTrackingRefBased/>
  <w15:docId w15:val="{3F73B51A-CDD8-4E11-BA8B-8889F3C6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44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44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rsid w:val="006462B9"/>
  </w:style>
  <w:style w:type="paragraph" w:customStyle="1" w:styleId="prilog">
    <w:name w:val="prilog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64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6462B9"/>
  </w:style>
  <w:style w:type="paragraph" w:styleId="Odlomakpopisa">
    <w:name w:val="List Paragraph"/>
    <w:basedOn w:val="Normal"/>
    <w:uiPriority w:val="34"/>
    <w:qFormat/>
    <w:rsid w:val="006462B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2B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6462B9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2B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462B9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64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462B9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62B9"/>
    <w:pPr>
      <w:spacing w:after="0" w:line="240" w:lineRule="auto"/>
    </w:pPr>
    <w:rPr>
      <w:rFonts w:ascii="Segoe UI" w:eastAsia="Calibri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62B9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646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462B9"/>
    <w:rPr>
      <w:color w:val="954F72" w:themeColor="followedHyperlink"/>
      <w:u w:val="single"/>
    </w:rPr>
  </w:style>
  <w:style w:type="character" w:customStyle="1" w:styleId="pt-defaultparagraphfont-000010">
    <w:name w:val="pt-defaultparagraphfont-000010"/>
    <w:basedOn w:val="Zadanifontodlomka"/>
    <w:rsid w:val="00757857"/>
  </w:style>
  <w:style w:type="character" w:styleId="Naglaeno">
    <w:name w:val="Strong"/>
    <w:basedOn w:val="Zadanifontodlomka"/>
    <w:uiPriority w:val="22"/>
    <w:qFormat/>
    <w:rsid w:val="00757857"/>
    <w:rPr>
      <w:b/>
      <w:bCs/>
    </w:rPr>
  </w:style>
  <w:style w:type="paragraph" w:customStyle="1" w:styleId="Default">
    <w:name w:val="Default"/>
    <w:rsid w:val="0075785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75785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57857"/>
    <w:pPr>
      <w:spacing w:after="0" w:line="240" w:lineRule="auto"/>
    </w:pPr>
    <w:rPr>
      <w:rFonts w:ascii="Times New Roman" w:hAnsi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57857"/>
    <w:rPr>
      <w:rFonts w:ascii="Times New Roman" w:hAnsi="Times New Roman"/>
      <w:noProof/>
      <w:sz w:val="20"/>
      <w:szCs w:val="20"/>
    </w:rPr>
  </w:style>
  <w:style w:type="character" w:customStyle="1" w:styleId="pt-zadanifontodlomka-000013">
    <w:name w:val="pt-zadanifontodlomka-000013"/>
    <w:basedOn w:val="Zadanifontodlomka"/>
    <w:rsid w:val="00757857"/>
  </w:style>
  <w:style w:type="paragraph" w:customStyle="1" w:styleId="doc-ti">
    <w:name w:val="doc-ti"/>
    <w:basedOn w:val="Normal"/>
    <w:rsid w:val="00757857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57857"/>
    <w:rPr>
      <w:rFonts w:eastAsia="Calibri" w:cs="Times New Roman"/>
      <w:b/>
      <w:bCs/>
      <w:noProof w:val="0"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57857"/>
    <w:rPr>
      <w:rFonts w:ascii="Times New Roman" w:eastAsia="Calibri" w:hAnsi="Times New Roman" w:cs="Times New Roman"/>
      <w:b/>
      <w:bCs/>
      <w:noProof/>
      <w:sz w:val="20"/>
      <w:szCs w:val="20"/>
      <w:lang w:eastAsia="hr-HR"/>
    </w:rPr>
  </w:style>
  <w:style w:type="character" w:customStyle="1" w:styleId="defaultparagraphfont-000009">
    <w:name w:val="defaultparagraphfont-000009"/>
    <w:basedOn w:val="Zadanifontodlomka"/>
    <w:rsid w:val="00757857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pt-zadanifontodlomka-000008">
    <w:name w:val="pt-zadanifontodlomka-000008"/>
    <w:basedOn w:val="Zadanifontodlomka"/>
    <w:rsid w:val="00757857"/>
  </w:style>
  <w:style w:type="paragraph" w:customStyle="1" w:styleId="box454803">
    <w:name w:val="box_454803"/>
    <w:basedOn w:val="Normal"/>
    <w:rsid w:val="005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sonormal0">
    <w:name w:val="msonormal"/>
    <w:basedOn w:val="Normal"/>
    <w:rsid w:val="00AB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44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5442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nja.grgasovic@mzo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enka.necak@mzoe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go.hr/page/standard-cost-mode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ngo.hr/page/standard-cost-mode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16792</Words>
  <Characters>95719</Characters>
  <Application>Microsoft Office Word</Application>
  <DocSecurity>0</DocSecurity>
  <Lines>797</Lines>
  <Paragraphs>224</Paragraphs>
  <ScaleCrop>false</ScaleCrop>
  <Company>Hewlett-Packard Company</Company>
  <LinksUpToDate>false</LinksUpToDate>
  <CharactersWithSpaces>112287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Tekić</dc:creator>
  <cp:keywords/>
  <dc:description/>
  <cp:lastModifiedBy>Kristina Tekić</cp:lastModifiedBy>
  <cp:revision>21</cp:revision>
  <dcterms:created xsi:type="dcterms:W3CDTF">2018-10-22T13:32:00Z</dcterms:created>
  <dcterms:modified xsi:type="dcterms:W3CDTF">2018-10-22T13:53:00Z</dcterms:modified>
</cp:coreProperties>
</file>