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8FC74" w14:textId="64DC6599" w:rsidR="00B535AA" w:rsidRPr="007F716C" w:rsidRDefault="00B535AA" w:rsidP="007F716C">
      <w:pPr>
        <w:pStyle w:val="NoSpacing"/>
        <w:jc w:val="both"/>
        <w:rPr>
          <w:rFonts w:ascii="Arial" w:hAnsi="Arial" w:cs="Arial"/>
          <w:lang w:eastAsia="hr-HR"/>
        </w:rPr>
      </w:pPr>
      <w:r w:rsidRPr="007F716C">
        <w:rPr>
          <w:rFonts w:ascii="Arial" w:hAnsi="Arial" w:cs="Arial"/>
          <w:lang w:eastAsia="hr-HR"/>
        </w:rPr>
        <w:t xml:space="preserve">Na temelju </w:t>
      </w:r>
      <w:r w:rsidR="009A4B2A">
        <w:rPr>
          <w:rFonts w:ascii="Arial" w:hAnsi="Arial" w:cs="Arial"/>
          <w:lang w:eastAsia="hr-HR"/>
        </w:rPr>
        <w:t>odredbi član</w:t>
      </w:r>
      <w:r w:rsidR="007752FC">
        <w:rPr>
          <w:rFonts w:ascii="Arial" w:hAnsi="Arial" w:cs="Arial"/>
          <w:lang w:eastAsia="hr-HR"/>
        </w:rPr>
        <w:t>a</w:t>
      </w:r>
      <w:r w:rsidR="009A4B2A">
        <w:rPr>
          <w:rFonts w:ascii="Arial" w:hAnsi="Arial" w:cs="Arial"/>
          <w:lang w:eastAsia="hr-HR"/>
        </w:rPr>
        <w:t>ka</w:t>
      </w:r>
      <w:r w:rsidR="007752FC">
        <w:rPr>
          <w:rFonts w:ascii="Arial" w:hAnsi="Arial" w:cs="Arial"/>
          <w:lang w:eastAsia="hr-HR"/>
        </w:rPr>
        <w:t xml:space="preserve"> 31. stavka 6.,</w:t>
      </w:r>
      <w:r w:rsidR="009A4B2A">
        <w:rPr>
          <w:rFonts w:ascii="Arial" w:hAnsi="Arial" w:cs="Arial"/>
          <w:lang w:eastAsia="hr-HR"/>
        </w:rPr>
        <w:t xml:space="preserve"> 167</w:t>
      </w:r>
      <w:r w:rsidRPr="007F716C">
        <w:rPr>
          <w:rFonts w:ascii="Arial" w:hAnsi="Arial" w:cs="Arial"/>
          <w:lang w:eastAsia="hr-HR"/>
        </w:rPr>
        <w:t>. stavka 7.</w:t>
      </w:r>
      <w:r w:rsidR="007752FC">
        <w:rPr>
          <w:rFonts w:ascii="Arial" w:hAnsi="Arial" w:cs="Arial"/>
          <w:lang w:eastAsia="hr-HR"/>
        </w:rPr>
        <w:t>,</w:t>
      </w:r>
      <w:r w:rsidR="009A4B2A">
        <w:rPr>
          <w:rFonts w:ascii="Arial" w:hAnsi="Arial" w:cs="Arial"/>
          <w:lang w:eastAsia="hr-HR"/>
        </w:rPr>
        <w:t xml:space="preserve"> 170. stavka 5.</w:t>
      </w:r>
      <w:r w:rsidR="00AB0CF2">
        <w:rPr>
          <w:rFonts w:ascii="Arial" w:hAnsi="Arial" w:cs="Arial"/>
          <w:lang w:eastAsia="hr-HR"/>
        </w:rPr>
        <w:t xml:space="preserve"> i</w:t>
      </w:r>
      <w:r w:rsidR="00F750BB">
        <w:rPr>
          <w:rFonts w:ascii="Arial" w:hAnsi="Arial" w:cs="Arial"/>
          <w:lang w:eastAsia="hr-HR"/>
        </w:rPr>
        <w:t xml:space="preserve"> 172. stavka 9.</w:t>
      </w:r>
      <w:r w:rsidRPr="007F716C">
        <w:rPr>
          <w:rFonts w:ascii="Arial" w:hAnsi="Arial" w:cs="Arial"/>
          <w:lang w:eastAsia="hr-HR"/>
        </w:rPr>
        <w:t xml:space="preserve"> Zakona o tržištu kapitala </w:t>
      </w:r>
      <w:r w:rsidR="007F716C" w:rsidRPr="007F716C">
        <w:rPr>
          <w:rFonts w:ascii="Arial" w:hAnsi="Arial" w:cs="Arial"/>
          <w:lang w:eastAsia="hr-HR"/>
        </w:rPr>
        <w:t xml:space="preserve">(»Narodne novine« br. </w:t>
      </w:r>
      <w:r w:rsidRPr="007F716C">
        <w:rPr>
          <w:rFonts w:ascii="Arial" w:hAnsi="Arial" w:cs="Arial"/>
          <w:lang w:eastAsia="hr-HR"/>
        </w:rPr>
        <w:t>65/18)</w:t>
      </w:r>
      <w:r w:rsidR="007F716C" w:rsidRPr="007F716C">
        <w:rPr>
          <w:rFonts w:ascii="Arial" w:hAnsi="Arial" w:cs="Arial"/>
          <w:lang w:eastAsia="hr-HR"/>
        </w:rPr>
        <w:t>,</w:t>
      </w:r>
      <w:r w:rsidRPr="007F716C">
        <w:rPr>
          <w:rFonts w:ascii="Arial" w:hAnsi="Arial" w:cs="Arial"/>
          <w:lang w:eastAsia="hr-HR"/>
        </w:rPr>
        <w:t xml:space="preserve"> Hrvatska agencija za nadzor financijski</w:t>
      </w:r>
      <w:r w:rsidR="007F716C" w:rsidRPr="007F716C">
        <w:rPr>
          <w:rFonts w:ascii="Arial" w:hAnsi="Arial" w:cs="Arial"/>
          <w:lang w:eastAsia="hr-HR"/>
        </w:rPr>
        <w:t>h usluga</w:t>
      </w:r>
      <w:r w:rsidRPr="007F716C">
        <w:rPr>
          <w:rFonts w:ascii="Arial" w:hAnsi="Arial" w:cs="Arial"/>
          <w:lang w:eastAsia="hr-HR"/>
        </w:rPr>
        <w:t xml:space="preserve">, na sjednici Upravnog vijeća održanoj ___________2018. godine donosi </w:t>
      </w:r>
    </w:p>
    <w:p w14:paraId="38E18CB4" w14:textId="6DBC5160" w:rsidR="00B4740F" w:rsidRDefault="00B4740F" w:rsidP="007F716C">
      <w:pPr>
        <w:pStyle w:val="NoSpacing"/>
        <w:jc w:val="center"/>
        <w:rPr>
          <w:rFonts w:ascii="Arial" w:hAnsi="Arial" w:cs="Arial"/>
          <w:lang w:eastAsia="hr-HR"/>
        </w:rPr>
      </w:pPr>
    </w:p>
    <w:p w14:paraId="6C8AC9A2" w14:textId="77777777" w:rsidR="007F716C" w:rsidRPr="007F716C" w:rsidRDefault="007F716C" w:rsidP="007F716C">
      <w:pPr>
        <w:pStyle w:val="NoSpacing"/>
        <w:jc w:val="center"/>
        <w:rPr>
          <w:rFonts w:ascii="Arial" w:hAnsi="Arial" w:cs="Arial"/>
          <w:lang w:eastAsia="hr-HR"/>
        </w:rPr>
      </w:pPr>
    </w:p>
    <w:p w14:paraId="238F8FED" w14:textId="28344963" w:rsidR="007F716C" w:rsidRPr="000E3200" w:rsidRDefault="00B4740F" w:rsidP="000E3200">
      <w:pPr>
        <w:pStyle w:val="Title"/>
        <w:jc w:val="center"/>
        <w:rPr>
          <w:rFonts w:ascii="Arial" w:hAnsi="Arial" w:cs="Arial"/>
          <w:sz w:val="28"/>
          <w:szCs w:val="28"/>
          <w:lang w:eastAsia="hr-HR"/>
        </w:rPr>
      </w:pPr>
      <w:r w:rsidRPr="000E3200">
        <w:rPr>
          <w:rFonts w:ascii="Arial" w:hAnsi="Arial" w:cs="Arial"/>
          <w:sz w:val="28"/>
          <w:szCs w:val="28"/>
          <w:lang w:eastAsia="hr-HR"/>
        </w:rPr>
        <w:t>PRAVILNIK</w:t>
      </w:r>
    </w:p>
    <w:p w14:paraId="668B9DED" w14:textId="38AB6637" w:rsidR="00B4740F" w:rsidRPr="000E3200" w:rsidRDefault="00B4740F" w:rsidP="000E3200">
      <w:pPr>
        <w:pStyle w:val="Title"/>
        <w:jc w:val="center"/>
        <w:rPr>
          <w:rFonts w:ascii="Arial" w:hAnsi="Arial" w:cs="Arial"/>
          <w:sz w:val="28"/>
          <w:szCs w:val="28"/>
          <w:lang w:eastAsia="hr-HR"/>
        </w:rPr>
      </w:pPr>
      <w:r w:rsidRPr="000E3200">
        <w:rPr>
          <w:rFonts w:ascii="Arial" w:hAnsi="Arial" w:cs="Arial"/>
          <w:sz w:val="28"/>
          <w:szCs w:val="28"/>
          <w:lang w:eastAsia="hr-HR"/>
        </w:rPr>
        <w:t>O UPRAVLJANJU RIZICIMA</w:t>
      </w:r>
      <w:r w:rsidR="00133AE8" w:rsidRPr="000E3200">
        <w:rPr>
          <w:rFonts w:ascii="Arial" w:hAnsi="Arial" w:cs="Arial"/>
          <w:sz w:val="28"/>
          <w:szCs w:val="28"/>
          <w:lang w:eastAsia="hr-HR"/>
        </w:rPr>
        <w:t>, ADEKVATNOSTI KAPITALA</w:t>
      </w:r>
      <w:r w:rsidRPr="000E3200">
        <w:rPr>
          <w:rFonts w:ascii="Arial" w:hAnsi="Arial" w:cs="Arial"/>
          <w:sz w:val="28"/>
          <w:szCs w:val="28"/>
          <w:lang w:eastAsia="hr-HR"/>
        </w:rPr>
        <w:t xml:space="preserve"> </w:t>
      </w:r>
      <w:r w:rsidR="007F716C" w:rsidRPr="000E3200">
        <w:rPr>
          <w:rFonts w:ascii="Arial" w:hAnsi="Arial" w:cs="Arial"/>
          <w:sz w:val="28"/>
          <w:szCs w:val="28"/>
          <w:lang w:eastAsia="hr-HR"/>
        </w:rPr>
        <w:t xml:space="preserve">I LIKVIDNOSTI </w:t>
      </w:r>
      <w:r w:rsidRPr="000E3200">
        <w:rPr>
          <w:rFonts w:ascii="Arial" w:hAnsi="Arial" w:cs="Arial"/>
          <w:sz w:val="28"/>
          <w:szCs w:val="28"/>
          <w:lang w:eastAsia="hr-HR"/>
        </w:rPr>
        <w:t>INVESTICIJSKIH DRUŠTAVA</w:t>
      </w:r>
    </w:p>
    <w:p w14:paraId="640BE2F8" w14:textId="7F688A47" w:rsidR="00260FAD" w:rsidRDefault="00260FAD" w:rsidP="007F716C">
      <w:pPr>
        <w:pStyle w:val="NoSpacing"/>
        <w:jc w:val="center"/>
        <w:rPr>
          <w:rFonts w:ascii="Arial" w:eastAsia="Times New Roman" w:hAnsi="Arial" w:cs="Arial"/>
          <w:color w:val="000000" w:themeColor="text1"/>
          <w:lang w:eastAsia="hr-HR"/>
        </w:rPr>
      </w:pPr>
    </w:p>
    <w:p w14:paraId="688DB5BC" w14:textId="77777777" w:rsidR="00B0377A" w:rsidRDefault="00B0377A" w:rsidP="007F716C">
      <w:pPr>
        <w:pStyle w:val="NoSpacing"/>
        <w:jc w:val="center"/>
        <w:rPr>
          <w:rFonts w:ascii="Arial" w:eastAsia="Times New Roman" w:hAnsi="Arial" w:cs="Arial"/>
          <w:color w:val="000000" w:themeColor="text1"/>
          <w:lang w:eastAsia="hr-HR"/>
        </w:rPr>
      </w:pPr>
    </w:p>
    <w:p w14:paraId="75E2517D" w14:textId="77777777" w:rsidR="00B0377A" w:rsidRPr="00186E7D" w:rsidRDefault="00B0377A" w:rsidP="00186E7D">
      <w:pPr>
        <w:pStyle w:val="Heading1"/>
        <w:jc w:val="center"/>
        <w:rPr>
          <w:rFonts w:ascii="Arial" w:hAnsi="Arial" w:cs="Arial"/>
          <w:sz w:val="22"/>
          <w:szCs w:val="22"/>
        </w:rPr>
      </w:pPr>
      <w:r w:rsidRPr="00186E7D">
        <w:rPr>
          <w:rFonts w:ascii="Arial" w:hAnsi="Arial" w:cs="Arial"/>
          <w:sz w:val="22"/>
          <w:szCs w:val="22"/>
        </w:rPr>
        <w:t>I. ZAJEDNIČKE ODREDBE</w:t>
      </w:r>
    </w:p>
    <w:p w14:paraId="065D2672" w14:textId="77777777" w:rsidR="00B0377A" w:rsidRPr="00B0377A" w:rsidRDefault="00B0377A" w:rsidP="00B0377A">
      <w:pPr>
        <w:spacing w:after="0" w:line="240" w:lineRule="auto"/>
        <w:jc w:val="center"/>
        <w:rPr>
          <w:rFonts w:ascii="Arial" w:eastAsia="Times New Roman" w:hAnsi="Arial" w:cs="Arial"/>
          <w:b/>
          <w:lang w:eastAsia="hr-HR"/>
        </w:rPr>
      </w:pPr>
    </w:p>
    <w:p w14:paraId="3E989B89" w14:textId="77777777" w:rsidR="00B0377A" w:rsidRPr="00186E7D" w:rsidRDefault="00B0377A" w:rsidP="00186E7D">
      <w:pPr>
        <w:pStyle w:val="Heading2"/>
        <w:jc w:val="center"/>
        <w:rPr>
          <w:rFonts w:ascii="Arial" w:eastAsia="Times New Roman" w:hAnsi="Arial" w:cs="Arial"/>
          <w:color w:val="auto"/>
          <w:sz w:val="22"/>
          <w:szCs w:val="22"/>
          <w:lang w:eastAsia="hr-HR"/>
        </w:rPr>
      </w:pPr>
      <w:r w:rsidRPr="00186E7D">
        <w:rPr>
          <w:rFonts w:ascii="Arial" w:eastAsia="Times New Roman" w:hAnsi="Arial" w:cs="Arial"/>
          <w:color w:val="auto"/>
          <w:sz w:val="22"/>
          <w:szCs w:val="22"/>
          <w:lang w:eastAsia="hr-HR"/>
        </w:rPr>
        <w:lastRenderedPageBreak/>
        <w:t>Članak 1.</w:t>
      </w:r>
    </w:p>
    <w:p w14:paraId="0B504B53" w14:textId="387EBA5D" w:rsidR="00B0377A" w:rsidRDefault="00B0377A" w:rsidP="00186E7D">
      <w:pPr>
        <w:pStyle w:val="Heading2"/>
        <w:rPr>
          <w:rFonts w:eastAsia="Times New Roman"/>
          <w:color w:val="000000" w:themeColor="text1"/>
          <w:lang w:eastAsia="hr-HR"/>
        </w:rPr>
      </w:pPr>
    </w:p>
    <w:p w14:paraId="70C04A63" w14:textId="4B36FDE1" w:rsidR="00B0377A" w:rsidRPr="00EA02D8" w:rsidRDefault="00B0377A" w:rsidP="00EA02D8">
      <w:pPr>
        <w:pStyle w:val="Heading3"/>
        <w:rPr>
          <w:rFonts w:ascii="Arial" w:eastAsia="Times New Roman" w:hAnsi="Arial" w:cs="Arial"/>
          <w:color w:val="auto"/>
          <w:sz w:val="22"/>
          <w:szCs w:val="22"/>
          <w:lang w:eastAsia="hr-HR"/>
        </w:rPr>
      </w:pPr>
      <w:r w:rsidRPr="00EA02D8">
        <w:rPr>
          <w:rFonts w:ascii="Arial" w:eastAsia="Times New Roman" w:hAnsi="Arial" w:cs="Arial"/>
          <w:color w:val="auto"/>
          <w:sz w:val="22"/>
          <w:szCs w:val="22"/>
          <w:lang w:eastAsia="hr-HR"/>
        </w:rPr>
        <w:t>Ovim se Pravilnikom detaljnije propisuju sljedeće obaveze i uvjeti propisani Zakonom o tržištu kapitala:</w:t>
      </w:r>
    </w:p>
    <w:p w14:paraId="3FB0515A" w14:textId="726F5CCA" w:rsidR="007F716C" w:rsidRPr="00EA02D8" w:rsidRDefault="007F716C" w:rsidP="00EA02D8">
      <w:pPr>
        <w:pStyle w:val="Heading3"/>
        <w:rPr>
          <w:rFonts w:ascii="Arial" w:hAnsi="Arial" w:cs="Arial"/>
          <w:color w:val="auto"/>
          <w:sz w:val="22"/>
          <w:szCs w:val="22"/>
          <w:lang w:eastAsia="hr-HR"/>
        </w:rPr>
      </w:pPr>
    </w:p>
    <w:p w14:paraId="354799FC" w14:textId="5C7BF207" w:rsidR="00B0377A" w:rsidRPr="00EA02D8" w:rsidRDefault="00B0377A" w:rsidP="00EA02D8">
      <w:pPr>
        <w:pStyle w:val="Heading3"/>
        <w:rPr>
          <w:rFonts w:ascii="Arial" w:hAnsi="Arial" w:cs="Arial"/>
          <w:color w:val="auto"/>
          <w:sz w:val="22"/>
          <w:szCs w:val="22"/>
          <w:lang w:eastAsia="hr-HR"/>
        </w:rPr>
      </w:pPr>
      <w:r w:rsidRPr="00EA02D8">
        <w:rPr>
          <w:rFonts w:ascii="Arial" w:hAnsi="Arial" w:cs="Arial"/>
          <w:color w:val="auto"/>
          <w:sz w:val="22"/>
          <w:szCs w:val="22"/>
          <w:lang w:eastAsia="hr-HR"/>
        </w:rPr>
        <w:t xml:space="preserve">1. zahtjevi vezani uz </w:t>
      </w:r>
      <w:r w:rsidR="00133AE8" w:rsidRPr="00EA02D8">
        <w:rPr>
          <w:rFonts w:ascii="Arial" w:hAnsi="Arial" w:cs="Arial"/>
          <w:color w:val="auto"/>
          <w:sz w:val="22"/>
          <w:szCs w:val="22"/>
          <w:lang w:eastAsia="hr-HR"/>
        </w:rPr>
        <w:t>upravljanje rizicima i adekvatnost kapitala investicijskih društava, s obzirom na:</w:t>
      </w:r>
    </w:p>
    <w:p w14:paraId="1A00D5DB" w14:textId="538E003B" w:rsidR="00133AE8" w:rsidRPr="00EA02D8" w:rsidRDefault="00133AE8" w:rsidP="00EA02D8">
      <w:pPr>
        <w:pStyle w:val="Heading3"/>
        <w:rPr>
          <w:rFonts w:ascii="Arial" w:hAnsi="Arial" w:cs="Arial"/>
          <w:color w:val="auto"/>
          <w:sz w:val="22"/>
          <w:szCs w:val="22"/>
          <w:lang w:eastAsia="hr-HR"/>
        </w:rPr>
      </w:pPr>
    </w:p>
    <w:p w14:paraId="09ABB061" w14:textId="68005D5F" w:rsidR="000363E2" w:rsidRPr="00EA02D8" w:rsidRDefault="000363E2" w:rsidP="008E11EF">
      <w:pPr>
        <w:pStyle w:val="Heading3"/>
        <w:numPr>
          <w:ilvl w:val="0"/>
          <w:numId w:val="42"/>
        </w:numPr>
        <w:rPr>
          <w:rFonts w:ascii="Arial" w:hAnsi="Arial" w:cs="Arial"/>
          <w:color w:val="auto"/>
          <w:sz w:val="22"/>
          <w:szCs w:val="22"/>
          <w:lang w:eastAsia="hr-HR"/>
        </w:rPr>
      </w:pPr>
      <w:r w:rsidRPr="00EA02D8">
        <w:rPr>
          <w:rFonts w:ascii="Arial" w:hAnsi="Arial" w:cs="Arial"/>
          <w:color w:val="auto"/>
          <w:sz w:val="22"/>
          <w:szCs w:val="22"/>
          <w:lang w:eastAsia="hr-HR"/>
        </w:rPr>
        <w:t>politike i postupke za upravljanje rizicima</w:t>
      </w:r>
    </w:p>
    <w:p w14:paraId="4E11E135" w14:textId="4A1EC596" w:rsidR="00133AE8" w:rsidRPr="00EA02D8" w:rsidRDefault="00133AE8" w:rsidP="008E11EF">
      <w:pPr>
        <w:pStyle w:val="Heading3"/>
        <w:numPr>
          <w:ilvl w:val="0"/>
          <w:numId w:val="42"/>
        </w:numPr>
        <w:rPr>
          <w:rFonts w:ascii="Arial" w:hAnsi="Arial" w:cs="Arial"/>
          <w:color w:val="auto"/>
          <w:sz w:val="22"/>
          <w:szCs w:val="22"/>
          <w:lang w:eastAsia="hr-HR"/>
        </w:rPr>
      </w:pPr>
      <w:r w:rsidRPr="00EA02D8">
        <w:rPr>
          <w:rFonts w:ascii="Arial" w:hAnsi="Arial" w:cs="Arial"/>
          <w:color w:val="auto"/>
          <w:sz w:val="22"/>
          <w:szCs w:val="22"/>
          <w:lang w:eastAsia="hr-HR"/>
        </w:rPr>
        <w:t>minimalne zahtjeve o upravljanju rizicima</w:t>
      </w:r>
    </w:p>
    <w:p w14:paraId="198EE81B" w14:textId="433F3717" w:rsidR="000363E2" w:rsidRPr="00EA02D8" w:rsidRDefault="000363E2" w:rsidP="008E11EF">
      <w:pPr>
        <w:pStyle w:val="Heading3"/>
        <w:numPr>
          <w:ilvl w:val="0"/>
          <w:numId w:val="42"/>
        </w:numPr>
        <w:rPr>
          <w:rFonts w:ascii="Arial" w:hAnsi="Arial" w:cs="Arial"/>
          <w:color w:val="auto"/>
          <w:sz w:val="22"/>
          <w:szCs w:val="22"/>
          <w:lang w:eastAsia="hr-HR"/>
        </w:rPr>
      </w:pPr>
      <w:r w:rsidRPr="00EA02D8">
        <w:rPr>
          <w:rFonts w:ascii="Arial" w:hAnsi="Arial" w:cs="Arial"/>
          <w:color w:val="auto"/>
          <w:sz w:val="22"/>
          <w:szCs w:val="22"/>
          <w:lang w:eastAsia="hr-HR"/>
        </w:rPr>
        <w:t>pravila o upravljanju rizicima koji proizlaze iz izloženosti  prema subjektima bankarstva u sjeni</w:t>
      </w:r>
    </w:p>
    <w:p w14:paraId="7A787315" w14:textId="43704F15" w:rsidR="00133AE8" w:rsidRPr="00EA02D8" w:rsidRDefault="00133AE8" w:rsidP="008E11EF">
      <w:pPr>
        <w:pStyle w:val="Heading3"/>
        <w:numPr>
          <w:ilvl w:val="0"/>
          <w:numId w:val="42"/>
        </w:numPr>
        <w:rPr>
          <w:rFonts w:ascii="Arial" w:hAnsi="Arial" w:cs="Arial"/>
          <w:color w:val="auto"/>
          <w:sz w:val="22"/>
          <w:szCs w:val="22"/>
          <w:lang w:eastAsia="hr-HR"/>
        </w:rPr>
      </w:pPr>
      <w:r w:rsidRPr="00EA02D8">
        <w:rPr>
          <w:rFonts w:ascii="Arial" w:hAnsi="Arial" w:cs="Arial"/>
          <w:color w:val="auto"/>
          <w:sz w:val="22"/>
          <w:szCs w:val="22"/>
          <w:lang w:eastAsia="hr-HR"/>
        </w:rPr>
        <w:t>tehničke kriterije koji se odnose na interne pristupe za izračun kapitalnih zahtjeva</w:t>
      </w:r>
    </w:p>
    <w:p w14:paraId="7286C34B" w14:textId="35F71129" w:rsidR="001E0BDE" w:rsidRPr="00EA02D8" w:rsidRDefault="001E0BDE" w:rsidP="008E11EF">
      <w:pPr>
        <w:pStyle w:val="Heading3"/>
        <w:numPr>
          <w:ilvl w:val="0"/>
          <w:numId w:val="42"/>
        </w:numPr>
        <w:rPr>
          <w:rFonts w:ascii="Arial" w:hAnsi="Arial" w:cs="Arial"/>
          <w:color w:val="auto"/>
          <w:sz w:val="22"/>
          <w:szCs w:val="22"/>
          <w:lang w:eastAsia="hr-HR"/>
        </w:rPr>
      </w:pPr>
      <w:r w:rsidRPr="00EA02D8">
        <w:rPr>
          <w:rFonts w:ascii="Arial" w:hAnsi="Arial" w:cs="Arial"/>
          <w:color w:val="auto"/>
          <w:sz w:val="22"/>
          <w:szCs w:val="22"/>
          <w:lang w:eastAsia="hr-HR"/>
        </w:rPr>
        <w:t>način vrednovanja imovine i izvanbilančnih stavki</w:t>
      </w:r>
    </w:p>
    <w:p w14:paraId="5B6F40A0" w14:textId="1616EB8A" w:rsidR="001E0BDE" w:rsidRPr="00EA02D8" w:rsidRDefault="001E0BDE" w:rsidP="008E11EF">
      <w:pPr>
        <w:pStyle w:val="Heading3"/>
        <w:numPr>
          <w:ilvl w:val="0"/>
          <w:numId w:val="42"/>
        </w:numPr>
        <w:rPr>
          <w:rFonts w:ascii="Arial" w:hAnsi="Arial" w:cs="Arial"/>
          <w:color w:val="auto"/>
          <w:sz w:val="22"/>
          <w:szCs w:val="22"/>
          <w:lang w:eastAsia="hr-HR"/>
        </w:rPr>
      </w:pPr>
      <w:r w:rsidRPr="00EA02D8">
        <w:rPr>
          <w:rFonts w:ascii="Arial" w:hAnsi="Arial" w:cs="Arial"/>
          <w:color w:val="auto"/>
          <w:sz w:val="22"/>
          <w:szCs w:val="22"/>
          <w:lang w:eastAsia="hr-HR"/>
        </w:rPr>
        <w:t>tretman izloženosti prema područnoj (regionalnoj) ili lokalnoj samoupravi za potrebe članka 115. Uredbe (EU) br. 575/2013</w:t>
      </w:r>
    </w:p>
    <w:p w14:paraId="00ED6E3F" w14:textId="58C579E3" w:rsidR="001E0BDE" w:rsidRPr="00EA02D8" w:rsidRDefault="001E0BDE" w:rsidP="008E11EF">
      <w:pPr>
        <w:pStyle w:val="Heading3"/>
        <w:numPr>
          <w:ilvl w:val="0"/>
          <w:numId w:val="42"/>
        </w:numPr>
        <w:rPr>
          <w:rFonts w:ascii="Arial" w:hAnsi="Arial" w:cs="Arial"/>
          <w:color w:val="auto"/>
          <w:sz w:val="22"/>
          <w:szCs w:val="22"/>
          <w:lang w:eastAsia="hr-HR"/>
        </w:rPr>
      </w:pPr>
      <w:r w:rsidRPr="00EA02D8">
        <w:rPr>
          <w:rFonts w:ascii="Arial" w:hAnsi="Arial" w:cs="Arial"/>
          <w:color w:val="auto"/>
          <w:sz w:val="22"/>
          <w:szCs w:val="22"/>
          <w:lang w:eastAsia="hr-HR"/>
        </w:rPr>
        <w:t>postupanje investicijskih društava u slučaju prekoračenja ograničenja u vezi s ulaganjima u kvalificirane udjele u nefinancijske institucije</w:t>
      </w:r>
      <w:r w:rsidR="007870D5" w:rsidRPr="00EA02D8">
        <w:rPr>
          <w:rFonts w:ascii="Arial" w:hAnsi="Arial" w:cs="Arial"/>
          <w:color w:val="auto"/>
          <w:sz w:val="22"/>
          <w:szCs w:val="22"/>
          <w:lang w:eastAsia="hr-HR"/>
        </w:rPr>
        <w:t>,</w:t>
      </w:r>
    </w:p>
    <w:p w14:paraId="2AE1D8B3" w14:textId="3DB36002" w:rsidR="00E40DA8" w:rsidRPr="00EA02D8" w:rsidRDefault="008D0134" w:rsidP="008E11EF">
      <w:pPr>
        <w:pStyle w:val="Heading3"/>
        <w:numPr>
          <w:ilvl w:val="0"/>
          <w:numId w:val="42"/>
        </w:numPr>
        <w:rPr>
          <w:rFonts w:ascii="Arial" w:hAnsi="Arial" w:cs="Arial"/>
          <w:color w:val="auto"/>
          <w:sz w:val="22"/>
          <w:szCs w:val="22"/>
          <w:lang w:eastAsia="hr-HR"/>
        </w:rPr>
      </w:pPr>
      <w:r w:rsidRPr="00EA02D8">
        <w:rPr>
          <w:rFonts w:ascii="Arial" w:hAnsi="Arial" w:cs="Arial"/>
          <w:color w:val="auto"/>
          <w:sz w:val="22"/>
          <w:szCs w:val="22"/>
          <w:lang w:eastAsia="hr-HR"/>
        </w:rPr>
        <w:t xml:space="preserve">način i rokove dostave podataka </w:t>
      </w:r>
      <w:r w:rsidR="004C15E5" w:rsidRPr="00EA02D8">
        <w:rPr>
          <w:rFonts w:ascii="Arial" w:hAnsi="Arial" w:cs="Arial"/>
          <w:color w:val="auto"/>
          <w:sz w:val="22"/>
          <w:szCs w:val="22"/>
          <w:lang w:eastAsia="hr-HR"/>
        </w:rPr>
        <w:t xml:space="preserve">Hanfi </w:t>
      </w:r>
      <w:r w:rsidRPr="00EA02D8">
        <w:rPr>
          <w:rFonts w:ascii="Arial" w:hAnsi="Arial" w:cs="Arial"/>
          <w:color w:val="auto"/>
          <w:sz w:val="22"/>
          <w:szCs w:val="22"/>
          <w:lang w:eastAsia="hr-HR"/>
        </w:rPr>
        <w:t xml:space="preserve">o usklađenosti postupaka i metoda koje se odnose na sustav upravljanja rizicima </w:t>
      </w:r>
      <w:r w:rsidR="002A706E" w:rsidRPr="00EA02D8">
        <w:rPr>
          <w:rFonts w:ascii="Arial" w:hAnsi="Arial" w:cs="Arial"/>
          <w:color w:val="auto"/>
          <w:sz w:val="22"/>
          <w:szCs w:val="22"/>
          <w:lang w:eastAsia="hr-HR"/>
        </w:rPr>
        <w:t xml:space="preserve">investicijskog društva </w:t>
      </w:r>
      <w:r w:rsidRPr="00EA02D8">
        <w:rPr>
          <w:rFonts w:ascii="Arial" w:hAnsi="Arial" w:cs="Arial"/>
          <w:color w:val="auto"/>
          <w:sz w:val="22"/>
          <w:szCs w:val="22"/>
          <w:lang w:eastAsia="hr-HR"/>
        </w:rPr>
        <w:t xml:space="preserve">s odredbama Uredbe (EU) br. 575/2013 i odredbama Zakona koje se odnose na upravljanje rizicima, adekvatnost kapitala i kapitalne zahtjeve investicijskog društva. </w:t>
      </w:r>
    </w:p>
    <w:p w14:paraId="008B48EA" w14:textId="77777777" w:rsidR="00B0377A" w:rsidRPr="00EA02D8" w:rsidRDefault="00B0377A" w:rsidP="00EA02D8">
      <w:pPr>
        <w:pStyle w:val="Heading3"/>
        <w:rPr>
          <w:rFonts w:ascii="Arial" w:hAnsi="Arial" w:cs="Arial"/>
          <w:color w:val="auto"/>
          <w:sz w:val="22"/>
          <w:szCs w:val="22"/>
          <w:lang w:eastAsia="hr-HR"/>
        </w:rPr>
      </w:pPr>
    </w:p>
    <w:p w14:paraId="0A399148" w14:textId="5865534A" w:rsidR="007F716C" w:rsidRPr="00EA02D8" w:rsidRDefault="001E0BDE" w:rsidP="00EA02D8">
      <w:pPr>
        <w:pStyle w:val="Heading3"/>
        <w:rPr>
          <w:rFonts w:ascii="Arial" w:hAnsi="Arial" w:cs="Arial"/>
          <w:color w:val="auto"/>
          <w:sz w:val="22"/>
          <w:szCs w:val="22"/>
        </w:rPr>
      </w:pPr>
      <w:r w:rsidRPr="00EA02D8">
        <w:rPr>
          <w:rFonts w:ascii="Arial" w:hAnsi="Arial" w:cs="Arial"/>
          <w:color w:val="auto"/>
          <w:sz w:val="22"/>
          <w:szCs w:val="22"/>
        </w:rPr>
        <w:t>2. zahtjevi za upravljanje rizikom likvidnosti investicijskih društava, s obzirom na:</w:t>
      </w:r>
    </w:p>
    <w:p w14:paraId="4676146A" w14:textId="5F3B021F" w:rsidR="001E0BDE" w:rsidRPr="00EA02D8" w:rsidRDefault="001E0BDE" w:rsidP="00EA02D8">
      <w:pPr>
        <w:pStyle w:val="Heading3"/>
        <w:rPr>
          <w:rFonts w:ascii="Arial" w:hAnsi="Arial" w:cs="Arial"/>
          <w:color w:val="auto"/>
          <w:sz w:val="22"/>
          <w:szCs w:val="22"/>
        </w:rPr>
      </w:pPr>
    </w:p>
    <w:p w14:paraId="75CD4A7B" w14:textId="18A9BD41" w:rsidR="001E0BDE" w:rsidRPr="00EA02D8" w:rsidRDefault="001E0BDE" w:rsidP="008E11EF">
      <w:pPr>
        <w:pStyle w:val="Heading3"/>
        <w:numPr>
          <w:ilvl w:val="0"/>
          <w:numId w:val="43"/>
        </w:numPr>
        <w:rPr>
          <w:rFonts w:ascii="Arial" w:hAnsi="Arial" w:cs="Arial"/>
          <w:color w:val="auto"/>
          <w:sz w:val="22"/>
          <w:szCs w:val="22"/>
          <w:lang w:eastAsia="hr-HR"/>
        </w:rPr>
      </w:pPr>
      <w:r w:rsidRPr="00EA02D8">
        <w:rPr>
          <w:rFonts w:ascii="Arial" w:hAnsi="Arial" w:cs="Arial"/>
          <w:color w:val="auto"/>
          <w:sz w:val="22"/>
          <w:szCs w:val="22"/>
          <w:lang w:eastAsia="hr-HR"/>
        </w:rPr>
        <w:t>minimalne zahtjeve za upravljanje rizikom likvidnosti</w:t>
      </w:r>
    </w:p>
    <w:p w14:paraId="42CE1A9D" w14:textId="1E117DA4" w:rsidR="001E0BDE" w:rsidRPr="00EA02D8" w:rsidRDefault="001E0BDE" w:rsidP="008E11EF">
      <w:pPr>
        <w:pStyle w:val="Heading3"/>
        <w:numPr>
          <w:ilvl w:val="0"/>
          <w:numId w:val="43"/>
        </w:numPr>
        <w:rPr>
          <w:rFonts w:ascii="Arial" w:hAnsi="Arial" w:cs="Arial"/>
          <w:color w:val="auto"/>
          <w:sz w:val="22"/>
          <w:szCs w:val="22"/>
          <w:lang w:eastAsia="hr-HR"/>
        </w:rPr>
      </w:pPr>
      <w:r w:rsidRPr="00EA02D8">
        <w:rPr>
          <w:rFonts w:ascii="Arial" w:hAnsi="Arial" w:cs="Arial"/>
          <w:color w:val="auto"/>
          <w:sz w:val="22"/>
          <w:szCs w:val="22"/>
          <w:lang w:eastAsia="hr-HR"/>
        </w:rPr>
        <w:t>način izračuna pokazatelja likvidnosti</w:t>
      </w:r>
    </w:p>
    <w:p w14:paraId="200DC962" w14:textId="35830850" w:rsidR="001E0BDE" w:rsidRPr="00EA02D8" w:rsidRDefault="001E0BDE" w:rsidP="008E11EF">
      <w:pPr>
        <w:pStyle w:val="Heading3"/>
        <w:numPr>
          <w:ilvl w:val="0"/>
          <w:numId w:val="43"/>
        </w:numPr>
        <w:rPr>
          <w:rFonts w:ascii="Arial" w:hAnsi="Arial" w:cs="Arial"/>
          <w:color w:val="auto"/>
          <w:sz w:val="22"/>
          <w:szCs w:val="22"/>
          <w:lang w:eastAsia="hr-HR"/>
        </w:rPr>
      </w:pPr>
      <w:r w:rsidRPr="00EA02D8">
        <w:rPr>
          <w:rFonts w:ascii="Arial" w:hAnsi="Arial" w:cs="Arial"/>
          <w:color w:val="auto"/>
          <w:sz w:val="22"/>
          <w:szCs w:val="22"/>
          <w:lang w:eastAsia="hr-HR"/>
        </w:rPr>
        <w:t>najnižu razinu likvidnosti investicijskog društva</w:t>
      </w:r>
    </w:p>
    <w:p w14:paraId="7EE2BFDF" w14:textId="1B4D56F7" w:rsidR="001E0BDE" w:rsidRPr="00EA02D8" w:rsidRDefault="001E0BDE" w:rsidP="008E11EF">
      <w:pPr>
        <w:pStyle w:val="Heading3"/>
        <w:numPr>
          <w:ilvl w:val="0"/>
          <w:numId w:val="43"/>
        </w:numPr>
        <w:rPr>
          <w:rFonts w:ascii="Arial" w:hAnsi="Arial" w:cs="Arial"/>
          <w:color w:val="auto"/>
          <w:sz w:val="22"/>
          <w:szCs w:val="22"/>
          <w:lang w:eastAsia="hr-HR"/>
        </w:rPr>
      </w:pPr>
      <w:r w:rsidRPr="00EA02D8">
        <w:rPr>
          <w:rFonts w:ascii="Arial" w:hAnsi="Arial" w:cs="Arial"/>
          <w:color w:val="auto"/>
          <w:sz w:val="22"/>
          <w:szCs w:val="22"/>
          <w:lang w:eastAsia="hr-HR"/>
        </w:rPr>
        <w:t>sadržaj, način i rok izvještavanja o nastupu nemogućnosti izvršavanja dospjele novčane obveze</w:t>
      </w:r>
    </w:p>
    <w:p w14:paraId="010E1475" w14:textId="091440FB" w:rsidR="001E0BDE" w:rsidRPr="00EA02D8" w:rsidRDefault="001E0BDE" w:rsidP="008E11EF">
      <w:pPr>
        <w:pStyle w:val="Heading3"/>
        <w:numPr>
          <w:ilvl w:val="0"/>
          <w:numId w:val="43"/>
        </w:numPr>
        <w:rPr>
          <w:rFonts w:ascii="Arial" w:hAnsi="Arial" w:cs="Arial"/>
          <w:color w:val="auto"/>
          <w:sz w:val="22"/>
          <w:szCs w:val="22"/>
          <w:lang w:eastAsia="hr-HR"/>
        </w:rPr>
      </w:pPr>
      <w:r w:rsidRPr="00EA02D8">
        <w:rPr>
          <w:rFonts w:ascii="Arial" w:hAnsi="Arial" w:cs="Arial"/>
          <w:color w:val="auto"/>
          <w:sz w:val="22"/>
          <w:szCs w:val="22"/>
          <w:lang w:eastAsia="hr-HR"/>
        </w:rPr>
        <w:t>sadržaj, način i r</w:t>
      </w:r>
      <w:r w:rsidR="007870D5" w:rsidRPr="00EA02D8">
        <w:rPr>
          <w:rFonts w:ascii="Arial" w:hAnsi="Arial" w:cs="Arial"/>
          <w:color w:val="auto"/>
          <w:sz w:val="22"/>
          <w:szCs w:val="22"/>
          <w:lang w:eastAsia="hr-HR"/>
        </w:rPr>
        <w:t>ok izvještavanja o likvidnosti,</w:t>
      </w:r>
    </w:p>
    <w:p w14:paraId="690D8D6F" w14:textId="6867DB08" w:rsidR="007870D5" w:rsidRPr="00EA02D8" w:rsidRDefault="007870D5" w:rsidP="00EA02D8">
      <w:pPr>
        <w:pStyle w:val="Heading3"/>
        <w:rPr>
          <w:rFonts w:ascii="Arial" w:hAnsi="Arial" w:cs="Arial"/>
          <w:color w:val="auto"/>
          <w:sz w:val="22"/>
          <w:szCs w:val="22"/>
          <w:lang w:eastAsia="hr-HR"/>
        </w:rPr>
      </w:pPr>
    </w:p>
    <w:p w14:paraId="734AAE79" w14:textId="6FD9732E" w:rsidR="007870D5" w:rsidRPr="00EA02D8" w:rsidRDefault="007870D5" w:rsidP="00EA02D8">
      <w:pPr>
        <w:pStyle w:val="Heading3"/>
        <w:rPr>
          <w:rFonts w:ascii="Arial" w:hAnsi="Arial" w:cs="Arial"/>
          <w:color w:val="auto"/>
          <w:sz w:val="22"/>
          <w:szCs w:val="22"/>
          <w:lang w:eastAsia="hr-HR"/>
        </w:rPr>
      </w:pPr>
      <w:r w:rsidRPr="00EA02D8">
        <w:rPr>
          <w:rFonts w:ascii="Arial" w:hAnsi="Arial" w:cs="Arial"/>
          <w:color w:val="auto"/>
          <w:sz w:val="22"/>
          <w:szCs w:val="22"/>
          <w:lang w:eastAsia="hr-HR"/>
        </w:rPr>
        <w:t xml:space="preserve">3. </w:t>
      </w:r>
      <w:r w:rsidR="00AB5E1D" w:rsidRPr="00EA02D8">
        <w:rPr>
          <w:rFonts w:ascii="Arial" w:hAnsi="Arial" w:cs="Arial"/>
          <w:color w:val="auto"/>
          <w:sz w:val="22"/>
          <w:szCs w:val="22"/>
          <w:lang w:eastAsia="hr-HR"/>
        </w:rPr>
        <w:t xml:space="preserve">zahtjevi vezani uz </w:t>
      </w:r>
      <w:r w:rsidR="009F7794" w:rsidRPr="00EA02D8">
        <w:rPr>
          <w:rFonts w:ascii="Arial" w:hAnsi="Arial" w:cs="Arial"/>
          <w:color w:val="auto"/>
          <w:sz w:val="22"/>
          <w:szCs w:val="22"/>
          <w:lang w:eastAsia="hr-HR"/>
        </w:rPr>
        <w:t xml:space="preserve">primjenu </w:t>
      </w:r>
      <w:r w:rsidR="00AB5E1D" w:rsidRPr="00EA02D8">
        <w:rPr>
          <w:rFonts w:ascii="Arial" w:hAnsi="Arial" w:cs="Arial"/>
          <w:color w:val="auto"/>
          <w:sz w:val="22"/>
          <w:szCs w:val="22"/>
          <w:lang w:eastAsia="hr-HR"/>
        </w:rPr>
        <w:t>Provedbene Uredbe Komisije (E</w:t>
      </w:r>
      <w:r w:rsidR="000363E2" w:rsidRPr="00EA02D8">
        <w:rPr>
          <w:rFonts w:ascii="Arial" w:hAnsi="Arial" w:cs="Arial"/>
          <w:color w:val="auto"/>
          <w:sz w:val="22"/>
          <w:szCs w:val="22"/>
          <w:lang w:eastAsia="hr-HR"/>
        </w:rPr>
        <w:t>U) br. 680/2014,</w:t>
      </w:r>
      <w:r w:rsidR="00AB5E1D" w:rsidRPr="00EA02D8">
        <w:rPr>
          <w:rFonts w:ascii="Arial" w:hAnsi="Arial" w:cs="Arial"/>
          <w:color w:val="auto"/>
          <w:sz w:val="22"/>
          <w:szCs w:val="22"/>
          <w:lang w:eastAsia="hr-HR"/>
        </w:rPr>
        <w:t xml:space="preserve"> s obzirom na:</w:t>
      </w:r>
    </w:p>
    <w:p w14:paraId="0CDF9F34" w14:textId="393F96B4" w:rsidR="00AB5E1D" w:rsidRPr="00EA02D8" w:rsidRDefault="00AB5E1D" w:rsidP="00EA02D8">
      <w:pPr>
        <w:pStyle w:val="Heading3"/>
        <w:rPr>
          <w:rFonts w:ascii="Arial" w:hAnsi="Arial" w:cs="Arial"/>
          <w:color w:val="auto"/>
          <w:sz w:val="22"/>
          <w:szCs w:val="22"/>
          <w:lang w:eastAsia="hr-HR"/>
        </w:rPr>
      </w:pPr>
    </w:p>
    <w:p w14:paraId="57854876" w14:textId="10C83BEA" w:rsidR="00AB5E1D" w:rsidRPr="00EA02D8" w:rsidRDefault="00AB5E1D" w:rsidP="008E11EF">
      <w:pPr>
        <w:pStyle w:val="Heading3"/>
        <w:numPr>
          <w:ilvl w:val="0"/>
          <w:numId w:val="44"/>
        </w:numPr>
        <w:rPr>
          <w:rFonts w:ascii="Arial" w:hAnsi="Arial" w:cs="Arial"/>
          <w:color w:val="auto"/>
          <w:sz w:val="22"/>
          <w:szCs w:val="22"/>
          <w:lang w:eastAsia="hr-HR"/>
        </w:rPr>
      </w:pPr>
      <w:r w:rsidRPr="00EA02D8">
        <w:rPr>
          <w:rFonts w:ascii="Arial" w:hAnsi="Arial" w:cs="Arial"/>
          <w:color w:val="auto"/>
          <w:sz w:val="22"/>
          <w:szCs w:val="22"/>
          <w:lang w:eastAsia="hr-HR"/>
        </w:rPr>
        <w:t>primjenu obrazaca o kapitalnim zahtjevima investicijskih društava u skladu s člankom 99. Uredbe (EU) br. 575/2013</w:t>
      </w:r>
    </w:p>
    <w:p w14:paraId="6CAF4145" w14:textId="09453D13" w:rsidR="00AB5E1D" w:rsidRPr="00EA02D8" w:rsidRDefault="00AB5E1D" w:rsidP="008E11EF">
      <w:pPr>
        <w:pStyle w:val="Heading3"/>
        <w:numPr>
          <w:ilvl w:val="0"/>
          <w:numId w:val="44"/>
        </w:numPr>
        <w:rPr>
          <w:rFonts w:ascii="Arial" w:hAnsi="Arial" w:cs="Arial"/>
          <w:color w:val="auto"/>
          <w:sz w:val="22"/>
          <w:szCs w:val="22"/>
          <w:lang w:eastAsia="hr-HR"/>
        </w:rPr>
      </w:pPr>
      <w:r w:rsidRPr="00EA02D8">
        <w:rPr>
          <w:rFonts w:ascii="Arial" w:hAnsi="Arial" w:cs="Arial"/>
          <w:color w:val="auto"/>
          <w:sz w:val="22"/>
          <w:szCs w:val="22"/>
          <w:lang w:eastAsia="hr-HR"/>
        </w:rPr>
        <w:t>primjenu obrazaca o opterećenosti imovine investicijskih društava u skladu s člankom 100. Uredbe (EU) br. 575/2013</w:t>
      </w:r>
    </w:p>
    <w:p w14:paraId="29F60B7D" w14:textId="4DD33D94" w:rsidR="00AB5E1D" w:rsidRPr="00EA02D8" w:rsidRDefault="00AB5E1D" w:rsidP="008E11EF">
      <w:pPr>
        <w:pStyle w:val="Heading3"/>
        <w:numPr>
          <w:ilvl w:val="0"/>
          <w:numId w:val="44"/>
        </w:numPr>
        <w:rPr>
          <w:rFonts w:ascii="Arial" w:hAnsi="Arial" w:cs="Arial"/>
          <w:color w:val="auto"/>
          <w:sz w:val="22"/>
          <w:szCs w:val="22"/>
          <w:lang w:eastAsia="hr-HR"/>
        </w:rPr>
      </w:pPr>
      <w:r w:rsidRPr="00EA02D8">
        <w:rPr>
          <w:rFonts w:ascii="Arial" w:hAnsi="Arial" w:cs="Arial"/>
          <w:color w:val="auto"/>
          <w:sz w:val="22"/>
          <w:szCs w:val="22"/>
          <w:lang w:eastAsia="hr-HR"/>
        </w:rPr>
        <w:t>primjenu obrazaca o velikim izloženostima investicijskih društava u skladu s člankom 394. stavkom 1. Uredbe (EU) br. 575/2013</w:t>
      </w:r>
    </w:p>
    <w:p w14:paraId="706735B2" w14:textId="254BA103" w:rsidR="00AB5E1D" w:rsidRPr="00EA02D8" w:rsidRDefault="00AB5E1D" w:rsidP="008E11EF">
      <w:pPr>
        <w:pStyle w:val="Heading3"/>
        <w:numPr>
          <w:ilvl w:val="0"/>
          <w:numId w:val="44"/>
        </w:numPr>
        <w:rPr>
          <w:rFonts w:ascii="Arial" w:hAnsi="Arial" w:cs="Arial"/>
          <w:color w:val="auto"/>
          <w:sz w:val="22"/>
          <w:szCs w:val="22"/>
          <w:lang w:eastAsia="hr-HR"/>
        </w:rPr>
      </w:pPr>
      <w:r w:rsidRPr="00EA02D8">
        <w:rPr>
          <w:rFonts w:ascii="Arial" w:hAnsi="Arial" w:cs="Arial"/>
          <w:color w:val="auto"/>
          <w:sz w:val="22"/>
          <w:szCs w:val="22"/>
          <w:lang w:eastAsia="hr-HR"/>
        </w:rPr>
        <w:t>primjenu obrazaca o omjeru financijske poluge investicijskih društava u skladu s člankom 430. Uredbe (EU) br. 575/2013</w:t>
      </w:r>
    </w:p>
    <w:p w14:paraId="616CB120" w14:textId="0E94C4C9" w:rsidR="00AB5E1D" w:rsidRPr="00EA02D8" w:rsidRDefault="00AB5E1D" w:rsidP="008E11EF">
      <w:pPr>
        <w:pStyle w:val="Heading3"/>
        <w:numPr>
          <w:ilvl w:val="0"/>
          <w:numId w:val="44"/>
        </w:numPr>
        <w:rPr>
          <w:rFonts w:ascii="Arial" w:hAnsi="Arial" w:cs="Arial"/>
          <w:color w:val="auto"/>
          <w:sz w:val="22"/>
          <w:szCs w:val="22"/>
          <w:lang w:eastAsia="hr-HR"/>
        </w:rPr>
      </w:pPr>
      <w:r w:rsidRPr="00EA02D8">
        <w:rPr>
          <w:rFonts w:ascii="Arial" w:hAnsi="Arial" w:cs="Arial"/>
          <w:color w:val="auto"/>
          <w:sz w:val="22"/>
          <w:szCs w:val="22"/>
          <w:lang w:eastAsia="hr-HR"/>
        </w:rPr>
        <w:lastRenderedPageBreak/>
        <w:t>izvještajna razdoblja, rokove i način dostave obrazaca iz točaka 1. do 3. ovoga članka koji zajedno čine Izvještaj o adekvatnosti kapitala.</w:t>
      </w:r>
    </w:p>
    <w:p w14:paraId="2F203E67" w14:textId="1FBFDD23" w:rsidR="00AB5E1D" w:rsidRPr="00EA02D8" w:rsidRDefault="00AB5E1D" w:rsidP="00EA02D8">
      <w:pPr>
        <w:pStyle w:val="Heading3"/>
        <w:rPr>
          <w:rFonts w:ascii="Arial" w:hAnsi="Arial" w:cs="Arial"/>
          <w:color w:val="auto"/>
          <w:sz w:val="22"/>
          <w:szCs w:val="22"/>
          <w:lang w:eastAsia="hr-HR"/>
        </w:rPr>
      </w:pPr>
    </w:p>
    <w:p w14:paraId="1E93483B" w14:textId="67667F18" w:rsidR="00516629" w:rsidRPr="00EA02D8" w:rsidRDefault="00516629" w:rsidP="00EA02D8">
      <w:pPr>
        <w:pStyle w:val="Heading3"/>
        <w:rPr>
          <w:rFonts w:ascii="Arial" w:hAnsi="Arial" w:cs="Arial"/>
          <w:color w:val="auto"/>
          <w:sz w:val="22"/>
          <w:szCs w:val="22"/>
          <w:lang w:eastAsia="hr-HR"/>
        </w:rPr>
      </w:pPr>
      <w:r w:rsidRPr="00EA02D8">
        <w:rPr>
          <w:rFonts w:ascii="Arial" w:hAnsi="Arial" w:cs="Arial"/>
          <w:color w:val="auto"/>
          <w:sz w:val="22"/>
          <w:szCs w:val="22"/>
          <w:lang w:eastAsia="hr-HR"/>
        </w:rPr>
        <w:t>4. zahtjevi vezani uz način i rokove izvještavanja o rezultatima izračuna internih pristupa za izloženosti ili pozicije koje su uključene u referentne portfelje,</w:t>
      </w:r>
    </w:p>
    <w:p w14:paraId="62269EC6" w14:textId="4D4974BA" w:rsidR="00516629" w:rsidRPr="00EA02D8" w:rsidRDefault="00516629" w:rsidP="00EA02D8">
      <w:pPr>
        <w:pStyle w:val="Heading3"/>
        <w:rPr>
          <w:rFonts w:ascii="Arial" w:hAnsi="Arial" w:cs="Arial"/>
          <w:color w:val="auto"/>
          <w:sz w:val="22"/>
          <w:szCs w:val="22"/>
          <w:lang w:eastAsia="hr-HR"/>
        </w:rPr>
      </w:pPr>
    </w:p>
    <w:p w14:paraId="160FF0D2" w14:textId="4A85F301" w:rsidR="00B44445" w:rsidRPr="00EA02D8" w:rsidRDefault="00B44445" w:rsidP="00EA02D8">
      <w:pPr>
        <w:pStyle w:val="Heading3"/>
        <w:rPr>
          <w:rFonts w:ascii="Arial" w:hAnsi="Arial" w:cs="Arial"/>
          <w:color w:val="auto"/>
          <w:sz w:val="22"/>
          <w:szCs w:val="22"/>
          <w:lang w:eastAsia="hr-HR"/>
        </w:rPr>
      </w:pPr>
      <w:r w:rsidRPr="00EA02D8">
        <w:rPr>
          <w:rFonts w:ascii="Arial" w:hAnsi="Arial" w:cs="Arial"/>
          <w:color w:val="auto"/>
          <w:sz w:val="22"/>
          <w:szCs w:val="22"/>
          <w:lang w:eastAsia="hr-HR"/>
        </w:rPr>
        <w:t xml:space="preserve">5. zahtjevi vezani uz učestalost i rokove javnog objavljivanja podataka o sustavu upravljanja investicijskog društva. </w:t>
      </w:r>
    </w:p>
    <w:p w14:paraId="4B42838B" w14:textId="77777777" w:rsidR="00516629" w:rsidRDefault="00516629" w:rsidP="00AB5E1D">
      <w:pPr>
        <w:pStyle w:val="NoSpacing"/>
        <w:jc w:val="both"/>
        <w:rPr>
          <w:rFonts w:ascii="Arial" w:hAnsi="Arial" w:cs="Arial"/>
          <w:lang w:eastAsia="hr-HR"/>
        </w:rPr>
      </w:pPr>
    </w:p>
    <w:p w14:paraId="48769E2A" w14:textId="77777777" w:rsidR="00516629" w:rsidRDefault="00516629" w:rsidP="00AB5E1D">
      <w:pPr>
        <w:pStyle w:val="NoSpacing"/>
        <w:jc w:val="both"/>
        <w:rPr>
          <w:rFonts w:ascii="Arial" w:hAnsi="Arial" w:cs="Arial"/>
          <w:lang w:eastAsia="hr-HR"/>
        </w:rPr>
      </w:pPr>
    </w:p>
    <w:p w14:paraId="1D94765B" w14:textId="7BF0794A" w:rsidR="00AB5E1D" w:rsidRPr="007015BE" w:rsidRDefault="00AB5E1D" w:rsidP="007015BE">
      <w:pPr>
        <w:pStyle w:val="Heading1"/>
        <w:jc w:val="center"/>
        <w:rPr>
          <w:rFonts w:ascii="Arial" w:hAnsi="Arial" w:cs="Arial"/>
          <w:b w:val="0"/>
          <w:sz w:val="24"/>
          <w:szCs w:val="24"/>
        </w:rPr>
      </w:pPr>
      <w:r w:rsidRPr="007015BE">
        <w:rPr>
          <w:rFonts w:ascii="Arial" w:hAnsi="Arial" w:cs="Arial"/>
          <w:b w:val="0"/>
          <w:sz w:val="24"/>
          <w:szCs w:val="24"/>
        </w:rPr>
        <w:t>Definicije</w:t>
      </w:r>
    </w:p>
    <w:p w14:paraId="54368067" w14:textId="207EAA61" w:rsidR="00AB5E1D" w:rsidRPr="00000924" w:rsidRDefault="00AB5E1D" w:rsidP="00000924">
      <w:pPr>
        <w:pStyle w:val="Heading2"/>
        <w:jc w:val="center"/>
        <w:rPr>
          <w:rFonts w:ascii="Arial" w:hAnsi="Arial" w:cs="Arial"/>
          <w:color w:val="auto"/>
          <w:sz w:val="22"/>
          <w:szCs w:val="22"/>
        </w:rPr>
      </w:pPr>
      <w:r w:rsidRPr="00000924">
        <w:rPr>
          <w:rFonts w:ascii="Arial" w:hAnsi="Arial" w:cs="Arial"/>
          <w:color w:val="auto"/>
          <w:sz w:val="22"/>
          <w:szCs w:val="22"/>
        </w:rPr>
        <w:lastRenderedPageBreak/>
        <w:t>Članak 2.</w:t>
      </w:r>
    </w:p>
    <w:p w14:paraId="365B0C34" w14:textId="01CA03ED" w:rsidR="00AB5E1D" w:rsidRPr="00EA55D9" w:rsidRDefault="00AB5E1D" w:rsidP="00EA55D9">
      <w:pPr>
        <w:pStyle w:val="Heading2"/>
        <w:jc w:val="both"/>
        <w:rPr>
          <w:rFonts w:ascii="Arial" w:hAnsi="Arial" w:cs="Arial"/>
          <w:color w:val="auto"/>
          <w:sz w:val="22"/>
          <w:szCs w:val="22"/>
          <w:lang w:eastAsia="hr-HR"/>
        </w:rPr>
      </w:pPr>
    </w:p>
    <w:p w14:paraId="3E054F9F" w14:textId="5143779C" w:rsidR="00AB5E1D" w:rsidRPr="00EA55D9" w:rsidRDefault="00A11152"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 xml:space="preserve">(1) </w:t>
      </w:r>
      <w:r w:rsidR="00AB5E1D" w:rsidRPr="00EA55D9">
        <w:rPr>
          <w:rFonts w:ascii="Arial" w:hAnsi="Arial" w:cs="Arial"/>
          <w:color w:val="auto"/>
          <w:sz w:val="22"/>
          <w:szCs w:val="22"/>
          <w:lang w:eastAsia="hr-HR"/>
        </w:rPr>
        <w:t>Pojedini izrazi upotrijebljeni u ovom Pravilniku imaju sljedeće značenje:</w:t>
      </w:r>
    </w:p>
    <w:p w14:paraId="7417DA66" w14:textId="77777777" w:rsidR="00AB5E1D" w:rsidRPr="00EA55D9" w:rsidRDefault="00AB5E1D" w:rsidP="00EA55D9">
      <w:pPr>
        <w:pStyle w:val="Heading2"/>
        <w:jc w:val="both"/>
        <w:rPr>
          <w:rFonts w:ascii="Arial" w:hAnsi="Arial" w:cs="Arial"/>
          <w:color w:val="auto"/>
          <w:sz w:val="22"/>
          <w:szCs w:val="22"/>
          <w:lang w:eastAsia="hr-HR"/>
        </w:rPr>
      </w:pPr>
    </w:p>
    <w:p w14:paraId="36A5C92D" w14:textId="333E1BEE" w:rsidR="00AB5E1D" w:rsidRPr="00EA55D9" w:rsidRDefault="00AB5E1D"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1. Zakon je Zakon o tržištu kapitala (»Narodne novine« br. 65/18).</w:t>
      </w:r>
    </w:p>
    <w:p w14:paraId="70C243F0" w14:textId="33F69DBF" w:rsidR="00AB5E1D" w:rsidRPr="00EA55D9" w:rsidRDefault="00AB5E1D" w:rsidP="00EA55D9">
      <w:pPr>
        <w:pStyle w:val="Heading2"/>
        <w:jc w:val="both"/>
        <w:rPr>
          <w:rFonts w:ascii="Arial" w:hAnsi="Arial" w:cs="Arial"/>
          <w:color w:val="auto"/>
          <w:sz w:val="22"/>
          <w:szCs w:val="22"/>
          <w:lang w:eastAsia="hr-HR"/>
        </w:rPr>
      </w:pPr>
    </w:p>
    <w:p w14:paraId="170E7351" w14:textId="0EC7D744" w:rsidR="00AB5E1D" w:rsidRPr="00EA55D9" w:rsidRDefault="00AB5E1D"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 xml:space="preserve">2. </w:t>
      </w:r>
      <w:r w:rsidR="00A11152" w:rsidRPr="00EA55D9">
        <w:rPr>
          <w:rFonts w:ascii="Arial" w:hAnsi="Arial" w:cs="Arial"/>
          <w:color w:val="auto"/>
          <w:sz w:val="22"/>
          <w:szCs w:val="22"/>
          <w:lang w:eastAsia="hr-HR"/>
        </w:rPr>
        <w:t>Hanfa je Hrvatska agencija za nadzor financijskih usluga.</w:t>
      </w:r>
    </w:p>
    <w:p w14:paraId="239A0EFE" w14:textId="6C9EBB0C" w:rsidR="00A11152" w:rsidRPr="00EA55D9" w:rsidRDefault="00A11152" w:rsidP="00EA55D9">
      <w:pPr>
        <w:pStyle w:val="Heading2"/>
        <w:jc w:val="both"/>
        <w:rPr>
          <w:rFonts w:ascii="Arial" w:hAnsi="Arial" w:cs="Arial"/>
          <w:color w:val="auto"/>
          <w:sz w:val="22"/>
          <w:szCs w:val="22"/>
          <w:lang w:eastAsia="hr-HR"/>
        </w:rPr>
      </w:pPr>
    </w:p>
    <w:p w14:paraId="207AA6CF" w14:textId="02FA6CF0" w:rsidR="00A11152" w:rsidRPr="00EA55D9" w:rsidRDefault="00A11152"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3. Profil rizičnosti je mjera odnosno procjena svih rizika kojima je ili kojima bi moglo biti izloženo investicijsko društvo u svom poslovanju.</w:t>
      </w:r>
    </w:p>
    <w:p w14:paraId="5C31F1D3" w14:textId="025CDDFC" w:rsidR="00A11152" w:rsidRPr="00EA55D9" w:rsidRDefault="00A11152" w:rsidP="00EA55D9">
      <w:pPr>
        <w:pStyle w:val="Heading2"/>
        <w:jc w:val="both"/>
        <w:rPr>
          <w:rFonts w:ascii="Arial" w:hAnsi="Arial" w:cs="Arial"/>
          <w:color w:val="auto"/>
          <w:sz w:val="22"/>
          <w:szCs w:val="22"/>
          <w:lang w:eastAsia="hr-HR"/>
        </w:rPr>
      </w:pPr>
    </w:p>
    <w:p w14:paraId="3FBCBF20" w14:textId="61C70BD5" w:rsidR="00A11152" w:rsidRPr="00EA55D9" w:rsidRDefault="00A11152"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4. Migracijski rizik je rizik gubitka zbog promjene fer vrijednosti kreditne izloženosti, a kao posljedica promjene rejtinga klijenta.</w:t>
      </w:r>
    </w:p>
    <w:p w14:paraId="2C1DCE56" w14:textId="77E280D4" w:rsidR="00823C4E" w:rsidRPr="00EA55D9" w:rsidRDefault="00823C4E" w:rsidP="00EA55D9">
      <w:pPr>
        <w:pStyle w:val="Heading2"/>
        <w:jc w:val="both"/>
        <w:rPr>
          <w:rFonts w:ascii="Arial" w:hAnsi="Arial" w:cs="Arial"/>
          <w:color w:val="auto"/>
          <w:sz w:val="22"/>
          <w:szCs w:val="22"/>
          <w:lang w:eastAsia="hr-HR"/>
        </w:rPr>
      </w:pPr>
    </w:p>
    <w:p w14:paraId="67DAEC53" w14:textId="77777777" w:rsidR="00823C4E"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5. Tržišni rizici jesu pozicijski, valutni i robni rizik.</w:t>
      </w:r>
    </w:p>
    <w:p w14:paraId="54A91E6B" w14:textId="77777777" w:rsidR="00823C4E" w:rsidRPr="00EA55D9" w:rsidRDefault="00823C4E" w:rsidP="00EA55D9">
      <w:pPr>
        <w:pStyle w:val="Heading2"/>
        <w:jc w:val="both"/>
        <w:rPr>
          <w:rFonts w:ascii="Arial" w:hAnsi="Arial" w:cs="Arial"/>
          <w:color w:val="auto"/>
          <w:sz w:val="22"/>
          <w:szCs w:val="22"/>
          <w:lang w:eastAsia="hr-HR"/>
        </w:rPr>
      </w:pPr>
    </w:p>
    <w:p w14:paraId="7700C8C8" w14:textId="77777777" w:rsidR="00823C4E"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6. Koncentracijski rizik jest rizik koji proizlazi iz svake pojedinačne, izravne ili neizravne, izloženosti prema jednoj osobi, grupi povezanih osoba odnosno središnjoj drugoj ugovornoj strani ili skupa izloženosti koje povezuju zajednički činitelji rizika kao što su isti gospodarski sektor, odnosno geografsko područje, istovrsni poslovi ili roba, odnosno primjena tehnika smanjenja kreditnog rizika, uključujući posebno rizike povezane s velikim neizravnim kreditnim</w:t>
      </w:r>
    </w:p>
    <w:p w14:paraId="74239FA8" w14:textId="77777777" w:rsidR="00823C4E"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izloženostima prema pojedinom davatelju kolaterala koji može dovesti do takvih gubitaka koji bi mogli ugroziti nastavak poslovanja investicijskog društva ili materijalno značajnu promjenu njegova profila rizičnosti.</w:t>
      </w:r>
    </w:p>
    <w:p w14:paraId="15B0EBBE" w14:textId="77777777" w:rsidR="00823C4E" w:rsidRPr="00EA55D9" w:rsidRDefault="00823C4E" w:rsidP="00EA55D9">
      <w:pPr>
        <w:pStyle w:val="Heading2"/>
        <w:jc w:val="both"/>
        <w:rPr>
          <w:rFonts w:ascii="Arial" w:hAnsi="Arial" w:cs="Arial"/>
          <w:color w:val="auto"/>
          <w:sz w:val="22"/>
          <w:szCs w:val="22"/>
          <w:lang w:eastAsia="hr-HR"/>
        </w:rPr>
      </w:pPr>
    </w:p>
    <w:p w14:paraId="3F50874E" w14:textId="77777777" w:rsidR="00823C4E"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Koncentracija unutar rizika odnosi se na koncentracije rizika koje se mogu javiti zbog međudjelovanja različitih izloženosti rizicima unutar jedne kategorije rizika. Koncentracija između rizika odnosi se na koncentracije rizika koje se mogu javiti zbog međudjelovanja različitih izloženosti rizicima na razini različitih kategorija rizika. Međudjelovanja među različitim izloženostima rizicima mogu proizlaziti iz zajedničkoga odnosnog pokretača rizika ili iz međudjelovanja pokretača rizika.</w:t>
      </w:r>
    </w:p>
    <w:p w14:paraId="0F63866B" w14:textId="77777777" w:rsidR="00823C4E" w:rsidRPr="00EA55D9" w:rsidRDefault="00823C4E" w:rsidP="00EA55D9">
      <w:pPr>
        <w:pStyle w:val="Heading2"/>
        <w:jc w:val="both"/>
        <w:rPr>
          <w:rFonts w:ascii="Arial" w:hAnsi="Arial" w:cs="Arial"/>
          <w:color w:val="auto"/>
          <w:sz w:val="22"/>
          <w:szCs w:val="22"/>
          <w:lang w:eastAsia="hr-HR"/>
        </w:rPr>
      </w:pPr>
    </w:p>
    <w:p w14:paraId="78286A7E" w14:textId="77777777" w:rsidR="00823C4E"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7. Sekuritizacijski rizik je rizik koji proizlazi iz ekonomskog prijenosa jedne izloženosti ili skupa izloženosti, odnosno prijenosa kreditnog rizika tih izloženosti.</w:t>
      </w:r>
    </w:p>
    <w:p w14:paraId="418A69BF" w14:textId="77777777" w:rsidR="00823C4E" w:rsidRPr="00EA55D9" w:rsidRDefault="00823C4E" w:rsidP="00EA55D9">
      <w:pPr>
        <w:pStyle w:val="Heading2"/>
        <w:jc w:val="both"/>
        <w:rPr>
          <w:rFonts w:ascii="Arial" w:hAnsi="Arial" w:cs="Arial"/>
          <w:color w:val="auto"/>
          <w:sz w:val="22"/>
          <w:szCs w:val="22"/>
          <w:lang w:eastAsia="hr-HR"/>
        </w:rPr>
      </w:pPr>
    </w:p>
    <w:p w14:paraId="76079588" w14:textId="77777777" w:rsidR="00823C4E"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8. Rezidualni rizik je rizik gubitka koji nastaje ako su priznate tehnike smanjenja kreditnog rizika kojima se koristi investicijsko društvo manje djelotvorne nego što se očekivalo.</w:t>
      </w:r>
    </w:p>
    <w:p w14:paraId="1C0077BF" w14:textId="77777777" w:rsidR="00823C4E" w:rsidRPr="00EA55D9" w:rsidRDefault="00823C4E" w:rsidP="00EA55D9">
      <w:pPr>
        <w:pStyle w:val="Heading2"/>
        <w:jc w:val="both"/>
        <w:rPr>
          <w:rFonts w:ascii="Arial" w:hAnsi="Arial" w:cs="Arial"/>
          <w:color w:val="auto"/>
          <w:sz w:val="22"/>
          <w:szCs w:val="22"/>
          <w:lang w:eastAsia="hr-HR"/>
        </w:rPr>
      </w:pPr>
    </w:p>
    <w:p w14:paraId="58FE9F3F" w14:textId="77777777" w:rsidR="00823C4E"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9. Sekuritizacija i pojmovi povezani sa sekuritizacijom definirani su na način kako je to uređeno člankom 4. stavkom 1. točkama 13. i 14. te točkama od 61. do 67. Uredbe (EU) br. 575/2013.</w:t>
      </w:r>
    </w:p>
    <w:p w14:paraId="47754E95" w14:textId="77777777" w:rsidR="00823C4E" w:rsidRPr="00EA55D9" w:rsidRDefault="00823C4E" w:rsidP="00EA55D9">
      <w:pPr>
        <w:pStyle w:val="Heading2"/>
        <w:jc w:val="both"/>
        <w:rPr>
          <w:rFonts w:ascii="Arial" w:hAnsi="Arial" w:cs="Arial"/>
          <w:color w:val="auto"/>
          <w:sz w:val="22"/>
          <w:szCs w:val="22"/>
          <w:lang w:eastAsia="hr-HR"/>
        </w:rPr>
      </w:pPr>
    </w:p>
    <w:p w14:paraId="7C7E02EA" w14:textId="03A8D2CB" w:rsidR="00B44275" w:rsidRPr="00EA55D9" w:rsidRDefault="00B44275" w:rsidP="00EA55D9">
      <w:pPr>
        <w:pStyle w:val="Heading2"/>
        <w:jc w:val="both"/>
        <w:rPr>
          <w:rFonts w:ascii="Arial" w:hAnsi="Arial" w:cs="Arial"/>
          <w:color w:val="auto"/>
          <w:sz w:val="22"/>
          <w:szCs w:val="22"/>
          <w:lang w:eastAsia="hr-HR"/>
        </w:rPr>
      </w:pPr>
    </w:p>
    <w:p w14:paraId="7EAB6865" w14:textId="41589FFC" w:rsidR="00B44275"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lastRenderedPageBreak/>
        <w:t>10</w:t>
      </w:r>
      <w:r w:rsidR="00B44275" w:rsidRPr="00EA55D9">
        <w:rPr>
          <w:rFonts w:ascii="Arial" w:hAnsi="Arial" w:cs="Arial"/>
          <w:color w:val="auto"/>
          <w:sz w:val="22"/>
          <w:szCs w:val="22"/>
          <w:lang w:eastAsia="hr-HR"/>
        </w:rPr>
        <w:t>. Uredba (EU) br. 575/2013 je Uredba (EU) br. 575/2013 Europskog parlamenta i Vijeća od 26. lipnja 2013. o bonitetnim zahtjevima za kreditne institucije i investicijska društva i o izmjeni Uredbe (EU) br. 648/2012.</w:t>
      </w:r>
    </w:p>
    <w:p w14:paraId="3FFEC022" w14:textId="22AE155A" w:rsidR="00B44275" w:rsidRPr="00EA55D9" w:rsidRDefault="00B44275" w:rsidP="00EA55D9">
      <w:pPr>
        <w:pStyle w:val="Heading2"/>
        <w:jc w:val="both"/>
        <w:rPr>
          <w:rFonts w:ascii="Arial" w:hAnsi="Arial" w:cs="Arial"/>
          <w:color w:val="auto"/>
          <w:sz w:val="22"/>
          <w:szCs w:val="22"/>
          <w:lang w:eastAsia="hr-HR"/>
        </w:rPr>
      </w:pPr>
    </w:p>
    <w:p w14:paraId="0719F907" w14:textId="7FFE66AD" w:rsidR="004B3102"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11</w:t>
      </w:r>
      <w:r w:rsidR="00B44275" w:rsidRPr="00EA55D9">
        <w:rPr>
          <w:rFonts w:ascii="Arial" w:hAnsi="Arial" w:cs="Arial"/>
          <w:color w:val="auto"/>
          <w:sz w:val="22"/>
          <w:szCs w:val="22"/>
          <w:lang w:eastAsia="hr-HR"/>
        </w:rPr>
        <w:t>. Provedbena Uredba Komisije (EU) br. 680/2014 je Provedbena Uredba Komisije (EU) br. 680/2014 od 16. travnja 2014. o utvrđivanju provedbenih tehničkih standarda o nadzornom izvješćivanju institucija u skladu s Uredbom (EU) br. 575/2013 Europskog parlamenta i Vijeća.</w:t>
      </w:r>
    </w:p>
    <w:p w14:paraId="58FF84BB" w14:textId="6F983577" w:rsidR="00B44275" w:rsidRPr="00EA55D9" w:rsidRDefault="00B44275" w:rsidP="00EA55D9">
      <w:pPr>
        <w:pStyle w:val="Heading2"/>
        <w:jc w:val="both"/>
        <w:rPr>
          <w:rFonts w:ascii="Arial" w:hAnsi="Arial" w:cs="Arial"/>
          <w:color w:val="auto"/>
          <w:sz w:val="22"/>
          <w:szCs w:val="22"/>
          <w:lang w:eastAsia="hr-HR"/>
        </w:rPr>
      </w:pPr>
    </w:p>
    <w:p w14:paraId="3D47F95C" w14:textId="5DB5FCC6" w:rsidR="00B44275"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12</w:t>
      </w:r>
      <w:r w:rsidR="00B44275" w:rsidRPr="00EA55D9">
        <w:rPr>
          <w:rFonts w:ascii="Arial" w:hAnsi="Arial" w:cs="Arial"/>
          <w:color w:val="auto"/>
          <w:sz w:val="22"/>
          <w:szCs w:val="22"/>
          <w:lang w:eastAsia="hr-HR"/>
        </w:rPr>
        <w:t xml:space="preserve">. </w:t>
      </w:r>
      <w:r w:rsidR="002A4799" w:rsidRPr="00EA55D9">
        <w:rPr>
          <w:rFonts w:ascii="Arial" w:hAnsi="Arial" w:cs="Arial"/>
          <w:color w:val="auto"/>
          <w:sz w:val="22"/>
          <w:szCs w:val="22"/>
          <w:lang w:eastAsia="hr-HR"/>
        </w:rPr>
        <w:t>Provedbena Uredba</w:t>
      </w:r>
      <w:r w:rsidR="00B44275" w:rsidRPr="00EA55D9">
        <w:rPr>
          <w:rFonts w:ascii="Arial" w:hAnsi="Arial" w:cs="Arial"/>
          <w:color w:val="auto"/>
          <w:sz w:val="22"/>
          <w:szCs w:val="22"/>
          <w:lang w:eastAsia="hr-HR"/>
        </w:rPr>
        <w:t xml:space="preserve"> Komisije (EU) br. 79/2015 je </w:t>
      </w:r>
      <w:r w:rsidR="002A4799" w:rsidRPr="00EA55D9">
        <w:rPr>
          <w:rFonts w:ascii="Arial" w:hAnsi="Arial" w:cs="Arial"/>
          <w:color w:val="auto"/>
          <w:sz w:val="22"/>
          <w:szCs w:val="22"/>
          <w:lang w:eastAsia="hr-HR"/>
        </w:rPr>
        <w:t xml:space="preserve">Provedbena Uredba Komisije (EU) br. 79/2015 od 18. prosinca 2014. o izmjeni Provedbene uredbe Komisije (EU) br. 680/2014 o utvrđivanju provedbenih tehničkih standarda o nadzornom izvješćivanju institucija u skladu s Uredbom (EU) br. 575/2013 Europskog parlamenta i Vijeća u vezi s opterećenosti imovine, jedinstvenim obrascem s točkama podataka i pravilima validacije. </w:t>
      </w:r>
    </w:p>
    <w:p w14:paraId="445F8879" w14:textId="28F69E77" w:rsidR="00B82553" w:rsidRPr="00EA55D9" w:rsidRDefault="00B82553" w:rsidP="00EA55D9">
      <w:pPr>
        <w:pStyle w:val="Heading2"/>
        <w:jc w:val="both"/>
        <w:rPr>
          <w:rFonts w:ascii="Arial" w:hAnsi="Arial" w:cs="Arial"/>
          <w:color w:val="auto"/>
          <w:sz w:val="22"/>
          <w:szCs w:val="22"/>
          <w:lang w:eastAsia="hr-HR"/>
        </w:rPr>
      </w:pPr>
    </w:p>
    <w:p w14:paraId="182A05F0" w14:textId="29AF1092" w:rsidR="00B82553"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13</w:t>
      </w:r>
      <w:r w:rsidR="00B82553" w:rsidRPr="00EA55D9">
        <w:rPr>
          <w:rFonts w:ascii="Arial" w:hAnsi="Arial" w:cs="Arial"/>
          <w:color w:val="auto"/>
          <w:sz w:val="22"/>
          <w:szCs w:val="22"/>
          <w:lang w:eastAsia="hr-HR"/>
        </w:rPr>
        <w:t xml:space="preserve">. Direktiva 2013/36/EU </w:t>
      </w:r>
      <w:r w:rsidR="002B0912" w:rsidRPr="00EA55D9">
        <w:rPr>
          <w:rFonts w:ascii="Arial" w:hAnsi="Arial" w:cs="Arial"/>
          <w:color w:val="auto"/>
          <w:sz w:val="22"/>
          <w:szCs w:val="22"/>
          <w:lang w:eastAsia="hr-HR"/>
        </w:rPr>
        <w:t xml:space="preserve">je </w:t>
      </w:r>
      <w:r w:rsidR="00B82553" w:rsidRPr="00EA55D9">
        <w:rPr>
          <w:rFonts w:ascii="Arial" w:hAnsi="Arial" w:cs="Arial"/>
          <w:color w:val="auto"/>
          <w:sz w:val="22"/>
          <w:szCs w:val="22"/>
          <w:lang w:eastAsia="hr-HR"/>
        </w:rPr>
        <w:t>Europskog parlamenta i Vijeća od 26. lipnja 2013. o pristupanju djelatnosti kreditnih institucija i bonitetnom nadzoru nad kreditnim institucijama i investicijskim društvima, izmjeni Direktive 2002/87/EZ te stavljanju izvan snage direktiva 2006/48/EZ i 2006/49/EZ</w:t>
      </w:r>
    </w:p>
    <w:p w14:paraId="39B6B9C6" w14:textId="4870BAD0" w:rsidR="0000707D" w:rsidRPr="00EA55D9" w:rsidRDefault="0000707D" w:rsidP="00EA55D9">
      <w:pPr>
        <w:pStyle w:val="Heading2"/>
        <w:jc w:val="both"/>
        <w:rPr>
          <w:rFonts w:ascii="Arial" w:hAnsi="Arial" w:cs="Arial"/>
          <w:color w:val="auto"/>
          <w:sz w:val="22"/>
          <w:szCs w:val="22"/>
          <w:lang w:eastAsia="hr-HR"/>
        </w:rPr>
      </w:pPr>
    </w:p>
    <w:p w14:paraId="27BBAA36" w14:textId="3C1B864F" w:rsidR="0000707D"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14</w:t>
      </w:r>
      <w:r w:rsidR="0000707D" w:rsidRPr="00EA55D9">
        <w:rPr>
          <w:rFonts w:ascii="Arial" w:hAnsi="Arial" w:cs="Arial"/>
          <w:color w:val="auto"/>
          <w:sz w:val="22"/>
          <w:szCs w:val="22"/>
          <w:lang w:eastAsia="hr-HR"/>
        </w:rPr>
        <w:t>. Zakon o kreditnim institucijama je Zakon o kreditnim insti</w:t>
      </w:r>
      <w:r w:rsidR="00CF1D48" w:rsidRPr="00EA55D9">
        <w:rPr>
          <w:rFonts w:ascii="Arial" w:hAnsi="Arial" w:cs="Arial"/>
          <w:color w:val="auto"/>
          <w:sz w:val="22"/>
          <w:szCs w:val="22"/>
          <w:lang w:eastAsia="hr-HR"/>
        </w:rPr>
        <w:t>tucijama (»Narodne novine« br. 159/13, 19/15, 102/15 i 15/18</w:t>
      </w:r>
      <w:r w:rsidR="0000707D" w:rsidRPr="00EA55D9">
        <w:rPr>
          <w:rFonts w:ascii="Arial" w:hAnsi="Arial" w:cs="Arial"/>
          <w:color w:val="auto"/>
          <w:sz w:val="22"/>
          <w:szCs w:val="22"/>
          <w:lang w:eastAsia="hr-HR"/>
        </w:rPr>
        <w:t>).</w:t>
      </w:r>
    </w:p>
    <w:p w14:paraId="14734F9A" w14:textId="66C1B7A6" w:rsidR="00B25B16" w:rsidRPr="00EA55D9" w:rsidRDefault="00B25B16" w:rsidP="00EA55D9">
      <w:pPr>
        <w:pStyle w:val="Heading2"/>
        <w:jc w:val="both"/>
        <w:rPr>
          <w:rFonts w:ascii="Arial" w:hAnsi="Arial" w:cs="Arial"/>
          <w:color w:val="auto"/>
          <w:sz w:val="22"/>
          <w:szCs w:val="22"/>
          <w:lang w:eastAsia="hr-HR"/>
        </w:rPr>
      </w:pPr>
    </w:p>
    <w:p w14:paraId="0C47EEEF" w14:textId="06FC534E" w:rsidR="00B25B16" w:rsidRPr="00EA55D9" w:rsidRDefault="00E4081F"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1</w:t>
      </w:r>
      <w:r w:rsidR="00823C4E" w:rsidRPr="00EA55D9">
        <w:rPr>
          <w:rFonts w:ascii="Arial" w:hAnsi="Arial" w:cs="Arial"/>
          <w:color w:val="auto"/>
          <w:sz w:val="22"/>
          <w:szCs w:val="22"/>
          <w:lang w:eastAsia="hr-HR"/>
        </w:rPr>
        <w:t>5</w:t>
      </w:r>
      <w:r w:rsidR="00B25B16" w:rsidRPr="00EA55D9">
        <w:rPr>
          <w:rFonts w:ascii="Arial" w:hAnsi="Arial" w:cs="Arial"/>
          <w:color w:val="auto"/>
          <w:sz w:val="22"/>
          <w:szCs w:val="22"/>
          <w:lang w:eastAsia="hr-HR"/>
        </w:rPr>
        <w:t>. Priznata investicijska društva iz treće države su društva koja ispunjavaju sljedeće uvjete:</w:t>
      </w:r>
    </w:p>
    <w:p w14:paraId="3EA5F967" w14:textId="77777777" w:rsidR="00B25B16" w:rsidRPr="00EA55D9" w:rsidRDefault="00B25B16"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društva koja bi, kada bi bila utemeljena unutar Europske unije, spadala u okvir definicije investicijskih društava,</w:t>
      </w:r>
    </w:p>
    <w:p w14:paraId="005DAF33" w14:textId="77777777" w:rsidR="00B25B16" w:rsidRPr="00EA55D9" w:rsidRDefault="00B25B16"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društva koja su ovlaštena za poslovanje u nekoj trećoj državi i</w:t>
      </w:r>
    </w:p>
    <w:p w14:paraId="2516F5A5" w14:textId="40FDC7A4" w:rsidR="00B25B16" w:rsidRPr="00EA55D9" w:rsidRDefault="00B25B16"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društva koja podliježu i ispunjavaju pravila nadzora koja su prema mišljenju Hanfe barem jednako stroga kao ona propisana Zakonom.</w:t>
      </w:r>
    </w:p>
    <w:p w14:paraId="62E0A47C" w14:textId="6E2025B1" w:rsidR="00B25B16" w:rsidRPr="00EA55D9" w:rsidRDefault="00B25B16" w:rsidP="00EA55D9">
      <w:pPr>
        <w:pStyle w:val="Heading2"/>
        <w:jc w:val="both"/>
        <w:rPr>
          <w:rFonts w:ascii="Arial" w:hAnsi="Arial" w:cs="Arial"/>
          <w:color w:val="auto"/>
          <w:sz w:val="22"/>
          <w:szCs w:val="22"/>
          <w:lang w:eastAsia="hr-HR"/>
        </w:rPr>
      </w:pPr>
    </w:p>
    <w:p w14:paraId="6252D6FC" w14:textId="35296262" w:rsidR="00B25B16" w:rsidRPr="00EA55D9" w:rsidRDefault="00E4081F"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1</w:t>
      </w:r>
      <w:r w:rsidR="00823C4E" w:rsidRPr="00EA55D9">
        <w:rPr>
          <w:rFonts w:ascii="Arial" w:hAnsi="Arial" w:cs="Arial"/>
          <w:color w:val="auto"/>
          <w:sz w:val="22"/>
          <w:szCs w:val="22"/>
          <w:lang w:eastAsia="hr-HR"/>
        </w:rPr>
        <w:t>6</w:t>
      </w:r>
      <w:r w:rsidR="00B25B16" w:rsidRPr="00EA55D9">
        <w:rPr>
          <w:rFonts w:ascii="Arial" w:hAnsi="Arial" w:cs="Arial"/>
          <w:color w:val="auto"/>
          <w:sz w:val="22"/>
          <w:szCs w:val="22"/>
          <w:lang w:eastAsia="hr-HR"/>
        </w:rPr>
        <w:t>. Aktivnosti kreditnog posredovanja su aktivnosti slične bankovnima koje uključuju ročnu transformaciju, transformaciju likvidnosti, financijsku polugu, transfer kreditnog rizika ili slične aktivnosti. Te aktivnosti uključuju barem osnovne financijske usluge iz članka 8. stavka 1. točaka od 1. do 6. i točke 11. i 12. Zakona o kreditnim institucijama, kao i aktivnosti navedene u točkama od 1. do 3., 6. do 8. i 10. Priloga 1. Direktiv</w:t>
      </w:r>
      <w:r w:rsidR="00465E27" w:rsidRPr="00EA55D9">
        <w:rPr>
          <w:rFonts w:ascii="Arial" w:hAnsi="Arial" w:cs="Arial"/>
          <w:color w:val="auto"/>
          <w:sz w:val="22"/>
          <w:szCs w:val="22"/>
          <w:lang w:eastAsia="hr-HR"/>
        </w:rPr>
        <w:t>e 2013/36/EU</w:t>
      </w:r>
      <w:r w:rsidR="00B25B16" w:rsidRPr="00EA55D9">
        <w:rPr>
          <w:rFonts w:ascii="Arial" w:hAnsi="Arial" w:cs="Arial"/>
          <w:color w:val="auto"/>
          <w:sz w:val="22"/>
          <w:szCs w:val="22"/>
          <w:lang w:eastAsia="hr-HR"/>
        </w:rPr>
        <w:t xml:space="preserve">, kako su prenesene u propise drugih država članica kojima </w:t>
      </w:r>
      <w:r w:rsidR="00465E27" w:rsidRPr="00EA55D9">
        <w:rPr>
          <w:rFonts w:ascii="Arial" w:hAnsi="Arial" w:cs="Arial"/>
          <w:color w:val="auto"/>
          <w:sz w:val="22"/>
          <w:szCs w:val="22"/>
          <w:lang w:eastAsia="hr-HR"/>
        </w:rPr>
        <w:t>se uređuju kreditne institucije.</w:t>
      </w:r>
    </w:p>
    <w:p w14:paraId="154C4063" w14:textId="3137272C" w:rsidR="00465E27" w:rsidRPr="00EA55D9" w:rsidRDefault="00465E27" w:rsidP="00EA55D9">
      <w:pPr>
        <w:pStyle w:val="Heading2"/>
        <w:jc w:val="both"/>
        <w:rPr>
          <w:rFonts w:ascii="Arial" w:hAnsi="Arial" w:cs="Arial"/>
          <w:color w:val="auto"/>
          <w:sz w:val="22"/>
          <w:szCs w:val="22"/>
          <w:lang w:eastAsia="hr-HR"/>
        </w:rPr>
      </w:pPr>
    </w:p>
    <w:p w14:paraId="2BE69B7A" w14:textId="0FB01236" w:rsidR="00465E27" w:rsidRPr="00EA55D9" w:rsidRDefault="00E4081F"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1</w:t>
      </w:r>
      <w:r w:rsidR="00823C4E" w:rsidRPr="00EA55D9">
        <w:rPr>
          <w:rFonts w:ascii="Arial" w:hAnsi="Arial" w:cs="Arial"/>
          <w:color w:val="auto"/>
          <w:sz w:val="22"/>
          <w:szCs w:val="22"/>
          <w:lang w:eastAsia="hr-HR"/>
        </w:rPr>
        <w:t>7</w:t>
      </w:r>
      <w:r w:rsidR="00465E27" w:rsidRPr="00EA55D9">
        <w:rPr>
          <w:rFonts w:ascii="Arial" w:hAnsi="Arial" w:cs="Arial"/>
          <w:color w:val="auto"/>
          <w:sz w:val="22"/>
          <w:szCs w:val="22"/>
          <w:lang w:eastAsia="hr-HR"/>
        </w:rPr>
        <w:t>. Izloženost prema subjektu bankarstva u sjeni jest zbroj svih izloženosti investicijskog društva prema pojedinačnom subjektu bankarstva u sjeni u skladu s dijelom četvrtim Uredbe (EU) 575/2013 koji je jednak ili veći 0,25% priznatog kapitala kreditne institucije kako je utvrđen u članku 4. stavku 1. točki 71. podtočki (b) Uredbe (EU) br. 575/2013, pri čemu se vrijednost izloženosti investicijskog društva prema pojedinačnom subjektu bankarstva u sjeni izračunava na način da se u obzir uzimaju učinci smanjenja kreditnog rizika u skladu s člancima od 399. do 403. Uredbe (EU) 575/2013 i izuzeća u skladu s člankom 400. Uredbe (EU) 575/2013.</w:t>
      </w:r>
    </w:p>
    <w:p w14:paraId="2732E45B" w14:textId="64E2AE94" w:rsidR="00465E27" w:rsidRPr="00EA55D9" w:rsidRDefault="00465E27" w:rsidP="00EA55D9">
      <w:pPr>
        <w:pStyle w:val="Heading2"/>
        <w:jc w:val="both"/>
        <w:rPr>
          <w:rFonts w:ascii="Arial" w:hAnsi="Arial" w:cs="Arial"/>
          <w:color w:val="auto"/>
          <w:sz w:val="22"/>
          <w:szCs w:val="22"/>
          <w:lang w:eastAsia="hr-HR"/>
        </w:rPr>
      </w:pPr>
    </w:p>
    <w:p w14:paraId="67503E80" w14:textId="70B75577" w:rsidR="00465E27" w:rsidRPr="00EA55D9" w:rsidRDefault="00E4081F"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lastRenderedPageBreak/>
        <w:t>1</w:t>
      </w:r>
      <w:r w:rsidR="00823C4E" w:rsidRPr="00EA55D9">
        <w:rPr>
          <w:rFonts w:ascii="Arial" w:hAnsi="Arial" w:cs="Arial"/>
          <w:color w:val="auto"/>
          <w:sz w:val="22"/>
          <w:szCs w:val="22"/>
          <w:lang w:eastAsia="hr-HR"/>
        </w:rPr>
        <w:t>8</w:t>
      </w:r>
      <w:r w:rsidR="00465E27" w:rsidRPr="00EA55D9">
        <w:rPr>
          <w:rFonts w:ascii="Arial" w:hAnsi="Arial" w:cs="Arial"/>
          <w:color w:val="auto"/>
          <w:sz w:val="22"/>
          <w:szCs w:val="22"/>
          <w:lang w:eastAsia="hr-HR"/>
        </w:rPr>
        <w:t>. Subjekt bankarstva u sjeni je društvo koje obavlja jednu ili više aktivnosti kreditnog posredovanja, a koje nije izuzeto društvo.</w:t>
      </w:r>
    </w:p>
    <w:p w14:paraId="109545A7" w14:textId="5D78FC8C" w:rsidR="00465E27" w:rsidRPr="00EA55D9" w:rsidRDefault="00465E27" w:rsidP="00EA55D9">
      <w:pPr>
        <w:pStyle w:val="Heading2"/>
        <w:jc w:val="both"/>
        <w:rPr>
          <w:rFonts w:ascii="Arial" w:hAnsi="Arial" w:cs="Arial"/>
          <w:color w:val="auto"/>
          <w:sz w:val="22"/>
          <w:szCs w:val="22"/>
          <w:lang w:eastAsia="hr-HR"/>
        </w:rPr>
      </w:pPr>
    </w:p>
    <w:p w14:paraId="35B8EBEE" w14:textId="4456AABE" w:rsidR="00465E27" w:rsidRPr="00EA55D9" w:rsidRDefault="00E4081F"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1</w:t>
      </w:r>
      <w:r w:rsidR="00823C4E" w:rsidRPr="00EA55D9">
        <w:rPr>
          <w:rFonts w:ascii="Arial" w:hAnsi="Arial" w:cs="Arial"/>
          <w:color w:val="auto"/>
          <w:sz w:val="22"/>
          <w:szCs w:val="22"/>
          <w:lang w:eastAsia="hr-HR"/>
        </w:rPr>
        <w:t>9</w:t>
      </w:r>
      <w:r w:rsidR="00465E27" w:rsidRPr="00EA55D9">
        <w:rPr>
          <w:rFonts w:ascii="Arial" w:hAnsi="Arial" w:cs="Arial"/>
          <w:color w:val="auto"/>
          <w:sz w:val="22"/>
          <w:szCs w:val="22"/>
          <w:lang w:eastAsia="hr-HR"/>
        </w:rPr>
        <w:t>. Izuzeta društva jesu:</w:t>
      </w:r>
    </w:p>
    <w:p w14:paraId="123FCF99" w14:textId="77777777" w:rsidR="00465E27" w:rsidRPr="00EA55D9" w:rsidRDefault="00465E27" w:rsidP="00E32469">
      <w:pPr>
        <w:pStyle w:val="Heading2"/>
        <w:numPr>
          <w:ilvl w:val="0"/>
          <w:numId w:val="45"/>
        </w:numPr>
        <w:jc w:val="both"/>
        <w:rPr>
          <w:rFonts w:ascii="Arial" w:hAnsi="Arial" w:cs="Arial"/>
          <w:color w:val="auto"/>
          <w:sz w:val="22"/>
          <w:szCs w:val="22"/>
          <w:lang w:eastAsia="hr-HR"/>
        </w:rPr>
      </w:pPr>
      <w:r w:rsidRPr="00EA55D9">
        <w:rPr>
          <w:rFonts w:ascii="Arial" w:hAnsi="Arial" w:cs="Arial"/>
          <w:color w:val="auto"/>
          <w:sz w:val="22"/>
          <w:szCs w:val="22"/>
          <w:lang w:eastAsia="hr-HR"/>
        </w:rPr>
        <w:t>društva uključena u nadzor na konsolidiranoj osnovi na temelju konsolidiranog položaja institucije kako je utvrđeno u članku 4. stavku 1. točki 47. Uredbe (EU) br. 575/2013,</w:t>
      </w:r>
    </w:p>
    <w:p w14:paraId="350BD4A8" w14:textId="0461F7A4" w:rsidR="00465E27" w:rsidRPr="00EA55D9" w:rsidRDefault="00465E27" w:rsidP="00E32469">
      <w:pPr>
        <w:pStyle w:val="Heading2"/>
        <w:numPr>
          <w:ilvl w:val="0"/>
          <w:numId w:val="45"/>
        </w:numPr>
        <w:jc w:val="both"/>
        <w:rPr>
          <w:rFonts w:ascii="Arial" w:hAnsi="Arial" w:cs="Arial"/>
          <w:color w:val="auto"/>
          <w:sz w:val="22"/>
          <w:szCs w:val="22"/>
          <w:lang w:eastAsia="hr-HR"/>
        </w:rPr>
      </w:pPr>
      <w:r w:rsidRPr="00EA55D9">
        <w:rPr>
          <w:rFonts w:ascii="Arial" w:hAnsi="Arial" w:cs="Arial"/>
          <w:color w:val="auto"/>
          <w:sz w:val="22"/>
          <w:szCs w:val="22"/>
          <w:lang w:eastAsia="hr-HR"/>
        </w:rPr>
        <w:t>društva nad kojima nadležno tijelo treće zemlje provodi nadzor na konsolidiranoj osnovi prema propisima treće zemlje koja na kreditne institucije primjenjuje nadzorne zahtjeve koji su barem istovjetni onima koji se primjenjuju u Europskoj uniji,</w:t>
      </w:r>
    </w:p>
    <w:p w14:paraId="2179FB8C" w14:textId="60CFCF7A" w:rsidR="00465E27" w:rsidRPr="00EA55D9" w:rsidRDefault="00593F13" w:rsidP="00E32469">
      <w:pPr>
        <w:pStyle w:val="Heading2"/>
        <w:numPr>
          <w:ilvl w:val="0"/>
          <w:numId w:val="45"/>
        </w:numPr>
        <w:jc w:val="both"/>
        <w:rPr>
          <w:rFonts w:ascii="Arial" w:hAnsi="Arial" w:cs="Arial"/>
          <w:color w:val="auto"/>
          <w:sz w:val="22"/>
          <w:szCs w:val="22"/>
          <w:lang w:eastAsia="hr-HR"/>
        </w:rPr>
      </w:pPr>
      <w:r w:rsidRPr="00EA55D9">
        <w:rPr>
          <w:rFonts w:ascii="Arial" w:hAnsi="Arial" w:cs="Arial"/>
          <w:color w:val="auto"/>
          <w:sz w:val="22"/>
          <w:szCs w:val="22"/>
          <w:lang w:eastAsia="hr-HR"/>
        </w:rPr>
        <w:t xml:space="preserve">društva </w:t>
      </w:r>
      <w:r w:rsidR="00465E27" w:rsidRPr="00EA55D9">
        <w:rPr>
          <w:rFonts w:ascii="Arial" w:hAnsi="Arial" w:cs="Arial"/>
          <w:color w:val="auto"/>
          <w:sz w:val="22"/>
          <w:szCs w:val="22"/>
          <w:lang w:eastAsia="hr-HR"/>
        </w:rPr>
        <w:t>koja nisu obuhvaćena točkama a. i b., ali jesu:</w:t>
      </w:r>
    </w:p>
    <w:p w14:paraId="5FB3FF93" w14:textId="3B23022F" w:rsidR="00465E27" w:rsidRPr="00EA55D9" w:rsidRDefault="00465E27" w:rsidP="00E32469">
      <w:pPr>
        <w:pStyle w:val="Heading2"/>
        <w:ind w:left="360"/>
        <w:jc w:val="both"/>
        <w:rPr>
          <w:rFonts w:ascii="Arial" w:hAnsi="Arial" w:cs="Arial"/>
          <w:color w:val="auto"/>
          <w:sz w:val="22"/>
          <w:szCs w:val="22"/>
          <w:lang w:eastAsia="hr-HR"/>
        </w:rPr>
      </w:pPr>
      <w:r w:rsidRPr="00EA55D9">
        <w:rPr>
          <w:rFonts w:ascii="Arial" w:hAnsi="Arial" w:cs="Arial"/>
          <w:color w:val="auto"/>
          <w:sz w:val="22"/>
          <w:szCs w:val="22"/>
          <w:lang w:eastAsia="hr-HR"/>
        </w:rPr>
        <w:t>kreditne institucije (sa sjedištem u RH i sa sjedištem u drugim državama članicama koje posluju u skladu s propisima te države članice u koje je prenesena Direktiva 2013/36/EU),</w:t>
      </w:r>
    </w:p>
    <w:p w14:paraId="1760A2D1" w14:textId="491A0B25" w:rsidR="00465E27" w:rsidRPr="00EA55D9" w:rsidRDefault="00465E27"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investicijska društva sa sjedištem u RH i u drugim državama članicama,</w:t>
      </w:r>
    </w:p>
    <w:p w14:paraId="7152DB6D" w14:textId="22D9E258" w:rsidR="00465E27" w:rsidRPr="00EA55D9" w:rsidRDefault="00465E27"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kreditne institucije iz treće zemlje ako treća zemlja na tu instituciju primjenjuje nadzorne zahtjeve koji su barem istovjetni onima koji se primjenjuju u Europskoj uniji,</w:t>
      </w:r>
    </w:p>
    <w:p w14:paraId="0DAE73FB" w14:textId="77777777" w:rsidR="00465E27" w:rsidRPr="00EA55D9" w:rsidRDefault="00465E27"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priznata investicijska društva iz trećih zemalja,</w:t>
      </w:r>
    </w:p>
    <w:p w14:paraId="78A41722" w14:textId="77777777" w:rsidR="00465E27" w:rsidRPr="00EA55D9" w:rsidRDefault="00465E27"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subjekti koji su financijske institucije koje imaju odobrenje za rad i pod nadzorom su nadležnih tijela u RH, drugim državama članicama ili nadležnih tijela trećih zemalja te podliježu nadzornim zahtjevima koji su u smislu robusnosti usporedivi s onima primijenjenima na institucije kada se izloženost kreditne institucije prema dotičnom subjektu tretira kao izloženost prema instituciji u skladu s člankom 119. stavkom 5. Uredbe (EU) br. 575/2013,</w:t>
      </w:r>
    </w:p>
    <w:p w14:paraId="774E4B3E" w14:textId="77777777" w:rsidR="00465E27" w:rsidRPr="00EA55D9" w:rsidRDefault="00465E27"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Hrvatska banka za obnovu i razvitak, kreditne unije sa sjedištem u RH te subjekti iz točaka od 2. do 23. članka 2. stavka 5. Direktive 2013/36/EU,</w:t>
      </w:r>
    </w:p>
    <w:p w14:paraId="11A97174" w14:textId="3FE2E133" w:rsidR="00465E27" w:rsidRPr="00EA55D9" w:rsidRDefault="00465E27"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središnja država u RH i drugim državama članicama, jedinica regionalne ili lokalne uprave RH i drugih država članica, javno međunarodno tijelo u kojem su jedna ili više država članica članice,</w:t>
      </w:r>
    </w:p>
    <w:p w14:paraId="3A954269" w14:textId="0FD5AF81" w:rsidR="00465E27" w:rsidRPr="00EA55D9" w:rsidRDefault="00465E27"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osigurateljni holdinzi, društva za osiguranje i društva za reosiguranje u skladu sa Zakonom o osiguranju (»Narodne novine«, br. 30/15), a u drugim državama članicama u skladu s propisima tih država članica kojima se uređuje poslovanje tih osoba, te društva za osiguranje iz trećih zemalja i društva za reosiguranje iz trećih zemalja ako se nadzorni zahtjevi treće zemlje smatraju istovjetnima,</w:t>
      </w:r>
    </w:p>
    <w:p w14:paraId="4F4D271A" w14:textId="26DC4C41" w:rsidR="00465E27" w:rsidRPr="00EA55D9" w:rsidRDefault="00465E27"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društva obuhvaćena člankom 6. Zakona o osiguranju, a u drugim državama članicama društva isključena iz područja primjene Direktive 2009/138/EZ Europskog parlamenta i Vijeća od 25. studenoga 2009. o osnivanju i obavljanju djelatnosti osiguranja i reosiguranja (Solventnost II) u skladu s člankom 4. te Direktive kako je prenesen u propise tih država članica,</w:t>
      </w:r>
    </w:p>
    <w:p w14:paraId="0FD81E8F" w14:textId="482E95AA" w:rsidR="00465E27" w:rsidRPr="00EA55D9" w:rsidRDefault="00465E27"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lastRenderedPageBreak/>
        <w:t>mirovinska društva kako su uređena člankom 3. točkom 1. Zakona o dobrovoljnim mirovinskim fondovima (»Narodne novine«, br. 19/14 i 29/18) i člankom 2. točkom 1. Zakona o obveznim mirovinskim fondov</w:t>
      </w:r>
      <w:r w:rsidR="00F9581E" w:rsidRPr="00EA55D9">
        <w:rPr>
          <w:rFonts w:ascii="Arial" w:hAnsi="Arial" w:cs="Arial"/>
          <w:color w:val="auto"/>
          <w:sz w:val="22"/>
          <w:szCs w:val="22"/>
          <w:lang w:eastAsia="hr-HR"/>
        </w:rPr>
        <w:t>ima (»Narodne novine«, br. 19/</w:t>
      </w:r>
      <w:r w:rsidRPr="00EA55D9">
        <w:rPr>
          <w:rFonts w:ascii="Arial" w:hAnsi="Arial" w:cs="Arial"/>
          <w:color w:val="auto"/>
          <w:sz w:val="22"/>
          <w:szCs w:val="22"/>
          <w:lang w:eastAsia="hr-HR"/>
        </w:rPr>
        <w:t>14</w:t>
      </w:r>
      <w:r w:rsidR="00F9581E" w:rsidRPr="00EA55D9">
        <w:rPr>
          <w:rFonts w:ascii="Arial" w:hAnsi="Arial" w:cs="Arial"/>
          <w:color w:val="auto"/>
          <w:sz w:val="22"/>
          <w:szCs w:val="22"/>
          <w:lang w:eastAsia="hr-HR"/>
        </w:rPr>
        <w:t>, 93/15 i 64/18</w:t>
      </w:r>
      <w:r w:rsidRPr="00EA55D9">
        <w:rPr>
          <w:rFonts w:ascii="Arial" w:hAnsi="Arial" w:cs="Arial"/>
          <w:color w:val="auto"/>
          <w:sz w:val="22"/>
          <w:szCs w:val="22"/>
          <w:lang w:eastAsia="hr-HR"/>
        </w:rPr>
        <w:t>), mirovinska osiguravajuća društva kako su određena člankom 3. točkom 1. Zakona o mirovinskim osiguravajućim društvima</w:t>
      </w:r>
      <w:r w:rsidR="00F9581E" w:rsidRPr="00EA55D9">
        <w:rPr>
          <w:rFonts w:ascii="Arial" w:hAnsi="Arial" w:cs="Arial"/>
          <w:color w:val="auto"/>
          <w:sz w:val="22"/>
          <w:szCs w:val="22"/>
          <w:lang w:eastAsia="hr-HR"/>
        </w:rPr>
        <w:t xml:space="preserve"> (»Narodne novine«, br. 22/14 i 29/18</w:t>
      </w:r>
      <w:r w:rsidRPr="00EA55D9">
        <w:rPr>
          <w:rFonts w:ascii="Arial" w:hAnsi="Arial" w:cs="Arial"/>
          <w:color w:val="auto"/>
          <w:sz w:val="22"/>
          <w:szCs w:val="22"/>
          <w:lang w:eastAsia="hr-HR"/>
        </w:rPr>
        <w:t>), a u drugim državama članicama institucije za strukovno mirovinsko osiguranje u smislu točke (a) članka 6. Direktive 2003/41/EZ Europskog parlamenta i Vijeća od 3. lipnja 2003. o djelatnostima i nadzoru institucija za strukovno mirovinsko osigu</w:t>
      </w:r>
      <w:r w:rsidR="00F9581E" w:rsidRPr="00EA55D9">
        <w:rPr>
          <w:rFonts w:ascii="Arial" w:hAnsi="Arial" w:cs="Arial"/>
          <w:color w:val="auto"/>
          <w:sz w:val="22"/>
          <w:szCs w:val="22"/>
          <w:lang w:eastAsia="hr-HR"/>
        </w:rPr>
        <w:t>ranje (</w:t>
      </w:r>
      <w:r w:rsidRPr="00EA55D9">
        <w:rPr>
          <w:rFonts w:ascii="Arial" w:hAnsi="Arial" w:cs="Arial"/>
          <w:color w:val="auto"/>
          <w:sz w:val="22"/>
          <w:szCs w:val="22"/>
          <w:lang w:eastAsia="hr-HR"/>
        </w:rPr>
        <w:t>u nastavku teksta: Direktiva 2003/41/EZ) kako je prenesena u propise tih država članica i institucije za strukovno mirovinsko osiguranje koje su podložne bonitetnim i nadzornim zahtjevima koji su u smislu robusnosti usporedivi s onima koji se primjenjuju na institucije u smislu točke (a) članka 6. Direktive 2003/41/EZ,</w:t>
      </w:r>
    </w:p>
    <w:p w14:paraId="51047315" w14:textId="54C4DAFA" w:rsidR="00F9581E" w:rsidRPr="00EA55D9" w:rsidRDefault="00F9581E"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subjekti za zajednička ulaganja iz točaka od (i) do (vi) ove podtočke, osim subjekata koji ulažu u financijsku imovinu s preostalim dospijećem do dvije godine (kratkoročnu imovinu) te kao pojedinačni ili kumulativni cilj nude prinos u skladu sa stopama na tržištu novca ili očuvanje vrijednosti ulaganja (novčani fondovi):</w:t>
      </w:r>
    </w:p>
    <w:p w14:paraId="0FCA925F" w14:textId="59BEB8CF" w:rsidR="00F9581E" w:rsidRPr="00EA55D9" w:rsidRDefault="00F9581E" w:rsidP="00E32469">
      <w:pPr>
        <w:pStyle w:val="Heading2"/>
        <w:ind w:left="1440"/>
        <w:jc w:val="both"/>
        <w:rPr>
          <w:rFonts w:ascii="Arial" w:hAnsi="Arial" w:cs="Arial"/>
          <w:color w:val="auto"/>
          <w:sz w:val="22"/>
          <w:szCs w:val="22"/>
        </w:rPr>
      </w:pPr>
      <w:r w:rsidRPr="00EA55D9">
        <w:rPr>
          <w:rFonts w:ascii="Arial" w:hAnsi="Arial" w:cs="Arial"/>
          <w:color w:val="auto"/>
          <w:sz w:val="22"/>
          <w:szCs w:val="22"/>
        </w:rPr>
        <w:t xml:space="preserve">u RH, UCITS fond kako je određen člankom </w:t>
      </w:r>
      <w:r w:rsidR="00F56979" w:rsidRPr="00EA55D9">
        <w:rPr>
          <w:rFonts w:ascii="Arial" w:hAnsi="Arial" w:cs="Arial"/>
          <w:color w:val="auto"/>
          <w:sz w:val="22"/>
          <w:szCs w:val="22"/>
        </w:rPr>
        <w:t>4</w:t>
      </w:r>
      <w:r w:rsidRPr="00EA55D9">
        <w:rPr>
          <w:rFonts w:ascii="Arial" w:hAnsi="Arial" w:cs="Arial"/>
          <w:color w:val="auto"/>
          <w:sz w:val="22"/>
          <w:szCs w:val="22"/>
        </w:rPr>
        <w:t>. točkom 2. Zakona o otvorenim investicijskim fondovima s javnom ponudom (»Narodne novine«, br. 44/16) te u drugim državama članicama subjekti za zajednička ulaganja u smislu članka 1. Direktive 2009/65/EZ Europskog parlamenta i Vijeća od 13. srpnja 2009. o usklađivanju zakona i drugih propisa koji se odnose na subjekte za zajednička ulaganja u prenosive vrijednosne papire (UCITS) (u nastavku teksta: Direktiva 2009/65/EZ) na način kako su preneseni u propise tih država članica,</w:t>
      </w:r>
    </w:p>
    <w:p w14:paraId="695DFD5B" w14:textId="0295F17A" w:rsidR="00F9581E" w:rsidRPr="00EA55D9" w:rsidRDefault="00F9581E" w:rsidP="00E32469">
      <w:pPr>
        <w:pStyle w:val="Heading2"/>
        <w:ind w:left="1440"/>
        <w:jc w:val="both"/>
        <w:rPr>
          <w:rFonts w:ascii="Arial" w:hAnsi="Arial" w:cs="Arial"/>
          <w:color w:val="auto"/>
          <w:sz w:val="22"/>
          <w:szCs w:val="22"/>
        </w:rPr>
      </w:pPr>
      <w:r w:rsidRPr="00EA55D9">
        <w:rPr>
          <w:rFonts w:ascii="Arial" w:hAnsi="Arial" w:cs="Arial"/>
          <w:color w:val="auto"/>
          <w:sz w:val="22"/>
          <w:szCs w:val="22"/>
        </w:rPr>
        <w:t>subjekti za zajednička ulaganja osnovani u trećim zemljama u kojima imaju odobrenje za rad u skladu sa zakonima koji osiguravaju da su predmet nadzora koji se smatra istovjetnim onom propisanom u Direktivi 2009/65/EZ,</w:t>
      </w:r>
    </w:p>
    <w:p w14:paraId="70E35DA3" w14:textId="4D5D7A8F" w:rsidR="00E03D98" w:rsidRPr="00EA55D9" w:rsidRDefault="00E03D98" w:rsidP="00E32469">
      <w:pPr>
        <w:pStyle w:val="Heading2"/>
        <w:ind w:left="1440"/>
        <w:jc w:val="both"/>
        <w:rPr>
          <w:rFonts w:ascii="Arial" w:hAnsi="Arial" w:cs="Arial"/>
          <w:color w:val="auto"/>
          <w:sz w:val="22"/>
          <w:szCs w:val="22"/>
        </w:rPr>
      </w:pPr>
      <w:r w:rsidRPr="00EA55D9">
        <w:rPr>
          <w:rFonts w:ascii="Arial" w:hAnsi="Arial" w:cs="Arial"/>
          <w:color w:val="auto"/>
          <w:sz w:val="22"/>
          <w:szCs w:val="22"/>
        </w:rPr>
        <w:t xml:space="preserve">u RH, alternativni investicijski fond kako je određen člankom </w:t>
      </w:r>
      <w:r w:rsidR="00CE6ACA" w:rsidRPr="00EA55D9">
        <w:rPr>
          <w:rFonts w:ascii="Arial" w:hAnsi="Arial" w:cs="Arial"/>
          <w:color w:val="auto"/>
          <w:sz w:val="22"/>
          <w:szCs w:val="22"/>
        </w:rPr>
        <w:t>4</w:t>
      </w:r>
      <w:r w:rsidRPr="00EA55D9">
        <w:rPr>
          <w:rFonts w:ascii="Arial" w:hAnsi="Arial" w:cs="Arial"/>
          <w:color w:val="auto"/>
          <w:sz w:val="22"/>
          <w:szCs w:val="22"/>
        </w:rPr>
        <w:t xml:space="preserve">. točkom </w:t>
      </w:r>
      <w:r w:rsidR="00CE6ACA" w:rsidRPr="00EA55D9">
        <w:rPr>
          <w:rFonts w:ascii="Arial" w:hAnsi="Arial" w:cs="Arial"/>
          <w:color w:val="auto"/>
          <w:sz w:val="22"/>
          <w:szCs w:val="22"/>
        </w:rPr>
        <w:t>3</w:t>
      </w:r>
      <w:r w:rsidRPr="00EA55D9">
        <w:rPr>
          <w:rFonts w:ascii="Arial" w:hAnsi="Arial" w:cs="Arial"/>
          <w:color w:val="auto"/>
          <w:sz w:val="22"/>
          <w:szCs w:val="22"/>
        </w:rPr>
        <w:t>. Zakona o alternativnim investicijskim fondovima (»Narodne novine«, br. 21/18) te u drugim državama članicama subjekt za zajednička ulaganja u smislu članka 4. stavka 1. točke (a) Direktive 2011/61/EU Europskog parlamenta i Vijeća od 8. lipnja 2011. o upraviteljima alternativnih investicijskih fondova i izmjeni direktiva 2003/41/EZ i 2009/65/EZ te uredbi (EZ) br. 1060/2009 i (EU) br. 1095/2010. na način kako je prenesen u propise tih država članica, uz sljedeće iznimke: društva koja se znatno koriste financijskom polugom u skladu s člankom 111. stavkom 1. delegirane Uredbe Komisije (EU) 231/2013 od 19. prosinca 2012. o dopuni Direktive 2011/61/EU Europskog parlamenta i Vijeća u odnosu na izuzeća, opće uvjete poslovanja, depozitare, financijsku polugu, transparentnost i nadzor i društva kojima je dopušteno odobravati zajmove ili provoditi otkup kreditnih izloženosti trećih strana u svoju bilancu u skladu s pravilima kojima se uređuju ulaganja fondova ili dokumentima o osnivanju</w:t>
      </w:r>
    </w:p>
    <w:p w14:paraId="2C51E8C7" w14:textId="1633A45C" w:rsidR="00E03D98" w:rsidRPr="00EA55D9" w:rsidRDefault="00E03D98" w:rsidP="00E32469">
      <w:pPr>
        <w:pStyle w:val="Heading2"/>
        <w:ind w:left="1440"/>
        <w:jc w:val="both"/>
        <w:rPr>
          <w:rFonts w:ascii="Arial" w:hAnsi="Arial" w:cs="Arial"/>
          <w:color w:val="auto"/>
          <w:sz w:val="22"/>
          <w:szCs w:val="22"/>
        </w:rPr>
      </w:pPr>
      <w:r w:rsidRPr="00EA55D9">
        <w:rPr>
          <w:rFonts w:ascii="Arial" w:hAnsi="Arial" w:cs="Arial"/>
          <w:color w:val="auto"/>
          <w:sz w:val="22"/>
          <w:szCs w:val="22"/>
        </w:rPr>
        <w:t>imaju odobrenje za rad kao »europski fondovi za dugoročna ulaganja« u skladu s Uredbom (EU) 2015/760 Europskog parlamenta i Vijeća od 29. travnja 2015. o europskim fondovima za dugoročna ulaganja,</w:t>
      </w:r>
    </w:p>
    <w:p w14:paraId="311CB04C" w14:textId="563510D2" w:rsidR="00F9581E" w:rsidRPr="00EA55D9" w:rsidRDefault="00E03D98" w:rsidP="00E32469">
      <w:pPr>
        <w:pStyle w:val="Heading2"/>
        <w:ind w:left="1440"/>
        <w:jc w:val="both"/>
        <w:rPr>
          <w:rFonts w:ascii="Arial" w:hAnsi="Arial" w:cs="Arial"/>
          <w:color w:val="auto"/>
          <w:sz w:val="22"/>
          <w:szCs w:val="22"/>
        </w:rPr>
      </w:pPr>
      <w:r w:rsidRPr="00EA55D9">
        <w:rPr>
          <w:rFonts w:ascii="Arial" w:hAnsi="Arial" w:cs="Arial"/>
          <w:color w:val="auto"/>
          <w:sz w:val="22"/>
          <w:szCs w:val="22"/>
        </w:rPr>
        <w:t>u smislu članka 3. stavka 1. točke (b) Uredbe (EU) 346/2013 Europskog parlamenta i Vijeća od 17. travnja 2013. o europskim fondovima za socijalno poduzetništvo (»kvalificirani fondovi za socijalno poduzetništvo«) i</w:t>
      </w:r>
    </w:p>
    <w:p w14:paraId="67068ACD" w14:textId="4CD3395B" w:rsidR="00E03D98" w:rsidRPr="00EA55D9" w:rsidRDefault="00E03D98" w:rsidP="00E32469">
      <w:pPr>
        <w:pStyle w:val="Heading2"/>
        <w:ind w:left="720"/>
        <w:jc w:val="both"/>
        <w:rPr>
          <w:rFonts w:ascii="Arial" w:hAnsi="Arial" w:cs="Arial"/>
          <w:color w:val="auto"/>
          <w:sz w:val="22"/>
          <w:szCs w:val="22"/>
          <w:lang w:eastAsia="hr-HR"/>
        </w:rPr>
      </w:pPr>
      <w:r w:rsidRPr="00EA55D9">
        <w:rPr>
          <w:rFonts w:ascii="Arial" w:hAnsi="Arial" w:cs="Arial"/>
          <w:color w:val="auto"/>
          <w:sz w:val="22"/>
          <w:szCs w:val="22"/>
          <w:lang w:eastAsia="hr-HR"/>
        </w:rPr>
        <w:lastRenderedPageBreak/>
        <w:t>u smislu članka 3. stavka (b) Uredbe (EU) 345/2013 Europskog parlamenta i Vijeća od 17. travnja 2013. o europskim fondovima poduzetničkoga kapitala (»kvalificirani fondovi poduzetničkoga kapitala«),</w:t>
      </w:r>
    </w:p>
    <w:p w14:paraId="469C3DF9" w14:textId="5BCD311B" w:rsidR="00E4081F" w:rsidRPr="00EA55D9" w:rsidRDefault="00E4081F"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središnje druge ugovorne strane kako su utvrđene točkom 1. članka 2. Uredbe (EU) br. 648/2012 Europskog parlamenta i Vijeća od 4. srpnja 2012. o OTC izvedenicama, središnjoj drugoj ugovornoj strani i trgovinskom repozitoriju, s poslovnim nastanom u Europskoj uniji i središnje druge ugovorne strane iz treće zemlje koje je priznala ESMA u skladu s člankom 25. te Uredbe,</w:t>
      </w:r>
    </w:p>
    <w:p w14:paraId="6BBCA11C" w14:textId="0F0B1F8E" w:rsidR="00E4081F" w:rsidRPr="00EA55D9" w:rsidRDefault="00E4081F"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 xml:space="preserve">u RH, izdavatelj elektroničkog novca u skladu s člankom </w:t>
      </w:r>
      <w:r w:rsidR="00CE6ACA" w:rsidRPr="00EA55D9">
        <w:rPr>
          <w:rFonts w:ascii="Arial" w:hAnsi="Arial" w:cs="Arial"/>
          <w:color w:val="auto"/>
          <w:sz w:val="22"/>
          <w:szCs w:val="22"/>
          <w:lang w:eastAsia="hr-HR"/>
        </w:rPr>
        <w:t>5</w:t>
      </w:r>
      <w:r w:rsidRPr="00EA55D9">
        <w:rPr>
          <w:rFonts w:ascii="Arial" w:hAnsi="Arial" w:cs="Arial"/>
          <w:color w:val="auto"/>
          <w:sz w:val="22"/>
          <w:szCs w:val="22"/>
          <w:lang w:eastAsia="hr-HR"/>
        </w:rPr>
        <w:t>. Zakona o elektroničkom novcu (»Narodne novine«, br. 64/18) te u drugim državama članicama izdavatelj elektroničkog novca iz točke 3. članka 2. Direktive 2009/110/EZ Europskog parlamenta i Vijeća od 16. rujna 2009. o osnivanju, obavljanju djelatnosti i bonitetnom nadzoru poslovanja institucija za elektronički novac te o izmjeni direktiva 2005/60/EZ i 2006/48/EZ i stavljanju izvan snage Direktive 2000/46/EZ, na način kako je prenesena u propise tih država članica,</w:t>
      </w:r>
    </w:p>
    <w:p w14:paraId="32FDF9CD" w14:textId="6F275A8F" w:rsidR="00E4081F" w:rsidRPr="00EA55D9" w:rsidRDefault="00E4081F"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u RH, institucije za platni promet kako su uređene Zakonom o platnom prometu (»Narodne novine«, br. 66/18) te u drugim državama članicama institucije za platni promet iz točke 4. članka 4. Direktive 2007/64/EZ Europskog parlamenta i Vijeća od 13. studenoga 2007. o platnim uslugama na unutarnjem tržištu i o izmjeni direktiva 97/7/EZ, 2002/65/EZ, 2005/60/EZ i 2006/48/EZ te stavljanju izvan snage Direktive 97/5/EZ, na način kako je prenesena u propise tih država članica,</w:t>
      </w:r>
    </w:p>
    <w:p w14:paraId="5464FF85" w14:textId="77777777" w:rsidR="00E4081F" w:rsidRPr="00EA55D9" w:rsidRDefault="00E4081F"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subjekti čija je osnovna djelatnost pružanje aktivnosti kreditnog posredovanja za matično društvo, za vlastita društva kćeri ili za ostala društva kćeri njihovih matičnih društava,</w:t>
      </w:r>
    </w:p>
    <w:p w14:paraId="0698D3AE" w14:textId="019F9776" w:rsidR="00E4081F" w:rsidRPr="00EA55D9" w:rsidRDefault="00E4081F"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u RH, sanacijska tijela u skladu s člankom 8. Zakona o sanaciji kreditnih institucija i investicijskih društava (»Narodne novine«, br. 19/15) te u drugim državama članicama sanacijska tijela u skladu s člankom 2. stavkom 1. točkom 18. Direktive 2014/59/EU Europskog parlamenta i Vijeća od 15. svibnja 2014. o uspostavi okvira za oporavak i sanaciju kreditnih institucija i investicijskih društava te o izmjeni Direktive Vijeća 82/891/EEZ i direktiva 2001/24/EZ, 2002/47/EZ, 2004/25/EZ, 2005/56/EZ, 2007/36/EZ, 2011/35/EU, 2012/30/EU i 2013/36/EU te uredbi (EU) br. 1093/2010 i (EU) br. 648/2012 Europskog parlamenta i Vijeća (u nastavku teksta: Direktiva 2014/59/EU),</w:t>
      </w:r>
    </w:p>
    <w:p w14:paraId="2FFD7AF3" w14:textId="4E9B19C9" w:rsidR="00E4081F" w:rsidRPr="00EA55D9" w:rsidRDefault="00E4081F"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u RH, nositelj upravljanja imovinom i prijelazna institucija kako su uređeni Zakonom o sanaciji kreditnih institucija i investicijskih društava (»Narodne novine«, br. 19/15) te u drugim državama članicama subjekti za upravljanje imovinom i prijelazne institucije kako su utvrđene u točkama 56. i 59. članka 2. stavka 1. Direktive 2014/59/EU na način kako su prenesene u propise tih država članica i</w:t>
      </w:r>
    </w:p>
    <w:p w14:paraId="2A6293B8" w14:textId="503D0BF9" w:rsidR="00E4081F" w:rsidRPr="00EA55D9" w:rsidRDefault="00E4081F" w:rsidP="00E32469">
      <w:pPr>
        <w:pStyle w:val="Heading2"/>
        <w:numPr>
          <w:ilvl w:val="0"/>
          <w:numId w:val="46"/>
        </w:numPr>
        <w:jc w:val="both"/>
        <w:rPr>
          <w:rFonts w:ascii="Arial" w:hAnsi="Arial" w:cs="Arial"/>
          <w:color w:val="auto"/>
          <w:sz w:val="22"/>
          <w:szCs w:val="22"/>
          <w:lang w:eastAsia="hr-HR"/>
        </w:rPr>
      </w:pPr>
      <w:r w:rsidRPr="00EA55D9">
        <w:rPr>
          <w:rFonts w:ascii="Arial" w:hAnsi="Arial" w:cs="Arial"/>
          <w:color w:val="auto"/>
          <w:sz w:val="22"/>
          <w:szCs w:val="22"/>
          <w:lang w:eastAsia="hr-HR"/>
        </w:rPr>
        <w:t>u drugim državama članicama, subjekti u potpunom ili djelomičnom vlasništvu jednog ili više tijela javne vlasti, osnovani prije 1. siječnja 2016. radi potpunog ili djelomičnog primanja i držanja imovine, prava i obveza jedne ili više institucija kako bi se sačuvala ili ponovno uspostavila održivost, likvidnost ili solventnost institucije ili stabiliziralo financijsko tržište.</w:t>
      </w:r>
    </w:p>
    <w:p w14:paraId="51013EF3" w14:textId="77777777" w:rsidR="00E4081F" w:rsidRPr="00EA55D9" w:rsidRDefault="00E4081F" w:rsidP="00EA55D9">
      <w:pPr>
        <w:pStyle w:val="Heading2"/>
        <w:jc w:val="both"/>
        <w:rPr>
          <w:rFonts w:ascii="Arial" w:hAnsi="Arial" w:cs="Arial"/>
          <w:color w:val="auto"/>
          <w:sz w:val="22"/>
          <w:szCs w:val="22"/>
          <w:lang w:eastAsia="hr-HR"/>
        </w:rPr>
      </w:pPr>
    </w:p>
    <w:p w14:paraId="17426F9A" w14:textId="0A538389" w:rsidR="00AB5E1D" w:rsidRPr="00EA55D9" w:rsidRDefault="00823C4E"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20</w:t>
      </w:r>
      <w:r w:rsidR="00E4081F" w:rsidRPr="00EA55D9">
        <w:rPr>
          <w:rFonts w:ascii="Arial" w:hAnsi="Arial" w:cs="Arial"/>
          <w:color w:val="auto"/>
          <w:sz w:val="22"/>
          <w:szCs w:val="22"/>
          <w:lang w:eastAsia="hr-HR"/>
        </w:rPr>
        <w:t>. Priznati kapital je priznati kapital kako je propisano člankom 4. stavkom 1. točkom 71. Uredbe (EU) br. 575/2013.</w:t>
      </w:r>
    </w:p>
    <w:p w14:paraId="38F48523" w14:textId="77777777" w:rsidR="004C15E5" w:rsidRPr="00EA55D9" w:rsidRDefault="004C15E5" w:rsidP="00EA55D9">
      <w:pPr>
        <w:pStyle w:val="Heading2"/>
        <w:jc w:val="both"/>
        <w:rPr>
          <w:rFonts w:ascii="Arial" w:hAnsi="Arial" w:cs="Arial"/>
          <w:color w:val="auto"/>
          <w:sz w:val="22"/>
          <w:szCs w:val="22"/>
          <w:lang w:eastAsia="hr-HR"/>
        </w:rPr>
      </w:pPr>
    </w:p>
    <w:p w14:paraId="02103C4F" w14:textId="49FCCCDA" w:rsidR="001E0BDE" w:rsidRPr="00EA55D9" w:rsidRDefault="00A11152" w:rsidP="00EA55D9">
      <w:pPr>
        <w:pStyle w:val="Heading2"/>
        <w:jc w:val="both"/>
        <w:rPr>
          <w:rFonts w:ascii="Arial" w:hAnsi="Arial" w:cs="Arial"/>
          <w:color w:val="auto"/>
          <w:sz w:val="22"/>
          <w:szCs w:val="22"/>
          <w:lang w:eastAsia="hr-HR"/>
        </w:rPr>
      </w:pPr>
      <w:r w:rsidRPr="00EA55D9">
        <w:rPr>
          <w:rFonts w:ascii="Arial" w:hAnsi="Arial" w:cs="Arial"/>
          <w:color w:val="auto"/>
          <w:sz w:val="22"/>
          <w:szCs w:val="22"/>
          <w:lang w:eastAsia="hr-HR"/>
        </w:rPr>
        <w:t>(2) Ostali pojmovi upotrijebljeni u ovome Pravilniku imaju isto značenje kao u Zakonu.</w:t>
      </w:r>
    </w:p>
    <w:p w14:paraId="024BA9A8" w14:textId="348AFDAF" w:rsidR="00A11152" w:rsidRDefault="00A11152" w:rsidP="007F716C">
      <w:pPr>
        <w:pStyle w:val="NoSpacing"/>
        <w:rPr>
          <w:rFonts w:ascii="Arial" w:hAnsi="Arial" w:cs="Arial"/>
          <w:lang w:eastAsia="hr-HR"/>
        </w:rPr>
      </w:pPr>
    </w:p>
    <w:p w14:paraId="5332FB71" w14:textId="0F770F62" w:rsidR="00A11152" w:rsidRPr="005A35DC" w:rsidRDefault="00415BE8" w:rsidP="005A35DC">
      <w:pPr>
        <w:pStyle w:val="Heading1"/>
        <w:jc w:val="center"/>
        <w:rPr>
          <w:rFonts w:ascii="Arial" w:hAnsi="Arial" w:cs="Arial"/>
          <w:b w:val="0"/>
          <w:sz w:val="22"/>
          <w:szCs w:val="22"/>
        </w:rPr>
      </w:pPr>
      <w:r w:rsidRPr="005A35DC">
        <w:rPr>
          <w:rFonts w:ascii="Arial" w:hAnsi="Arial" w:cs="Arial"/>
          <w:b w:val="0"/>
          <w:sz w:val="22"/>
          <w:szCs w:val="22"/>
        </w:rPr>
        <w:t>Opseg primjene</w:t>
      </w:r>
    </w:p>
    <w:p w14:paraId="6595D2B4" w14:textId="561DE805" w:rsidR="00415BE8" w:rsidRPr="005A35DC" w:rsidRDefault="00415BE8" w:rsidP="005A35DC">
      <w:pPr>
        <w:pStyle w:val="Heading2"/>
        <w:jc w:val="center"/>
        <w:rPr>
          <w:rFonts w:ascii="Arial" w:hAnsi="Arial" w:cs="Arial"/>
          <w:color w:val="auto"/>
          <w:sz w:val="22"/>
          <w:szCs w:val="22"/>
          <w:lang w:eastAsia="hr-HR"/>
        </w:rPr>
      </w:pPr>
      <w:r w:rsidRPr="005A35DC">
        <w:rPr>
          <w:rFonts w:ascii="Arial" w:hAnsi="Arial" w:cs="Arial"/>
          <w:color w:val="auto"/>
          <w:sz w:val="22"/>
          <w:szCs w:val="22"/>
          <w:lang w:eastAsia="hr-HR"/>
        </w:rPr>
        <w:t>Članak 3.</w:t>
      </w:r>
    </w:p>
    <w:p w14:paraId="545AD990" w14:textId="2CE717B3" w:rsidR="00415BE8" w:rsidRPr="005A35DC" w:rsidRDefault="00415BE8" w:rsidP="005A35DC">
      <w:pPr>
        <w:pStyle w:val="Heading2"/>
        <w:rPr>
          <w:rFonts w:ascii="Arial" w:hAnsi="Arial" w:cs="Arial"/>
          <w:color w:val="auto"/>
          <w:sz w:val="22"/>
          <w:szCs w:val="22"/>
          <w:lang w:eastAsia="hr-HR"/>
        </w:rPr>
      </w:pPr>
    </w:p>
    <w:p w14:paraId="3884F596" w14:textId="6E905384" w:rsidR="00415BE8" w:rsidRPr="005A35DC" w:rsidRDefault="00D22BB5" w:rsidP="005A35DC">
      <w:pPr>
        <w:pStyle w:val="Heading2"/>
        <w:rPr>
          <w:rFonts w:ascii="Arial" w:hAnsi="Arial" w:cs="Arial"/>
          <w:color w:val="auto"/>
          <w:sz w:val="22"/>
          <w:szCs w:val="22"/>
          <w:lang w:eastAsia="hr-HR"/>
        </w:rPr>
      </w:pPr>
      <w:r w:rsidRPr="005A35DC">
        <w:rPr>
          <w:rFonts w:ascii="Arial" w:hAnsi="Arial" w:cs="Arial"/>
          <w:color w:val="auto"/>
          <w:sz w:val="22"/>
          <w:szCs w:val="22"/>
          <w:lang w:eastAsia="hr-HR"/>
        </w:rPr>
        <w:t>(1) Odr</w:t>
      </w:r>
      <w:r w:rsidR="00B07C14" w:rsidRPr="005A35DC">
        <w:rPr>
          <w:rFonts w:ascii="Arial" w:hAnsi="Arial" w:cs="Arial"/>
          <w:color w:val="auto"/>
          <w:sz w:val="22"/>
          <w:szCs w:val="22"/>
          <w:lang w:eastAsia="hr-HR"/>
        </w:rPr>
        <w:t>edbe ovog Pravilnika primjenjuj</w:t>
      </w:r>
      <w:r w:rsidRPr="005A35DC">
        <w:rPr>
          <w:rFonts w:ascii="Arial" w:hAnsi="Arial" w:cs="Arial"/>
          <w:color w:val="auto"/>
          <w:sz w:val="22"/>
          <w:szCs w:val="22"/>
          <w:lang w:eastAsia="hr-HR"/>
        </w:rPr>
        <w:t>u</w:t>
      </w:r>
      <w:r w:rsidR="00B07C14" w:rsidRPr="005A35DC">
        <w:rPr>
          <w:rFonts w:ascii="Arial" w:hAnsi="Arial" w:cs="Arial"/>
          <w:color w:val="auto"/>
          <w:sz w:val="22"/>
          <w:szCs w:val="22"/>
          <w:lang w:eastAsia="hr-HR"/>
        </w:rPr>
        <w:t xml:space="preserve"> </w:t>
      </w:r>
      <w:r w:rsidRPr="005A35DC">
        <w:rPr>
          <w:rFonts w:ascii="Arial" w:hAnsi="Arial" w:cs="Arial"/>
          <w:color w:val="auto"/>
          <w:sz w:val="22"/>
          <w:szCs w:val="22"/>
          <w:lang w:eastAsia="hr-HR"/>
        </w:rPr>
        <w:t xml:space="preserve">se na </w:t>
      </w:r>
      <w:r w:rsidR="00696D4F" w:rsidRPr="005A35DC">
        <w:rPr>
          <w:rFonts w:ascii="Arial" w:hAnsi="Arial" w:cs="Arial"/>
          <w:color w:val="auto"/>
          <w:sz w:val="22"/>
          <w:szCs w:val="22"/>
          <w:lang w:eastAsia="hr-HR"/>
        </w:rPr>
        <w:t xml:space="preserve">investicijsko društvo </w:t>
      </w:r>
      <w:r w:rsidRPr="005A35DC">
        <w:rPr>
          <w:rFonts w:ascii="Arial" w:hAnsi="Arial" w:cs="Arial"/>
          <w:color w:val="auto"/>
          <w:sz w:val="22"/>
          <w:szCs w:val="22"/>
          <w:lang w:eastAsia="hr-HR"/>
        </w:rPr>
        <w:t>sa sjedištem u Republici Hrvatskoj.</w:t>
      </w:r>
      <w:r w:rsidR="00B07C14" w:rsidRPr="005A35DC">
        <w:rPr>
          <w:rFonts w:ascii="Arial" w:hAnsi="Arial" w:cs="Arial"/>
          <w:color w:val="auto"/>
          <w:sz w:val="22"/>
          <w:szCs w:val="22"/>
          <w:lang w:eastAsia="hr-HR"/>
        </w:rPr>
        <w:t xml:space="preserve"> Na odgovarajući način te se odredbe primjenjuju i na </w:t>
      </w:r>
      <w:r w:rsidR="00696D4F" w:rsidRPr="005A35DC">
        <w:rPr>
          <w:rFonts w:ascii="Arial" w:hAnsi="Arial" w:cs="Arial"/>
          <w:color w:val="auto"/>
          <w:sz w:val="22"/>
          <w:szCs w:val="22"/>
          <w:lang w:eastAsia="hr-HR"/>
        </w:rPr>
        <w:t xml:space="preserve">podružnicu </w:t>
      </w:r>
      <w:r w:rsidR="00B07C14" w:rsidRPr="005A35DC">
        <w:rPr>
          <w:rFonts w:ascii="Arial" w:hAnsi="Arial" w:cs="Arial"/>
          <w:color w:val="auto"/>
          <w:sz w:val="22"/>
          <w:szCs w:val="22"/>
          <w:lang w:eastAsia="hr-HR"/>
        </w:rPr>
        <w:t xml:space="preserve">društava iz </w:t>
      </w:r>
      <w:r w:rsidR="00696D4F" w:rsidRPr="005A35DC">
        <w:rPr>
          <w:rFonts w:ascii="Arial" w:hAnsi="Arial" w:cs="Arial"/>
          <w:color w:val="auto"/>
          <w:sz w:val="22"/>
          <w:szCs w:val="22"/>
          <w:lang w:eastAsia="hr-HR"/>
        </w:rPr>
        <w:t xml:space="preserve">treće zemlje koja je </w:t>
      </w:r>
      <w:r w:rsidR="00B07C14" w:rsidRPr="005A35DC">
        <w:rPr>
          <w:rFonts w:ascii="Arial" w:hAnsi="Arial" w:cs="Arial"/>
          <w:color w:val="auto"/>
          <w:sz w:val="22"/>
          <w:szCs w:val="22"/>
          <w:lang w:eastAsia="hr-HR"/>
        </w:rPr>
        <w:t>od Hanfe dobile odobrenje za rad.</w:t>
      </w:r>
    </w:p>
    <w:p w14:paraId="6416D382" w14:textId="77777777" w:rsidR="00696D4F" w:rsidRPr="005A35DC" w:rsidRDefault="00696D4F" w:rsidP="005A35DC">
      <w:pPr>
        <w:pStyle w:val="Heading2"/>
        <w:rPr>
          <w:rFonts w:ascii="Arial" w:hAnsi="Arial" w:cs="Arial"/>
          <w:color w:val="auto"/>
          <w:sz w:val="22"/>
          <w:szCs w:val="22"/>
          <w:lang w:eastAsia="hr-HR"/>
        </w:rPr>
      </w:pPr>
    </w:p>
    <w:p w14:paraId="39D46624" w14:textId="64AF5281" w:rsidR="00B07C14" w:rsidRPr="005A35DC" w:rsidRDefault="00B07C14" w:rsidP="005A35DC">
      <w:pPr>
        <w:pStyle w:val="Heading2"/>
        <w:rPr>
          <w:rFonts w:ascii="Arial" w:hAnsi="Arial" w:cs="Arial"/>
          <w:color w:val="auto"/>
          <w:sz w:val="22"/>
          <w:szCs w:val="22"/>
          <w:lang w:eastAsia="hr-HR"/>
        </w:rPr>
      </w:pPr>
      <w:r w:rsidRPr="005A35DC">
        <w:rPr>
          <w:rFonts w:ascii="Arial" w:hAnsi="Arial" w:cs="Arial"/>
          <w:color w:val="auto"/>
          <w:sz w:val="22"/>
          <w:szCs w:val="22"/>
          <w:lang w:eastAsia="hr-HR"/>
        </w:rPr>
        <w:t>(2)</w:t>
      </w:r>
      <w:r w:rsidR="004B3102" w:rsidRPr="005A35DC">
        <w:rPr>
          <w:rFonts w:ascii="Arial" w:hAnsi="Arial" w:cs="Arial"/>
          <w:color w:val="auto"/>
          <w:sz w:val="22"/>
          <w:szCs w:val="22"/>
          <w:lang w:eastAsia="hr-HR"/>
        </w:rPr>
        <w:t xml:space="preserve"> O</w:t>
      </w:r>
      <w:r w:rsidR="003265BB" w:rsidRPr="005A35DC">
        <w:rPr>
          <w:rFonts w:ascii="Arial" w:hAnsi="Arial" w:cs="Arial"/>
          <w:color w:val="auto"/>
          <w:sz w:val="22"/>
          <w:szCs w:val="22"/>
          <w:lang w:eastAsia="hr-HR"/>
        </w:rPr>
        <w:t>dredbe članaka 4</w:t>
      </w:r>
      <w:r w:rsidR="00823C4E" w:rsidRPr="005A35DC">
        <w:rPr>
          <w:rFonts w:ascii="Arial" w:hAnsi="Arial" w:cs="Arial"/>
          <w:color w:val="auto"/>
          <w:sz w:val="22"/>
          <w:szCs w:val="22"/>
          <w:lang w:eastAsia="hr-HR"/>
        </w:rPr>
        <w:t>3</w:t>
      </w:r>
      <w:r w:rsidR="003265BB" w:rsidRPr="005A35DC">
        <w:rPr>
          <w:rFonts w:ascii="Arial" w:hAnsi="Arial" w:cs="Arial"/>
          <w:color w:val="auto"/>
          <w:sz w:val="22"/>
          <w:szCs w:val="22"/>
          <w:lang w:eastAsia="hr-HR"/>
        </w:rPr>
        <w:t>. do 5</w:t>
      </w:r>
      <w:r w:rsidR="00823C4E" w:rsidRPr="005A35DC">
        <w:rPr>
          <w:rFonts w:ascii="Arial" w:hAnsi="Arial" w:cs="Arial"/>
          <w:color w:val="auto"/>
          <w:sz w:val="22"/>
          <w:szCs w:val="22"/>
          <w:lang w:eastAsia="hr-HR"/>
        </w:rPr>
        <w:t>1</w:t>
      </w:r>
      <w:r w:rsidRPr="005A35DC">
        <w:rPr>
          <w:rFonts w:ascii="Arial" w:hAnsi="Arial" w:cs="Arial"/>
          <w:color w:val="auto"/>
          <w:sz w:val="22"/>
          <w:szCs w:val="22"/>
          <w:lang w:eastAsia="hr-HR"/>
        </w:rPr>
        <w:t xml:space="preserve">. </w:t>
      </w:r>
      <w:r w:rsidR="004B3102" w:rsidRPr="005A35DC">
        <w:rPr>
          <w:rFonts w:ascii="Arial" w:hAnsi="Arial" w:cs="Arial"/>
          <w:color w:val="auto"/>
          <w:sz w:val="22"/>
          <w:szCs w:val="22"/>
          <w:lang w:eastAsia="hr-HR"/>
        </w:rPr>
        <w:t xml:space="preserve">ovoga Pravilnika </w:t>
      </w:r>
      <w:r w:rsidRPr="005A35DC">
        <w:rPr>
          <w:rFonts w:ascii="Arial" w:hAnsi="Arial" w:cs="Arial"/>
          <w:color w:val="auto"/>
          <w:sz w:val="22"/>
          <w:szCs w:val="22"/>
          <w:lang w:eastAsia="hr-HR"/>
        </w:rPr>
        <w:t>ne primjenjuju se na:</w:t>
      </w:r>
    </w:p>
    <w:p w14:paraId="62B46CA1" w14:textId="77777777" w:rsidR="00696D4F" w:rsidRPr="005A35DC" w:rsidRDefault="00696D4F" w:rsidP="005A35DC">
      <w:pPr>
        <w:pStyle w:val="Heading2"/>
        <w:rPr>
          <w:rFonts w:ascii="Arial" w:hAnsi="Arial" w:cs="Arial"/>
          <w:color w:val="auto"/>
          <w:sz w:val="22"/>
          <w:szCs w:val="22"/>
          <w:lang w:eastAsia="hr-HR"/>
        </w:rPr>
      </w:pPr>
    </w:p>
    <w:p w14:paraId="2DD26C9B" w14:textId="0E864B46" w:rsidR="00B07C14" w:rsidRPr="005A35DC" w:rsidRDefault="00B07C14" w:rsidP="005A35DC">
      <w:pPr>
        <w:pStyle w:val="Heading2"/>
        <w:rPr>
          <w:rFonts w:ascii="Arial" w:hAnsi="Arial" w:cs="Arial"/>
          <w:color w:val="auto"/>
          <w:sz w:val="22"/>
          <w:szCs w:val="22"/>
          <w:lang w:eastAsia="hr-HR"/>
        </w:rPr>
      </w:pPr>
      <w:r w:rsidRPr="005A35DC">
        <w:rPr>
          <w:rFonts w:ascii="Arial" w:hAnsi="Arial" w:cs="Arial"/>
          <w:color w:val="auto"/>
          <w:sz w:val="22"/>
          <w:szCs w:val="22"/>
          <w:lang w:eastAsia="hr-HR"/>
        </w:rPr>
        <w:t xml:space="preserve">1. </w:t>
      </w:r>
      <w:r w:rsidR="00696D4F" w:rsidRPr="005A35DC">
        <w:rPr>
          <w:rFonts w:ascii="Arial" w:hAnsi="Arial" w:cs="Arial"/>
          <w:color w:val="auto"/>
          <w:sz w:val="22"/>
          <w:szCs w:val="22"/>
          <w:lang w:eastAsia="hr-HR"/>
        </w:rPr>
        <w:t xml:space="preserve">investicijsko društvo koje </w:t>
      </w:r>
      <w:r w:rsidRPr="005A35DC">
        <w:rPr>
          <w:rFonts w:ascii="Arial" w:hAnsi="Arial" w:cs="Arial"/>
          <w:color w:val="auto"/>
          <w:sz w:val="22"/>
          <w:szCs w:val="22"/>
          <w:lang w:eastAsia="hr-HR"/>
        </w:rPr>
        <w:t>obavlja jednu ili više investicijskih usluga ili aktivnosti iz članka 5. stavka 1. točaka 1., 2., 4. i 5. Zakona, a nema odobrenje za pružanje pomoćne usluge iz članka 5. stavka 2. točke 1. Zakona i koje nije ovlašteno držati novac i/ili financijske instrumente klijenta,</w:t>
      </w:r>
    </w:p>
    <w:p w14:paraId="4FEA5B8D" w14:textId="77777777" w:rsidR="00696D4F" w:rsidRPr="005A35DC" w:rsidRDefault="00696D4F" w:rsidP="005A35DC">
      <w:pPr>
        <w:pStyle w:val="Heading2"/>
        <w:rPr>
          <w:rFonts w:ascii="Arial" w:hAnsi="Arial" w:cs="Arial"/>
          <w:color w:val="auto"/>
          <w:sz w:val="22"/>
          <w:szCs w:val="22"/>
          <w:lang w:eastAsia="hr-HR"/>
        </w:rPr>
      </w:pPr>
    </w:p>
    <w:p w14:paraId="75F02B58" w14:textId="5B49D788" w:rsidR="00B07C14" w:rsidRPr="005A35DC" w:rsidRDefault="00B07C14" w:rsidP="005A35DC">
      <w:pPr>
        <w:pStyle w:val="Heading2"/>
        <w:rPr>
          <w:rFonts w:ascii="Arial" w:hAnsi="Arial" w:cs="Arial"/>
          <w:color w:val="auto"/>
          <w:sz w:val="22"/>
          <w:szCs w:val="22"/>
          <w:lang w:eastAsia="hr-HR"/>
        </w:rPr>
      </w:pPr>
      <w:r w:rsidRPr="005A35DC">
        <w:rPr>
          <w:rFonts w:ascii="Arial" w:hAnsi="Arial" w:cs="Arial"/>
          <w:color w:val="auto"/>
          <w:sz w:val="22"/>
          <w:szCs w:val="22"/>
          <w:lang w:eastAsia="hr-HR"/>
        </w:rPr>
        <w:t xml:space="preserve">2. </w:t>
      </w:r>
      <w:r w:rsidR="00696D4F" w:rsidRPr="005A35DC">
        <w:rPr>
          <w:rFonts w:ascii="Arial" w:hAnsi="Arial" w:cs="Arial"/>
          <w:color w:val="auto"/>
          <w:sz w:val="22"/>
          <w:szCs w:val="22"/>
          <w:lang w:eastAsia="hr-HR"/>
        </w:rPr>
        <w:t>lokalnu pravnu osobu</w:t>
      </w:r>
      <w:r w:rsidR="004B3102" w:rsidRPr="005A35DC">
        <w:rPr>
          <w:rFonts w:ascii="Arial" w:hAnsi="Arial" w:cs="Arial"/>
          <w:color w:val="auto"/>
          <w:sz w:val="22"/>
          <w:szCs w:val="22"/>
          <w:lang w:eastAsia="hr-HR"/>
        </w:rPr>
        <w:t xml:space="preserve">. </w:t>
      </w:r>
    </w:p>
    <w:p w14:paraId="13620F2A" w14:textId="77777777" w:rsidR="00696D4F" w:rsidRPr="005A35DC" w:rsidRDefault="00696D4F" w:rsidP="005A35DC">
      <w:pPr>
        <w:pStyle w:val="Heading2"/>
        <w:rPr>
          <w:rFonts w:ascii="Arial" w:hAnsi="Arial" w:cs="Arial"/>
          <w:color w:val="auto"/>
          <w:sz w:val="22"/>
          <w:szCs w:val="22"/>
          <w:lang w:eastAsia="hr-HR"/>
        </w:rPr>
      </w:pPr>
    </w:p>
    <w:p w14:paraId="255E0D3E" w14:textId="6D362580" w:rsidR="004B3102" w:rsidRPr="005A35DC" w:rsidRDefault="004B3102" w:rsidP="005A35DC">
      <w:pPr>
        <w:pStyle w:val="Heading2"/>
        <w:rPr>
          <w:rFonts w:ascii="Arial" w:hAnsi="Arial" w:cs="Arial"/>
          <w:color w:val="auto"/>
          <w:sz w:val="22"/>
          <w:szCs w:val="22"/>
          <w:lang w:eastAsia="hr-HR"/>
        </w:rPr>
      </w:pPr>
      <w:r w:rsidRPr="005A35DC">
        <w:rPr>
          <w:rFonts w:ascii="Arial" w:hAnsi="Arial" w:cs="Arial"/>
          <w:color w:val="auto"/>
          <w:sz w:val="22"/>
          <w:szCs w:val="22"/>
          <w:lang w:eastAsia="hr-HR"/>
        </w:rPr>
        <w:t>(3) Iznimno</w:t>
      </w:r>
      <w:r w:rsidR="00696D4F" w:rsidRPr="005A35DC">
        <w:rPr>
          <w:rFonts w:ascii="Arial" w:hAnsi="Arial" w:cs="Arial"/>
          <w:color w:val="auto"/>
          <w:sz w:val="22"/>
          <w:szCs w:val="22"/>
          <w:lang w:eastAsia="hr-HR"/>
        </w:rPr>
        <w:t xml:space="preserve"> od odredbe stavka 2. ovoga članka,</w:t>
      </w:r>
      <w:r w:rsidRPr="005A35DC">
        <w:rPr>
          <w:rFonts w:ascii="Arial" w:hAnsi="Arial" w:cs="Arial"/>
          <w:color w:val="auto"/>
          <w:sz w:val="22"/>
          <w:szCs w:val="22"/>
          <w:lang w:eastAsia="hr-HR"/>
        </w:rPr>
        <w:t xml:space="preserve"> odredbe članaka </w:t>
      </w:r>
      <w:r w:rsidR="003265BB" w:rsidRPr="005A35DC">
        <w:rPr>
          <w:rFonts w:ascii="Arial" w:hAnsi="Arial" w:cs="Arial"/>
          <w:color w:val="auto"/>
          <w:sz w:val="22"/>
          <w:szCs w:val="22"/>
          <w:lang w:eastAsia="hr-HR"/>
        </w:rPr>
        <w:t>4</w:t>
      </w:r>
      <w:r w:rsidR="00823C4E" w:rsidRPr="005A35DC">
        <w:rPr>
          <w:rFonts w:ascii="Arial" w:hAnsi="Arial" w:cs="Arial"/>
          <w:color w:val="auto"/>
          <w:sz w:val="22"/>
          <w:szCs w:val="22"/>
          <w:lang w:eastAsia="hr-HR"/>
        </w:rPr>
        <w:t>3</w:t>
      </w:r>
      <w:r w:rsidRPr="005A35DC">
        <w:rPr>
          <w:rFonts w:ascii="Arial" w:hAnsi="Arial" w:cs="Arial"/>
          <w:color w:val="auto"/>
          <w:sz w:val="22"/>
          <w:szCs w:val="22"/>
          <w:lang w:eastAsia="hr-HR"/>
        </w:rPr>
        <w:t xml:space="preserve">. do </w:t>
      </w:r>
      <w:r w:rsidR="003265BB" w:rsidRPr="005A35DC">
        <w:rPr>
          <w:rFonts w:ascii="Arial" w:hAnsi="Arial" w:cs="Arial"/>
          <w:color w:val="auto"/>
          <w:sz w:val="22"/>
          <w:szCs w:val="22"/>
          <w:lang w:eastAsia="hr-HR"/>
        </w:rPr>
        <w:t>5</w:t>
      </w:r>
      <w:r w:rsidR="00823C4E" w:rsidRPr="005A35DC">
        <w:rPr>
          <w:rFonts w:ascii="Arial" w:hAnsi="Arial" w:cs="Arial"/>
          <w:color w:val="auto"/>
          <w:sz w:val="22"/>
          <w:szCs w:val="22"/>
          <w:lang w:eastAsia="hr-HR"/>
        </w:rPr>
        <w:t>1</w:t>
      </w:r>
      <w:r w:rsidR="008D7E3D" w:rsidRPr="005A35DC">
        <w:rPr>
          <w:rFonts w:ascii="Arial" w:hAnsi="Arial" w:cs="Arial"/>
          <w:color w:val="auto"/>
          <w:sz w:val="22"/>
          <w:szCs w:val="22"/>
          <w:lang w:eastAsia="hr-HR"/>
        </w:rPr>
        <w:t>. ovoga Pravilnika primjenjuju se i na investicijsko društvo iz stavka 2. točke 1. ovog članka koje pruža investicijske usluge iz članka 5. stavka 1. točaka 2. i 4. Zakona.</w:t>
      </w:r>
    </w:p>
    <w:p w14:paraId="71766AC0" w14:textId="35F3C432" w:rsidR="008D7E3D" w:rsidRDefault="008D7E3D" w:rsidP="008D7E3D">
      <w:pPr>
        <w:pStyle w:val="NoSpacing"/>
        <w:jc w:val="both"/>
        <w:rPr>
          <w:rFonts w:ascii="Arial" w:hAnsi="Arial" w:cs="Arial"/>
          <w:lang w:eastAsia="hr-HR"/>
        </w:rPr>
      </w:pPr>
    </w:p>
    <w:p w14:paraId="63BA8DF3" w14:textId="60B6659D" w:rsidR="002A550D" w:rsidRDefault="002A550D" w:rsidP="008D7E3D">
      <w:pPr>
        <w:pStyle w:val="NoSpacing"/>
        <w:jc w:val="both"/>
        <w:rPr>
          <w:rFonts w:ascii="Arial" w:hAnsi="Arial" w:cs="Arial"/>
          <w:lang w:eastAsia="hr-HR"/>
        </w:rPr>
      </w:pPr>
    </w:p>
    <w:p w14:paraId="60D0547E" w14:textId="4A08AC66" w:rsidR="002A550D" w:rsidRPr="005E7E2E" w:rsidRDefault="002A550D" w:rsidP="005E7E2E">
      <w:pPr>
        <w:pStyle w:val="Heading1"/>
        <w:jc w:val="center"/>
        <w:rPr>
          <w:rFonts w:ascii="Arial" w:hAnsi="Arial" w:cs="Arial"/>
          <w:b w:val="0"/>
          <w:sz w:val="22"/>
          <w:szCs w:val="22"/>
        </w:rPr>
      </w:pPr>
      <w:r w:rsidRPr="005E7E2E">
        <w:rPr>
          <w:rFonts w:ascii="Arial" w:hAnsi="Arial" w:cs="Arial"/>
          <w:b w:val="0"/>
          <w:sz w:val="22"/>
          <w:szCs w:val="22"/>
        </w:rPr>
        <w:t>II. POLITIKE I POSTUPCI ZA UPRAVLJANJE RIZICIMA</w:t>
      </w:r>
    </w:p>
    <w:p w14:paraId="49CA9AB3" w14:textId="77777777" w:rsidR="002A550D" w:rsidRPr="002A550D" w:rsidRDefault="002A550D" w:rsidP="002A550D">
      <w:pPr>
        <w:pStyle w:val="NoSpacing"/>
        <w:jc w:val="center"/>
        <w:rPr>
          <w:rFonts w:ascii="Arial" w:hAnsi="Arial" w:cs="Arial"/>
          <w:lang w:eastAsia="hr-HR"/>
        </w:rPr>
      </w:pPr>
    </w:p>
    <w:p w14:paraId="334644DC" w14:textId="77777777" w:rsidR="002A550D" w:rsidRPr="001856F3" w:rsidRDefault="002A550D" w:rsidP="001856F3">
      <w:pPr>
        <w:pStyle w:val="Heading2"/>
        <w:jc w:val="center"/>
        <w:rPr>
          <w:rFonts w:ascii="Arial" w:hAnsi="Arial" w:cs="Arial"/>
          <w:color w:val="auto"/>
          <w:sz w:val="22"/>
          <w:szCs w:val="22"/>
          <w:lang w:eastAsia="hr-HR"/>
        </w:rPr>
      </w:pPr>
      <w:r w:rsidRPr="001856F3">
        <w:rPr>
          <w:rFonts w:ascii="Arial" w:hAnsi="Arial" w:cs="Arial"/>
          <w:color w:val="auto"/>
          <w:sz w:val="22"/>
          <w:szCs w:val="22"/>
          <w:lang w:eastAsia="hr-HR"/>
        </w:rPr>
        <w:t>Politike i postupci za upravljanje tržišnim rizicima</w:t>
      </w:r>
    </w:p>
    <w:p w14:paraId="29CC72A8" w14:textId="73C41FC8" w:rsidR="002A550D" w:rsidRPr="00B838AC" w:rsidRDefault="002A550D" w:rsidP="00B838AC">
      <w:pPr>
        <w:pStyle w:val="Heading3"/>
        <w:jc w:val="center"/>
        <w:rPr>
          <w:rFonts w:ascii="Arial" w:hAnsi="Arial" w:cs="Arial"/>
          <w:color w:val="auto"/>
          <w:sz w:val="22"/>
          <w:szCs w:val="22"/>
          <w:lang w:eastAsia="hr-HR"/>
        </w:rPr>
      </w:pPr>
      <w:r w:rsidRPr="00B838AC">
        <w:rPr>
          <w:rFonts w:ascii="Arial" w:hAnsi="Arial" w:cs="Arial"/>
          <w:color w:val="auto"/>
          <w:sz w:val="22"/>
          <w:szCs w:val="22"/>
          <w:lang w:eastAsia="hr-HR"/>
        </w:rPr>
        <w:t>Članak 4.</w:t>
      </w:r>
    </w:p>
    <w:p w14:paraId="15EDD650" w14:textId="77777777" w:rsidR="002A550D" w:rsidRPr="00B838AC" w:rsidRDefault="002A550D" w:rsidP="00B838AC">
      <w:pPr>
        <w:pStyle w:val="Heading3"/>
        <w:jc w:val="both"/>
        <w:rPr>
          <w:rFonts w:ascii="Arial" w:hAnsi="Arial" w:cs="Arial"/>
          <w:color w:val="auto"/>
          <w:sz w:val="22"/>
          <w:szCs w:val="22"/>
          <w:lang w:eastAsia="hr-HR"/>
        </w:rPr>
      </w:pPr>
    </w:p>
    <w:p w14:paraId="23575C7E" w14:textId="436DCB60" w:rsidR="002A550D" w:rsidRPr="00B838AC" w:rsidRDefault="002A550D" w:rsidP="00B838AC">
      <w:pPr>
        <w:pStyle w:val="Heading3"/>
        <w:jc w:val="both"/>
        <w:rPr>
          <w:rFonts w:ascii="Arial" w:hAnsi="Arial" w:cs="Arial"/>
          <w:color w:val="auto"/>
          <w:sz w:val="22"/>
          <w:szCs w:val="22"/>
          <w:lang w:eastAsia="hr-HR"/>
        </w:rPr>
      </w:pPr>
      <w:r w:rsidRPr="00B838AC">
        <w:rPr>
          <w:rFonts w:ascii="Arial" w:hAnsi="Arial" w:cs="Arial"/>
          <w:color w:val="auto"/>
          <w:sz w:val="22"/>
          <w:szCs w:val="22"/>
          <w:lang w:eastAsia="hr-HR"/>
        </w:rPr>
        <w:t>(1) Investicijsko društvo dužno je izraditi i primjenjivati odgovarajuće politike i postupke mjerenja i upravljanja svim značajnim čimbenicima i učincima tržišnih rizika.</w:t>
      </w:r>
    </w:p>
    <w:p w14:paraId="3C220FA8" w14:textId="77777777" w:rsidR="00593F13" w:rsidRPr="00B838AC" w:rsidRDefault="00593F13" w:rsidP="00B838AC">
      <w:pPr>
        <w:pStyle w:val="Heading3"/>
        <w:jc w:val="both"/>
        <w:rPr>
          <w:rFonts w:ascii="Arial" w:hAnsi="Arial" w:cs="Arial"/>
          <w:color w:val="auto"/>
          <w:sz w:val="22"/>
          <w:szCs w:val="22"/>
          <w:lang w:eastAsia="hr-HR"/>
        </w:rPr>
      </w:pPr>
    </w:p>
    <w:p w14:paraId="69840FDC" w14:textId="7FCA999A" w:rsidR="002A550D" w:rsidRPr="00B838AC" w:rsidRDefault="002A550D" w:rsidP="00B838AC">
      <w:pPr>
        <w:pStyle w:val="Heading3"/>
        <w:jc w:val="both"/>
        <w:rPr>
          <w:rFonts w:ascii="Arial" w:hAnsi="Arial" w:cs="Arial"/>
          <w:color w:val="auto"/>
          <w:sz w:val="22"/>
          <w:szCs w:val="22"/>
          <w:lang w:eastAsia="hr-HR"/>
        </w:rPr>
      </w:pPr>
      <w:r w:rsidRPr="00B838AC">
        <w:rPr>
          <w:rFonts w:ascii="Arial" w:hAnsi="Arial" w:cs="Arial"/>
          <w:color w:val="auto"/>
          <w:sz w:val="22"/>
          <w:szCs w:val="22"/>
          <w:lang w:eastAsia="hr-HR"/>
        </w:rPr>
        <w:t>(2) Investicijsko društvo dužno je politikama i postupcima iz stavka 1. ovog članka minimalno propisati uključivanje pozicija u knjigu trgovanja, aktivno upravljanje pozicijama u knjizi trgovanja i sustav vrednovanja pozicija u knjizi trgovanja.</w:t>
      </w:r>
    </w:p>
    <w:p w14:paraId="003D4793" w14:textId="77777777" w:rsidR="00593F13" w:rsidRPr="00B838AC" w:rsidRDefault="00593F13" w:rsidP="00B838AC">
      <w:pPr>
        <w:pStyle w:val="Heading3"/>
        <w:jc w:val="both"/>
        <w:rPr>
          <w:rFonts w:ascii="Arial" w:hAnsi="Arial" w:cs="Arial"/>
          <w:color w:val="auto"/>
          <w:sz w:val="22"/>
          <w:szCs w:val="22"/>
          <w:lang w:eastAsia="hr-HR"/>
        </w:rPr>
      </w:pPr>
    </w:p>
    <w:p w14:paraId="0A614CB5" w14:textId="08331B08" w:rsidR="002A550D" w:rsidRPr="00B838AC" w:rsidRDefault="002A550D" w:rsidP="00B838AC">
      <w:pPr>
        <w:pStyle w:val="Heading3"/>
        <w:jc w:val="both"/>
        <w:rPr>
          <w:rFonts w:ascii="Arial" w:hAnsi="Arial" w:cs="Arial"/>
          <w:color w:val="auto"/>
          <w:sz w:val="22"/>
          <w:szCs w:val="22"/>
          <w:lang w:eastAsia="hr-HR"/>
        </w:rPr>
      </w:pPr>
      <w:r w:rsidRPr="00B838AC">
        <w:rPr>
          <w:rFonts w:ascii="Arial" w:hAnsi="Arial" w:cs="Arial"/>
          <w:color w:val="auto"/>
          <w:sz w:val="22"/>
          <w:szCs w:val="22"/>
          <w:lang w:eastAsia="hr-HR"/>
        </w:rPr>
        <w:t>(3) Kada kratka pozicija dospijeva prije duge pozicije investicijsko društvo dužno je poduzeti mjere za zaštitu od rizika manjka likvidnosti.</w:t>
      </w:r>
    </w:p>
    <w:p w14:paraId="43D28356" w14:textId="77777777" w:rsidR="00593F13" w:rsidRPr="00B838AC" w:rsidRDefault="00593F13" w:rsidP="00B838AC">
      <w:pPr>
        <w:pStyle w:val="Heading3"/>
        <w:jc w:val="both"/>
        <w:rPr>
          <w:rFonts w:ascii="Arial" w:hAnsi="Arial" w:cs="Arial"/>
          <w:color w:val="auto"/>
          <w:sz w:val="22"/>
          <w:szCs w:val="22"/>
          <w:lang w:eastAsia="hr-HR"/>
        </w:rPr>
      </w:pPr>
    </w:p>
    <w:p w14:paraId="51C870CD" w14:textId="017A9AC3" w:rsidR="002A550D" w:rsidRPr="00B838AC" w:rsidRDefault="002A550D" w:rsidP="00B838AC">
      <w:pPr>
        <w:pStyle w:val="Heading3"/>
        <w:jc w:val="both"/>
        <w:rPr>
          <w:rFonts w:ascii="Arial" w:hAnsi="Arial" w:cs="Arial"/>
          <w:color w:val="auto"/>
          <w:sz w:val="22"/>
          <w:szCs w:val="22"/>
          <w:lang w:eastAsia="hr-HR"/>
        </w:rPr>
      </w:pPr>
      <w:r w:rsidRPr="00B838AC">
        <w:rPr>
          <w:rFonts w:ascii="Arial" w:hAnsi="Arial" w:cs="Arial"/>
          <w:color w:val="auto"/>
          <w:sz w:val="22"/>
          <w:szCs w:val="22"/>
          <w:lang w:eastAsia="hr-HR"/>
        </w:rPr>
        <w:t>(4) Interni kapital investicijskog društva mora biti primjeren značajnim tržišnim rizicima na koje se ne odnose kapitalni zahtjevi.</w:t>
      </w:r>
    </w:p>
    <w:p w14:paraId="119C5965" w14:textId="77777777" w:rsidR="002A550D" w:rsidRPr="00B838AC" w:rsidRDefault="002A550D" w:rsidP="002A550D">
      <w:pPr>
        <w:pStyle w:val="NoSpacing"/>
        <w:jc w:val="both"/>
        <w:rPr>
          <w:rFonts w:ascii="Arial" w:hAnsi="Arial" w:cs="Arial"/>
          <w:lang w:eastAsia="hr-HR"/>
        </w:rPr>
      </w:pPr>
    </w:p>
    <w:p w14:paraId="361E20E7" w14:textId="77777777" w:rsidR="002A550D" w:rsidRPr="00244C66" w:rsidRDefault="002A550D" w:rsidP="00244C66">
      <w:pPr>
        <w:pStyle w:val="Heading1"/>
        <w:jc w:val="center"/>
        <w:rPr>
          <w:rFonts w:ascii="Arial" w:hAnsi="Arial" w:cs="Arial"/>
          <w:b w:val="0"/>
          <w:sz w:val="22"/>
          <w:szCs w:val="22"/>
        </w:rPr>
      </w:pPr>
      <w:r w:rsidRPr="00244C66">
        <w:rPr>
          <w:rFonts w:ascii="Arial" w:hAnsi="Arial" w:cs="Arial"/>
          <w:b w:val="0"/>
          <w:sz w:val="22"/>
          <w:szCs w:val="22"/>
        </w:rPr>
        <w:lastRenderedPageBreak/>
        <w:t>Politike i postupci za upravljanje operativnim rizikom</w:t>
      </w:r>
    </w:p>
    <w:p w14:paraId="3CE11403" w14:textId="5A3E8556" w:rsidR="002A550D" w:rsidRPr="00244C66" w:rsidRDefault="002A550D" w:rsidP="00244C66">
      <w:pPr>
        <w:pStyle w:val="Heading2"/>
        <w:jc w:val="center"/>
        <w:rPr>
          <w:rFonts w:ascii="Arial" w:hAnsi="Arial" w:cs="Arial"/>
          <w:color w:val="auto"/>
          <w:sz w:val="22"/>
          <w:szCs w:val="22"/>
          <w:lang w:eastAsia="hr-HR"/>
        </w:rPr>
      </w:pPr>
      <w:r w:rsidRPr="00244C66">
        <w:rPr>
          <w:rFonts w:ascii="Arial" w:hAnsi="Arial" w:cs="Arial"/>
          <w:color w:val="auto"/>
          <w:sz w:val="22"/>
          <w:szCs w:val="22"/>
          <w:lang w:eastAsia="hr-HR"/>
        </w:rPr>
        <w:t>Članak 5.</w:t>
      </w:r>
    </w:p>
    <w:p w14:paraId="0C440944" w14:textId="77777777" w:rsidR="002A550D" w:rsidRPr="00244C66" w:rsidRDefault="002A550D" w:rsidP="00244C66">
      <w:pPr>
        <w:pStyle w:val="Heading2"/>
        <w:rPr>
          <w:rFonts w:ascii="Arial" w:hAnsi="Arial" w:cs="Arial"/>
          <w:color w:val="auto"/>
          <w:sz w:val="22"/>
          <w:szCs w:val="22"/>
          <w:lang w:eastAsia="hr-HR"/>
        </w:rPr>
      </w:pPr>
    </w:p>
    <w:p w14:paraId="21C9859E" w14:textId="037026C6" w:rsidR="002A550D" w:rsidRPr="006D03D7" w:rsidRDefault="002A550D" w:rsidP="006D03D7">
      <w:pPr>
        <w:pStyle w:val="Heading3"/>
        <w:jc w:val="both"/>
        <w:rPr>
          <w:rFonts w:ascii="Arial" w:hAnsi="Arial" w:cs="Arial"/>
          <w:color w:val="auto"/>
          <w:sz w:val="22"/>
          <w:szCs w:val="22"/>
          <w:lang w:eastAsia="hr-HR"/>
        </w:rPr>
      </w:pPr>
      <w:r w:rsidRPr="00111BCF">
        <w:rPr>
          <w:rFonts w:ascii="Arial" w:hAnsi="Arial" w:cs="Arial"/>
          <w:color w:val="auto"/>
          <w:sz w:val="22"/>
          <w:szCs w:val="22"/>
        </w:rPr>
        <w:t>(1) Investicijsko</w:t>
      </w:r>
      <w:r w:rsidRPr="00111BCF">
        <w:rPr>
          <w:rFonts w:ascii="Arial" w:hAnsi="Arial" w:cs="Arial"/>
          <w:color w:val="auto"/>
          <w:sz w:val="22"/>
          <w:szCs w:val="22"/>
          <w:lang w:eastAsia="hr-HR"/>
        </w:rPr>
        <w:t xml:space="preserve"> društvo</w:t>
      </w:r>
      <w:r w:rsidRPr="006D03D7">
        <w:rPr>
          <w:rFonts w:ascii="Arial" w:hAnsi="Arial" w:cs="Arial"/>
          <w:color w:val="auto"/>
          <w:sz w:val="22"/>
          <w:szCs w:val="22"/>
          <w:lang w:eastAsia="hr-HR"/>
        </w:rPr>
        <w:t xml:space="preserve"> dužno je izraditi i primjenjivati odgovarajuće politike i postupke za mjerenje i upravljanje operativnim rizikom uključujući i događaje koji nisu česti, ali imaju značajan utjecaj i odrediti što za njih čini operativni rizik u smislu tih politika i postupaka, a u skladu s definicijom iz Zakona.</w:t>
      </w:r>
    </w:p>
    <w:p w14:paraId="6F436F93" w14:textId="77777777" w:rsidR="00593F13" w:rsidRPr="006D03D7" w:rsidRDefault="00593F13" w:rsidP="006D03D7">
      <w:pPr>
        <w:pStyle w:val="Heading3"/>
        <w:jc w:val="both"/>
        <w:rPr>
          <w:rFonts w:ascii="Arial" w:hAnsi="Arial" w:cs="Arial"/>
          <w:color w:val="auto"/>
          <w:sz w:val="22"/>
          <w:szCs w:val="22"/>
          <w:lang w:eastAsia="hr-HR"/>
        </w:rPr>
      </w:pPr>
    </w:p>
    <w:p w14:paraId="4B17BFA9" w14:textId="5D3E60FA" w:rsidR="002A550D" w:rsidRPr="006D03D7" w:rsidRDefault="002A550D" w:rsidP="006D03D7">
      <w:pPr>
        <w:pStyle w:val="Heading3"/>
        <w:jc w:val="both"/>
        <w:rPr>
          <w:rFonts w:ascii="Arial" w:hAnsi="Arial" w:cs="Arial"/>
          <w:color w:val="auto"/>
          <w:sz w:val="22"/>
          <w:szCs w:val="22"/>
          <w:lang w:eastAsia="hr-HR"/>
        </w:rPr>
      </w:pPr>
      <w:r w:rsidRPr="006D03D7">
        <w:rPr>
          <w:rFonts w:ascii="Arial" w:hAnsi="Arial" w:cs="Arial"/>
          <w:color w:val="auto"/>
          <w:sz w:val="22"/>
          <w:szCs w:val="22"/>
          <w:lang w:eastAsia="hr-HR"/>
        </w:rPr>
        <w:t xml:space="preserve">(2) Investicijsko društvo dužno je usvojiti plan </w:t>
      </w:r>
      <w:r w:rsidR="00334B37" w:rsidRPr="006D03D7">
        <w:rPr>
          <w:rFonts w:ascii="Arial" w:hAnsi="Arial" w:cs="Arial"/>
          <w:color w:val="auto"/>
          <w:sz w:val="22"/>
          <w:szCs w:val="22"/>
          <w:lang w:eastAsia="hr-HR"/>
        </w:rPr>
        <w:t>postupanja u kriznim situacijama i plan kontinuiteta poslovanja</w:t>
      </w:r>
      <w:r w:rsidRPr="006D03D7">
        <w:rPr>
          <w:rFonts w:ascii="Arial" w:hAnsi="Arial" w:cs="Arial"/>
          <w:color w:val="auto"/>
          <w:sz w:val="22"/>
          <w:szCs w:val="22"/>
          <w:lang w:eastAsia="hr-HR"/>
        </w:rPr>
        <w:t>, kojima se osigurava kontinuitet poslovanja i ograničavanje gubitaka u slučajevima značajnijeg narušavanja ili prekida poslovanja.</w:t>
      </w:r>
    </w:p>
    <w:p w14:paraId="3BE0BB3D" w14:textId="77777777" w:rsidR="00593F13" w:rsidRPr="006D03D7" w:rsidRDefault="00593F13" w:rsidP="006D03D7">
      <w:pPr>
        <w:pStyle w:val="Heading3"/>
        <w:jc w:val="both"/>
        <w:rPr>
          <w:rFonts w:ascii="Arial" w:hAnsi="Arial" w:cs="Arial"/>
          <w:color w:val="auto"/>
          <w:sz w:val="22"/>
          <w:szCs w:val="22"/>
          <w:lang w:eastAsia="hr-HR"/>
        </w:rPr>
      </w:pPr>
    </w:p>
    <w:p w14:paraId="69209840" w14:textId="5ACB49C9" w:rsidR="002A550D" w:rsidRPr="006D03D7" w:rsidRDefault="002A550D" w:rsidP="006D03D7">
      <w:pPr>
        <w:pStyle w:val="Heading3"/>
        <w:jc w:val="both"/>
        <w:rPr>
          <w:rFonts w:ascii="Arial" w:hAnsi="Arial" w:cs="Arial"/>
          <w:color w:val="auto"/>
          <w:sz w:val="22"/>
          <w:szCs w:val="22"/>
          <w:lang w:eastAsia="hr-HR"/>
        </w:rPr>
      </w:pPr>
      <w:r w:rsidRPr="006D03D7">
        <w:rPr>
          <w:rFonts w:ascii="Arial" w:hAnsi="Arial" w:cs="Arial"/>
          <w:color w:val="auto"/>
          <w:sz w:val="22"/>
          <w:szCs w:val="22"/>
          <w:lang w:eastAsia="hr-HR"/>
        </w:rPr>
        <w:t>(3) Planovi iz stavka 2. ovoga članka moraju biti primjereni značaju društva, pri čemu će Hanfa uzimati u obzir, između ostalog, veličinu društva, poslovni model, povezanost s drugim investicijskim društvima i utjecaj na financijski sustav u cjelini.</w:t>
      </w:r>
    </w:p>
    <w:p w14:paraId="227DB1A2" w14:textId="77777777" w:rsidR="002A550D" w:rsidRPr="002A550D" w:rsidRDefault="002A550D" w:rsidP="002A550D">
      <w:pPr>
        <w:pStyle w:val="NoSpacing"/>
        <w:jc w:val="both"/>
        <w:rPr>
          <w:rFonts w:ascii="Arial" w:hAnsi="Arial" w:cs="Arial"/>
          <w:lang w:eastAsia="hr-HR"/>
        </w:rPr>
      </w:pPr>
    </w:p>
    <w:p w14:paraId="4B145A49" w14:textId="77777777" w:rsidR="002A550D" w:rsidRPr="002D294D" w:rsidRDefault="002A550D" w:rsidP="002D294D">
      <w:pPr>
        <w:pStyle w:val="Heading1"/>
        <w:jc w:val="center"/>
        <w:rPr>
          <w:rFonts w:ascii="Arial" w:hAnsi="Arial" w:cs="Arial"/>
          <w:b w:val="0"/>
          <w:sz w:val="22"/>
          <w:szCs w:val="22"/>
        </w:rPr>
      </w:pPr>
      <w:r w:rsidRPr="002D294D">
        <w:rPr>
          <w:rFonts w:ascii="Arial" w:hAnsi="Arial" w:cs="Arial"/>
          <w:b w:val="0"/>
          <w:sz w:val="22"/>
          <w:szCs w:val="22"/>
        </w:rPr>
        <w:t>Politike i postupci za upravljanje kreditnim rizikom</w:t>
      </w:r>
    </w:p>
    <w:p w14:paraId="66D87277" w14:textId="5DA488A0" w:rsidR="002A550D" w:rsidRPr="002D294D" w:rsidRDefault="002A550D" w:rsidP="002D294D">
      <w:pPr>
        <w:pStyle w:val="Heading2"/>
        <w:jc w:val="center"/>
        <w:rPr>
          <w:rFonts w:ascii="Arial" w:hAnsi="Arial" w:cs="Arial"/>
          <w:color w:val="auto"/>
          <w:sz w:val="22"/>
          <w:szCs w:val="22"/>
          <w:lang w:eastAsia="hr-HR"/>
        </w:rPr>
      </w:pPr>
      <w:r w:rsidRPr="002D294D">
        <w:rPr>
          <w:rFonts w:ascii="Arial" w:hAnsi="Arial" w:cs="Arial"/>
          <w:color w:val="auto"/>
          <w:sz w:val="22"/>
          <w:szCs w:val="22"/>
          <w:lang w:eastAsia="hr-HR"/>
        </w:rPr>
        <w:t>Članak 6.</w:t>
      </w:r>
    </w:p>
    <w:p w14:paraId="78A5E2CA" w14:textId="77777777" w:rsidR="002A550D" w:rsidRPr="002D294D" w:rsidRDefault="002A550D" w:rsidP="002D294D">
      <w:pPr>
        <w:pStyle w:val="Heading2"/>
        <w:jc w:val="both"/>
        <w:rPr>
          <w:rFonts w:ascii="Arial" w:hAnsi="Arial" w:cs="Arial"/>
          <w:color w:val="auto"/>
          <w:sz w:val="22"/>
          <w:szCs w:val="22"/>
          <w:lang w:eastAsia="hr-HR"/>
        </w:rPr>
      </w:pPr>
    </w:p>
    <w:p w14:paraId="18AC382B" w14:textId="73CF0E4D" w:rsidR="002A550D" w:rsidRPr="00CD0C6F" w:rsidRDefault="002A550D" w:rsidP="00CD0C6F">
      <w:pPr>
        <w:pStyle w:val="Heading3"/>
        <w:rPr>
          <w:rFonts w:ascii="Arial" w:hAnsi="Arial" w:cs="Arial"/>
          <w:color w:val="auto"/>
          <w:sz w:val="22"/>
          <w:szCs w:val="22"/>
          <w:lang w:eastAsia="hr-HR"/>
        </w:rPr>
      </w:pPr>
      <w:r w:rsidRPr="00CD0C6F">
        <w:rPr>
          <w:rFonts w:ascii="Arial" w:hAnsi="Arial" w:cs="Arial"/>
          <w:color w:val="auto"/>
          <w:sz w:val="22"/>
          <w:szCs w:val="22"/>
          <w:lang w:eastAsia="hr-HR"/>
        </w:rPr>
        <w:t>(1) Investicijsko društvo dužno je izraditi i primjenjivati odgovarajuće politike i postupke za upravljanje kreditnim rizikom.</w:t>
      </w:r>
    </w:p>
    <w:p w14:paraId="7C585075" w14:textId="77777777" w:rsidR="00593F13" w:rsidRPr="00CD0C6F" w:rsidRDefault="00593F13" w:rsidP="00CD0C6F">
      <w:pPr>
        <w:pStyle w:val="Heading3"/>
        <w:rPr>
          <w:rFonts w:ascii="Arial" w:hAnsi="Arial" w:cs="Arial"/>
          <w:color w:val="auto"/>
          <w:sz w:val="22"/>
          <w:szCs w:val="22"/>
          <w:lang w:eastAsia="hr-HR"/>
        </w:rPr>
      </w:pPr>
    </w:p>
    <w:p w14:paraId="21F3838B" w14:textId="0C32C446" w:rsidR="002A550D" w:rsidRPr="00CD0C6F" w:rsidRDefault="002A550D" w:rsidP="00CD0C6F">
      <w:pPr>
        <w:pStyle w:val="Heading3"/>
        <w:rPr>
          <w:rFonts w:ascii="Arial" w:hAnsi="Arial" w:cs="Arial"/>
          <w:color w:val="auto"/>
          <w:sz w:val="22"/>
          <w:szCs w:val="22"/>
          <w:lang w:eastAsia="hr-HR"/>
        </w:rPr>
      </w:pPr>
      <w:r w:rsidRPr="00CD0C6F">
        <w:rPr>
          <w:rFonts w:ascii="Arial" w:hAnsi="Arial" w:cs="Arial"/>
          <w:color w:val="auto"/>
          <w:sz w:val="22"/>
          <w:szCs w:val="22"/>
          <w:lang w:eastAsia="hr-HR"/>
        </w:rPr>
        <w:t>(2) Investicijsko društvo dužno je donositi odluke o odobravanju kredita na temelju primjerenih i jasno definiranih kriterija te definirati postupke odlučivanja o odobravanju, promjenama, obnavljanju i refinanciranju kredita.</w:t>
      </w:r>
    </w:p>
    <w:p w14:paraId="12A07325" w14:textId="77777777" w:rsidR="00962399" w:rsidRPr="00CD0C6F" w:rsidRDefault="00962399" w:rsidP="00CD0C6F">
      <w:pPr>
        <w:pStyle w:val="Heading3"/>
        <w:rPr>
          <w:rFonts w:ascii="Arial" w:hAnsi="Arial" w:cs="Arial"/>
          <w:color w:val="auto"/>
          <w:sz w:val="22"/>
          <w:szCs w:val="22"/>
          <w:lang w:eastAsia="hr-HR"/>
        </w:rPr>
      </w:pPr>
    </w:p>
    <w:p w14:paraId="160A2EA2" w14:textId="7095713D" w:rsidR="002A550D" w:rsidRPr="00CD0C6F" w:rsidRDefault="002A550D" w:rsidP="00CD0C6F">
      <w:pPr>
        <w:pStyle w:val="Heading3"/>
        <w:rPr>
          <w:rFonts w:ascii="Arial" w:hAnsi="Arial" w:cs="Arial"/>
          <w:color w:val="auto"/>
          <w:sz w:val="22"/>
          <w:szCs w:val="22"/>
          <w:lang w:eastAsia="hr-HR"/>
        </w:rPr>
      </w:pPr>
      <w:r w:rsidRPr="00CD0C6F">
        <w:rPr>
          <w:rFonts w:ascii="Arial" w:hAnsi="Arial" w:cs="Arial"/>
          <w:color w:val="auto"/>
          <w:sz w:val="22"/>
          <w:szCs w:val="22"/>
          <w:lang w:eastAsia="hr-HR"/>
        </w:rPr>
        <w:t xml:space="preserve">(3) Investicijsko društvo dužno je uspostaviti i provoditi primjeren i učinkovit sustav upravljanja i kontinuiranog praćenja portfelja i pojedinačnih izloženosti koje nose kreditni rizik, uključujući prepoznavanje i upravljanje problematičnim kreditima te provoditi odgovarajuća vrijednosna usklađenja i rezervacije. </w:t>
      </w:r>
    </w:p>
    <w:p w14:paraId="1CE82687" w14:textId="1C71FF5C" w:rsidR="002A550D" w:rsidRPr="002D294D" w:rsidRDefault="002A550D" w:rsidP="002D294D">
      <w:pPr>
        <w:pStyle w:val="Heading2"/>
        <w:jc w:val="both"/>
        <w:rPr>
          <w:rFonts w:ascii="Arial" w:hAnsi="Arial" w:cs="Arial"/>
          <w:color w:val="auto"/>
          <w:sz w:val="22"/>
          <w:szCs w:val="22"/>
          <w:lang w:eastAsia="hr-HR"/>
        </w:rPr>
      </w:pPr>
    </w:p>
    <w:p w14:paraId="111AD8D8" w14:textId="77777777" w:rsidR="002A550D" w:rsidRPr="00C17803" w:rsidRDefault="002A550D" w:rsidP="00C17803">
      <w:pPr>
        <w:pStyle w:val="Heading1"/>
        <w:jc w:val="center"/>
        <w:rPr>
          <w:rFonts w:ascii="Arial" w:hAnsi="Arial" w:cs="Arial"/>
          <w:b w:val="0"/>
          <w:sz w:val="22"/>
          <w:szCs w:val="22"/>
        </w:rPr>
      </w:pPr>
      <w:r w:rsidRPr="00C17803">
        <w:rPr>
          <w:rFonts w:ascii="Arial" w:hAnsi="Arial" w:cs="Arial"/>
          <w:b w:val="0"/>
          <w:sz w:val="22"/>
          <w:szCs w:val="22"/>
        </w:rPr>
        <w:t>Politike i postupci za upravljanje rizikom likvidnosti</w:t>
      </w:r>
    </w:p>
    <w:p w14:paraId="4DFD9B1A" w14:textId="2947FD79" w:rsidR="002A550D" w:rsidRPr="007900BE" w:rsidRDefault="002A550D" w:rsidP="00303BC8">
      <w:pPr>
        <w:pStyle w:val="Heading2"/>
        <w:jc w:val="center"/>
        <w:rPr>
          <w:rFonts w:ascii="Arial" w:hAnsi="Arial" w:cs="Arial"/>
          <w:color w:val="auto"/>
          <w:sz w:val="22"/>
          <w:szCs w:val="22"/>
          <w:lang w:eastAsia="hr-HR"/>
        </w:rPr>
      </w:pPr>
      <w:r w:rsidRPr="007900BE">
        <w:rPr>
          <w:rFonts w:ascii="Arial" w:hAnsi="Arial" w:cs="Arial"/>
          <w:color w:val="auto"/>
          <w:sz w:val="22"/>
          <w:szCs w:val="22"/>
          <w:lang w:eastAsia="hr-HR"/>
        </w:rPr>
        <w:lastRenderedPageBreak/>
        <w:t>Članak 7.</w:t>
      </w:r>
    </w:p>
    <w:p w14:paraId="690E3797" w14:textId="77777777" w:rsidR="002A550D" w:rsidRPr="007900BE" w:rsidRDefault="002A550D" w:rsidP="007900BE">
      <w:pPr>
        <w:pStyle w:val="Heading2"/>
        <w:jc w:val="both"/>
        <w:rPr>
          <w:rFonts w:ascii="Arial" w:hAnsi="Arial" w:cs="Arial"/>
          <w:color w:val="auto"/>
          <w:sz w:val="22"/>
          <w:szCs w:val="22"/>
          <w:lang w:eastAsia="hr-HR"/>
        </w:rPr>
      </w:pPr>
    </w:p>
    <w:p w14:paraId="15341CF9" w14:textId="2E0FD913" w:rsidR="002A550D" w:rsidRPr="007900BE" w:rsidRDefault="002A550D"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(1) Investicijsko društvo dužno je izraditi i primjenjivati politike i postupke kontinuiranog mjerenja i upravljanja rizikom likvidnosti, redovito revidirati ispravnost postavki na kojima se temelji sustav za upravljanje rizikom likvidnosti, upravljati tekućim i budućim novčanim priljevima i odljevima te usvojiti planove postupanja u situacijama krize likvidnosti.</w:t>
      </w:r>
    </w:p>
    <w:p w14:paraId="3F3FAFA7" w14:textId="77777777" w:rsidR="00593F13" w:rsidRPr="007900BE" w:rsidRDefault="00593F13" w:rsidP="007900BE">
      <w:pPr>
        <w:pStyle w:val="Heading2"/>
        <w:jc w:val="both"/>
        <w:rPr>
          <w:rFonts w:ascii="Arial" w:hAnsi="Arial" w:cs="Arial"/>
          <w:color w:val="auto"/>
          <w:sz w:val="22"/>
          <w:szCs w:val="22"/>
          <w:lang w:eastAsia="hr-HR"/>
        </w:rPr>
      </w:pPr>
    </w:p>
    <w:p w14:paraId="0B483ED9" w14:textId="22A0A138" w:rsidR="002A550D" w:rsidRPr="007900BE" w:rsidRDefault="002A550D"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(2) Investicijsko društvo dužno je upravljati odnosno utvrđivati, mjeriti i pratiti rizik likvidnosti tijekom odgovarajućeg razdoblja kao i na svakodnevnoj razini, kako bi osiguralo održavanje odgovarajuće razine rezervi likvidnosti. Te strategije, politike, procesi i sustavi procjenjuju se u odnosu na poslovne linije, valute, podružnice i pravne subjekte te moraju uključivati odgovarajuće mehanizme raspodjele troškova likvidnosti, koristi i rizika.</w:t>
      </w:r>
    </w:p>
    <w:p w14:paraId="2AF65ED4" w14:textId="77777777" w:rsidR="00593F13" w:rsidRPr="007900BE" w:rsidRDefault="00593F13" w:rsidP="007900BE">
      <w:pPr>
        <w:pStyle w:val="Heading2"/>
        <w:jc w:val="both"/>
        <w:rPr>
          <w:rFonts w:ascii="Arial" w:hAnsi="Arial" w:cs="Arial"/>
          <w:color w:val="auto"/>
          <w:sz w:val="22"/>
          <w:szCs w:val="22"/>
          <w:lang w:eastAsia="hr-HR"/>
        </w:rPr>
      </w:pPr>
    </w:p>
    <w:p w14:paraId="6D9FBBC2" w14:textId="58D328ED" w:rsidR="002A550D" w:rsidRPr="007900BE" w:rsidRDefault="002A550D"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(3) Politike i postupci kontinuiranog mjerenja i upravljanja rizikom likvidnosti iz stavka 1. ovoga članka moraju biti razmjerni vrsti, opsegu i složenosti poslovanja, profilu rizičnosti investicijskog društva i toleranciji rizika koju određuje uprava te odražavati značaj društva u svakoj državi članici u kojoj ona posluje.</w:t>
      </w:r>
    </w:p>
    <w:p w14:paraId="0E98DEF3" w14:textId="77777777" w:rsidR="00593F13" w:rsidRPr="007900BE" w:rsidRDefault="00593F13" w:rsidP="007900BE">
      <w:pPr>
        <w:pStyle w:val="Heading2"/>
        <w:jc w:val="both"/>
        <w:rPr>
          <w:rFonts w:ascii="Arial" w:hAnsi="Arial" w:cs="Arial"/>
          <w:color w:val="auto"/>
          <w:sz w:val="22"/>
          <w:szCs w:val="22"/>
          <w:lang w:eastAsia="hr-HR"/>
        </w:rPr>
      </w:pPr>
    </w:p>
    <w:p w14:paraId="23F2F2C5" w14:textId="3407B484" w:rsidR="002A550D" w:rsidRPr="007900BE" w:rsidRDefault="002A550D"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(4) Investicijsko društvo dužno je razmjerno vrsti, opsegu i složenosti poslovanja, imati jasno definiran profil rizika likvidnosti koji osigurava robusnost sustava.</w:t>
      </w:r>
    </w:p>
    <w:p w14:paraId="200A348C" w14:textId="77777777" w:rsidR="00593F13" w:rsidRPr="007900BE" w:rsidRDefault="00593F13" w:rsidP="007900BE">
      <w:pPr>
        <w:pStyle w:val="Heading2"/>
        <w:jc w:val="both"/>
        <w:rPr>
          <w:rFonts w:ascii="Arial" w:hAnsi="Arial" w:cs="Arial"/>
          <w:color w:val="auto"/>
          <w:sz w:val="22"/>
          <w:szCs w:val="22"/>
          <w:lang w:eastAsia="hr-HR"/>
        </w:rPr>
      </w:pPr>
    </w:p>
    <w:p w14:paraId="3914B82C" w14:textId="77777777" w:rsidR="00823C4E" w:rsidRPr="007900BE" w:rsidRDefault="00823C4E" w:rsidP="00352328">
      <w:pPr>
        <w:pStyle w:val="Heading2"/>
        <w:jc w:val="center"/>
        <w:rPr>
          <w:rFonts w:ascii="Arial" w:hAnsi="Arial" w:cs="Arial"/>
          <w:color w:val="auto"/>
          <w:sz w:val="22"/>
          <w:szCs w:val="22"/>
          <w:lang w:eastAsia="hr-HR"/>
        </w:rPr>
      </w:pPr>
      <w:r w:rsidRPr="007900BE">
        <w:rPr>
          <w:rFonts w:ascii="Arial" w:hAnsi="Arial" w:cs="Arial"/>
          <w:color w:val="auto"/>
          <w:sz w:val="22"/>
          <w:szCs w:val="22"/>
          <w:lang w:eastAsia="hr-HR"/>
        </w:rPr>
        <w:t>Politike i postupci za upravljanje sekuritizacijskim rizikom</w:t>
      </w:r>
    </w:p>
    <w:p w14:paraId="6AEA434D" w14:textId="77777777" w:rsidR="00823C4E" w:rsidRPr="007900BE" w:rsidRDefault="00823C4E" w:rsidP="00352328">
      <w:pPr>
        <w:pStyle w:val="Heading2"/>
        <w:jc w:val="center"/>
        <w:rPr>
          <w:rFonts w:ascii="Arial" w:hAnsi="Arial" w:cs="Arial"/>
          <w:color w:val="auto"/>
          <w:sz w:val="22"/>
          <w:szCs w:val="22"/>
          <w:lang w:eastAsia="hr-HR"/>
        </w:rPr>
      </w:pPr>
      <w:r w:rsidRPr="007900BE">
        <w:rPr>
          <w:rFonts w:ascii="Arial" w:hAnsi="Arial" w:cs="Arial"/>
          <w:color w:val="auto"/>
          <w:sz w:val="22"/>
          <w:szCs w:val="22"/>
          <w:lang w:eastAsia="hr-HR"/>
        </w:rPr>
        <w:t>Članak 8.</w:t>
      </w:r>
    </w:p>
    <w:p w14:paraId="3824E094" w14:textId="77777777" w:rsidR="00823C4E" w:rsidRPr="007900BE" w:rsidRDefault="00823C4E" w:rsidP="007900BE">
      <w:pPr>
        <w:pStyle w:val="Heading2"/>
        <w:jc w:val="both"/>
        <w:rPr>
          <w:rFonts w:ascii="Arial" w:hAnsi="Arial" w:cs="Arial"/>
          <w:color w:val="auto"/>
          <w:sz w:val="22"/>
          <w:szCs w:val="22"/>
          <w:lang w:eastAsia="hr-HR"/>
        </w:rPr>
      </w:pPr>
    </w:p>
    <w:p w14:paraId="79C84E20" w14:textId="77777777" w:rsidR="00823C4E" w:rsidRPr="007900BE" w:rsidRDefault="00823C4E"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(1) Investicijsko društvo dužno je izraditi i primjenjivati primjerene politike i postupke za upravljanje rizicima koji proizlaze iz poslova vezanih za sekuritizaciju kod kojih je investicijsko društvo ulagatelj, inicijator ili sponzor, uključujući i reputacijske rizike koji proizlaze iz složenih struktura ili proizvoda. Upravljanje rizicima koji proizlaze iz poslova sekuritizacije mora se zasnivati na ekonomskom sadržaju posla.</w:t>
      </w:r>
    </w:p>
    <w:p w14:paraId="146A22F4" w14:textId="77777777" w:rsidR="00823C4E" w:rsidRPr="007900BE" w:rsidRDefault="00823C4E"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(2) Investicijsko društvo koje je inicijator obnovljivih sekuritizacijskih transakcija s ugovorenom</w:t>
      </w:r>
    </w:p>
    <w:p w14:paraId="46CBB1E6" w14:textId="77777777" w:rsidR="00823C4E" w:rsidRPr="007900BE" w:rsidRDefault="00823C4E"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odredbom o prijevremenoj isplati dužno je donijeti planove likvidnosti za rješavanje posljedica</w:t>
      </w:r>
    </w:p>
    <w:p w14:paraId="0F74946E" w14:textId="77777777" w:rsidR="00823C4E" w:rsidRPr="007900BE" w:rsidRDefault="00823C4E"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planiranih i prijevremenih isplata.</w:t>
      </w:r>
    </w:p>
    <w:p w14:paraId="65F4043F" w14:textId="77777777" w:rsidR="002A550D" w:rsidRPr="007900BE" w:rsidRDefault="002A550D" w:rsidP="007900BE">
      <w:pPr>
        <w:pStyle w:val="Heading2"/>
        <w:jc w:val="both"/>
        <w:rPr>
          <w:rFonts w:ascii="Arial" w:hAnsi="Arial" w:cs="Arial"/>
          <w:color w:val="auto"/>
          <w:sz w:val="22"/>
          <w:szCs w:val="22"/>
          <w:lang w:eastAsia="hr-HR"/>
        </w:rPr>
      </w:pPr>
    </w:p>
    <w:p w14:paraId="5D53DBA6" w14:textId="77777777" w:rsidR="002A550D" w:rsidRPr="007900BE" w:rsidRDefault="002A550D" w:rsidP="00352328">
      <w:pPr>
        <w:pStyle w:val="Heading2"/>
        <w:jc w:val="center"/>
        <w:rPr>
          <w:rFonts w:ascii="Arial" w:hAnsi="Arial" w:cs="Arial"/>
          <w:color w:val="auto"/>
          <w:sz w:val="22"/>
          <w:szCs w:val="22"/>
          <w:lang w:eastAsia="hr-HR"/>
        </w:rPr>
      </w:pPr>
      <w:r w:rsidRPr="007900BE">
        <w:rPr>
          <w:rFonts w:ascii="Arial" w:hAnsi="Arial" w:cs="Arial"/>
          <w:color w:val="auto"/>
          <w:sz w:val="22"/>
          <w:szCs w:val="22"/>
          <w:lang w:eastAsia="hr-HR"/>
        </w:rPr>
        <w:t>Politike i postupci za upravljanje rezidualnim rizikom</w:t>
      </w:r>
    </w:p>
    <w:p w14:paraId="751E4552" w14:textId="049A22D7" w:rsidR="002A550D" w:rsidRPr="007900BE" w:rsidRDefault="002A550D" w:rsidP="00352328">
      <w:pPr>
        <w:pStyle w:val="Heading2"/>
        <w:jc w:val="center"/>
        <w:rPr>
          <w:rFonts w:ascii="Arial" w:hAnsi="Arial" w:cs="Arial"/>
          <w:color w:val="auto"/>
          <w:sz w:val="22"/>
          <w:szCs w:val="22"/>
          <w:lang w:eastAsia="hr-HR"/>
        </w:rPr>
      </w:pPr>
      <w:r w:rsidRPr="007900BE">
        <w:rPr>
          <w:rFonts w:ascii="Arial" w:hAnsi="Arial" w:cs="Arial"/>
          <w:color w:val="auto"/>
          <w:sz w:val="22"/>
          <w:szCs w:val="22"/>
          <w:lang w:eastAsia="hr-HR"/>
        </w:rPr>
        <w:t xml:space="preserve">Članak </w:t>
      </w:r>
      <w:r w:rsidR="00823C4E" w:rsidRPr="007900BE">
        <w:rPr>
          <w:rFonts w:ascii="Arial" w:hAnsi="Arial" w:cs="Arial"/>
          <w:color w:val="auto"/>
          <w:sz w:val="22"/>
          <w:szCs w:val="22"/>
          <w:lang w:eastAsia="hr-HR"/>
        </w:rPr>
        <w:t>9</w:t>
      </w:r>
      <w:r w:rsidRPr="007900BE">
        <w:rPr>
          <w:rFonts w:ascii="Arial" w:hAnsi="Arial" w:cs="Arial"/>
          <w:color w:val="auto"/>
          <w:sz w:val="22"/>
          <w:szCs w:val="22"/>
          <w:lang w:eastAsia="hr-HR"/>
        </w:rPr>
        <w:t>.</w:t>
      </w:r>
    </w:p>
    <w:p w14:paraId="1F0FCE14" w14:textId="77777777" w:rsidR="002A550D" w:rsidRPr="007900BE" w:rsidRDefault="002A550D" w:rsidP="007900BE">
      <w:pPr>
        <w:pStyle w:val="Heading2"/>
        <w:jc w:val="both"/>
        <w:rPr>
          <w:rFonts w:ascii="Arial" w:hAnsi="Arial" w:cs="Arial"/>
          <w:color w:val="auto"/>
          <w:sz w:val="22"/>
          <w:szCs w:val="22"/>
          <w:lang w:eastAsia="hr-HR"/>
        </w:rPr>
      </w:pPr>
    </w:p>
    <w:p w14:paraId="255648B6" w14:textId="77777777" w:rsidR="002A550D" w:rsidRPr="007900BE" w:rsidRDefault="002A550D"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Investicijsko društvo dužno je izraditi i primjenjivati odgovarajuće politike i postupke upravljanja rizikom u slučaju kada se priznate tehnike smanjenja kreditnog rizika koje primjenjuje društvo pokažu manje učinkovite od očekivanog.</w:t>
      </w:r>
    </w:p>
    <w:p w14:paraId="7A303393" w14:textId="77777777" w:rsidR="002A550D" w:rsidRPr="007900BE" w:rsidRDefault="002A550D" w:rsidP="007900BE">
      <w:pPr>
        <w:pStyle w:val="Heading2"/>
        <w:jc w:val="both"/>
        <w:rPr>
          <w:rFonts w:ascii="Arial" w:hAnsi="Arial" w:cs="Arial"/>
          <w:color w:val="auto"/>
          <w:sz w:val="22"/>
          <w:szCs w:val="22"/>
          <w:lang w:eastAsia="hr-HR"/>
        </w:rPr>
      </w:pPr>
    </w:p>
    <w:p w14:paraId="263776DB" w14:textId="77777777" w:rsidR="002A550D" w:rsidRPr="00623E46" w:rsidRDefault="002A550D" w:rsidP="00623E46">
      <w:pPr>
        <w:pStyle w:val="Heading2"/>
        <w:jc w:val="center"/>
        <w:rPr>
          <w:rFonts w:ascii="Arial" w:hAnsi="Arial" w:cs="Arial"/>
          <w:color w:val="auto"/>
          <w:sz w:val="22"/>
          <w:szCs w:val="22"/>
          <w:lang w:eastAsia="hr-HR"/>
        </w:rPr>
      </w:pPr>
      <w:r w:rsidRPr="00623E46">
        <w:rPr>
          <w:rFonts w:ascii="Arial" w:hAnsi="Arial" w:cs="Arial"/>
          <w:color w:val="auto"/>
          <w:sz w:val="22"/>
          <w:szCs w:val="22"/>
          <w:lang w:eastAsia="hr-HR"/>
        </w:rPr>
        <w:t>Politike i postupci za upravljanje koncentracijskim rizikom</w:t>
      </w:r>
    </w:p>
    <w:p w14:paraId="38D76B21" w14:textId="5CA77050" w:rsidR="002A550D" w:rsidRPr="00623E46" w:rsidRDefault="002A550D" w:rsidP="00623E46">
      <w:pPr>
        <w:pStyle w:val="Heading2"/>
        <w:jc w:val="center"/>
        <w:rPr>
          <w:rFonts w:ascii="Arial" w:hAnsi="Arial" w:cs="Arial"/>
          <w:color w:val="auto"/>
          <w:sz w:val="22"/>
          <w:szCs w:val="22"/>
          <w:lang w:eastAsia="hr-HR"/>
        </w:rPr>
      </w:pPr>
      <w:r w:rsidRPr="00623E46">
        <w:rPr>
          <w:rFonts w:ascii="Arial" w:hAnsi="Arial" w:cs="Arial"/>
          <w:color w:val="auto"/>
          <w:sz w:val="22"/>
          <w:szCs w:val="22"/>
          <w:lang w:eastAsia="hr-HR"/>
        </w:rPr>
        <w:t xml:space="preserve">Članak </w:t>
      </w:r>
      <w:r w:rsidR="00823C4E" w:rsidRPr="00623E46">
        <w:rPr>
          <w:rFonts w:ascii="Arial" w:hAnsi="Arial" w:cs="Arial"/>
          <w:color w:val="auto"/>
          <w:sz w:val="22"/>
          <w:szCs w:val="22"/>
          <w:lang w:eastAsia="hr-HR"/>
        </w:rPr>
        <w:t>10</w:t>
      </w:r>
      <w:r w:rsidRPr="00623E46">
        <w:rPr>
          <w:rFonts w:ascii="Arial" w:hAnsi="Arial" w:cs="Arial"/>
          <w:color w:val="auto"/>
          <w:sz w:val="22"/>
          <w:szCs w:val="22"/>
          <w:lang w:eastAsia="hr-HR"/>
        </w:rPr>
        <w:t>.</w:t>
      </w:r>
    </w:p>
    <w:p w14:paraId="6FB07E5C" w14:textId="77777777" w:rsidR="002A550D" w:rsidRPr="007900BE" w:rsidRDefault="002A550D" w:rsidP="007900BE">
      <w:pPr>
        <w:pStyle w:val="Heading2"/>
        <w:jc w:val="both"/>
        <w:rPr>
          <w:rFonts w:ascii="Arial" w:hAnsi="Arial" w:cs="Arial"/>
          <w:color w:val="auto"/>
          <w:sz w:val="22"/>
          <w:szCs w:val="22"/>
          <w:lang w:eastAsia="hr-HR"/>
        </w:rPr>
      </w:pPr>
    </w:p>
    <w:p w14:paraId="3B3593FA" w14:textId="6990CB9F" w:rsidR="002A550D" w:rsidRPr="007900BE" w:rsidRDefault="00823C4E"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lastRenderedPageBreak/>
        <w:t xml:space="preserve">(1) </w:t>
      </w:r>
      <w:r w:rsidR="002A550D" w:rsidRPr="007900BE">
        <w:rPr>
          <w:rFonts w:ascii="Arial" w:hAnsi="Arial" w:cs="Arial"/>
          <w:color w:val="auto"/>
          <w:sz w:val="22"/>
          <w:szCs w:val="22"/>
          <w:lang w:eastAsia="hr-HR"/>
        </w:rPr>
        <w:t>Investicijsko društvo dužno je izraditi i primjenjivati odgovarajuće politike i postupke upravljanja i praćenja koncentracijskog rizika koji proizlazi iz izloženosti društva prema svakoj drugoj ugovornoj strani, uključujući središnje druge ugovorne strane, grupe povezanih drugih ugovornih strana i druge ugovorne strane iz istog gospodarskog sektora, iste geografske regije, iste djelatnosti ili povezane s istom robom, primjene tehnika smanjenja kreditnog rizika, uključujući posebno rizike povezane s velikim neizravnim kreditnim izloženostima kao što je jedan izdavatelj kolaterala.</w:t>
      </w:r>
    </w:p>
    <w:p w14:paraId="4687A5AE" w14:textId="59B4CEC7" w:rsidR="00823C4E" w:rsidRPr="007900BE" w:rsidRDefault="00823C4E"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(2) U slučaju da investicijsko društvo ima ili očekuje da će imati izloženost prema instituciji ili grupi povezanih osoba koja uključuje jednu ili više institucija veću od 25% priznatog kapitala sukladno članku 395. stavku 2. Uredbe (EU) br. 575/2013, dužno je u sklopu politika i postupaka iz stavka 1. ovoga članka:</w:t>
      </w:r>
    </w:p>
    <w:p w14:paraId="5CEBD701" w14:textId="240F5809" w:rsidR="00823C4E" w:rsidRPr="007900BE" w:rsidRDefault="00823C4E" w:rsidP="00E46F0C">
      <w:pPr>
        <w:pStyle w:val="Heading2"/>
        <w:numPr>
          <w:ilvl w:val="0"/>
          <w:numId w:val="48"/>
        </w:numPr>
        <w:jc w:val="both"/>
        <w:rPr>
          <w:rFonts w:ascii="Arial" w:hAnsi="Arial" w:cs="Arial"/>
          <w:color w:val="auto"/>
          <w:sz w:val="22"/>
          <w:szCs w:val="22"/>
          <w:lang w:eastAsia="hr-HR"/>
        </w:rPr>
      </w:pPr>
      <w:r w:rsidRPr="007900BE">
        <w:rPr>
          <w:rFonts w:ascii="Arial" w:hAnsi="Arial" w:cs="Arial"/>
          <w:color w:val="auto"/>
          <w:sz w:val="22"/>
          <w:szCs w:val="22"/>
          <w:lang w:eastAsia="hr-HR"/>
        </w:rPr>
        <w:t>propisati maksimalni postotak priznatog kapitala do kojeg smije biti izloženo svakoj takvoj pojedinoj instituciji ili grupi povezanih osoba koja uključuje jednu ili više institucija,</w:t>
      </w:r>
    </w:p>
    <w:p w14:paraId="1830CD4A" w14:textId="77777777" w:rsidR="00E46F0C" w:rsidRDefault="00823C4E" w:rsidP="00E46F0C">
      <w:pPr>
        <w:pStyle w:val="Heading2"/>
        <w:numPr>
          <w:ilvl w:val="0"/>
          <w:numId w:val="48"/>
        </w:numPr>
        <w:jc w:val="both"/>
        <w:rPr>
          <w:rFonts w:ascii="Arial" w:hAnsi="Arial" w:cs="Arial"/>
          <w:color w:val="auto"/>
          <w:sz w:val="22"/>
          <w:szCs w:val="22"/>
          <w:lang w:eastAsia="hr-HR"/>
        </w:rPr>
      </w:pPr>
      <w:r w:rsidRPr="007900BE">
        <w:rPr>
          <w:rFonts w:ascii="Arial" w:hAnsi="Arial" w:cs="Arial"/>
          <w:color w:val="auto"/>
          <w:sz w:val="22"/>
          <w:szCs w:val="22"/>
          <w:lang w:eastAsia="hr-HR"/>
        </w:rPr>
        <w:t>obrazložiti razloge postavljanja svakog pojedinog maksimalnog postotka priznatog kapitala po svakoj takvoj pojedinoj instituciji ili grupi povezanih osoba koja uključuje jednu ili više institucija i</w:t>
      </w:r>
      <w:r w:rsidR="00A865D7">
        <w:rPr>
          <w:rFonts w:ascii="Arial" w:hAnsi="Arial" w:cs="Arial"/>
          <w:color w:val="auto"/>
          <w:sz w:val="22"/>
          <w:szCs w:val="22"/>
          <w:lang w:eastAsia="hr-HR"/>
        </w:rPr>
        <w:t xml:space="preserve"> </w:t>
      </w:r>
    </w:p>
    <w:p w14:paraId="5CCD9C5B" w14:textId="234043A9" w:rsidR="00823C4E" w:rsidRPr="007900BE" w:rsidRDefault="00823C4E" w:rsidP="00E46F0C">
      <w:pPr>
        <w:pStyle w:val="Heading2"/>
        <w:numPr>
          <w:ilvl w:val="0"/>
          <w:numId w:val="48"/>
        </w:numPr>
        <w:jc w:val="both"/>
        <w:rPr>
          <w:rFonts w:ascii="Arial" w:hAnsi="Arial" w:cs="Arial"/>
          <w:color w:val="auto"/>
          <w:sz w:val="22"/>
          <w:szCs w:val="22"/>
          <w:lang w:eastAsia="hr-HR"/>
        </w:rPr>
      </w:pPr>
      <w:r w:rsidRPr="007900BE">
        <w:rPr>
          <w:rFonts w:ascii="Arial" w:hAnsi="Arial" w:cs="Arial"/>
          <w:color w:val="auto"/>
          <w:sz w:val="22"/>
          <w:szCs w:val="22"/>
          <w:lang w:eastAsia="hr-HR"/>
        </w:rPr>
        <w:t>propisati aktivnosti vezane uz provođenje procjene adekvatnosti takve institucije ili grupe povezanih osoba koja uključuje jednu ili više institucija.</w:t>
      </w:r>
    </w:p>
    <w:p w14:paraId="117AA023" w14:textId="77777777" w:rsidR="002A550D" w:rsidRPr="007900BE" w:rsidRDefault="002A550D" w:rsidP="007900BE">
      <w:pPr>
        <w:pStyle w:val="Heading2"/>
        <w:jc w:val="both"/>
        <w:rPr>
          <w:rFonts w:ascii="Arial" w:hAnsi="Arial" w:cs="Arial"/>
          <w:color w:val="auto"/>
          <w:sz w:val="22"/>
          <w:szCs w:val="22"/>
          <w:lang w:eastAsia="hr-HR"/>
        </w:rPr>
      </w:pPr>
    </w:p>
    <w:p w14:paraId="285E08AD" w14:textId="77777777" w:rsidR="002A550D" w:rsidRPr="00A865D7" w:rsidRDefault="002A550D" w:rsidP="00A865D7">
      <w:pPr>
        <w:pStyle w:val="Heading2"/>
        <w:jc w:val="center"/>
        <w:rPr>
          <w:rFonts w:ascii="Arial" w:hAnsi="Arial" w:cs="Arial"/>
          <w:color w:val="auto"/>
          <w:sz w:val="22"/>
          <w:szCs w:val="22"/>
          <w:lang w:eastAsia="hr-HR"/>
        </w:rPr>
      </w:pPr>
      <w:r w:rsidRPr="00A865D7">
        <w:rPr>
          <w:rFonts w:ascii="Arial" w:hAnsi="Arial" w:cs="Arial"/>
          <w:color w:val="auto"/>
          <w:sz w:val="22"/>
          <w:szCs w:val="22"/>
          <w:lang w:eastAsia="hr-HR"/>
        </w:rPr>
        <w:t>Politike i postupci za upravljanje rizikom prekomjerne financijske poluge</w:t>
      </w:r>
    </w:p>
    <w:p w14:paraId="3A7FA3E6" w14:textId="1E8C8960" w:rsidR="002A550D" w:rsidRPr="00A865D7" w:rsidRDefault="002A550D" w:rsidP="00A865D7">
      <w:pPr>
        <w:pStyle w:val="Heading2"/>
        <w:jc w:val="center"/>
        <w:rPr>
          <w:rFonts w:ascii="Arial" w:hAnsi="Arial" w:cs="Arial"/>
          <w:color w:val="auto"/>
          <w:sz w:val="22"/>
          <w:szCs w:val="22"/>
          <w:lang w:eastAsia="hr-HR"/>
        </w:rPr>
      </w:pPr>
      <w:r w:rsidRPr="00A865D7">
        <w:rPr>
          <w:rFonts w:ascii="Arial" w:hAnsi="Arial" w:cs="Arial"/>
          <w:color w:val="auto"/>
          <w:sz w:val="22"/>
          <w:szCs w:val="22"/>
          <w:lang w:eastAsia="hr-HR"/>
        </w:rPr>
        <w:t>Članak 1</w:t>
      </w:r>
      <w:r w:rsidR="00823C4E" w:rsidRPr="00A865D7">
        <w:rPr>
          <w:rFonts w:ascii="Arial" w:hAnsi="Arial" w:cs="Arial"/>
          <w:color w:val="auto"/>
          <w:sz w:val="22"/>
          <w:szCs w:val="22"/>
          <w:lang w:eastAsia="hr-HR"/>
        </w:rPr>
        <w:t>1</w:t>
      </w:r>
      <w:r w:rsidRPr="00A865D7">
        <w:rPr>
          <w:rFonts w:ascii="Arial" w:hAnsi="Arial" w:cs="Arial"/>
          <w:color w:val="auto"/>
          <w:sz w:val="22"/>
          <w:szCs w:val="22"/>
          <w:lang w:eastAsia="hr-HR"/>
        </w:rPr>
        <w:t>.</w:t>
      </w:r>
    </w:p>
    <w:p w14:paraId="6495F46F" w14:textId="77777777" w:rsidR="002A550D" w:rsidRPr="007900BE" w:rsidRDefault="002A550D" w:rsidP="007900BE">
      <w:pPr>
        <w:pStyle w:val="Heading2"/>
        <w:jc w:val="both"/>
        <w:rPr>
          <w:rFonts w:ascii="Arial" w:hAnsi="Arial" w:cs="Arial"/>
          <w:color w:val="auto"/>
          <w:sz w:val="22"/>
          <w:szCs w:val="22"/>
          <w:lang w:eastAsia="hr-HR"/>
        </w:rPr>
      </w:pPr>
    </w:p>
    <w:p w14:paraId="4DBF7A3B" w14:textId="1B1611DE" w:rsidR="002A550D" w:rsidRPr="007900BE" w:rsidRDefault="002A550D"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(1) Investicijsko društvo dužno je izraditi i primjenjivati politike i postupke za utvrđivanje, praćenje i upravljanje rizikom prekomjerne financijske poluge. Pokazatelji rizika prekomjerne financijske poluge uključuju omjer financijske poluge koji se određuje u skladu s člankom 429. Uredbe (EU) br. 575/2013 i neusklađenost između imovine i obveza.</w:t>
      </w:r>
    </w:p>
    <w:p w14:paraId="33C67D4E" w14:textId="77777777" w:rsidR="00962399" w:rsidRPr="007900BE" w:rsidRDefault="00962399" w:rsidP="007900BE">
      <w:pPr>
        <w:pStyle w:val="Heading2"/>
        <w:jc w:val="both"/>
        <w:rPr>
          <w:rFonts w:ascii="Arial" w:hAnsi="Arial" w:cs="Arial"/>
          <w:color w:val="auto"/>
          <w:sz w:val="22"/>
          <w:szCs w:val="22"/>
          <w:lang w:eastAsia="hr-HR"/>
        </w:rPr>
      </w:pPr>
    </w:p>
    <w:p w14:paraId="6766A9D5" w14:textId="7D3975BF" w:rsidR="00823C4E" w:rsidRPr="007900BE" w:rsidRDefault="00823C4E"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 xml:space="preserve">(2) Investicijsko društvo dužno je </w:t>
      </w:r>
      <w:r w:rsidRPr="007900BE">
        <w:rPr>
          <w:rFonts w:ascii="Arial" w:hAnsi="Arial" w:cs="Arial"/>
          <w:strike/>
          <w:color w:val="auto"/>
          <w:sz w:val="22"/>
          <w:szCs w:val="22"/>
          <w:lang w:eastAsia="hr-HR"/>
        </w:rPr>
        <w:t>je</w:t>
      </w:r>
      <w:r w:rsidRPr="007900BE">
        <w:rPr>
          <w:rFonts w:ascii="Arial" w:hAnsi="Arial" w:cs="Arial"/>
          <w:color w:val="auto"/>
          <w:sz w:val="22"/>
          <w:szCs w:val="22"/>
          <w:lang w:eastAsia="hr-HR"/>
        </w:rPr>
        <w:t xml:space="preserve"> s oprezom tretirati rizik </w:t>
      </w:r>
      <w:r w:rsidRPr="007900BE">
        <w:rPr>
          <w:rFonts w:ascii="Arial" w:hAnsi="Arial" w:cs="Arial"/>
          <w:strike/>
          <w:color w:val="auto"/>
          <w:sz w:val="22"/>
          <w:szCs w:val="22"/>
          <w:lang w:eastAsia="hr-HR"/>
        </w:rPr>
        <w:t>rizik</w:t>
      </w:r>
      <w:r w:rsidRPr="007900BE">
        <w:rPr>
          <w:rFonts w:ascii="Arial" w:hAnsi="Arial" w:cs="Arial"/>
          <w:color w:val="auto"/>
          <w:sz w:val="22"/>
          <w:szCs w:val="22"/>
          <w:lang w:eastAsia="hr-HR"/>
        </w:rPr>
        <w:t xml:space="preserve"> prekomjerne financijske poluge, uzimajući u obzir potencijalna povećanja rizika prekomjerne financijske poluge uslijed smanjenja regulatornog kapitala društva zbog očekivanih ili realiziranih gubitaka, ovisno o primjenjivim računovodstvenim propisima. U tu svrhu, investicijsko društvo mora biti u mogućnosti podnijeti širok opseg različitih stresnih događaja s obzirom na rizik prekomjerne financijske poluge.</w:t>
      </w:r>
    </w:p>
    <w:p w14:paraId="11454818" w14:textId="77777777" w:rsidR="00593F13" w:rsidRPr="007900BE" w:rsidRDefault="00593F13" w:rsidP="007900BE">
      <w:pPr>
        <w:pStyle w:val="Heading2"/>
        <w:jc w:val="both"/>
        <w:rPr>
          <w:rFonts w:ascii="Arial" w:hAnsi="Arial" w:cs="Arial"/>
          <w:color w:val="auto"/>
          <w:sz w:val="22"/>
          <w:szCs w:val="22"/>
          <w:lang w:eastAsia="hr-HR"/>
        </w:rPr>
      </w:pPr>
    </w:p>
    <w:p w14:paraId="1B4807D8" w14:textId="626CA46F" w:rsidR="002A550D" w:rsidRPr="007900BE" w:rsidRDefault="002A550D"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 xml:space="preserve">(3) Rizik prekomjerne financijske poluge mjeri se </w:t>
      </w:r>
      <w:r w:rsidR="00962399" w:rsidRPr="007900BE">
        <w:rPr>
          <w:rFonts w:ascii="Arial" w:hAnsi="Arial" w:cs="Arial"/>
          <w:color w:val="auto"/>
          <w:sz w:val="22"/>
          <w:szCs w:val="22"/>
          <w:lang w:eastAsia="hr-HR"/>
        </w:rPr>
        <w:t>i o njemu se izvještava Hanfu</w:t>
      </w:r>
      <w:r w:rsidRPr="007900BE">
        <w:rPr>
          <w:rFonts w:ascii="Arial" w:hAnsi="Arial" w:cs="Arial"/>
          <w:color w:val="auto"/>
          <w:sz w:val="22"/>
          <w:szCs w:val="22"/>
          <w:lang w:eastAsia="hr-HR"/>
        </w:rPr>
        <w:t xml:space="preserve"> na način kako je propisano člancima 429. i 430. Uredbe (EU) br. 575/2013.</w:t>
      </w:r>
    </w:p>
    <w:p w14:paraId="35619740" w14:textId="77777777" w:rsidR="002A550D" w:rsidRPr="007900BE" w:rsidRDefault="002A550D" w:rsidP="007900BE">
      <w:pPr>
        <w:pStyle w:val="Heading2"/>
        <w:jc w:val="both"/>
        <w:rPr>
          <w:rFonts w:ascii="Arial" w:hAnsi="Arial" w:cs="Arial"/>
          <w:color w:val="auto"/>
          <w:sz w:val="22"/>
          <w:szCs w:val="22"/>
          <w:lang w:eastAsia="hr-HR"/>
        </w:rPr>
      </w:pPr>
    </w:p>
    <w:p w14:paraId="7BF44B69" w14:textId="77777777" w:rsidR="002A550D" w:rsidRPr="007900BE" w:rsidRDefault="002A550D" w:rsidP="007E1900">
      <w:pPr>
        <w:pStyle w:val="Heading2"/>
        <w:jc w:val="center"/>
        <w:rPr>
          <w:rFonts w:ascii="Arial" w:hAnsi="Arial" w:cs="Arial"/>
          <w:color w:val="auto"/>
          <w:sz w:val="22"/>
          <w:szCs w:val="22"/>
          <w:lang w:eastAsia="hr-HR"/>
        </w:rPr>
      </w:pPr>
      <w:r w:rsidRPr="007900BE">
        <w:rPr>
          <w:rFonts w:ascii="Arial" w:hAnsi="Arial" w:cs="Arial"/>
          <w:color w:val="auto"/>
          <w:sz w:val="22"/>
          <w:szCs w:val="22"/>
          <w:lang w:eastAsia="hr-HR"/>
        </w:rPr>
        <w:t>Politike i postupci za upravljanje kamatnim rizikom koji proizlazi iz poslova koji se vode u knjizi pozicija kojima se ne trguje</w:t>
      </w:r>
    </w:p>
    <w:p w14:paraId="65FE0130" w14:textId="206719FF" w:rsidR="002A550D" w:rsidRPr="00A319A8" w:rsidRDefault="002A550D" w:rsidP="00A319A8">
      <w:pPr>
        <w:pStyle w:val="Heading1"/>
        <w:jc w:val="center"/>
        <w:rPr>
          <w:rFonts w:ascii="Arial" w:hAnsi="Arial" w:cs="Arial"/>
          <w:b w:val="0"/>
          <w:sz w:val="22"/>
          <w:szCs w:val="22"/>
        </w:rPr>
      </w:pPr>
      <w:r w:rsidRPr="00A319A8">
        <w:rPr>
          <w:rFonts w:ascii="Arial" w:hAnsi="Arial" w:cs="Arial"/>
          <w:b w:val="0"/>
          <w:sz w:val="22"/>
          <w:szCs w:val="22"/>
        </w:rPr>
        <w:t>Članak 1</w:t>
      </w:r>
      <w:r w:rsidR="00823C4E" w:rsidRPr="00A319A8">
        <w:rPr>
          <w:rFonts w:ascii="Arial" w:hAnsi="Arial" w:cs="Arial"/>
          <w:b w:val="0"/>
          <w:sz w:val="22"/>
          <w:szCs w:val="22"/>
        </w:rPr>
        <w:t>2</w:t>
      </w:r>
      <w:r w:rsidRPr="00A319A8">
        <w:rPr>
          <w:rFonts w:ascii="Arial" w:hAnsi="Arial" w:cs="Arial"/>
          <w:b w:val="0"/>
          <w:sz w:val="22"/>
          <w:szCs w:val="22"/>
        </w:rPr>
        <w:t>.</w:t>
      </w:r>
    </w:p>
    <w:p w14:paraId="2897C5F4" w14:textId="77777777" w:rsidR="002A550D" w:rsidRPr="007900BE" w:rsidRDefault="002A550D" w:rsidP="007900BE">
      <w:pPr>
        <w:pStyle w:val="Heading2"/>
        <w:jc w:val="both"/>
        <w:rPr>
          <w:rFonts w:ascii="Arial" w:hAnsi="Arial" w:cs="Arial"/>
          <w:color w:val="auto"/>
          <w:sz w:val="22"/>
          <w:szCs w:val="22"/>
          <w:lang w:eastAsia="hr-HR"/>
        </w:rPr>
      </w:pPr>
    </w:p>
    <w:p w14:paraId="0C05A134" w14:textId="20350EB2" w:rsidR="002A550D" w:rsidRPr="007900BE" w:rsidRDefault="002A550D" w:rsidP="007900BE">
      <w:pPr>
        <w:pStyle w:val="Heading2"/>
        <w:jc w:val="both"/>
        <w:rPr>
          <w:rFonts w:ascii="Arial" w:hAnsi="Arial" w:cs="Arial"/>
          <w:color w:val="auto"/>
          <w:sz w:val="22"/>
          <w:szCs w:val="22"/>
          <w:lang w:eastAsia="hr-HR"/>
        </w:rPr>
      </w:pPr>
      <w:r w:rsidRPr="007900BE">
        <w:rPr>
          <w:rFonts w:ascii="Arial" w:hAnsi="Arial" w:cs="Arial"/>
          <w:color w:val="auto"/>
          <w:sz w:val="22"/>
          <w:szCs w:val="22"/>
          <w:lang w:eastAsia="hr-HR"/>
        </w:rPr>
        <w:t>Investicijsko društvo dužno je uspostaviti i provoditi sustav utvrđivanja, upravljanja i vrednovanja rizika koji proizlazi iz mogućih promjena u kamatnim stopama koje utječu na aktivnosti društva koje se vode u knji</w:t>
      </w:r>
      <w:r w:rsidR="005578E8" w:rsidRPr="007900BE">
        <w:rPr>
          <w:rFonts w:ascii="Arial" w:hAnsi="Arial" w:cs="Arial"/>
          <w:color w:val="auto"/>
          <w:sz w:val="22"/>
          <w:szCs w:val="22"/>
          <w:lang w:eastAsia="hr-HR"/>
        </w:rPr>
        <w:t>zi pozicija kojima se ne trguje</w:t>
      </w:r>
    </w:p>
    <w:p w14:paraId="7B83F996" w14:textId="09EBADB6" w:rsidR="00D22BB5" w:rsidRDefault="00D22BB5" w:rsidP="00415BE8">
      <w:pPr>
        <w:pStyle w:val="NoSpacing"/>
        <w:rPr>
          <w:rFonts w:ascii="Arial" w:hAnsi="Arial" w:cs="Arial"/>
          <w:lang w:eastAsia="hr-HR"/>
        </w:rPr>
      </w:pPr>
    </w:p>
    <w:p w14:paraId="4EA603C6" w14:textId="2ECB2247" w:rsidR="00415BE8" w:rsidRPr="00341B35" w:rsidRDefault="000E3FEE" w:rsidP="00341B35">
      <w:pPr>
        <w:pStyle w:val="Heading1"/>
        <w:jc w:val="center"/>
        <w:rPr>
          <w:rFonts w:ascii="Arial" w:hAnsi="Arial" w:cs="Arial"/>
          <w:b w:val="0"/>
          <w:sz w:val="22"/>
          <w:szCs w:val="22"/>
        </w:rPr>
      </w:pPr>
      <w:r w:rsidRPr="00341B35">
        <w:rPr>
          <w:rFonts w:ascii="Arial" w:hAnsi="Arial" w:cs="Arial"/>
          <w:b w:val="0"/>
          <w:sz w:val="22"/>
          <w:szCs w:val="22"/>
        </w:rPr>
        <w:t>I</w:t>
      </w:r>
      <w:r w:rsidR="008231D6" w:rsidRPr="00341B35">
        <w:rPr>
          <w:rFonts w:ascii="Arial" w:hAnsi="Arial" w:cs="Arial"/>
          <w:b w:val="0"/>
          <w:sz w:val="22"/>
          <w:szCs w:val="22"/>
        </w:rPr>
        <w:t>I</w:t>
      </w:r>
      <w:r w:rsidRPr="00341B35">
        <w:rPr>
          <w:rFonts w:ascii="Arial" w:hAnsi="Arial" w:cs="Arial"/>
          <w:b w:val="0"/>
          <w:sz w:val="22"/>
          <w:szCs w:val="22"/>
        </w:rPr>
        <w:t>I. UPRAVLJANJE RIZICIMA</w:t>
      </w:r>
    </w:p>
    <w:p w14:paraId="0FF95125" w14:textId="40B27080" w:rsidR="000E3FEE" w:rsidRPr="00341B35" w:rsidRDefault="000E3FEE" w:rsidP="00341B35">
      <w:pPr>
        <w:pStyle w:val="Heading1"/>
        <w:jc w:val="center"/>
        <w:rPr>
          <w:rFonts w:ascii="Arial" w:hAnsi="Arial" w:cs="Arial"/>
          <w:b w:val="0"/>
          <w:sz w:val="22"/>
          <w:szCs w:val="22"/>
        </w:rPr>
      </w:pPr>
    </w:p>
    <w:p w14:paraId="6EEADFC4" w14:textId="2E5D1DFC" w:rsidR="000E3FEE" w:rsidRPr="00085253" w:rsidRDefault="002A550D" w:rsidP="00085253">
      <w:pPr>
        <w:pStyle w:val="Heading2"/>
        <w:jc w:val="center"/>
        <w:rPr>
          <w:rFonts w:ascii="Arial" w:hAnsi="Arial" w:cs="Arial"/>
          <w:color w:val="auto"/>
          <w:sz w:val="22"/>
          <w:szCs w:val="22"/>
          <w:lang w:eastAsia="hr-HR"/>
        </w:rPr>
      </w:pPr>
      <w:r w:rsidRPr="00085253">
        <w:rPr>
          <w:rFonts w:ascii="Arial" w:hAnsi="Arial" w:cs="Arial"/>
          <w:color w:val="auto"/>
          <w:sz w:val="22"/>
          <w:szCs w:val="22"/>
          <w:lang w:eastAsia="hr-HR"/>
        </w:rPr>
        <w:lastRenderedPageBreak/>
        <w:t>Članak 1</w:t>
      </w:r>
      <w:r w:rsidR="00823C4E" w:rsidRPr="00085253">
        <w:rPr>
          <w:rFonts w:ascii="Arial" w:hAnsi="Arial" w:cs="Arial"/>
          <w:color w:val="auto"/>
          <w:sz w:val="22"/>
          <w:szCs w:val="22"/>
          <w:lang w:eastAsia="hr-HR"/>
        </w:rPr>
        <w:t>3</w:t>
      </w:r>
      <w:r w:rsidR="000E3FEE" w:rsidRPr="00085253">
        <w:rPr>
          <w:rFonts w:ascii="Arial" w:hAnsi="Arial" w:cs="Arial"/>
          <w:color w:val="auto"/>
          <w:sz w:val="22"/>
          <w:szCs w:val="22"/>
          <w:lang w:eastAsia="hr-HR"/>
        </w:rPr>
        <w:t>.</w:t>
      </w:r>
    </w:p>
    <w:p w14:paraId="66A47C68" w14:textId="77777777" w:rsidR="000E3FEE" w:rsidRPr="00085253" w:rsidRDefault="000E3FEE" w:rsidP="00085253">
      <w:pPr>
        <w:pStyle w:val="Heading2"/>
        <w:jc w:val="both"/>
        <w:rPr>
          <w:rFonts w:ascii="Arial" w:hAnsi="Arial" w:cs="Arial"/>
          <w:color w:val="auto"/>
          <w:sz w:val="22"/>
          <w:szCs w:val="22"/>
          <w:lang w:eastAsia="hr-HR"/>
        </w:rPr>
      </w:pPr>
    </w:p>
    <w:p w14:paraId="43975B4A" w14:textId="5DF57DF1"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(1) Investicijsko društvo dužno je uspostaviti sustav upravljanja rizicima razmjerno vrsti, opsegu i složenosti investicijskih usluga i aktivnosti koje pruža i obavlja, a najmanje mora uključivati:</w:t>
      </w:r>
    </w:p>
    <w:p w14:paraId="2095EDBE"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1. strategije, politike, postupke i mjere upravljanja rizicima,</w:t>
      </w:r>
    </w:p>
    <w:p w14:paraId="32CE4CEB"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2. organizacijski ustroj s definiranim ovlastima i odgovornostima za upravljanje rizicima,</w:t>
      </w:r>
    </w:p>
    <w:p w14:paraId="2F69A45F"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3. proces upravljanja rizicima,</w:t>
      </w:r>
    </w:p>
    <w:p w14:paraId="02D3918E"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4. djelotvoran sustav unutarnjih kontrola.</w:t>
      </w:r>
    </w:p>
    <w:p w14:paraId="795650BB" w14:textId="77777777" w:rsidR="00593F13" w:rsidRPr="00085253" w:rsidRDefault="00593F13" w:rsidP="00085253">
      <w:pPr>
        <w:pStyle w:val="Heading2"/>
        <w:jc w:val="both"/>
        <w:rPr>
          <w:rFonts w:ascii="Arial" w:hAnsi="Arial" w:cs="Arial"/>
          <w:color w:val="auto"/>
          <w:sz w:val="22"/>
          <w:szCs w:val="22"/>
          <w:lang w:eastAsia="hr-HR"/>
        </w:rPr>
      </w:pPr>
    </w:p>
    <w:p w14:paraId="09839B2D"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(2) Investicijsko društvo dužno je propisati, primjenjivati i redovito ažurirati odgovarajuće, učinkovite i sveobuhvatne strategije i politike upravljanja rizicima u svrhu utvrđivanja značajnih rizika povezanih s uslugama i aktivnostima, poslovnim procesima i sustavima investicijskog društva i, kad je to moguće, utvrđivanja prihvatljivog stupnja rizika.</w:t>
      </w:r>
    </w:p>
    <w:p w14:paraId="5B92801B" w14:textId="77777777" w:rsidR="00593F13" w:rsidRPr="00085253" w:rsidRDefault="00593F13" w:rsidP="00085253">
      <w:pPr>
        <w:pStyle w:val="Heading2"/>
        <w:jc w:val="both"/>
        <w:rPr>
          <w:rFonts w:ascii="Arial" w:hAnsi="Arial" w:cs="Arial"/>
          <w:color w:val="auto"/>
          <w:sz w:val="22"/>
          <w:szCs w:val="22"/>
          <w:lang w:eastAsia="hr-HR"/>
        </w:rPr>
      </w:pPr>
    </w:p>
    <w:p w14:paraId="18E4D5BC"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(3) Strategije upravljanja rizicima moraju odražavati temeljni odnos investicijskog društva prema rizicima kojima je ili bi moglo biti izloženo u poslovanju radi sprječavanja nedosljednosti, nejasnoća i neuravnoteženosti pri upravljanju, a najmanje moraju uključivati:</w:t>
      </w:r>
    </w:p>
    <w:p w14:paraId="1DE8433D"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1. ciljeve i opća načela prepoznavanja, preuzimanja i upravljanja rizicima,</w:t>
      </w:r>
    </w:p>
    <w:p w14:paraId="72683D5B"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2. načela izvođenja postupka ocjenjivanja potrebnog internog kapitala.</w:t>
      </w:r>
    </w:p>
    <w:p w14:paraId="21485B13" w14:textId="77777777" w:rsidR="00593F13" w:rsidRPr="00085253" w:rsidRDefault="00593F13" w:rsidP="00085253">
      <w:pPr>
        <w:pStyle w:val="Heading2"/>
        <w:jc w:val="both"/>
        <w:rPr>
          <w:rFonts w:ascii="Arial" w:hAnsi="Arial" w:cs="Arial"/>
          <w:color w:val="auto"/>
          <w:sz w:val="22"/>
          <w:szCs w:val="22"/>
          <w:lang w:eastAsia="hr-HR"/>
        </w:rPr>
      </w:pPr>
    </w:p>
    <w:p w14:paraId="2406CB7A"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(4) Politike upravljanja rizicima moraju omogućiti realizaciju strategija upravljanja rizicima, a najmanje moraju uključivati:</w:t>
      </w:r>
    </w:p>
    <w:p w14:paraId="33B8C97C"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1. određivanje sklonosti preuzimanju rizika za pojedine rizike,</w:t>
      </w:r>
    </w:p>
    <w:p w14:paraId="53165C6F"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2. metodologiju utvrđivanja i mjerenja odnosno procjenjivanja rizika kojima je investicijsko društvo izloženo ili može biti izloženo u svom poslovanju,</w:t>
      </w:r>
    </w:p>
    <w:p w14:paraId="1BE4E59E"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3. postupke za ovladavanje i praćenje rizika,</w:t>
      </w:r>
    </w:p>
    <w:p w14:paraId="3749A954"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4. mjere u slučaju odstupanja od primjene usvojenih politika i postupaka,</w:t>
      </w:r>
    </w:p>
    <w:p w14:paraId="1FF1C792"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5. mjere u slučaju kriznih situacija,</w:t>
      </w:r>
    </w:p>
    <w:p w14:paraId="1981ED87"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6. organizacijska pravila odvijanja procesa upravljanja rizicima, uključujući i njegov opis,</w:t>
      </w:r>
    </w:p>
    <w:p w14:paraId="28822471"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7. pravila rada sustava unutarnjih kontrola,</w:t>
      </w:r>
    </w:p>
    <w:p w14:paraId="23BCD912"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8. pravila provođenja postupka ocjenjivanja internog kapitala.</w:t>
      </w:r>
    </w:p>
    <w:p w14:paraId="57487C79" w14:textId="77777777" w:rsidR="00593F13" w:rsidRPr="00085253" w:rsidRDefault="00593F13" w:rsidP="00085253">
      <w:pPr>
        <w:pStyle w:val="Heading2"/>
        <w:jc w:val="both"/>
        <w:rPr>
          <w:rFonts w:ascii="Arial" w:hAnsi="Arial" w:cs="Arial"/>
          <w:color w:val="auto"/>
          <w:sz w:val="22"/>
          <w:szCs w:val="22"/>
          <w:lang w:eastAsia="hr-HR"/>
        </w:rPr>
      </w:pPr>
    </w:p>
    <w:p w14:paraId="1EE04F19"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(5) Investicijsko društvo dužno je na osnovu strategija i politika upravljanja rizicima i utvrđenog prihvatljivog stupnja rizika donijeti učinkovite postupke i mjere upravljanja rizicima.</w:t>
      </w:r>
    </w:p>
    <w:p w14:paraId="0CD33D91" w14:textId="77777777" w:rsidR="00593F13" w:rsidRPr="00085253" w:rsidRDefault="00593F13" w:rsidP="00085253">
      <w:pPr>
        <w:pStyle w:val="Heading2"/>
        <w:jc w:val="both"/>
        <w:rPr>
          <w:rFonts w:ascii="Arial" w:hAnsi="Arial" w:cs="Arial"/>
          <w:color w:val="auto"/>
          <w:sz w:val="22"/>
          <w:szCs w:val="22"/>
          <w:lang w:eastAsia="hr-HR"/>
        </w:rPr>
      </w:pPr>
    </w:p>
    <w:p w14:paraId="1E473778"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(6) Investicijsko društvo dužno je uspostaviti proces upravljanja rizicima koji uključuje redovito i pravovremeno utvrđivanje, mjerenje, odnosno procjenjivanje, ovladavanje i praćenje rizika, uključujući izvještavanje o rizicima kojima je investicijsko društvo izloženo ili bi moglo biti izloženo u svom poslovanju.</w:t>
      </w:r>
    </w:p>
    <w:p w14:paraId="19D1B408" w14:textId="77777777" w:rsidR="00593F13" w:rsidRPr="00085253" w:rsidRDefault="00593F13" w:rsidP="00085253">
      <w:pPr>
        <w:pStyle w:val="Heading2"/>
        <w:jc w:val="both"/>
        <w:rPr>
          <w:rFonts w:ascii="Arial" w:hAnsi="Arial" w:cs="Arial"/>
          <w:color w:val="auto"/>
          <w:sz w:val="22"/>
          <w:szCs w:val="22"/>
          <w:lang w:eastAsia="hr-HR"/>
        </w:rPr>
      </w:pPr>
    </w:p>
    <w:p w14:paraId="2D27B1B7"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lastRenderedPageBreak/>
        <w:t>(7) Investicijsko društvo dužno je pratiti i ocjenjivati primjerenost, sveobuhvatnost i učinkovitost donesenih strategija, politika i postupaka upravljanja rizicima te primjerenost i učinkovitost predviđenih mjera u svrhu otklanjanja mogućih nedostataka u strategijama, politikama i postupcima upravljanja rizicima, uključujući i propuste relevantnih osoba.</w:t>
      </w:r>
    </w:p>
    <w:p w14:paraId="41CC996F" w14:textId="77777777" w:rsidR="00593F13" w:rsidRPr="00085253" w:rsidRDefault="00593F13" w:rsidP="00085253">
      <w:pPr>
        <w:pStyle w:val="Heading2"/>
        <w:jc w:val="both"/>
        <w:rPr>
          <w:rFonts w:ascii="Arial" w:hAnsi="Arial" w:cs="Arial"/>
          <w:color w:val="auto"/>
          <w:sz w:val="22"/>
          <w:szCs w:val="22"/>
          <w:lang w:eastAsia="hr-HR"/>
        </w:rPr>
      </w:pPr>
    </w:p>
    <w:p w14:paraId="66D97905" w14:textId="356E49A3"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(8) Investicijsko društvo dužno je jasno odrediti kriterije za odlučivanje i postupke za ovladavanje rizicima uzimajući u obzir postojeći i željeni profil rizičnosti te sklonost preuzimanju rizika.</w:t>
      </w:r>
    </w:p>
    <w:p w14:paraId="630BC203" w14:textId="77777777" w:rsidR="000E3FEE" w:rsidRPr="000E3FEE" w:rsidRDefault="000E3FEE" w:rsidP="000E3FEE">
      <w:pPr>
        <w:pStyle w:val="NoSpacing"/>
        <w:jc w:val="both"/>
        <w:rPr>
          <w:rFonts w:ascii="Arial" w:hAnsi="Arial" w:cs="Arial"/>
          <w:lang w:eastAsia="hr-HR"/>
        </w:rPr>
      </w:pPr>
    </w:p>
    <w:p w14:paraId="40048FDB" w14:textId="24836CB2" w:rsidR="000E3FEE" w:rsidRPr="000026C6" w:rsidRDefault="0064679F" w:rsidP="00085253">
      <w:pPr>
        <w:pStyle w:val="Heading1"/>
        <w:jc w:val="center"/>
        <w:rPr>
          <w:rFonts w:ascii="Arial" w:hAnsi="Arial" w:cs="Arial"/>
          <w:b w:val="0"/>
          <w:sz w:val="22"/>
          <w:szCs w:val="22"/>
        </w:rPr>
      </w:pPr>
      <w:r w:rsidRPr="000026C6">
        <w:rPr>
          <w:rFonts w:ascii="Arial" w:hAnsi="Arial" w:cs="Arial"/>
          <w:b w:val="0"/>
          <w:sz w:val="22"/>
          <w:szCs w:val="22"/>
        </w:rPr>
        <w:t>Članak 1</w:t>
      </w:r>
      <w:r w:rsidR="00823C4E" w:rsidRPr="000026C6">
        <w:rPr>
          <w:rFonts w:ascii="Arial" w:hAnsi="Arial" w:cs="Arial"/>
          <w:b w:val="0"/>
          <w:sz w:val="22"/>
          <w:szCs w:val="22"/>
        </w:rPr>
        <w:t>4</w:t>
      </w:r>
      <w:r w:rsidR="000E3FEE" w:rsidRPr="000026C6">
        <w:rPr>
          <w:rFonts w:ascii="Arial" w:hAnsi="Arial" w:cs="Arial"/>
          <w:b w:val="0"/>
          <w:sz w:val="22"/>
          <w:szCs w:val="22"/>
        </w:rPr>
        <w:t>.</w:t>
      </w:r>
    </w:p>
    <w:p w14:paraId="3F00E53E" w14:textId="77777777" w:rsidR="000E3FEE" w:rsidRPr="000E3FEE" w:rsidRDefault="000E3FEE" w:rsidP="000E3FEE">
      <w:pPr>
        <w:pStyle w:val="NoSpacing"/>
        <w:jc w:val="both"/>
        <w:rPr>
          <w:rFonts w:ascii="Arial" w:hAnsi="Arial" w:cs="Arial"/>
          <w:lang w:eastAsia="hr-HR"/>
        </w:rPr>
      </w:pPr>
    </w:p>
    <w:p w14:paraId="0A0F92A3"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rPr>
        <w:lastRenderedPageBreak/>
        <w:t>(1) Investicijsko</w:t>
      </w:r>
      <w:r w:rsidRPr="00085253">
        <w:rPr>
          <w:rFonts w:ascii="Arial" w:hAnsi="Arial" w:cs="Arial"/>
          <w:color w:val="auto"/>
          <w:sz w:val="22"/>
          <w:szCs w:val="22"/>
          <w:lang w:eastAsia="hr-HR"/>
        </w:rPr>
        <w:t xml:space="preserve"> društvo dužno je na temelju strategija i politika upravljanja rizicima razmjerno vrsti, opsegu i složenosti poslovanja kao i vrsti i opsegu investicijskih usluga i aktivnosti koje društvo pruža i obavlja, uspostaviti postupak ocjenjivanja internog kapitala koji obuhvaća sljedeće:</w:t>
      </w:r>
    </w:p>
    <w:p w14:paraId="12793509"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1. utvrđivanje rizika,</w:t>
      </w:r>
    </w:p>
    <w:p w14:paraId="4EF44820"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2. mjerenje ili procjenu pojedinog rizika i određivanje pripadajućih iznosa internih kapitalnih zahtjeva,</w:t>
      </w:r>
    </w:p>
    <w:p w14:paraId="0C7FD3C3"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3. određivanje ukupnog internog kapitala,</w:t>
      </w:r>
    </w:p>
    <w:p w14:paraId="1EEB950B" w14:textId="33FEAE23"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 xml:space="preserve">4. usklađivanje potrebnog </w:t>
      </w:r>
      <w:r w:rsidR="0064679F" w:rsidRPr="00085253">
        <w:rPr>
          <w:rFonts w:ascii="Arial" w:hAnsi="Arial" w:cs="Arial"/>
          <w:color w:val="auto"/>
          <w:sz w:val="22"/>
          <w:szCs w:val="22"/>
          <w:lang w:eastAsia="hr-HR"/>
        </w:rPr>
        <w:t xml:space="preserve">regulatornog </w:t>
      </w:r>
      <w:r w:rsidRPr="00085253">
        <w:rPr>
          <w:rFonts w:ascii="Arial" w:hAnsi="Arial" w:cs="Arial"/>
          <w:color w:val="auto"/>
          <w:sz w:val="22"/>
          <w:szCs w:val="22"/>
          <w:lang w:eastAsia="hr-HR"/>
        </w:rPr>
        <w:t>kapitala i potrebnog internog kapitala.</w:t>
      </w:r>
    </w:p>
    <w:p w14:paraId="60B39DD7" w14:textId="77777777" w:rsidR="00593F13" w:rsidRPr="00085253" w:rsidRDefault="00593F13" w:rsidP="00085253">
      <w:pPr>
        <w:pStyle w:val="Heading2"/>
        <w:jc w:val="both"/>
        <w:rPr>
          <w:rFonts w:ascii="Arial" w:hAnsi="Arial" w:cs="Arial"/>
          <w:color w:val="auto"/>
          <w:sz w:val="22"/>
          <w:szCs w:val="22"/>
          <w:lang w:eastAsia="hr-HR"/>
        </w:rPr>
      </w:pPr>
    </w:p>
    <w:p w14:paraId="4EC1791F"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(2) Utvrđivanje svih rizika i određivanje njihove značajnosti treba biti zasnovano na sveobuhvatnoj procjeni rizika kojima je investicijsko društvo izloženo ili bi moglo biti izloženo, a koji su svojstveni vrsti, opsegu i složenosti investicijskih usluga i aktivnosti koje investicijsko društvo pruža i obavlja. Postupak utvrđivanja rizika treba uključivati i procjenu financijskog stanja investicijskog društva i vanjskog okruženja u kojem posluje i obuhvatiti buduća kretanja i promjene.</w:t>
      </w:r>
    </w:p>
    <w:p w14:paraId="06FB82DB" w14:textId="77777777" w:rsidR="00593F13" w:rsidRPr="00085253" w:rsidRDefault="00593F13" w:rsidP="00085253">
      <w:pPr>
        <w:pStyle w:val="Heading2"/>
        <w:jc w:val="both"/>
        <w:rPr>
          <w:rFonts w:ascii="Arial" w:hAnsi="Arial" w:cs="Arial"/>
          <w:color w:val="auto"/>
          <w:sz w:val="22"/>
          <w:szCs w:val="22"/>
          <w:lang w:eastAsia="hr-HR"/>
        </w:rPr>
      </w:pPr>
    </w:p>
    <w:p w14:paraId="6F5087F4"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(3) Investicijsko društvo može koristiti različite pristupe izračuna internih kapitalnih zahtjeva za različite vrste rizika, a pri tome je dužno definirati odgovarajuću metodologiju mjerenja i procjene svakog pojedinog rizika koja omogućava agregiranje primjenjivih mjera i procjena rizika.</w:t>
      </w:r>
    </w:p>
    <w:p w14:paraId="4605A6A8" w14:textId="77777777" w:rsidR="00593F13" w:rsidRPr="00085253" w:rsidRDefault="00593F13" w:rsidP="00085253">
      <w:pPr>
        <w:pStyle w:val="Heading2"/>
        <w:jc w:val="both"/>
        <w:rPr>
          <w:rFonts w:ascii="Arial" w:hAnsi="Arial" w:cs="Arial"/>
          <w:color w:val="auto"/>
          <w:sz w:val="22"/>
          <w:szCs w:val="22"/>
          <w:lang w:eastAsia="hr-HR"/>
        </w:rPr>
      </w:pPr>
    </w:p>
    <w:p w14:paraId="7F7C98D8"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(4) Investicijsko društvo dužno je pri određivanju potrebnog internog kapitala, uvažavajući raspoloživost internog kapitala, definirati interne ciljeve u uvjetima redovitog poslovanja i u uvjetima izvanrednih okolnosti, te odrediti kojom kategorijom kapitala će pokrivati potrebni interni kapital.</w:t>
      </w:r>
    </w:p>
    <w:p w14:paraId="045ACF82" w14:textId="77777777" w:rsidR="00593F13" w:rsidRPr="00085253" w:rsidRDefault="00593F13" w:rsidP="00085253">
      <w:pPr>
        <w:pStyle w:val="Heading2"/>
        <w:jc w:val="both"/>
        <w:rPr>
          <w:rFonts w:ascii="Arial" w:hAnsi="Arial" w:cs="Arial"/>
          <w:color w:val="auto"/>
          <w:sz w:val="22"/>
          <w:szCs w:val="22"/>
          <w:lang w:eastAsia="hr-HR"/>
        </w:rPr>
      </w:pPr>
    </w:p>
    <w:p w14:paraId="6A008463" w14:textId="091E7BBE"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 xml:space="preserve">(5) Investicijsko društvo dužno je uskladiti potrebni interni kapital i </w:t>
      </w:r>
      <w:r w:rsidR="002243B3" w:rsidRPr="00085253">
        <w:rPr>
          <w:rFonts w:ascii="Arial" w:hAnsi="Arial" w:cs="Arial"/>
          <w:color w:val="auto"/>
          <w:sz w:val="22"/>
          <w:szCs w:val="22"/>
          <w:lang w:eastAsia="hr-HR"/>
        </w:rPr>
        <w:t xml:space="preserve">regulatorni </w:t>
      </w:r>
      <w:r w:rsidRPr="00085253">
        <w:rPr>
          <w:rFonts w:ascii="Arial" w:hAnsi="Arial" w:cs="Arial"/>
          <w:color w:val="auto"/>
          <w:sz w:val="22"/>
          <w:szCs w:val="22"/>
          <w:lang w:eastAsia="hr-HR"/>
        </w:rPr>
        <w:t xml:space="preserve">kapital te navesti njihove sličnosti i razlike. Ako se postupkom ocjenjivanja internog kapitala utvrdi da je iznos potrebnog internog kapitala manji od minimalnog iznosa </w:t>
      </w:r>
      <w:r w:rsidR="002243B3" w:rsidRPr="00085253">
        <w:rPr>
          <w:rFonts w:ascii="Arial" w:hAnsi="Arial" w:cs="Arial"/>
          <w:color w:val="auto"/>
          <w:sz w:val="22"/>
          <w:szCs w:val="22"/>
          <w:lang w:eastAsia="hr-HR"/>
        </w:rPr>
        <w:t xml:space="preserve">regulatornog </w:t>
      </w:r>
      <w:r w:rsidRPr="00085253">
        <w:rPr>
          <w:rFonts w:ascii="Arial" w:hAnsi="Arial" w:cs="Arial"/>
          <w:color w:val="auto"/>
          <w:sz w:val="22"/>
          <w:szCs w:val="22"/>
          <w:lang w:eastAsia="hr-HR"/>
        </w:rPr>
        <w:t xml:space="preserve">kapitala iz članka </w:t>
      </w:r>
      <w:r w:rsidR="00BE36F8" w:rsidRPr="00085253">
        <w:rPr>
          <w:rFonts w:ascii="Arial" w:hAnsi="Arial" w:cs="Arial"/>
          <w:color w:val="auto"/>
          <w:sz w:val="22"/>
          <w:szCs w:val="22"/>
          <w:lang w:eastAsia="hr-HR"/>
        </w:rPr>
        <w:t>171</w:t>
      </w:r>
      <w:r w:rsidRPr="00085253">
        <w:rPr>
          <w:rFonts w:ascii="Arial" w:hAnsi="Arial" w:cs="Arial"/>
          <w:color w:val="auto"/>
          <w:sz w:val="22"/>
          <w:szCs w:val="22"/>
          <w:lang w:eastAsia="hr-HR"/>
        </w:rPr>
        <w:t xml:space="preserve">. Zakona, investicijsko društvo dužno je održavati iznos kapitala veći ili jednak kapitalnim zahtjevima u skladu s odredbama članka </w:t>
      </w:r>
      <w:r w:rsidR="00BE36F8" w:rsidRPr="00085253">
        <w:rPr>
          <w:rFonts w:ascii="Arial" w:hAnsi="Arial" w:cs="Arial"/>
          <w:color w:val="auto"/>
          <w:sz w:val="22"/>
          <w:szCs w:val="22"/>
          <w:lang w:eastAsia="hr-HR"/>
        </w:rPr>
        <w:t>171</w:t>
      </w:r>
      <w:r w:rsidRPr="00085253">
        <w:rPr>
          <w:rFonts w:ascii="Arial" w:hAnsi="Arial" w:cs="Arial"/>
          <w:color w:val="auto"/>
          <w:sz w:val="22"/>
          <w:szCs w:val="22"/>
          <w:lang w:eastAsia="hr-HR"/>
        </w:rPr>
        <w:t>. Zakona.</w:t>
      </w:r>
    </w:p>
    <w:p w14:paraId="457A88E6" w14:textId="77777777" w:rsidR="00593F13" w:rsidRPr="00085253" w:rsidRDefault="00593F13" w:rsidP="00085253">
      <w:pPr>
        <w:pStyle w:val="Heading2"/>
        <w:jc w:val="both"/>
        <w:rPr>
          <w:rFonts w:ascii="Arial" w:hAnsi="Arial" w:cs="Arial"/>
          <w:color w:val="auto"/>
          <w:sz w:val="22"/>
          <w:szCs w:val="22"/>
          <w:lang w:eastAsia="hr-HR"/>
        </w:rPr>
      </w:pPr>
    </w:p>
    <w:p w14:paraId="30E3B5CA" w14:textId="77777777"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(6) Investicijsko društvo dužno je formalizirati, dokumentirati i redovito provjeravati postupak ocjenjivanja internog kapitala koji mora biti sastavni dio sustava upravljanja investicijskim društvom. Društvo je dužno najmanje jednom godišnje provesti ocjenu prikladnosti postupka ocjenjivanja adekvatnosti internog kapitala.</w:t>
      </w:r>
    </w:p>
    <w:p w14:paraId="0056E990" w14:textId="77777777" w:rsidR="00593F13" w:rsidRPr="00085253" w:rsidRDefault="00593F13" w:rsidP="00085253">
      <w:pPr>
        <w:pStyle w:val="Heading2"/>
        <w:jc w:val="both"/>
        <w:rPr>
          <w:rFonts w:ascii="Arial" w:hAnsi="Arial" w:cs="Arial"/>
          <w:color w:val="auto"/>
          <w:sz w:val="22"/>
          <w:szCs w:val="22"/>
          <w:lang w:eastAsia="hr-HR"/>
        </w:rPr>
      </w:pPr>
    </w:p>
    <w:p w14:paraId="2AC1C879" w14:textId="55470805" w:rsidR="000E3FEE" w:rsidRPr="00085253" w:rsidRDefault="000E3FEE" w:rsidP="00085253">
      <w:pPr>
        <w:pStyle w:val="Heading2"/>
        <w:jc w:val="both"/>
        <w:rPr>
          <w:rFonts w:ascii="Arial" w:hAnsi="Arial" w:cs="Arial"/>
          <w:color w:val="auto"/>
          <w:sz w:val="22"/>
          <w:szCs w:val="22"/>
          <w:lang w:eastAsia="hr-HR"/>
        </w:rPr>
      </w:pPr>
      <w:r w:rsidRPr="00085253">
        <w:rPr>
          <w:rFonts w:ascii="Arial" w:hAnsi="Arial" w:cs="Arial"/>
          <w:color w:val="auto"/>
          <w:sz w:val="22"/>
          <w:szCs w:val="22"/>
          <w:lang w:eastAsia="hr-HR"/>
        </w:rPr>
        <w:t>(7) Investicijsko društvo dužno je postupak ocjenjivanja internog kapitala i njegove raspodjele provoditi najmanje jednom godišnje, a u slučaju značajnih promjena u tijeku godine i češće, te o samom postupku ocjenjivanja internog kap</w:t>
      </w:r>
      <w:r w:rsidR="0010085E" w:rsidRPr="00085253">
        <w:rPr>
          <w:rFonts w:ascii="Arial" w:hAnsi="Arial" w:cs="Arial"/>
          <w:color w:val="auto"/>
          <w:sz w:val="22"/>
          <w:szCs w:val="22"/>
          <w:lang w:eastAsia="hr-HR"/>
        </w:rPr>
        <w:t>itala</w:t>
      </w:r>
      <w:r w:rsidRPr="00085253">
        <w:rPr>
          <w:rFonts w:ascii="Arial" w:hAnsi="Arial" w:cs="Arial"/>
          <w:color w:val="auto"/>
          <w:sz w:val="22"/>
          <w:szCs w:val="22"/>
          <w:lang w:eastAsia="hr-HR"/>
        </w:rPr>
        <w:t xml:space="preserve"> izvijestiti </w:t>
      </w:r>
      <w:r w:rsidR="00BE36F8" w:rsidRPr="00085253">
        <w:rPr>
          <w:rFonts w:ascii="Arial" w:hAnsi="Arial" w:cs="Arial"/>
          <w:color w:val="auto"/>
          <w:sz w:val="22"/>
          <w:szCs w:val="22"/>
          <w:lang w:eastAsia="hr-HR"/>
        </w:rPr>
        <w:t>Hanfu</w:t>
      </w:r>
      <w:r w:rsidR="002243B3" w:rsidRPr="00085253">
        <w:rPr>
          <w:rFonts w:ascii="Arial" w:hAnsi="Arial" w:cs="Arial"/>
          <w:color w:val="auto"/>
          <w:sz w:val="22"/>
          <w:szCs w:val="22"/>
          <w:lang w:eastAsia="hr-HR"/>
        </w:rPr>
        <w:t xml:space="preserve"> na njen zahtjev</w:t>
      </w:r>
      <w:r w:rsidRPr="00085253">
        <w:rPr>
          <w:rFonts w:ascii="Arial" w:hAnsi="Arial" w:cs="Arial"/>
          <w:color w:val="auto"/>
          <w:sz w:val="22"/>
          <w:szCs w:val="22"/>
          <w:lang w:eastAsia="hr-HR"/>
        </w:rPr>
        <w:t>.</w:t>
      </w:r>
    </w:p>
    <w:p w14:paraId="25128A8B" w14:textId="77777777" w:rsidR="00BE36F8" w:rsidRPr="000E3FEE" w:rsidRDefault="00BE36F8" w:rsidP="000E3FEE">
      <w:pPr>
        <w:pStyle w:val="NoSpacing"/>
        <w:jc w:val="both"/>
        <w:rPr>
          <w:rFonts w:ascii="Arial" w:hAnsi="Arial" w:cs="Arial"/>
          <w:lang w:eastAsia="hr-HR"/>
        </w:rPr>
      </w:pPr>
    </w:p>
    <w:p w14:paraId="67348560" w14:textId="77777777" w:rsidR="000E3FEE" w:rsidRPr="00F55F3A" w:rsidRDefault="000E3FEE" w:rsidP="00F55F3A">
      <w:pPr>
        <w:pStyle w:val="Heading2"/>
        <w:jc w:val="center"/>
        <w:rPr>
          <w:rFonts w:ascii="Arial" w:hAnsi="Arial" w:cs="Arial"/>
          <w:color w:val="auto"/>
          <w:sz w:val="22"/>
          <w:szCs w:val="22"/>
          <w:lang w:eastAsia="hr-HR"/>
        </w:rPr>
      </w:pPr>
      <w:r w:rsidRPr="00F55F3A">
        <w:rPr>
          <w:rFonts w:ascii="Arial" w:hAnsi="Arial" w:cs="Arial"/>
          <w:color w:val="auto"/>
          <w:sz w:val="22"/>
          <w:szCs w:val="22"/>
          <w:lang w:eastAsia="hr-HR"/>
        </w:rPr>
        <w:lastRenderedPageBreak/>
        <w:t>Kreditni rizik</w:t>
      </w:r>
    </w:p>
    <w:p w14:paraId="64ED8F49" w14:textId="113A2CDC" w:rsidR="000E3FEE" w:rsidRPr="000026C6" w:rsidRDefault="0064679F" w:rsidP="00F55F3A">
      <w:pPr>
        <w:pStyle w:val="Heading2"/>
        <w:jc w:val="center"/>
        <w:rPr>
          <w:rFonts w:ascii="Arial" w:hAnsi="Arial" w:cs="Arial"/>
          <w:color w:val="auto"/>
          <w:sz w:val="22"/>
          <w:szCs w:val="22"/>
          <w:lang w:eastAsia="hr-HR"/>
        </w:rPr>
      </w:pPr>
      <w:r w:rsidRPr="000026C6">
        <w:rPr>
          <w:rFonts w:ascii="Arial" w:hAnsi="Arial" w:cs="Arial"/>
          <w:color w:val="auto"/>
          <w:sz w:val="22"/>
          <w:szCs w:val="22"/>
          <w:lang w:eastAsia="hr-HR"/>
        </w:rPr>
        <w:t>Članak 1</w:t>
      </w:r>
      <w:r w:rsidR="00823C4E" w:rsidRPr="000026C6">
        <w:rPr>
          <w:rFonts w:ascii="Arial" w:hAnsi="Arial" w:cs="Arial"/>
          <w:color w:val="auto"/>
          <w:sz w:val="22"/>
          <w:szCs w:val="22"/>
          <w:lang w:eastAsia="hr-HR"/>
        </w:rPr>
        <w:t>5</w:t>
      </w:r>
      <w:r w:rsidR="000E3FEE" w:rsidRPr="000026C6">
        <w:rPr>
          <w:rFonts w:ascii="Arial" w:hAnsi="Arial" w:cs="Arial"/>
          <w:color w:val="auto"/>
          <w:sz w:val="22"/>
          <w:szCs w:val="22"/>
          <w:lang w:eastAsia="hr-HR"/>
        </w:rPr>
        <w:t>.</w:t>
      </w:r>
    </w:p>
    <w:p w14:paraId="3F5ED69E" w14:textId="77777777" w:rsidR="00BE36F8" w:rsidRPr="00F55F3A" w:rsidRDefault="00BE36F8" w:rsidP="00F55F3A">
      <w:pPr>
        <w:pStyle w:val="Heading2"/>
        <w:jc w:val="both"/>
        <w:rPr>
          <w:rFonts w:ascii="Arial" w:hAnsi="Arial" w:cs="Arial"/>
          <w:color w:val="auto"/>
          <w:sz w:val="22"/>
          <w:szCs w:val="22"/>
          <w:lang w:eastAsia="hr-HR"/>
        </w:rPr>
      </w:pPr>
    </w:p>
    <w:p w14:paraId="089ED471" w14:textId="7FD7BBB3" w:rsidR="000E3FEE" w:rsidRPr="00F55F3A" w:rsidRDefault="000E3FEE" w:rsidP="00F55F3A">
      <w:pPr>
        <w:pStyle w:val="Heading2"/>
        <w:jc w:val="both"/>
        <w:rPr>
          <w:rFonts w:ascii="Arial" w:hAnsi="Arial" w:cs="Arial"/>
          <w:color w:val="auto"/>
          <w:sz w:val="22"/>
          <w:szCs w:val="22"/>
          <w:lang w:eastAsia="hr-HR"/>
        </w:rPr>
      </w:pPr>
      <w:r w:rsidRPr="00F55F3A">
        <w:rPr>
          <w:rFonts w:ascii="Arial" w:hAnsi="Arial" w:cs="Arial"/>
          <w:color w:val="auto"/>
          <w:sz w:val="22"/>
          <w:szCs w:val="22"/>
          <w:lang w:eastAsia="hr-HR"/>
        </w:rPr>
        <w:t xml:space="preserve">(1) Investicijsko društvo dužno je izraditi i primjenjivati odgovarajuće politike i postupke za upravljanje kreditnim rizikom sukladno </w:t>
      </w:r>
      <w:r w:rsidR="0064679F" w:rsidRPr="00F55F3A">
        <w:rPr>
          <w:rFonts w:ascii="Arial" w:hAnsi="Arial" w:cs="Arial"/>
          <w:color w:val="auto"/>
          <w:sz w:val="22"/>
          <w:szCs w:val="22"/>
          <w:lang w:eastAsia="hr-HR"/>
        </w:rPr>
        <w:t>člancima 6. i 1</w:t>
      </w:r>
      <w:r w:rsidR="00823C4E" w:rsidRPr="00F55F3A">
        <w:rPr>
          <w:rFonts w:ascii="Arial" w:hAnsi="Arial" w:cs="Arial"/>
          <w:color w:val="auto"/>
          <w:sz w:val="22"/>
          <w:szCs w:val="22"/>
          <w:lang w:eastAsia="hr-HR"/>
        </w:rPr>
        <w:t>3</w:t>
      </w:r>
      <w:r w:rsidR="0064679F" w:rsidRPr="00F55F3A">
        <w:rPr>
          <w:rFonts w:ascii="Arial" w:hAnsi="Arial" w:cs="Arial"/>
          <w:color w:val="auto"/>
          <w:sz w:val="22"/>
          <w:szCs w:val="22"/>
          <w:lang w:eastAsia="hr-HR"/>
        </w:rPr>
        <w:t xml:space="preserve">. </w:t>
      </w:r>
      <w:r w:rsidRPr="00F55F3A">
        <w:rPr>
          <w:rFonts w:ascii="Arial" w:hAnsi="Arial" w:cs="Arial"/>
          <w:color w:val="auto"/>
          <w:sz w:val="22"/>
          <w:szCs w:val="22"/>
          <w:lang w:eastAsia="hr-HR"/>
        </w:rPr>
        <w:t>ovoga Pravilnika.</w:t>
      </w:r>
    </w:p>
    <w:p w14:paraId="1B7C48AE" w14:textId="77777777" w:rsidR="00593F13" w:rsidRPr="00F55F3A" w:rsidRDefault="00593F13" w:rsidP="00F55F3A">
      <w:pPr>
        <w:pStyle w:val="Heading2"/>
        <w:jc w:val="both"/>
        <w:rPr>
          <w:rFonts w:ascii="Arial" w:hAnsi="Arial" w:cs="Arial"/>
          <w:color w:val="auto"/>
          <w:sz w:val="22"/>
          <w:szCs w:val="22"/>
          <w:lang w:eastAsia="hr-HR"/>
        </w:rPr>
      </w:pPr>
    </w:p>
    <w:p w14:paraId="50489C43" w14:textId="77777777" w:rsidR="000E3FEE" w:rsidRPr="00F55F3A" w:rsidRDefault="000E3FEE" w:rsidP="00F55F3A">
      <w:pPr>
        <w:pStyle w:val="Heading2"/>
        <w:jc w:val="both"/>
        <w:rPr>
          <w:rFonts w:ascii="Arial" w:hAnsi="Arial" w:cs="Arial"/>
          <w:color w:val="auto"/>
          <w:sz w:val="22"/>
          <w:szCs w:val="22"/>
          <w:lang w:eastAsia="hr-HR"/>
        </w:rPr>
      </w:pPr>
      <w:r w:rsidRPr="00F55F3A">
        <w:rPr>
          <w:rFonts w:ascii="Arial" w:hAnsi="Arial" w:cs="Arial"/>
          <w:color w:val="auto"/>
          <w:sz w:val="22"/>
          <w:szCs w:val="22"/>
          <w:lang w:eastAsia="hr-HR"/>
        </w:rPr>
        <w:t>(2) Investicijsko društvo dužno je osigurati da diverzifikacija njegovih portfelja koji nose kreditni rizik bude u skladu s kreditnom strategijom i ciljanim tržištima.</w:t>
      </w:r>
    </w:p>
    <w:p w14:paraId="2E007308" w14:textId="77777777" w:rsidR="00593F13" w:rsidRPr="00F55F3A" w:rsidRDefault="00593F13" w:rsidP="00F55F3A">
      <w:pPr>
        <w:pStyle w:val="Heading2"/>
        <w:jc w:val="both"/>
        <w:rPr>
          <w:rFonts w:ascii="Arial" w:hAnsi="Arial" w:cs="Arial"/>
          <w:color w:val="auto"/>
          <w:sz w:val="22"/>
          <w:szCs w:val="22"/>
          <w:lang w:eastAsia="hr-HR"/>
        </w:rPr>
      </w:pPr>
    </w:p>
    <w:p w14:paraId="0C9F8C70" w14:textId="77777777" w:rsidR="000E3FEE" w:rsidRPr="00F55F3A" w:rsidRDefault="000E3FEE" w:rsidP="00F55F3A">
      <w:pPr>
        <w:pStyle w:val="Heading2"/>
        <w:jc w:val="both"/>
        <w:rPr>
          <w:rFonts w:ascii="Arial" w:hAnsi="Arial" w:cs="Arial"/>
          <w:color w:val="auto"/>
          <w:sz w:val="22"/>
          <w:szCs w:val="22"/>
          <w:lang w:eastAsia="hr-HR"/>
        </w:rPr>
      </w:pPr>
      <w:r w:rsidRPr="00F55F3A">
        <w:rPr>
          <w:rFonts w:ascii="Arial" w:hAnsi="Arial" w:cs="Arial"/>
          <w:color w:val="auto"/>
          <w:sz w:val="22"/>
          <w:szCs w:val="22"/>
          <w:lang w:eastAsia="hr-HR"/>
        </w:rPr>
        <w:t>(3) Investicijsko društvo dužno je utvrditi internu metodologiju koja omogućuje procjenu kreditnog rizika izloženosti prema pojedinim dužnicima, vrijednosnim papirima te kreditnog rizika na razini portfelja.</w:t>
      </w:r>
    </w:p>
    <w:p w14:paraId="303D79A1" w14:textId="77777777" w:rsidR="00593F13" w:rsidRPr="00F55F3A" w:rsidRDefault="00593F13" w:rsidP="00F55F3A">
      <w:pPr>
        <w:pStyle w:val="Heading2"/>
        <w:jc w:val="both"/>
        <w:rPr>
          <w:rFonts w:ascii="Arial" w:hAnsi="Arial" w:cs="Arial"/>
          <w:color w:val="auto"/>
          <w:sz w:val="22"/>
          <w:szCs w:val="22"/>
          <w:lang w:eastAsia="hr-HR"/>
        </w:rPr>
      </w:pPr>
    </w:p>
    <w:p w14:paraId="5FDB4CD9" w14:textId="0097B1F4" w:rsidR="000E3FEE" w:rsidRPr="00F55F3A" w:rsidRDefault="000E3FEE" w:rsidP="00F55F3A">
      <w:pPr>
        <w:pStyle w:val="Heading2"/>
        <w:jc w:val="both"/>
        <w:rPr>
          <w:rFonts w:ascii="Arial" w:hAnsi="Arial" w:cs="Arial"/>
          <w:color w:val="auto"/>
          <w:sz w:val="22"/>
          <w:szCs w:val="22"/>
          <w:lang w:eastAsia="hr-HR"/>
        </w:rPr>
      </w:pPr>
      <w:r w:rsidRPr="00F55F3A">
        <w:rPr>
          <w:rFonts w:ascii="Arial" w:hAnsi="Arial" w:cs="Arial"/>
          <w:color w:val="auto"/>
          <w:sz w:val="22"/>
          <w:szCs w:val="22"/>
          <w:lang w:eastAsia="hr-HR"/>
        </w:rPr>
        <w:t>(4) Interna metodologija iz stavka 3. ovog članka ne smije se temeljiti isključivo na rejtingu vanjske institucije za procjenu kreditnog rizika.</w:t>
      </w:r>
    </w:p>
    <w:p w14:paraId="569281AE" w14:textId="77777777" w:rsidR="00E4054E" w:rsidRPr="00F55F3A" w:rsidRDefault="00E4054E" w:rsidP="00F55F3A">
      <w:pPr>
        <w:pStyle w:val="Heading2"/>
        <w:jc w:val="both"/>
        <w:rPr>
          <w:rFonts w:ascii="Arial" w:hAnsi="Arial" w:cs="Arial"/>
          <w:color w:val="auto"/>
          <w:sz w:val="22"/>
          <w:szCs w:val="22"/>
          <w:lang w:eastAsia="hr-HR"/>
        </w:rPr>
      </w:pPr>
    </w:p>
    <w:p w14:paraId="7834FD39" w14:textId="77777777" w:rsidR="0064679F" w:rsidRPr="00F55F3A" w:rsidRDefault="0064679F" w:rsidP="00F55F3A">
      <w:pPr>
        <w:pStyle w:val="Heading2"/>
        <w:jc w:val="center"/>
        <w:rPr>
          <w:rFonts w:ascii="Arial" w:hAnsi="Arial" w:cs="Arial"/>
          <w:color w:val="auto"/>
          <w:sz w:val="22"/>
          <w:szCs w:val="22"/>
          <w:lang w:eastAsia="hr-HR"/>
        </w:rPr>
      </w:pPr>
      <w:r w:rsidRPr="00F55F3A">
        <w:rPr>
          <w:rFonts w:ascii="Arial" w:hAnsi="Arial" w:cs="Arial"/>
          <w:color w:val="auto"/>
          <w:sz w:val="22"/>
          <w:szCs w:val="22"/>
          <w:lang w:eastAsia="hr-HR"/>
        </w:rPr>
        <w:t>Tržišni rizici</w:t>
      </w:r>
    </w:p>
    <w:p w14:paraId="23E37A0E" w14:textId="1248C2AF" w:rsidR="0064679F" w:rsidRPr="00F55F3A" w:rsidRDefault="0064679F" w:rsidP="00F55F3A">
      <w:pPr>
        <w:pStyle w:val="Heading2"/>
        <w:jc w:val="center"/>
        <w:rPr>
          <w:rFonts w:ascii="Arial" w:hAnsi="Arial" w:cs="Arial"/>
          <w:b/>
          <w:color w:val="auto"/>
          <w:sz w:val="22"/>
          <w:szCs w:val="22"/>
          <w:lang w:eastAsia="hr-HR"/>
        </w:rPr>
      </w:pPr>
      <w:r w:rsidRPr="00BB3AF9">
        <w:rPr>
          <w:rFonts w:ascii="Arial" w:hAnsi="Arial" w:cs="Arial"/>
          <w:color w:val="auto"/>
          <w:sz w:val="22"/>
          <w:szCs w:val="22"/>
          <w:lang w:eastAsia="hr-HR"/>
        </w:rPr>
        <w:t>Članak 1</w:t>
      </w:r>
      <w:r w:rsidR="00823C4E" w:rsidRPr="00BB3AF9">
        <w:rPr>
          <w:rFonts w:ascii="Arial" w:hAnsi="Arial" w:cs="Arial"/>
          <w:color w:val="auto"/>
          <w:sz w:val="22"/>
          <w:szCs w:val="22"/>
          <w:lang w:eastAsia="hr-HR"/>
        </w:rPr>
        <w:t>6</w:t>
      </w:r>
      <w:r w:rsidRPr="00F55F3A">
        <w:rPr>
          <w:rFonts w:ascii="Arial" w:hAnsi="Arial" w:cs="Arial"/>
          <w:b/>
          <w:color w:val="auto"/>
          <w:sz w:val="22"/>
          <w:szCs w:val="22"/>
          <w:lang w:eastAsia="hr-HR"/>
        </w:rPr>
        <w:t>.</w:t>
      </w:r>
    </w:p>
    <w:p w14:paraId="105EBB97" w14:textId="77777777" w:rsidR="0064679F" w:rsidRPr="00F55F3A" w:rsidRDefault="0064679F" w:rsidP="00F55F3A">
      <w:pPr>
        <w:pStyle w:val="Heading2"/>
        <w:jc w:val="both"/>
        <w:rPr>
          <w:rFonts w:ascii="Arial" w:hAnsi="Arial" w:cs="Arial"/>
          <w:color w:val="auto"/>
          <w:sz w:val="22"/>
          <w:szCs w:val="22"/>
          <w:lang w:eastAsia="hr-HR"/>
        </w:rPr>
      </w:pPr>
    </w:p>
    <w:p w14:paraId="68CE38C9" w14:textId="0C616268" w:rsidR="0064679F" w:rsidRPr="00F55F3A" w:rsidRDefault="0064679F" w:rsidP="00F55F3A">
      <w:pPr>
        <w:pStyle w:val="Heading2"/>
        <w:jc w:val="both"/>
        <w:rPr>
          <w:rFonts w:ascii="Arial" w:hAnsi="Arial" w:cs="Arial"/>
          <w:color w:val="auto"/>
          <w:sz w:val="22"/>
          <w:szCs w:val="22"/>
          <w:lang w:eastAsia="hr-HR"/>
        </w:rPr>
      </w:pPr>
      <w:r w:rsidRPr="00F55F3A">
        <w:rPr>
          <w:rFonts w:ascii="Arial" w:hAnsi="Arial" w:cs="Arial"/>
          <w:color w:val="auto"/>
          <w:sz w:val="22"/>
          <w:szCs w:val="22"/>
          <w:lang w:eastAsia="hr-HR"/>
        </w:rPr>
        <w:t xml:space="preserve">(1) Investicijsko društvo dužno je izraditi i primjenjivati odgovarajuće politike i postupke za upravljanje tržišnim rizikom </w:t>
      </w:r>
      <w:r w:rsidR="00593F13" w:rsidRPr="00F55F3A">
        <w:rPr>
          <w:rFonts w:ascii="Arial" w:hAnsi="Arial" w:cs="Arial"/>
          <w:color w:val="auto"/>
          <w:sz w:val="22"/>
          <w:szCs w:val="22"/>
          <w:lang w:eastAsia="hr-HR"/>
        </w:rPr>
        <w:t xml:space="preserve">u skladu s </w:t>
      </w:r>
      <w:r w:rsidRPr="00F55F3A">
        <w:rPr>
          <w:rFonts w:ascii="Arial" w:hAnsi="Arial" w:cs="Arial"/>
          <w:color w:val="auto"/>
          <w:sz w:val="22"/>
          <w:szCs w:val="22"/>
          <w:lang w:eastAsia="hr-HR"/>
        </w:rPr>
        <w:t>člancima 4. i 1</w:t>
      </w:r>
      <w:r w:rsidR="00823C4E" w:rsidRPr="00F55F3A">
        <w:rPr>
          <w:rFonts w:ascii="Arial" w:hAnsi="Arial" w:cs="Arial"/>
          <w:color w:val="auto"/>
          <w:sz w:val="22"/>
          <w:szCs w:val="22"/>
          <w:lang w:eastAsia="hr-HR"/>
        </w:rPr>
        <w:t>3</w:t>
      </w:r>
      <w:r w:rsidRPr="00F55F3A">
        <w:rPr>
          <w:rFonts w:ascii="Arial" w:hAnsi="Arial" w:cs="Arial"/>
          <w:color w:val="auto"/>
          <w:sz w:val="22"/>
          <w:szCs w:val="22"/>
          <w:lang w:eastAsia="hr-HR"/>
        </w:rPr>
        <w:t>. ovoga Pravilnika.</w:t>
      </w:r>
    </w:p>
    <w:p w14:paraId="342938C0" w14:textId="77777777" w:rsidR="00593F13" w:rsidRPr="00F55F3A" w:rsidRDefault="00593F13" w:rsidP="00F55F3A">
      <w:pPr>
        <w:pStyle w:val="Heading2"/>
        <w:jc w:val="both"/>
        <w:rPr>
          <w:rFonts w:ascii="Arial" w:hAnsi="Arial" w:cs="Arial"/>
          <w:color w:val="auto"/>
          <w:sz w:val="22"/>
          <w:szCs w:val="22"/>
          <w:lang w:eastAsia="hr-HR"/>
        </w:rPr>
      </w:pPr>
    </w:p>
    <w:p w14:paraId="4A655EB8" w14:textId="3E556C77" w:rsidR="0064679F" w:rsidRPr="00F55F3A" w:rsidRDefault="0064679F" w:rsidP="00F55F3A">
      <w:pPr>
        <w:pStyle w:val="Heading2"/>
        <w:jc w:val="both"/>
        <w:rPr>
          <w:rFonts w:ascii="Arial" w:hAnsi="Arial" w:cs="Arial"/>
          <w:color w:val="auto"/>
          <w:sz w:val="22"/>
          <w:szCs w:val="22"/>
          <w:lang w:eastAsia="hr-HR"/>
        </w:rPr>
      </w:pPr>
      <w:r w:rsidRPr="00F55F3A">
        <w:rPr>
          <w:rFonts w:ascii="Arial" w:hAnsi="Arial" w:cs="Arial"/>
          <w:color w:val="auto"/>
          <w:sz w:val="22"/>
          <w:szCs w:val="22"/>
          <w:lang w:eastAsia="hr-HR"/>
        </w:rPr>
        <w:t xml:space="preserve">(2) Investicijsko društvo koje je pri izračunu kapitalnih zahtjeva za pozicijski rizik, u skladu s dijelom trećim, glavom IV., poglavljem 2. Uredbe (EU) br. 575/2013 netiralo svoje pozicije u jednom ili više vlasničkih instrumenata koji čine dionički indeks s jednom ili više pozicija u budućnosnici na dionički indeks ili u nekom drugom proizvodu koji se temelji na dioničkom indeksu, mora imati odgovarajući interni kapital za pokriće gubitka na temelju rizika osnove zbog toga što se vrijednost budućnosnice ili drugog proizvoda ne kreće u potpunosti u skladu s vrijednošću sastavnih vlasničkih instrumenata. </w:t>
      </w:r>
    </w:p>
    <w:p w14:paraId="64E794F7" w14:textId="77777777" w:rsidR="00593F13" w:rsidRPr="00F55F3A" w:rsidRDefault="00593F13" w:rsidP="00F55F3A">
      <w:pPr>
        <w:pStyle w:val="Heading2"/>
        <w:jc w:val="both"/>
        <w:rPr>
          <w:rFonts w:ascii="Arial" w:hAnsi="Arial" w:cs="Arial"/>
          <w:color w:val="auto"/>
          <w:sz w:val="22"/>
          <w:szCs w:val="22"/>
          <w:lang w:eastAsia="hr-HR"/>
        </w:rPr>
      </w:pPr>
    </w:p>
    <w:p w14:paraId="2DEFA1AB" w14:textId="1B1E1D1A" w:rsidR="0064679F" w:rsidRPr="00F55F3A" w:rsidRDefault="0064679F" w:rsidP="00F55F3A">
      <w:pPr>
        <w:pStyle w:val="Heading2"/>
        <w:jc w:val="both"/>
        <w:rPr>
          <w:rFonts w:ascii="Arial" w:hAnsi="Arial" w:cs="Arial"/>
          <w:color w:val="auto"/>
          <w:sz w:val="22"/>
          <w:szCs w:val="22"/>
          <w:lang w:eastAsia="hr-HR"/>
        </w:rPr>
      </w:pPr>
      <w:r w:rsidRPr="00F55F3A">
        <w:rPr>
          <w:rFonts w:ascii="Arial" w:hAnsi="Arial" w:cs="Arial"/>
          <w:color w:val="auto"/>
          <w:sz w:val="22"/>
          <w:szCs w:val="22"/>
          <w:lang w:eastAsia="hr-HR"/>
        </w:rPr>
        <w:t>(3) Investicijsko društvo iz stavka 2. ovoga članka mora održavati odgovarajući interni kapital kada ima suprotne pozicije u budućnosnicama na dionički indeks koje nisu identične s obzirom na njihovo dospijeće ili njihov sastav ili oboje.</w:t>
      </w:r>
    </w:p>
    <w:p w14:paraId="4EC9DB22" w14:textId="77777777" w:rsidR="00593F13" w:rsidRPr="00F55F3A" w:rsidRDefault="00593F13" w:rsidP="00F55F3A">
      <w:pPr>
        <w:pStyle w:val="Heading2"/>
        <w:jc w:val="both"/>
        <w:rPr>
          <w:rFonts w:ascii="Arial" w:hAnsi="Arial" w:cs="Arial"/>
          <w:color w:val="auto"/>
          <w:sz w:val="22"/>
          <w:szCs w:val="22"/>
          <w:lang w:eastAsia="hr-HR"/>
        </w:rPr>
      </w:pPr>
    </w:p>
    <w:p w14:paraId="700C4DC9" w14:textId="01B63745" w:rsidR="0023004B" w:rsidRPr="00F55F3A" w:rsidRDefault="0064679F" w:rsidP="00F55F3A">
      <w:pPr>
        <w:pStyle w:val="Heading2"/>
        <w:jc w:val="both"/>
        <w:rPr>
          <w:rFonts w:ascii="Arial" w:hAnsi="Arial" w:cs="Arial"/>
          <w:color w:val="auto"/>
          <w:sz w:val="22"/>
          <w:szCs w:val="22"/>
          <w:lang w:eastAsia="hr-HR"/>
        </w:rPr>
      </w:pPr>
      <w:r w:rsidRPr="00F55F3A">
        <w:rPr>
          <w:rFonts w:ascii="Arial" w:hAnsi="Arial" w:cs="Arial"/>
          <w:color w:val="auto"/>
          <w:sz w:val="22"/>
          <w:szCs w:val="22"/>
          <w:lang w:eastAsia="hr-HR"/>
        </w:rPr>
        <w:t>(4) Kada investicijsko društvo primjenjuje postupak umanjenja neto pozicija vezano uz provedbu ponude odnosno prodaje financijskih instrumenata uz obvezu otkupa iz članka 345. Uredbe (EU) br. 575/2013, dužno je osigurati dovoljno internoga kapitala za rizik gubitka koji postoji u razdoblju od preuzimanja obveze do sljedećeg radnog dana.</w:t>
      </w:r>
    </w:p>
    <w:p w14:paraId="2753E2C8" w14:textId="698988D6" w:rsidR="00F97865" w:rsidRDefault="00F97865" w:rsidP="000E3FEE">
      <w:pPr>
        <w:pStyle w:val="NoSpacing"/>
        <w:rPr>
          <w:rFonts w:ascii="Arial" w:hAnsi="Arial" w:cs="Arial"/>
          <w:lang w:eastAsia="hr-HR"/>
        </w:rPr>
      </w:pPr>
    </w:p>
    <w:p w14:paraId="5C537B24" w14:textId="77777777" w:rsidR="0064679F" w:rsidRDefault="0064679F" w:rsidP="000E3FEE">
      <w:pPr>
        <w:pStyle w:val="NoSpacing"/>
        <w:rPr>
          <w:rFonts w:ascii="Arial" w:hAnsi="Arial" w:cs="Arial"/>
          <w:lang w:eastAsia="hr-HR"/>
        </w:rPr>
      </w:pPr>
    </w:p>
    <w:p w14:paraId="5149B8C1" w14:textId="354CE69D" w:rsidR="008231D6" w:rsidRPr="00B152C8" w:rsidRDefault="008231D6" w:rsidP="00B152C8">
      <w:pPr>
        <w:pStyle w:val="Heading1"/>
        <w:jc w:val="center"/>
        <w:rPr>
          <w:rFonts w:ascii="Arial" w:hAnsi="Arial" w:cs="Arial"/>
          <w:b w:val="0"/>
          <w:sz w:val="22"/>
          <w:szCs w:val="22"/>
        </w:rPr>
      </w:pPr>
      <w:r w:rsidRPr="00B152C8">
        <w:rPr>
          <w:rFonts w:ascii="Arial" w:hAnsi="Arial" w:cs="Arial"/>
          <w:b w:val="0"/>
          <w:sz w:val="22"/>
          <w:szCs w:val="22"/>
        </w:rPr>
        <w:t>IV. IZLOŽENOST PREMA SUBJEKTIMA BANKARSTVA U SJENI</w:t>
      </w:r>
    </w:p>
    <w:p w14:paraId="1286829A" w14:textId="77777777" w:rsidR="00297D8C" w:rsidRPr="008231D6" w:rsidRDefault="00297D8C" w:rsidP="008231D6">
      <w:pPr>
        <w:pStyle w:val="NoSpacing"/>
        <w:jc w:val="center"/>
        <w:rPr>
          <w:rFonts w:ascii="Arial" w:hAnsi="Arial" w:cs="Arial"/>
          <w:lang w:eastAsia="hr-HR"/>
        </w:rPr>
      </w:pPr>
    </w:p>
    <w:p w14:paraId="14419D35" w14:textId="77777777" w:rsidR="008231D6" w:rsidRPr="0016047E" w:rsidRDefault="008231D6" w:rsidP="0016047E">
      <w:pPr>
        <w:pStyle w:val="Heading2"/>
        <w:jc w:val="center"/>
        <w:rPr>
          <w:rFonts w:ascii="Arial" w:hAnsi="Arial" w:cs="Arial"/>
          <w:color w:val="auto"/>
          <w:sz w:val="22"/>
          <w:szCs w:val="22"/>
          <w:lang w:eastAsia="hr-HR"/>
        </w:rPr>
      </w:pPr>
      <w:r w:rsidRPr="0016047E">
        <w:rPr>
          <w:rFonts w:ascii="Arial" w:hAnsi="Arial" w:cs="Arial"/>
          <w:color w:val="auto"/>
          <w:sz w:val="22"/>
          <w:szCs w:val="22"/>
          <w:lang w:eastAsia="hr-HR"/>
        </w:rPr>
        <w:lastRenderedPageBreak/>
        <w:t>Upravljanje rizicima koji proizlaze iz izloženosti prema</w:t>
      </w:r>
    </w:p>
    <w:p w14:paraId="3438AC9B" w14:textId="77777777" w:rsidR="008231D6" w:rsidRPr="0016047E" w:rsidRDefault="008231D6" w:rsidP="0016047E">
      <w:pPr>
        <w:pStyle w:val="Heading2"/>
        <w:jc w:val="center"/>
        <w:rPr>
          <w:rFonts w:ascii="Arial" w:hAnsi="Arial" w:cs="Arial"/>
          <w:color w:val="auto"/>
          <w:sz w:val="22"/>
          <w:szCs w:val="22"/>
          <w:lang w:eastAsia="hr-HR"/>
        </w:rPr>
      </w:pPr>
      <w:r w:rsidRPr="0016047E">
        <w:rPr>
          <w:rFonts w:ascii="Arial" w:hAnsi="Arial" w:cs="Arial"/>
          <w:color w:val="auto"/>
          <w:sz w:val="22"/>
          <w:szCs w:val="22"/>
          <w:lang w:eastAsia="hr-HR"/>
        </w:rPr>
        <w:t>subjektima bankarstva u sjeni</w:t>
      </w:r>
    </w:p>
    <w:p w14:paraId="7D42928B" w14:textId="0379F318" w:rsidR="008231D6" w:rsidRPr="0016047E" w:rsidRDefault="008231D6" w:rsidP="0016047E">
      <w:pPr>
        <w:pStyle w:val="Heading3"/>
        <w:jc w:val="center"/>
        <w:rPr>
          <w:rFonts w:ascii="Arial" w:hAnsi="Arial" w:cs="Arial"/>
          <w:color w:val="auto"/>
          <w:sz w:val="22"/>
          <w:szCs w:val="22"/>
          <w:lang w:eastAsia="hr-HR"/>
        </w:rPr>
      </w:pPr>
      <w:r w:rsidRPr="0016047E">
        <w:rPr>
          <w:rFonts w:ascii="Arial" w:hAnsi="Arial" w:cs="Arial"/>
          <w:color w:val="auto"/>
          <w:sz w:val="22"/>
          <w:szCs w:val="22"/>
          <w:lang w:eastAsia="hr-HR"/>
        </w:rPr>
        <w:t>Članak 1</w:t>
      </w:r>
      <w:r w:rsidR="00823C4E" w:rsidRPr="0016047E">
        <w:rPr>
          <w:rFonts w:ascii="Arial" w:hAnsi="Arial" w:cs="Arial"/>
          <w:color w:val="auto"/>
          <w:sz w:val="22"/>
          <w:szCs w:val="22"/>
          <w:lang w:eastAsia="hr-HR"/>
        </w:rPr>
        <w:t>7</w:t>
      </w:r>
      <w:r w:rsidRPr="0016047E">
        <w:rPr>
          <w:rFonts w:ascii="Arial" w:hAnsi="Arial" w:cs="Arial"/>
          <w:color w:val="auto"/>
          <w:sz w:val="22"/>
          <w:szCs w:val="22"/>
          <w:lang w:eastAsia="hr-HR"/>
        </w:rPr>
        <w:t>.</w:t>
      </w:r>
    </w:p>
    <w:p w14:paraId="7DFCCF56" w14:textId="77777777" w:rsidR="008231D6" w:rsidRPr="0016047E" w:rsidRDefault="008231D6" w:rsidP="0016047E">
      <w:pPr>
        <w:pStyle w:val="Heading3"/>
        <w:jc w:val="both"/>
        <w:rPr>
          <w:rFonts w:ascii="Arial" w:hAnsi="Arial" w:cs="Arial"/>
          <w:color w:val="auto"/>
          <w:sz w:val="22"/>
          <w:szCs w:val="22"/>
          <w:lang w:eastAsia="hr-HR"/>
        </w:rPr>
      </w:pPr>
    </w:p>
    <w:p w14:paraId="66AB055C" w14:textId="19DB30E5" w:rsidR="008231D6" w:rsidRPr="0016047E" w:rsidRDefault="008231D6" w:rsidP="0016047E">
      <w:pPr>
        <w:pStyle w:val="Heading3"/>
        <w:jc w:val="both"/>
        <w:rPr>
          <w:rFonts w:ascii="Arial" w:hAnsi="Arial" w:cs="Arial"/>
          <w:color w:val="auto"/>
          <w:sz w:val="22"/>
          <w:szCs w:val="22"/>
          <w:lang w:eastAsia="hr-HR"/>
        </w:rPr>
      </w:pPr>
      <w:r w:rsidRPr="0016047E">
        <w:rPr>
          <w:rFonts w:ascii="Arial" w:hAnsi="Arial" w:cs="Arial"/>
          <w:color w:val="auto"/>
          <w:sz w:val="22"/>
          <w:szCs w:val="22"/>
          <w:lang w:eastAsia="hr-HR"/>
        </w:rPr>
        <w:t>(1) Investicijsko društvo dužno je utvrđivati sve izloženosti prema pojedinačnom subjektu bankarstva u sjeni, sve rizike koji iz njih proizlaze kao i procjenjivati učinak tih rizika.</w:t>
      </w:r>
    </w:p>
    <w:p w14:paraId="4D869618" w14:textId="77777777" w:rsidR="00F56979" w:rsidRPr="0016047E" w:rsidRDefault="00F56979" w:rsidP="0016047E">
      <w:pPr>
        <w:pStyle w:val="Heading3"/>
        <w:jc w:val="both"/>
        <w:rPr>
          <w:rFonts w:ascii="Arial" w:hAnsi="Arial" w:cs="Arial"/>
          <w:color w:val="auto"/>
          <w:sz w:val="22"/>
          <w:szCs w:val="22"/>
          <w:lang w:eastAsia="hr-HR"/>
        </w:rPr>
      </w:pPr>
    </w:p>
    <w:p w14:paraId="49F982A6" w14:textId="7A98EFCA" w:rsidR="008231D6" w:rsidRPr="0016047E" w:rsidRDefault="008231D6" w:rsidP="0016047E">
      <w:pPr>
        <w:pStyle w:val="Heading3"/>
        <w:jc w:val="both"/>
        <w:rPr>
          <w:rFonts w:ascii="Arial" w:hAnsi="Arial" w:cs="Arial"/>
          <w:color w:val="auto"/>
          <w:sz w:val="22"/>
          <w:szCs w:val="22"/>
          <w:lang w:eastAsia="hr-HR"/>
        </w:rPr>
      </w:pPr>
      <w:r w:rsidRPr="0016047E">
        <w:rPr>
          <w:rFonts w:ascii="Arial" w:hAnsi="Arial" w:cs="Arial"/>
          <w:color w:val="auto"/>
          <w:sz w:val="22"/>
          <w:szCs w:val="22"/>
          <w:lang w:eastAsia="hr-HR"/>
        </w:rPr>
        <w:t xml:space="preserve">(2) Investicijsko društvo dužno je donijeti i primjenjivati politike, postupke i ostale interne akte kojima </w:t>
      </w:r>
      <w:r w:rsidR="00593F13" w:rsidRPr="0016047E">
        <w:rPr>
          <w:rFonts w:ascii="Arial" w:hAnsi="Arial" w:cs="Arial"/>
          <w:color w:val="auto"/>
          <w:sz w:val="22"/>
          <w:szCs w:val="22"/>
          <w:lang w:eastAsia="hr-HR"/>
        </w:rPr>
        <w:t xml:space="preserve">se propisuje </w:t>
      </w:r>
      <w:r w:rsidRPr="0016047E">
        <w:rPr>
          <w:rFonts w:ascii="Arial" w:hAnsi="Arial" w:cs="Arial"/>
          <w:color w:val="auto"/>
          <w:sz w:val="22"/>
          <w:szCs w:val="22"/>
          <w:lang w:eastAsia="hr-HR"/>
        </w:rPr>
        <w:t xml:space="preserve">način utvrđivanja, evidentiranja, praćenja i </w:t>
      </w:r>
      <w:r w:rsidR="00702CBF" w:rsidRPr="0016047E">
        <w:rPr>
          <w:rFonts w:ascii="Arial" w:hAnsi="Arial" w:cs="Arial"/>
          <w:color w:val="auto"/>
          <w:sz w:val="22"/>
          <w:szCs w:val="22"/>
          <w:lang w:eastAsia="hr-HR"/>
        </w:rPr>
        <w:t xml:space="preserve">internog </w:t>
      </w:r>
      <w:r w:rsidRPr="0016047E">
        <w:rPr>
          <w:rFonts w:ascii="Arial" w:hAnsi="Arial" w:cs="Arial"/>
          <w:color w:val="auto"/>
          <w:sz w:val="22"/>
          <w:szCs w:val="22"/>
          <w:lang w:eastAsia="hr-HR"/>
        </w:rPr>
        <w:t>izvještavanja o izloženostima prema subjektima bankarstva u sjeni, svim rizicima koji iz njih proizlaze i mogućem učinku tih rizika.</w:t>
      </w:r>
    </w:p>
    <w:p w14:paraId="3CB47659" w14:textId="77777777" w:rsidR="00593F13" w:rsidRPr="0016047E" w:rsidRDefault="00593F13" w:rsidP="0016047E">
      <w:pPr>
        <w:pStyle w:val="Heading3"/>
        <w:jc w:val="both"/>
        <w:rPr>
          <w:rFonts w:ascii="Arial" w:hAnsi="Arial" w:cs="Arial"/>
          <w:color w:val="auto"/>
          <w:sz w:val="22"/>
          <w:szCs w:val="22"/>
          <w:lang w:eastAsia="hr-HR"/>
        </w:rPr>
      </w:pPr>
    </w:p>
    <w:p w14:paraId="0415E72F" w14:textId="2049D19C" w:rsidR="008231D6" w:rsidRPr="0016047E" w:rsidRDefault="008231D6" w:rsidP="0016047E">
      <w:pPr>
        <w:pStyle w:val="Heading3"/>
        <w:jc w:val="both"/>
        <w:rPr>
          <w:rFonts w:ascii="Arial" w:hAnsi="Arial" w:cs="Arial"/>
          <w:color w:val="auto"/>
          <w:sz w:val="22"/>
          <w:szCs w:val="22"/>
          <w:lang w:eastAsia="hr-HR"/>
        </w:rPr>
      </w:pPr>
      <w:r w:rsidRPr="0016047E">
        <w:rPr>
          <w:rFonts w:ascii="Arial" w:hAnsi="Arial" w:cs="Arial"/>
          <w:color w:val="auto"/>
          <w:sz w:val="22"/>
          <w:szCs w:val="22"/>
          <w:lang w:eastAsia="hr-HR"/>
        </w:rPr>
        <w:t>(3) Politikama, postupcima i ostalim internim aktima iz stavka 2. ovog članka investicijsko društvo dužno je obuhvatiti najmanje:</w:t>
      </w:r>
    </w:p>
    <w:p w14:paraId="5752B77C" w14:textId="24A4E61A" w:rsidR="008231D6" w:rsidRPr="0016047E" w:rsidRDefault="008231D6" w:rsidP="00F84111">
      <w:pPr>
        <w:pStyle w:val="Heading3"/>
        <w:numPr>
          <w:ilvl w:val="0"/>
          <w:numId w:val="49"/>
        </w:numPr>
        <w:jc w:val="both"/>
        <w:rPr>
          <w:rFonts w:ascii="Arial" w:hAnsi="Arial" w:cs="Arial"/>
          <w:color w:val="auto"/>
          <w:sz w:val="22"/>
          <w:szCs w:val="22"/>
          <w:lang w:eastAsia="hr-HR"/>
        </w:rPr>
      </w:pPr>
      <w:r w:rsidRPr="0016047E">
        <w:rPr>
          <w:rFonts w:ascii="Arial" w:hAnsi="Arial" w:cs="Arial"/>
          <w:color w:val="auto"/>
          <w:sz w:val="22"/>
          <w:szCs w:val="22"/>
          <w:lang w:eastAsia="hr-HR"/>
        </w:rPr>
        <w:t>postupke za utvrđivanje svih izloženosti prema subjektima bankarstva u sjeni, svih potencijalnih rizika kojima je investicijsko društvo izloženo na osnovi tih izloženosti te moguće učinke tih rizika,</w:t>
      </w:r>
    </w:p>
    <w:p w14:paraId="1B55FFD8" w14:textId="2905AADF" w:rsidR="008231D6" w:rsidRPr="0016047E" w:rsidRDefault="008231D6" w:rsidP="00F84111">
      <w:pPr>
        <w:pStyle w:val="Heading3"/>
        <w:numPr>
          <w:ilvl w:val="0"/>
          <w:numId w:val="49"/>
        </w:numPr>
        <w:jc w:val="both"/>
        <w:rPr>
          <w:rFonts w:ascii="Arial" w:hAnsi="Arial" w:cs="Arial"/>
          <w:color w:val="auto"/>
          <w:sz w:val="22"/>
          <w:szCs w:val="22"/>
          <w:lang w:eastAsia="hr-HR"/>
        </w:rPr>
      </w:pPr>
      <w:r w:rsidRPr="0016047E">
        <w:rPr>
          <w:rFonts w:ascii="Arial" w:hAnsi="Arial" w:cs="Arial"/>
          <w:color w:val="auto"/>
          <w:sz w:val="22"/>
          <w:szCs w:val="22"/>
          <w:lang w:eastAsia="hr-HR"/>
        </w:rPr>
        <w:t>postupke za upravljanje, kontrolu i smanjenje rizika koji proizlaze iz izloženosti prema subjektima bankarstva u sjeni, pri čemu je potrebno jasno odrediti analize koje se trebaju provesti u vezi s poslovanjem subjekta bankarstva u sjeni prema kojem postoji izloženost i potencijalne rizike za investicijsko društvo i vjerojatnost širenja tih rizika,</w:t>
      </w:r>
    </w:p>
    <w:p w14:paraId="4D44B53E" w14:textId="424D69EA" w:rsidR="008231D6" w:rsidRPr="0016047E" w:rsidRDefault="008231D6" w:rsidP="00F84111">
      <w:pPr>
        <w:pStyle w:val="Heading3"/>
        <w:numPr>
          <w:ilvl w:val="0"/>
          <w:numId w:val="49"/>
        </w:numPr>
        <w:jc w:val="both"/>
        <w:rPr>
          <w:rFonts w:ascii="Arial" w:hAnsi="Arial" w:cs="Arial"/>
          <w:color w:val="auto"/>
          <w:sz w:val="22"/>
          <w:szCs w:val="22"/>
          <w:lang w:eastAsia="hr-HR"/>
        </w:rPr>
      </w:pPr>
      <w:r w:rsidRPr="0016047E">
        <w:rPr>
          <w:rFonts w:ascii="Arial" w:hAnsi="Arial" w:cs="Arial"/>
          <w:color w:val="auto"/>
          <w:sz w:val="22"/>
          <w:szCs w:val="22"/>
          <w:lang w:eastAsia="hr-HR"/>
        </w:rPr>
        <w:t>određivanje sklonosti preuzimanju rizika koji proizlaze iz izloženosti prema subjektima bankarstva u sjeni, a na temelju postupaka iz točke 1. ovog stavka,</w:t>
      </w:r>
    </w:p>
    <w:p w14:paraId="5FE9F911" w14:textId="574ED10E" w:rsidR="008231D6" w:rsidRPr="0016047E" w:rsidRDefault="008231D6" w:rsidP="00F84111">
      <w:pPr>
        <w:pStyle w:val="Heading3"/>
        <w:numPr>
          <w:ilvl w:val="0"/>
          <w:numId w:val="49"/>
        </w:numPr>
        <w:jc w:val="both"/>
        <w:rPr>
          <w:rFonts w:ascii="Arial" w:hAnsi="Arial" w:cs="Arial"/>
          <w:color w:val="auto"/>
          <w:sz w:val="22"/>
          <w:szCs w:val="22"/>
          <w:lang w:eastAsia="hr-HR"/>
        </w:rPr>
      </w:pPr>
      <w:r w:rsidRPr="0016047E">
        <w:rPr>
          <w:rFonts w:ascii="Arial" w:hAnsi="Arial" w:cs="Arial"/>
          <w:color w:val="auto"/>
          <w:sz w:val="22"/>
          <w:szCs w:val="22"/>
          <w:lang w:eastAsia="hr-HR"/>
        </w:rPr>
        <w:t>interne limite za izloženost prema subjektima bankarstva u sjeni,</w:t>
      </w:r>
    </w:p>
    <w:p w14:paraId="2E04F072" w14:textId="3A947ACC" w:rsidR="008231D6" w:rsidRPr="0016047E" w:rsidRDefault="008231D6" w:rsidP="00F84111">
      <w:pPr>
        <w:pStyle w:val="Heading3"/>
        <w:numPr>
          <w:ilvl w:val="0"/>
          <w:numId w:val="49"/>
        </w:numPr>
        <w:jc w:val="both"/>
        <w:rPr>
          <w:rFonts w:ascii="Arial" w:hAnsi="Arial" w:cs="Arial"/>
          <w:color w:val="auto"/>
          <w:sz w:val="22"/>
          <w:szCs w:val="22"/>
          <w:lang w:eastAsia="hr-HR"/>
        </w:rPr>
      </w:pPr>
      <w:r w:rsidRPr="0016047E">
        <w:rPr>
          <w:rFonts w:ascii="Arial" w:hAnsi="Arial" w:cs="Arial"/>
          <w:color w:val="auto"/>
          <w:sz w:val="22"/>
          <w:szCs w:val="22"/>
          <w:lang w:eastAsia="hr-HR"/>
        </w:rPr>
        <w:t>procedure i mjere koje će investicijsko društvo primijeniti u slučaju prekoračenja internih limita,</w:t>
      </w:r>
    </w:p>
    <w:p w14:paraId="0E891524" w14:textId="2A00B6C4" w:rsidR="008231D6" w:rsidRPr="0016047E" w:rsidRDefault="008231D6" w:rsidP="00F84111">
      <w:pPr>
        <w:pStyle w:val="Heading3"/>
        <w:numPr>
          <w:ilvl w:val="0"/>
          <w:numId w:val="49"/>
        </w:numPr>
        <w:jc w:val="both"/>
        <w:rPr>
          <w:rFonts w:ascii="Arial" w:hAnsi="Arial" w:cs="Arial"/>
          <w:color w:val="auto"/>
          <w:sz w:val="22"/>
          <w:szCs w:val="22"/>
          <w:lang w:eastAsia="hr-HR"/>
        </w:rPr>
      </w:pPr>
      <w:r w:rsidRPr="0016047E">
        <w:rPr>
          <w:rFonts w:ascii="Arial" w:hAnsi="Arial" w:cs="Arial"/>
          <w:color w:val="auto"/>
          <w:sz w:val="22"/>
          <w:szCs w:val="22"/>
          <w:lang w:eastAsia="hr-HR"/>
        </w:rPr>
        <w:t>robustan postupak za utvrđivanje povezanosti između subjekata bankarstva u sjeni te između subjekata bankarstva u sjeni i investicijskog društva, tim je postupkom osobito potrebno obuhvatiti situacije u kojima nije moguće utvrditi međusobnu povezanost te je potrebno odrediti odgovarajuće tehnike smanjenja rizika za rješavanje mogućih rizika koji proizlaze iz te neizvjesnosti,</w:t>
      </w:r>
    </w:p>
    <w:p w14:paraId="3BFCC3BF" w14:textId="5072E797" w:rsidR="008231D6" w:rsidRPr="0016047E" w:rsidRDefault="008231D6" w:rsidP="00F84111">
      <w:pPr>
        <w:pStyle w:val="Heading3"/>
        <w:numPr>
          <w:ilvl w:val="0"/>
          <w:numId w:val="49"/>
        </w:numPr>
        <w:jc w:val="both"/>
        <w:rPr>
          <w:rFonts w:ascii="Arial" w:hAnsi="Arial" w:cs="Arial"/>
          <w:color w:val="auto"/>
          <w:sz w:val="22"/>
          <w:szCs w:val="22"/>
          <w:lang w:eastAsia="hr-HR"/>
        </w:rPr>
      </w:pPr>
      <w:r w:rsidRPr="0016047E">
        <w:rPr>
          <w:rFonts w:ascii="Arial" w:hAnsi="Arial" w:cs="Arial"/>
          <w:color w:val="auto"/>
          <w:sz w:val="22"/>
          <w:szCs w:val="22"/>
          <w:lang w:eastAsia="hr-HR"/>
        </w:rPr>
        <w:t xml:space="preserve">učinkovite procedure i postupke </w:t>
      </w:r>
      <w:r w:rsidR="00702CBF" w:rsidRPr="0016047E">
        <w:rPr>
          <w:rFonts w:ascii="Arial" w:hAnsi="Arial" w:cs="Arial"/>
          <w:color w:val="auto"/>
          <w:sz w:val="22"/>
          <w:szCs w:val="22"/>
          <w:lang w:eastAsia="hr-HR"/>
        </w:rPr>
        <w:t xml:space="preserve">izvještavanja </w:t>
      </w:r>
      <w:r w:rsidRPr="0016047E">
        <w:rPr>
          <w:rFonts w:ascii="Arial" w:hAnsi="Arial" w:cs="Arial"/>
          <w:color w:val="auto"/>
          <w:sz w:val="22"/>
          <w:szCs w:val="22"/>
          <w:lang w:eastAsia="hr-HR"/>
        </w:rPr>
        <w:t>uprave o izloženosti prema subjektima bankarstva u sjeni unutar ukupnog sustava upravljanja rizicima.</w:t>
      </w:r>
    </w:p>
    <w:p w14:paraId="54C01DC4" w14:textId="77777777" w:rsidR="00593F13" w:rsidRPr="0016047E" w:rsidRDefault="00593F13" w:rsidP="0016047E">
      <w:pPr>
        <w:pStyle w:val="Heading3"/>
        <w:jc w:val="both"/>
        <w:rPr>
          <w:rFonts w:ascii="Arial" w:hAnsi="Arial" w:cs="Arial"/>
          <w:color w:val="auto"/>
          <w:sz w:val="22"/>
          <w:szCs w:val="22"/>
          <w:lang w:eastAsia="hr-HR"/>
        </w:rPr>
      </w:pPr>
    </w:p>
    <w:p w14:paraId="6AEE3CAB" w14:textId="04FE06BA" w:rsidR="008231D6" w:rsidRPr="0016047E" w:rsidRDefault="008231D6" w:rsidP="0016047E">
      <w:pPr>
        <w:pStyle w:val="Heading3"/>
        <w:jc w:val="both"/>
        <w:rPr>
          <w:rFonts w:ascii="Arial" w:hAnsi="Arial" w:cs="Arial"/>
          <w:color w:val="auto"/>
          <w:sz w:val="22"/>
          <w:szCs w:val="22"/>
          <w:lang w:eastAsia="hr-HR"/>
        </w:rPr>
      </w:pPr>
      <w:r w:rsidRPr="0016047E">
        <w:rPr>
          <w:rFonts w:ascii="Arial" w:hAnsi="Arial" w:cs="Arial"/>
          <w:color w:val="auto"/>
          <w:sz w:val="22"/>
          <w:szCs w:val="22"/>
          <w:lang w:eastAsia="hr-HR"/>
        </w:rPr>
        <w:t xml:space="preserve">(4) Politike, postupci i ostali interni akti iz stavka 2. ovog članka čine jedan ili više dokumenata koji moraju biti u pisanom obliku, jasno definirani i dokumentirani te dostupni svim zaposlenicima investicijskog društva koji su uključeni u proces preuzimanja i upravljanja rizicima koji proizlaze iz izloženosti prema subjektima bankarstva u sjeni. </w:t>
      </w:r>
    </w:p>
    <w:p w14:paraId="49BC64D4" w14:textId="77777777" w:rsidR="00593F13" w:rsidRPr="0016047E" w:rsidRDefault="00593F13" w:rsidP="0016047E">
      <w:pPr>
        <w:pStyle w:val="Heading3"/>
        <w:jc w:val="both"/>
        <w:rPr>
          <w:rFonts w:ascii="Arial" w:hAnsi="Arial" w:cs="Arial"/>
          <w:color w:val="auto"/>
          <w:sz w:val="22"/>
          <w:szCs w:val="22"/>
          <w:lang w:eastAsia="hr-HR"/>
        </w:rPr>
      </w:pPr>
    </w:p>
    <w:p w14:paraId="509A547F" w14:textId="443F81FC" w:rsidR="008231D6" w:rsidRPr="0016047E" w:rsidRDefault="008231D6" w:rsidP="0016047E">
      <w:pPr>
        <w:pStyle w:val="Heading3"/>
        <w:jc w:val="both"/>
        <w:rPr>
          <w:rFonts w:ascii="Arial" w:hAnsi="Arial" w:cs="Arial"/>
          <w:color w:val="auto"/>
          <w:sz w:val="22"/>
          <w:szCs w:val="22"/>
          <w:lang w:eastAsia="hr-HR"/>
        </w:rPr>
      </w:pPr>
      <w:r w:rsidRPr="0016047E">
        <w:rPr>
          <w:rFonts w:ascii="Arial" w:hAnsi="Arial" w:cs="Arial"/>
          <w:color w:val="auto"/>
          <w:sz w:val="22"/>
          <w:szCs w:val="22"/>
          <w:lang w:eastAsia="hr-HR"/>
        </w:rPr>
        <w:t>(5) Investicijsko društvo dužno je osigurati da su rizici iz stavka 1. ovog članka na odgovarajući način uzeti u obzir u postupku procjenjivanja adekvatnosti internoga kapitala.</w:t>
      </w:r>
    </w:p>
    <w:p w14:paraId="536A797C" w14:textId="77777777" w:rsidR="008231D6" w:rsidRDefault="008231D6" w:rsidP="008231D6">
      <w:pPr>
        <w:pStyle w:val="NoSpacing"/>
        <w:jc w:val="both"/>
        <w:rPr>
          <w:rFonts w:ascii="Arial" w:hAnsi="Arial" w:cs="Arial"/>
          <w:lang w:eastAsia="hr-HR"/>
        </w:rPr>
      </w:pPr>
    </w:p>
    <w:p w14:paraId="492A103E" w14:textId="77777777" w:rsidR="00593F13" w:rsidRPr="008231D6" w:rsidRDefault="00593F13" w:rsidP="008231D6">
      <w:pPr>
        <w:pStyle w:val="NoSpacing"/>
        <w:jc w:val="both"/>
        <w:rPr>
          <w:rFonts w:ascii="Arial" w:hAnsi="Arial" w:cs="Arial"/>
          <w:lang w:eastAsia="hr-HR"/>
        </w:rPr>
      </w:pPr>
    </w:p>
    <w:p w14:paraId="4BA86706" w14:textId="77777777" w:rsidR="008231D6" w:rsidRPr="004577E2" w:rsidRDefault="008231D6" w:rsidP="004577E2">
      <w:pPr>
        <w:pStyle w:val="Heading1"/>
        <w:jc w:val="center"/>
        <w:rPr>
          <w:rFonts w:ascii="Arial" w:hAnsi="Arial" w:cs="Arial"/>
          <w:b w:val="0"/>
          <w:sz w:val="22"/>
          <w:szCs w:val="22"/>
        </w:rPr>
      </w:pPr>
      <w:r w:rsidRPr="004577E2">
        <w:rPr>
          <w:rFonts w:ascii="Arial" w:hAnsi="Arial" w:cs="Arial"/>
          <w:b w:val="0"/>
          <w:sz w:val="22"/>
          <w:szCs w:val="22"/>
        </w:rPr>
        <w:t>Nadležnost uprave investicijskog društva</w:t>
      </w:r>
    </w:p>
    <w:p w14:paraId="168537AF" w14:textId="20687F02" w:rsidR="008231D6" w:rsidRPr="004577E2" w:rsidRDefault="008231D6" w:rsidP="004577E2">
      <w:pPr>
        <w:pStyle w:val="Heading2"/>
        <w:jc w:val="center"/>
        <w:rPr>
          <w:rFonts w:ascii="Arial" w:hAnsi="Arial" w:cs="Arial"/>
          <w:color w:val="auto"/>
          <w:sz w:val="22"/>
          <w:szCs w:val="22"/>
          <w:lang w:eastAsia="hr-HR"/>
        </w:rPr>
      </w:pPr>
      <w:r w:rsidRPr="004577E2">
        <w:rPr>
          <w:rFonts w:ascii="Arial" w:hAnsi="Arial" w:cs="Arial"/>
          <w:color w:val="auto"/>
          <w:sz w:val="22"/>
          <w:szCs w:val="22"/>
          <w:lang w:eastAsia="hr-HR"/>
        </w:rPr>
        <w:lastRenderedPageBreak/>
        <w:t>Članak 1</w:t>
      </w:r>
      <w:r w:rsidR="00823C4E" w:rsidRPr="004577E2">
        <w:rPr>
          <w:rFonts w:ascii="Arial" w:hAnsi="Arial" w:cs="Arial"/>
          <w:color w:val="auto"/>
          <w:sz w:val="22"/>
          <w:szCs w:val="22"/>
          <w:lang w:eastAsia="hr-HR"/>
        </w:rPr>
        <w:t>8</w:t>
      </w:r>
      <w:r w:rsidRPr="004577E2">
        <w:rPr>
          <w:rFonts w:ascii="Arial" w:hAnsi="Arial" w:cs="Arial"/>
          <w:color w:val="auto"/>
          <w:sz w:val="22"/>
          <w:szCs w:val="22"/>
          <w:lang w:eastAsia="hr-HR"/>
        </w:rPr>
        <w:t>.</w:t>
      </w:r>
    </w:p>
    <w:p w14:paraId="0FB5FAA3" w14:textId="77777777" w:rsidR="008231D6" w:rsidRPr="004577E2" w:rsidRDefault="008231D6" w:rsidP="004577E2">
      <w:pPr>
        <w:pStyle w:val="Heading2"/>
        <w:rPr>
          <w:rFonts w:ascii="Arial" w:hAnsi="Arial" w:cs="Arial"/>
          <w:color w:val="auto"/>
          <w:sz w:val="22"/>
          <w:szCs w:val="22"/>
          <w:lang w:eastAsia="hr-HR"/>
        </w:rPr>
      </w:pPr>
    </w:p>
    <w:p w14:paraId="535CEC52" w14:textId="7EEF82C0" w:rsidR="008231D6" w:rsidRPr="004577E2" w:rsidRDefault="00297D8C" w:rsidP="004577E2">
      <w:pPr>
        <w:pStyle w:val="Heading2"/>
        <w:rPr>
          <w:rFonts w:ascii="Arial" w:hAnsi="Arial" w:cs="Arial"/>
          <w:color w:val="auto"/>
          <w:sz w:val="22"/>
          <w:szCs w:val="22"/>
          <w:lang w:eastAsia="hr-HR"/>
        </w:rPr>
      </w:pPr>
      <w:r w:rsidRPr="004577E2">
        <w:rPr>
          <w:rFonts w:ascii="Arial" w:hAnsi="Arial" w:cs="Arial"/>
          <w:color w:val="auto"/>
          <w:sz w:val="22"/>
          <w:szCs w:val="22"/>
          <w:lang w:eastAsia="hr-HR"/>
        </w:rPr>
        <w:t xml:space="preserve">(1) </w:t>
      </w:r>
      <w:r w:rsidR="008231D6" w:rsidRPr="004577E2">
        <w:rPr>
          <w:rFonts w:ascii="Arial" w:hAnsi="Arial" w:cs="Arial"/>
          <w:color w:val="auto"/>
          <w:sz w:val="22"/>
          <w:szCs w:val="22"/>
          <w:lang w:eastAsia="hr-HR"/>
        </w:rPr>
        <w:t>Uprava investicijskog društva dužna je na redovitoj, unaprijed utvrđenoj osnovi, a najmanje jednom godišnje:</w:t>
      </w:r>
    </w:p>
    <w:p w14:paraId="2EE2ECF7" w14:textId="1AB7641C" w:rsidR="008231D6" w:rsidRPr="004577E2" w:rsidRDefault="008231D6" w:rsidP="004577E2">
      <w:pPr>
        <w:pStyle w:val="Heading2"/>
        <w:rPr>
          <w:rFonts w:ascii="Arial" w:hAnsi="Arial" w:cs="Arial"/>
          <w:color w:val="auto"/>
          <w:sz w:val="22"/>
          <w:szCs w:val="22"/>
          <w:lang w:eastAsia="hr-HR"/>
        </w:rPr>
      </w:pPr>
      <w:r w:rsidRPr="004577E2">
        <w:rPr>
          <w:rFonts w:ascii="Arial" w:hAnsi="Arial" w:cs="Arial"/>
          <w:color w:val="auto"/>
          <w:sz w:val="22"/>
          <w:szCs w:val="22"/>
          <w:lang w:eastAsia="hr-HR"/>
        </w:rPr>
        <w:t>odobriti i preispitati sklonost preuzimanju rizika investicijskog društva za izloženost prema subjektima bankarstva u sjeni uključujući pojedinačne interne limite i ukupni interni limit,</w:t>
      </w:r>
    </w:p>
    <w:p w14:paraId="52A99E24" w14:textId="5A54E92E" w:rsidR="008231D6" w:rsidRPr="004577E2" w:rsidRDefault="008231D6" w:rsidP="004577E2">
      <w:pPr>
        <w:pStyle w:val="Heading2"/>
        <w:rPr>
          <w:rFonts w:ascii="Arial" w:hAnsi="Arial" w:cs="Arial"/>
          <w:color w:val="auto"/>
          <w:sz w:val="22"/>
          <w:szCs w:val="22"/>
          <w:lang w:eastAsia="hr-HR"/>
        </w:rPr>
      </w:pPr>
      <w:r w:rsidRPr="004577E2">
        <w:rPr>
          <w:rFonts w:ascii="Arial" w:hAnsi="Arial" w:cs="Arial"/>
          <w:color w:val="auto"/>
          <w:sz w:val="22"/>
          <w:szCs w:val="22"/>
          <w:lang w:eastAsia="hr-HR"/>
        </w:rPr>
        <w:t>odobriti i preispitati proces upravljanja rizicima za potrebe upravljanja izloženostima prema subjektima bankarstva u sjeni, uključujući analizu rizika koji proizlaze iz tih izloženosti, tehnike smanjenja tih rizika i potencijalni učinak na investicijsko društvo u stresnim scenarijima,</w:t>
      </w:r>
    </w:p>
    <w:p w14:paraId="50249FD2" w14:textId="32D7D09C" w:rsidR="008231D6" w:rsidRPr="004577E2" w:rsidRDefault="008231D6" w:rsidP="004577E2">
      <w:pPr>
        <w:pStyle w:val="Heading2"/>
        <w:rPr>
          <w:rFonts w:ascii="Arial" w:hAnsi="Arial" w:cs="Arial"/>
          <w:color w:val="auto"/>
          <w:sz w:val="22"/>
          <w:szCs w:val="22"/>
          <w:lang w:eastAsia="hr-HR"/>
        </w:rPr>
      </w:pPr>
      <w:r w:rsidRPr="004577E2">
        <w:rPr>
          <w:rFonts w:ascii="Arial" w:hAnsi="Arial" w:cs="Arial"/>
          <w:color w:val="auto"/>
          <w:sz w:val="22"/>
          <w:szCs w:val="22"/>
          <w:lang w:eastAsia="hr-HR"/>
        </w:rPr>
        <w:t>preispitati izloženost investicijskog društva prema subjektima bankarstva u sjeni (na ukupnoj i pojedinačnoj osnovi) kao postotak ukupne izloženosti te očekivanih i ostvarenih gubitaka i</w:t>
      </w:r>
    </w:p>
    <w:p w14:paraId="281425D7" w14:textId="3576F53F" w:rsidR="008231D6" w:rsidRPr="004577E2" w:rsidRDefault="008231D6" w:rsidP="004577E2">
      <w:pPr>
        <w:pStyle w:val="Heading2"/>
        <w:rPr>
          <w:rFonts w:ascii="Arial" w:hAnsi="Arial" w:cs="Arial"/>
          <w:color w:val="auto"/>
          <w:sz w:val="22"/>
          <w:szCs w:val="22"/>
          <w:lang w:eastAsia="hr-HR"/>
        </w:rPr>
      </w:pPr>
      <w:r w:rsidRPr="004577E2">
        <w:rPr>
          <w:rFonts w:ascii="Arial" w:hAnsi="Arial" w:cs="Arial"/>
          <w:color w:val="auto"/>
          <w:sz w:val="22"/>
          <w:szCs w:val="22"/>
          <w:lang w:eastAsia="hr-HR"/>
        </w:rPr>
        <w:t>osigurati dokumentiranje postupka utvrđivanja limita iz članaka 1</w:t>
      </w:r>
      <w:r w:rsidR="00823C4E" w:rsidRPr="004577E2">
        <w:rPr>
          <w:rFonts w:ascii="Arial" w:hAnsi="Arial" w:cs="Arial"/>
          <w:color w:val="auto"/>
          <w:sz w:val="22"/>
          <w:szCs w:val="22"/>
          <w:lang w:eastAsia="hr-HR"/>
        </w:rPr>
        <w:t>9</w:t>
      </w:r>
      <w:r w:rsidRPr="004577E2">
        <w:rPr>
          <w:rFonts w:ascii="Arial" w:hAnsi="Arial" w:cs="Arial"/>
          <w:color w:val="auto"/>
          <w:sz w:val="22"/>
          <w:szCs w:val="22"/>
          <w:lang w:eastAsia="hr-HR"/>
        </w:rPr>
        <w:t xml:space="preserve">. i </w:t>
      </w:r>
      <w:r w:rsidR="00823C4E" w:rsidRPr="004577E2">
        <w:rPr>
          <w:rFonts w:ascii="Arial" w:hAnsi="Arial" w:cs="Arial"/>
          <w:color w:val="auto"/>
          <w:sz w:val="22"/>
          <w:szCs w:val="22"/>
          <w:lang w:eastAsia="hr-HR"/>
        </w:rPr>
        <w:t>20</w:t>
      </w:r>
      <w:r w:rsidRPr="004577E2">
        <w:rPr>
          <w:rFonts w:ascii="Arial" w:hAnsi="Arial" w:cs="Arial"/>
          <w:color w:val="auto"/>
          <w:sz w:val="22"/>
          <w:szCs w:val="22"/>
          <w:lang w:eastAsia="hr-HR"/>
        </w:rPr>
        <w:t xml:space="preserve">. ovog Pravilnika, uključujući sve </w:t>
      </w:r>
      <w:r w:rsidR="00702CBF" w:rsidRPr="004577E2">
        <w:rPr>
          <w:rFonts w:ascii="Arial" w:hAnsi="Arial" w:cs="Arial"/>
          <w:color w:val="auto"/>
          <w:sz w:val="22"/>
          <w:szCs w:val="22"/>
          <w:lang w:eastAsia="hr-HR"/>
        </w:rPr>
        <w:t xml:space="preserve"> </w:t>
      </w:r>
      <w:r w:rsidRPr="004577E2">
        <w:rPr>
          <w:rFonts w:ascii="Arial" w:hAnsi="Arial" w:cs="Arial"/>
          <w:color w:val="auto"/>
          <w:sz w:val="22"/>
          <w:szCs w:val="22"/>
          <w:lang w:eastAsia="hr-HR"/>
        </w:rPr>
        <w:t>izmjene</w:t>
      </w:r>
      <w:r w:rsidR="00702CBF" w:rsidRPr="004577E2">
        <w:rPr>
          <w:rFonts w:ascii="Arial" w:hAnsi="Arial" w:cs="Arial"/>
          <w:color w:val="auto"/>
          <w:sz w:val="22"/>
          <w:szCs w:val="22"/>
          <w:lang w:eastAsia="hr-HR"/>
        </w:rPr>
        <w:t xml:space="preserve"> tih limita</w:t>
      </w:r>
      <w:r w:rsidRPr="004577E2">
        <w:rPr>
          <w:rFonts w:ascii="Arial" w:hAnsi="Arial" w:cs="Arial"/>
          <w:color w:val="auto"/>
          <w:sz w:val="22"/>
          <w:szCs w:val="22"/>
          <w:lang w:eastAsia="hr-HR"/>
        </w:rPr>
        <w:t>.</w:t>
      </w:r>
    </w:p>
    <w:p w14:paraId="27FC67D2" w14:textId="11828B45" w:rsidR="008231D6" w:rsidRPr="004577E2" w:rsidRDefault="00297D8C" w:rsidP="004577E2">
      <w:pPr>
        <w:pStyle w:val="Heading2"/>
        <w:rPr>
          <w:rFonts w:ascii="Arial" w:hAnsi="Arial" w:cs="Arial"/>
          <w:color w:val="auto"/>
          <w:sz w:val="22"/>
          <w:szCs w:val="22"/>
          <w:lang w:eastAsia="hr-HR"/>
        </w:rPr>
      </w:pPr>
      <w:r w:rsidRPr="004577E2">
        <w:rPr>
          <w:rFonts w:ascii="Arial" w:hAnsi="Arial" w:cs="Arial"/>
          <w:color w:val="auto"/>
          <w:sz w:val="22"/>
          <w:szCs w:val="22"/>
          <w:lang w:eastAsia="hr-HR"/>
        </w:rPr>
        <w:t xml:space="preserve">(2) </w:t>
      </w:r>
      <w:r w:rsidR="008231D6" w:rsidRPr="004577E2">
        <w:rPr>
          <w:rFonts w:ascii="Arial" w:hAnsi="Arial" w:cs="Arial"/>
          <w:color w:val="auto"/>
          <w:sz w:val="22"/>
          <w:szCs w:val="22"/>
          <w:lang w:eastAsia="hr-HR"/>
        </w:rPr>
        <w:t>Uprava investicijskog društva može ovlastiti</w:t>
      </w:r>
      <w:r w:rsidR="00691098" w:rsidRPr="004577E2">
        <w:rPr>
          <w:rFonts w:ascii="Arial" w:hAnsi="Arial" w:cs="Arial"/>
          <w:color w:val="auto"/>
          <w:sz w:val="22"/>
          <w:szCs w:val="22"/>
          <w:lang w:eastAsia="hr-HR"/>
        </w:rPr>
        <w:t xml:space="preserve"> </w:t>
      </w:r>
      <w:r w:rsidR="008231D6" w:rsidRPr="004577E2">
        <w:rPr>
          <w:rFonts w:ascii="Arial" w:hAnsi="Arial" w:cs="Arial"/>
          <w:color w:val="auto"/>
          <w:sz w:val="22"/>
          <w:szCs w:val="22"/>
          <w:lang w:eastAsia="hr-HR"/>
        </w:rPr>
        <w:t xml:space="preserve">funkciju upravljanja rizicima za obavljanje postupaka iz stavka 1. ovoga članka. </w:t>
      </w:r>
    </w:p>
    <w:p w14:paraId="1927BE68" w14:textId="77777777" w:rsidR="008231D6" w:rsidRPr="008231D6" w:rsidRDefault="008231D6" w:rsidP="008231D6">
      <w:pPr>
        <w:pStyle w:val="NoSpacing"/>
        <w:rPr>
          <w:rFonts w:ascii="Arial" w:hAnsi="Arial" w:cs="Arial"/>
          <w:lang w:eastAsia="hr-HR"/>
        </w:rPr>
      </w:pPr>
    </w:p>
    <w:p w14:paraId="24C04A77" w14:textId="77777777" w:rsidR="008231D6" w:rsidRPr="00F85786" w:rsidRDefault="008231D6" w:rsidP="00F85786">
      <w:pPr>
        <w:pStyle w:val="Heading1"/>
        <w:jc w:val="center"/>
        <w:rPr>
          <w:rFonts w:ascii="Arial" w:hAnsi="Arial" w:cs="Arial"/>
          <w:b w:val="0"/>
          <w:sz w:val="22"/>
          <w:szCs w:val="22"/>
        </w:rPr>
      </w:pPr>
      <w:r w:rsidRPr="00F85786">
        <w:rPr>
          <w:rFonts w:ascii="Arial" w:hAnsi="Arial" w:cs="Arial"/>
          <w:b w:val="0"/>
          <w:sz w:val="22"/>
          <w:szCs w:val="22"/>
        </w:rPr>
        <w:t>Pojedinačni interni limit</w:t>
      </w:r>
    </w:p>
    <w:p w14:paraId="7FF570EC" w14:textId="34ED3F8C" w:rsidR="008231D6" w:rsidRPr="00F85786" w:rsidRDefault="008231D6" w:rsidP="00F85786">
      <w:pPr>
        <w:pStyle w:val="Heading1"/>
        <w:jc w:val="center"/>
        <w:rPr>
          <w:rFonts w:ascii="Arial" w:hAnsi="Arial" w:cs="Arial"/>
          <w:b w:val="0"/>
          <w:sz w:val="22"/>
          <w:szCs w:val="22"/>
        </w:rPr>
      </w:pPr>
      <w:r w:rsidRPr="00F85786">
        <w:rPr>
          <w:rFonts w:ascii="Arial" w:hAnsi="Arial" w:cs="Arial"/>
          <w:b w:val="0"/>
          <w:sz w:val="22"/>
          <w:szCs w:val="22"/>
        </w:rPr>
        <w:t>Članak 1</w:t>
      </w:r>
      <w:r w:rsidR="00823C4E" w:rsidRPr="00F85786">
        <w:rPr>
          <w:rFonts w:ascii="Arial" w:hAnsi="Arial" w:cs="Arial"/>
          <w:b w:val="0"/>
          <w:sz w:val="22"/>
          <w:szCs w:val="22"/>
        </w:rPr>
        <w:t>9</w:t>
      </w:r>
      <w:r w:rsidRPr="00F85786">
        <w:rPr>
          <w:rFonts w:ascii="Arial" w:hAnsi="Arial" w:cs="Arial"/>
          <w:b w:val="0"/>
          <w:sz w:val="22"/>
          <w:szCs w:val="22"/>
        </w:rPr>
        <w:t>.</w:t>
      </w:r>
    </w:p>
    <w:p w14:paraId="05FA08B2" w14:textId="77777777" w:rsidR="008231D6" w:rsidRPr="008231D6" w:rsidRDefault="008231D6" w:rsidP="00F85786">
      <w:pPr>
        <w:pStyle w:val="Heading2"/>
        <w:rPr>
          <w:lang w:eastAsia="hr-HR"/>
        </w:rPr>
      </w:pPr>
    </w:p>
    <w:p w14:paraId="642C4AFC" w14:textId="7CD83CFF" w:rsidR="008231D6" w:rsidRPr="00F85786" w:rsidRDefault="00297D8C" w:rsidP="00F85786">
      <w:pPr>
        <w:pStyle w:val="Heading2"/>
        <w:rPr>
          <w:rFonts w:ascii="Arial" w:hAnsi="Arial" w:cs="Arial"/>
          <w:color w:val="auto"/>
          <w:sz w:val="22"/>
          <w:szCs w:val="22"/>
          <w:lang w:eastAsia="hr-HR"/>
        </w:rPr>
      </w:pPr>
      <w:r>
        <w:rPr>
          <w:lang w:eastAsia="hr-HR"/>
        </w:rPr>
        <w:t>(</w:t>
      </w:r>
      <w:r w:rsidRPr="00F85786">
        <w:rPr>
          <w:rFonts w:ascii="Arial" w:hAnsi="Arial" w:cs="Arial"/>
          <w:color w:val="auto"/>
          <w:sz w:val="22"/>
          <w:szCs w:val="22"/>
          <w:lang w:eastAsia="hr-HR"/>
        </w:rPr>
        <w:t xml:space="preserve">1) </w:t>
      </w:r>
      <w:r w:rsidR="008231D6" w:rsidRPr="00F85786">
        <w:rPr>
          <w:rFonts w:ascii="Arial" w:hAnsi="Arial" w:cs="Arial"/>
          <w:color w:val="auto"/>
          <w:sz w:val="22"/>
          <w:szCs w:val="22"/>
          <w:lang w:eastAsia="hr-HR"/>
        </w:rPr>
        <w:t>Investicijsko društvo dužno je odrediti i primjenjivati pojedinačni interni limit za izloženost prema svakom subjektu bankarstva u sjeni koji se utvrđuje u odnosu na priznati kapital.</w:t>
      </w:r>
    </w:p>
    <w:p w14:paraId="5335641D" w14:textId="77777777" w:rsidR="00702CBF" w:rsidRPr="00F85786" w:rsidRDefault="00702CBF" w:rsidP="00F85786">
      <w:pPr>
        <w:pStyle w:val="Heading2"/>
        <w:rPr>
          <w:rFonts w:ascii="Arial" w:hAnsi="Arial" w:cs="Arial"/>
          <w:color w:val="auto"/>
          <w:sz w:val="22"/>
          <w:szCs w:val="22"/>
          <w:lang w:eastAsia="hr-HR"/>
        </w:rPr>
      </w:pPr>
    </w:p>
    <w:p w14:paraId="124599D7" w14:textId="274DC948" w:rsidR="008231D6" w:rsidRPr="00F85786" w:rsidRDefault="00297D8C" w:rsidP="00F85786">
      <w:pPr>
        <w:pStyle w:val="Heading2"/>
        <w:rPr>
          <w:rFonts w:ascii="Arial" w:hAnsi="Arial" w:cs="Arial"/>
          <w:color w:val="auto"/>
          <w:sz w:val="22"/>
          <w:szCs w:val="22"/>
          <w:lang w:eastAsia="hr-HR"/>
        </w:rPr>
      </w:pPr>
      <w:r w:rsidRPr="00F85786">
        <w:rPr>
          <w:rFonts w:ascii="Arial" w:hAnsi="Arial" w:cs="Arial"/>
          <w:color w:val="auto"/>
          <w:sz w:val="22"/>
          <w:szCs w:val="22"/>
          <w:lang w:eastAsia="hr-HR"/>
        </w:rPr>
        <w:t xml:space="preserve">(2) </w:t>
      </w:r>
      <w:r w:rsidR="008231D6" w:rsidRPr="00F85786">
        <w:rPr>
          <w:rFonts w:ascii="Arial" w:hAnsi="Arial" w:cs="Arial"/>
          <w:color w:val="auto"/>
          <w:sz w:val="22"/>
          <w:szCs w:val="22"/>
          <w:lang w:eastAsia="hr-HR"/>
        </w:rPr>
        <w:t>Pri određivanju pojedinačnih internih limita investicijsko društvo dužno je uzeti u obzir sljedeće:</w:t>
      </w:r>
    </w:p>
    <w:p w14:paraId="132B7CFD" w14:textId="392666F7" w:rsidR="008231D6" w:rsidRPr="00F85786" w:rsidRDefault="008231D6" w:rsidP="00F85786">
      <w:pPr>
        <w:pStyle w:val="Heading2"/>
        <w:numPr>
          <w:ilvl w:val="0"/>
          <w:numId w:val="50"/>
        </w:numPr>
        <w:rPr>
          <w:rFonts w:ascii="Arial" w:hAnsi="Arial" w:cs="Arial"/>
          <w:color w:val="auto"/>
          <w:sz w:val="22"/>
          <w:szCs w:val="22"/>
          <w:lang w:eastAsia="hr-HR"/>
        </w:rPr>
      </w:pPr>
      <w:r w:rsidRPr="00F85786">
        <w:rPr>
          <w:rFonts w:ascii="Arial" w:hAnsi="Arial" w:cs="Arial"/>
          <w:color w:val="auto"/>
          <w:sz w:val="22"/>
          <w:szCs w:val="22"/>
          <w:lang w:eastAsia="hr-HR"/>
        </w:rPr>
        <w:t>regulatorni status subjekta bankarstva u sjeni, osobito je li obvezan primjenjivati neke bonitetne zahtjeve te je li pod nadzorom nekoga nadzornog tijela,</w:t>
      </w:r>
    </w:p>
    <w:p w14:paraId="0666AC03" w14:textId="06A09F3A" w:rsidR="008231D6" w:rsidRPr="00F85786" w:rsidRDefault="008231D6" w:rsidP="00F85786">
      <w:pPr>
        <w:pStyle w:val="Heading2"/>
        <w:numPr>
          <w:ilvl w:val="0"/>
          <w:numId w:val="50"/>
        </w:numPr>
        <w:rPr>
          <w:rFonts w:ascii="Arial" w:hAnsi="Arial" w:cs="Arial"/>
          <w:color w:val="auto"/>
          <w:sz w:val="22"/>
          <w:szCs w:val="22"/>
          <w:lang w:eastAsia="hr-HR"/>
        </w:rPr>
      </w:pPr>
      <w:r w:rsidRPr="00F85786">
        <w:rPr>
          <w:rFonts w:ascii="Arial" w:hAnsi="Arial" w:cs="Arial"/>
          <w:color w:val="auto"/>
          <w:sz w:val="22"/>
          <w:szCs w:val="22"/>
          <w:lang w:eastAsia="hr-HR"/>
        </w:rPr>
        <w:t>financijski položaj subjekta bankarstva u sjeni uključujući najmanje visinu i kvalitetu kapitala, razinu financijske poluge i likvidnost,</w:t>
      </w:r>
    </w:p>
    <w:p w14:paraId="2BE1A81D" w14:textId="780FF739" w:rsidR="008231D6" w:rsidRPr="00F85786" w:rsidRDefault="008231D6" w:rsidP="00F85786">
      <w:pPr>
        <w:pStyle w:val="Heading2"/>
        <w:numPr>
          <w:ilvl w:val="0"/>
          <w:numId w:val="50"/>
        </w:numPr>
        <w:rPr>
          <w:rFonts w:ascii="Arial" w:hAnsi="Arial" w:cs="Arial"/>
          <w:color w:val="auto"/>
          <w:sz w:val="22"/>
          <w:szCs w:val="22"/>
          <w:lang w:eastAsia="hr-HR"/>
        </w:rPr>
      </w:pPr>
      <w:r w:rsidRPr="00F85786">
        <w:rPr>
          <w:rFonts w:ascii="Arial" w:hAnsi="Arial" w:cs="Arial"/>
          <w:color w:val="auto"/>
          <w:sz w:val="22"/>
          <w:szCs w:val="22"/>
          <w:lang w:eastAsia="hr-HR"/>
        </w:rPr>
        <w:t>dostupne informacije o portfelju subjekta bankarstva u sjeni, posebice o neprihodonosnim kreditima i zajmovima,</w:t>
      </w:r>
    </w:p>
    <w:p w14:paraId="0AFB1CC8" w14:textId="352C4D16" w:rsidR="008231D6" w:rsidRPr="00F85786" w:rsidRDefault="008231D6" w:rsidP="00F85786">
      <w:pPr>
        <w:pStyle w:val="Heading2"/>
        <w:numPr>
          <w:ilvl w:val="0"/>
          <w:numId w:val="50"/>
        </w:numPr>
        <w:rPr>
          <w:rFonts w:ascii="Arial" w:hAnsi="Arial" w:cs="Arial"/>
          <w:color w:val="auto"/>
          <w:sz w:val="22"/>
          <w:szCs w:val="22"/>
          <w:lang w:eastAsia="hr-HR"/>
        </w:rPr>
      </w:pPr>
      <w:r w:rsidRPr="00F85786">
        <w:rPr>
          <w:rFonts w:ascii="Arial" w:hAnsi="Arial" w:cs="Arial"/>
          <w:color w:val="auto"/>
          <w:sz w:val="22"/>
          <w:szCs w:val="22"/>
          <w:lang w:eastAsia="hr-HR"/>
        </w:rPr>
        <w:t>primjerenost kreditne analize koju subjekt bankarstva u sjeni provodi na svojem portfelju, ako je primjenjivo, a na temelju dostupnih informacija,</w:t>
      </w:r>
    </w:p>
    <w:p w14:paraId="5E8BD9A1" w14:textId="0362A2CF" w:rsidR="008231D6" w:rsidRPr="00F85786" w:rsidRDefault="008231D6" w:rsidP="00F85786">
      <w:pPr>
        <w:pStyle w:val="Heading2"/>
        <w:numPr>
          <w:ilvl w:val="0"/>
          <w:numId w:val="50"/>
        </w:numPr>
        <w:rPr>
          <w:rFonts w:ascii="Arial" w:hAnsi="Arial" w:cs="Arial"/>
          <w:color w:val="auto"/>
          <w:sz w:val="22"/>
          <w:szCs w:val="22"/>
          <w:lang w:eastAsia="hr-HR"/>
        </w:rPr>
      </w:pPr>
      <w:r w:rsidRPr="00F85786">
        <w:rPr>
          <w:rFonts w:ascii="Arial" w:hAnsi="Arial" w:cs="Arial"/>
          <w:color w:val="auto"/>
          <w:sz w:val="22"/>
          <w:szCs w:val="22"/>
          <w:lang w:eastAsia="hr-HR"/>
        </w:rPr>
        <w:t>ranjivost subjekta bankarstva u sjeni s obzirom na volatilnost cijene imovine ili kvalitete kredita i zajmova,</w:t>
      </w:r>
    </w:p>
    <w:p w14:paraId="3628DF70" w14:textId="2012C78D" w:rsidR="008231D6" w:rsidRPr="00F85786" w:rsidRDefault="008231D6" w:rsidP="00F85786">
      <w:pPr>
        <w:pStyle w:val="Heading2"/>
        <w:numPr>
          <w:ilvl w:val="0"/>
          <w:numId w:val="50"/>
        </w:numPr>
        <w:rPr>
          <w:rFonts w:ascii="Arial" w:hAnsi="Arial" w:cs="Arial"/>
          <w:color w:val="auto"/>
          <w:sz w:val="22"/>
          <w:szCs w:val="22"/>
          <w:lang w:eastAsia="hr-HR"/>
        </w:rPr>
      </w:pPr>
      <w:r w:rsidRPr="00F85786">
        <w:rPr>
          <w:rFonts w:ascii="Arial" w:hAnsi="Arial" w:cs="Arial"/>
          <w:color w:val="auto"/>
          <w:sz w:val="22"/>
          <w:szCs w:val="22"/>
          <w:lang w:eastAsia="hr-HR"/>
        </w:rPr>
        <w:t>koncentraciju aktivnosti kreditnog posredovanja u odnosu na druge poslovne djelatnosti subjekta bankarstva u sjeni,</w:t>
      </w:r>
    </w:p>
    <w:p w14:paraId="59109F62" w14:textId="0CABA784" w:rsidR="008231D6" w:rsidRPr="00F85786" w:rsidRDefault="008231D6" w:rsidP="00F85786">
      <w:pPr>
        <w:pStyle w:val="Heading2"/>
        <w:numPr>
          <w:ilvl w:val="0"/>
          <w:numId w:val="50"/>
        </w:numPr>
        <w:rPr>
          <w:rFonts w:ascii="Arial" w:hAnsi="Arial" w:cs="Arial"/>
          <w:color w:val="auto"/>
          <w:sz w:val="22"/>
          <w:szCs w:val="22"/>
          <w:lang w:eastAsia="hr-HR"/>
        </w:rPr>
      </w:pPr>
      <w:r w:rsidRPr="00F85786">
        <w:rPr>
          <w:rFonts w:ascii="Arial" w:hAnsi="Arial" w:cs="Arial"/>
          <w:color w:val="auto"/>
          <w:sz w:val="22"/>
          <w:szCs w:val="22"/>
          <w:lang w:eastAsia="hr-HR"/>
        </w:rPr>
        <w:t>povezanost kao što je navedeno u članku 1</w:t>
      </w:r>
      <w:r w:rsidR="00823C4E" w:rsidRPr="00F85786">
        <w:rPr>
          <w:rFonts w:ascii="Arial" w:hAnsi="Arial" w:cs="Arial"/>
          <w:color w:val="auto"/>
          <w:sz w:val="22"/>
          <w:szCs w:val="22"/>
          <w:lang w:eastAsia="hr-HR"/>
        </w:rPr>
        <w:t>7</w:t>
      </w:r>
      <w:r w:rsidRPr="00F85786">
        <w:rPr>
          <w:rFonts w:ascii="Arial" w:hAnsi="Arial" w:cs="Arial"/>
          <w:color w:val="auto"/>
          <w:sz w:val="22"/>
          <w:szCs w:val="22"/>
          <w:lang w:eastAsia="hr-HR"/>
        </w:rPr>
        <w:t>. stavku 3. točki 6. ovog Pravilnika i</w:t>
      </w:r>
    </w:p>
    <w:p w14:paraId="6DBF4851" w14:textId="30463BA3" w:rsidR="008231D6" w:rsidRPr="00F85786" w:rsidRDefault="008231D6" w:rsidP="00F85786">
      <w:pPr>
        <w:pStyle w:val="Heading2"/>
        <w:numPr>
          <w:ilvl w:val="0"/>
          <w:numId w:val="50"/>
        </w:numPr>
        <w:rPr>
          <w:rFonts w:ascii="Arial" w:hAnsi="Arial" w:cs="Arial"/>
          <w:color w:val="auto"/>
          <w:sz w:val="22"/>
          <w:szCs w:val="22"/>
          <w:lang w:eastAsia="hr-HR"/>
        </w:rPr>
      </w:pPr>
      <w:r w:rsidRPr="00F85786">
        <w:rPr>
          <w:rFonts w:ascii="Arial" w:hAnsi="Arial" w:cs="Arial"/>
          <w:color w:val="auto"/>
          <w:sz w:val="22"/>
          <w:szCs w:val="22"/>
          <w:lang w:eastAsia="hr-HR"/>
        </w:rPr>
        <w:t>sve ostale relevantne čimbenike koje odredi investicijsko društvo u skladu s člankom 1</w:t>
      </w:r>
      <w:r w:rsidR="00823C4E" w:rsidRPr="00F85786">
        <w:rPr>
          <w:rFonts w:ascii="Arial" w:hAnsi="Arial" w:cs="Arial"/>
          <w:color w:val="auto"/>
          <w:sz w:val="22"/>
          <w:szCs w:val="22"/>
          <w:lang w:eastAsia="hr-HR"/>
        </w:rPr>
        <w:t>7</w:t>
      </w:r>
      <w:r w:rsidRPr="00F85786">
        <w:rPr>
          <w:rFonts w:ascii="Arial" w:hAnsi="Arial" w:cs="Arial"/>
          <w:color w:val="auto"/>
          <w:sz w:val="22"/>
          <w:szCs w:val="22"/>
          <w:lang w:eastAsia="hr-HR"/>
        </w:rPr>
        <w:t>. stavkom 3. točkom 1. ovog Pravilnika.</w:t>
      </w:r>
    </w:p>
    <w:p w14:paraId="3B325CC5" w14:textId="77777777" w:rsidR="00702CBF" w:rsidRPr="00F85786" w:rsidRDefault="00702CBF" w:rsidP="00F85786">
      <w:pPr>
        <w:pStyle w:val="Heading2"/>
        <w:rPr>
          <w:rFonts w:ascii="Arial" w:hAnsi="Arial" w:cs="Arial"/>
          <w:color w:val="auto"/>
          <w:sz w:val="22"/>
          <w:szCs w:val="22"/>
          <w:lang w:eastAsia="hr-HR"/>
        </w:rPr>
      </w:pPr>
    </w:p>
    <w:p w14:paraId="5E4643D6" w14:textId="116A9709" w:rsidR="008231D6" w:rsidRPr="00F85786" w:rsidRDefault="00297D8C" w:rsidP="00F85786">
      <w:pPr>
        <w:pStyle w:val="Heading2"/>
        <w:rPr>
          <w:rFonts w:ascii="Arial" w:hAnsi="Arial" w:cs="Arial"/>
          <w:color w:val="auto"/>
          <w:sz w:val="22"/>
          <w:szCs w:val="22"/>
          <w:lang w:eastAsia="hr-HR"/>
        </w:rPr>
      </w:pPr>
      <w:r w:rsidRPr="00F85786">
        <w:rPr>
          <w:rFonts w:ascii="Arial" w:hAnsi="Arial" w:cs="Arial"/>
          <w:color w:val="auto"/>
          <w:sz w:val="22"/>
          <w:szCs w:val="22"/>
          <w:lang w:eastAsia="hr-HR"/>
        </w:rPr>
        <w:t xml:space="preserve">(3) </w:t>
      </w:r>
      <w:r w:rsidR="008231D6" w:rsidRPr="00F85786">
        <w:rPr>
          <w:rFonts w:ascii="Arial" w:hAnsi="Arial" w:cs="Arial"/>
          <w:color w:val="auto"/>
          <w:sz w:val="22"/>
          <w:szCs w:val="22"/>
          <w:lang w:eastAsia="hr-HR"/>
        </w:rPr>
        <w:t xml:space="preserve">Pojedinačni interni limit iz stavka 1. ovog članka mora biti stroži od ukupnoga internog limita iz članka </w:t>
      </w:r>
      <w:r w:rsidR="00823C4E" w:rsidRPr="00F85786">
        <w:rPr>
          <w:rFonts w:ascii="Arial" w:hAnsi="Arial" w:cs="Arial"/>
          <w:color w:val="auto"/>
          <w:sz w:val="22"/>
          <w:szCs w:val="22"/>
          <w:lang w:eastAsia="hr-HR"/>
        </w:rPr>
        <w:t>20</w:t>
      </w:r>
      <w:r w:rsidR="008231D6" w:rsidRPr="00F85786">
        <w:rPr>
          <w:rFonts w:ascii="Arial" w:hAnsi="Arial" w:cs="Arial"/>
          <w:color w:val="auto"/>
          <w:sz w:val="22"/>
          <w:szCs w:val="22"/>
          <w:lang w:eastAsia="hr-HR"/>
        </w:rPr>
        <w:t>. ovog Pravilnika.</w:t>
      </w:r>
    </w:p>
    <w:p w14:paraId="163411A0" w14:textId="77777777" w:rsidR="00702CBF" w:rsidRPr="00F85786" w:rsidRDefault="00702CBF" w:rsidP="00F85786">
      <w:pPr>
        <w:pStyle w:val="Heading2"/>
        <w:rPr>
          <w:rFonts w:ascii="Arial" w:hAnsi="Arial" w:cs="Arial"/>
          <w:color w:val="auto"/>
          <w:sz w:val="22"/>
          <w:szCs w:val="22"/>
          <w:lang w:eastAsia="hr-HR"/>
        </w:rPr>
      </w:pPr>
    </w:p>
    <w:p w14:paraId="48A53EAF" w14:textId="6C77D096" w:rsidR="008231D6" w:rsidRPr="00F85786" w:rsidRDefault="00297D8C" w:rsidP="00F85786">
      <w:pPr>
        <w:pStyle w:val="Heading2"/>
        <w:rPr>
          <w:rFonts w:ascii="Arial" w:hAnsi="Arial" w:cs="Arial"/>
          <w:color w:val="auto"/>
          <w:sz w:val="22"/>
          <w:szCs w:val="22"/>
          <w:lang w:eastAsia="hr-HR"/>
        </w:rPr>
      </w:pPr>
      <w:r w:rsidRPr="00F85786">
        <w:rPr>
          <w:rFonts w:ascii="Arial" w:hAnsi="Arial" w:cs="Arial"/>
          <w:color w:val="auto"/>
          <w:sz w:val="22"/>
          <w:szCs w:val="22"/>
          <w:lang w:eastAsia="hr-HR"/>
        </w:rPr>
        <w:t xml:space="preserve">(4) </w:t>
      </w:r>
      <w:r w:rsidR="008231D6" w:rsidRPr="00F85786">
        <w:rPr>
          <w:rFonts w:ascii="Arial" w:hAnsi="Arial" w:cs="Arial"/>
          <w:color w:val="auto"/>
          <w:sz w:val="22"/>
          <w:szCs w:val="22"/>
          <w:lang w:eastAsia="hr-HR"/>
        </w:rPr>
        <w:t>Investicijsko društvo dužno je dokumentirati da je pri određivanju pojedinačnoga internog limita u obzir uzelo zahtjeve iz svih točaka stavka 2. ovog članka.</w:t>
      </w:r>
    </w:p>
    <w:p w14:paraId="0662A688" w14:textId="77777777" w:rsidR="008231D6" w:rsidRPr="008231D6" w:rsidRDefault="008231D6" w:rsidP="008231D6">
      <w:pPr>
        <w:pStyle w:val="NoSpacing"/>
        <w:rPr>
          <w:rFonts w:ascii="Arial" w:hAnsi="Arial" w:cs="Arial"/>
          <w:lang w:eastAsia="hr-HR"/>
        </w:rPr>
      </w:pPr>
    </w:p>
    <w:p w14:paraId="119B528D" w14:textId="77777777" w:rsidR="008231D6" w:rsidRPr="00154FC6" w:rsidRDefault="008231D6" w:rsidP="00154FC6">
      <w:pPr>
        <w:pStyle w:val="Heading1"/>
        <w:jc w:val="center"/>
        <w:rPr>
          <w:rFonts w:ascii="Arial" w:hAnsi="Arial" w:cs="Arial"/>
          <w:b w:val="0"/>
          <w:sz w:val="22"/>
          <w:szCs w:val="22"/>
        </w:rPr>
      </w:pPr>
      <w:r w:rsidRPr="00154FC6">
        <w:rPr>
          <w:rFonts w:ascii="Arial" w:hAnsi="Arial" w:cs="Arial"/>
          <w:b w:val="0"/>
          <w:sz w:val="22"/>
          <w:szCs w:val="22"/>
        </w:rPr>
        <w:t>Ukupni interni limit</w:t>
      </w:r>
    </w:p>
    <w:p w14:paraId="0EBAA5F8" w14:textId="5C9333A5" w:rsidR="008231D6" w:rsidRPr="00154FC6" w:rsidRDefault="008231D6" w:rsidP="00154FC6">
      <w:pPr>
        <w:pStyle w:val="Heading1"/>
        <w:jc w:val="center"/>
        <w:rPr>
          <w:rFonts w:ascii="Arial" w:hAnsi="Arial" w:cs="Arial"/>
          <w:b w:val="0"/>
          <w:sz w:val="22"/>
          <w:szCs w:val="22"/>
        </w:rPr>
      </w:pPr>
      <w:r w:rsidRPr="00154FC6">
        <w:rPr>
          <w:rFonts w:ascii="Arial" w:hAnsi="Arial" w:cs="Arial"/>
          <w:b w:val="0"/>
          <w:sz w:val="22"/>
          <w:szCs w:val="22"/>
        </w:rPr>
        <w:t xml:space="preserve">Članak </w:t>
      </w:r>
      <w:r w:rsidR="00823C4E" w:rsidRPr="00154FC6">
        <w:rPr>
          <w:rFonts w:ascii="Arial" w:hAnsi="Arial" w:cs="Arial"/>
          <w:b w:val="0"/>
          <w:sz w:val="22"/>
          <w:szCs w:val="22"/>
        </w:rPr>
        <w:t>20</w:t>
      </w:r>
      <w:r w:rsidRPr="00154FC6">
        <w:rPr>
          <w:rFonts w:ascii="Arial" w:hAnsi="Arial" w:cs="Arial"/>
          <w:b w:val="0"/>
          <w:sz w:val="22"/>
          <w:szCs w:val="22"/>
        </w:rPr>
        <w:t>.</w:t>
      </w:r>
    </w:p>
    <w:p w14:paraId="297DDE28" w14:textId="77777777" w:rsidR="008231D6" w:rsidRPr="005F18BF" w:rsidRDefault="008231D6" w:rsidP="005F18BF">
      <w:pPr>
        <w:pStyle w:val="Heading2"/>
        <w:jc w:val="both"/>
        <w:rPr>
          <w:rFonts w:ascii="Arial" w:hAnsi="Arial" w:cs="Arial"/>
          <w:color w:val="auto"/>
          <w:sz w:val="22"/>
          <w:szCs w:val="22"/>
          <w:lang w:eastAsia="hr-HR"/>
        </w:rPr>
      </w:pPr>
    </w:p>
    <w:p w14:paraId="5CC06DCF" w14:textId="15F153B0" w:rsidR="008231D6" w:rsidRPr="005F18BF" w:rsidRDefault="00297D8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(1) </w:t>
      </w:r>
      <w:r w:rsidR="008231D6" w:rsidRPr="005F18BF">
        <w:rPr>
          <w:rFonts w:ascii="Arial" w:hAnsi="Arial" w:cs="Arial"/>
          <w:color w:val="auto"/>
          <w:sz w:val="22"/>
          <w:szCs w:val="22"/>
          <w:lang w:eastAsia="hr-HR"/>
        </w:rPr>
        <w:t>Investicijsko društvo dužno je odrediti i primjenjivati ukupni interni limit za ukupnu izloženost prema svim subjektima bankarstva u sjeni, u odnosu na priznati kapital.</w:t>
      </w:r>
    </w:p>
    <w:p w14:paraId="53504E05" w14:textId="77777777" w:rsidR="00702CBF" w:rsidRPr="005F18BF" w:rsidRDefault="00702CBF" w:rsidP="005F18BF">
      <w:pPr>
        <w:pStyle w:val="Heading2"/>
        <w:jc w:val="both"/>
        <w:rPr>
          <w:rFonts w:ascii="Arial" w:hAnsi="Arial" w:cs="Arial"/>
          <w:color w:val="auto"/>
          <w:sz w:val="22"/>
          <w:szCs w:val="22"/>
          <w:lang w:eastAsia="hr-HR"/>
        </w:rPr>
      </w:pPr>
    </w:p>
    <w:p w14:paraId="5D4190C3" w14:textId="40E34FBE" w:rsidR="008231D6" w:rsidRPr="005F18BF" w:rsidRDefault="00297D8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(2) </w:t>
      </w:r>
      <w:r w:rsidR="008231D6" w:rsidRPr="005F18BF">
        <w:rPr>
          <w:rFonts w:ascii="Arial" w:hAnsi="Arial" w:cs="Arial"/>
          <w:color w:val="auto"/>
          <w:sz w:val="22"/>
          <w:szCs w:val="22"/>
          <w:lang w:eastAsia="hr-HR"/>
        </w:rPr>
        <w:t>Pri određivanju ukupnoga internog limita investicijsko društvo dužno je uzeti u obzir sljedeće:</w:t>
      </w:r>
    </w:p>
    <w:p w14:paraId="375B7EA1" w14:textId="78F66D1F" w:rsidR="008231D6" w:rsidRPr="005F18BF" w:rsidRDefault="008231D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svoj poslovni model, okvir upravljanja rizicima kao što je navedeno u članku 1</w:t>
      </w:r>
      <w:r w:rsidR="00823C4E" w:rsidRPr="005F18BF">
        <w:rPr>
          <w:rFonts w:ascii="Arial" w:hAnsi="Arial" w:cs="Arial"/>
          <w:color w:val="auto"/>
          <w:sz w:val="22"/>
          <w:szCs w:val="22"/>
          <w:lang w:eastAsia="hr-HR"/>
        </w:rPr>
        <w:t>7</w:t>
      </w:r>
      <w:r w:rsidRPr="005F18BF">
        <w:rPr>
          <w:rFonts w:ascii="Arial" w:hAnsi="Arial" w:cs="Arial"/>
          <w:color w:val="auto"/>
          <w:sz w:val="22"/>
          <w:szCs w:val="22"/>
          <w:lang w:eastAsia="hr-HR"/>
        </w:rPr>
        <w:t>. stavku 3. točki 2. ovog Pravilnika i sklonost preuzimanju rizika kao što je navedeno u članku 1</w:t>
      </w:r>
      <w:r w:rsidR="00823C4E" w:rsidRPr="005F18BF">
        <w:rPr>
          <w:rFonts w:ascii="Arial" w:hAnsi="Arial" w:cs="Arial"/>
          <w:color w:val="auto"/>
          <w:sz w:val="22"/>
          <w:szCs w:val="22"/>
          <w:lang w:eastAsia="hr-HR"/>
        </w:rPr>
        <w:t>7</w:t>
      </w:r>
      <w:r w:rsidRPr="005F18BF">
        <w:rPr>
          <w:rFonts w:ascii="Arial" w:hAnsi="Arial" w:cs="Arial"/>
          <w:color w:val="auto"/>
          <w:sz w:val="22"/>
          <w:szCs w:val="22"/>
          <w:lang w:eastAsia="hr-HR"/>
        </w:rPr>
        <w:t>. stavku 3. točki 3. ovog Pravilnika,</w:t>
      </w:r>
    </w:p>
    <w:p w14:paraId="4C15AEA5" w14:textId="053E0FE2" w:rsidR="008231D6" w:rsidRPr="005F18BF" w:rsidRDefault="008231D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iznos trenutačne izloženosti prema subjektima bankarstva u sjeni u odnosu na ukupnu izloženost i u odnosu na ukupnu izloženost prema subjektima financijskog sektora i</w:t>
      </w:r>
    </w:p>
    <w:p w14:paraId="76D9C6B5" w14:textId="20C53600" w:rsidR="008231D6" w:rsidRPr="005F18BF" w:rsidRDefault="008231D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povezanost kao što je navedeno u članku 1</w:t>
      </w:r>
      <w:r w:rsidR="00823C4E" w:rsidRPr="005F18BF">
        <w:rPr>
          <w:rFonts w:ascii="Arial" w:hAnsi="Arial" w:cs="Arial"/>
          <w:color w:val="auto"/>
          <w:sz w:val="22"/>
          <w:szCs w:val="22"/>
          <w:lang w:eastAsia="hr-HR"/>
        </w:rPr>
        <w:t>7</w:t>
      </w:r>
      <w:r w:rsidRPr="005F18BF">
        <w:rPr>
          <w:rFonts w:ascii="Arial" w:hAnsi="Arial" w:cs="Arial"/>
          <w:color w:val="auto"/>
          <w:sz w:val="22"/>
          <w:szCs w:val="22"/>
          <w:lang w:eastAsia="hr-HR"/>
        </w:rPr>
        <w:t>. stavku 3. točki 6. ovog Pravilnika.</w:t>
      </w:r>
    </w:p>
    <w:p w14:paraId="359A87E9" w14:textId="77777777" w:rsidR="00702CBF" w:rsidRPr="005F18BF" w:rsidRDefault="00702CBF" w:rsidP="005F18BF">
      <w:pPr>
        <w:pStyle w:val="Heading2"/>
        <w:jc w:val="both"/>
        <w:rPr>
          <w:rFonts w:ascii="Arial" w:hAnsi="Arial" w:cs="Arial"/>
          <w:color w:val="auto"/>
          <w:sz w:val="22"/>
          <w:szCs w:val="22"/>
          <w:lang w:eastAsia="hr-HR"/>
        </w:rPr>
      </w:pPr>
    </w:p>
    <w:p w14:paraId="1BA8F4A2" w14:textId="67B006B0" w:rsidR="008231D6" w:rsidRPr="005F18BF" w:rsidRDefault="00297D8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(3) </w:t>
      </w:r>
      <w:r w:rsidR="008231D6" w:rsidRPr="005F18BF">
        <w:rPr>
          <w:rFonts w:ascii="Arial" w:hAnsi="Arial" w:cs="Arial"/>
          <w:color w:val="auto"/>
          <w:sz w:val="22"/>
          <w:szCs w:val="22"/>
          <w:lang w:eastAsia="hr-HR"/>
        </w:rPr>
        <w:t>Investicijsko društvo dužno je dokumentirati odnosno osigurati dokaze da je pri određivanju ukupnoga internog limita u obzir uzela zahtjeve iz svih točaka stavka 2. ovog članka.</w:t>
      </w:r>
    </w:p>
    <w:p w14:paraId="3BBDAD77" w14:textId="77777777" w:rsidR="008231D6" w:rsidRPr="005F18BF" w:rsidRDefault="008231D6" w:rsidP="005F18BF">
      <w:pPr>
        <w:pStyle w:val="Heading2"/>
        <w:jc w:val="both"/>
        <w:rPr>
          <w:rFonts w:ascii="Arial" w:hAnsi="Arial" w:cs="Arial"/>
          <w:color w:val="auto"/>
          <w:sz w:val="22"/>
          <w:szCs w:val="22"/>
          <w:lang w:eastAsia="hr-HR"/>
        </w:rPr>
      </w:pPr>
    </w:p>
    <w:p w14:paraId="76B47410" w14:textId="77777777" w:rsidR="008231D6" w:rsidRPr="00154FC6" w:rsidRDefault="008231D6" w:rsidP="00154FC6">
      <w:pPr>
        <w:pStyle w:val="Heading1"/>
        <w:jc w:val="center"/>
        <w:rPr>
          <w:rFonts w:ascii="Arial" w:hAnsi="Arial" w:cs="Arial"/>
          <w:b w:val="0"/>
          <w:sz w:val="22"/>
          <w:szCs w:val="22"/>
        </w:rPr>
      </w:pPr>
      <w:r w:rsidRPr="00154FC6">
        <w:rPr>
          <w:rFonts w:ascii="Arial" w:hAnsi="Arial" w:cs="Arial"/>
          <w:b w:val="0"/>
          <w:sz w:val="22"/>
          <w:szCs w:val="22"/>
        </w:rPr>
        <w:t>Ukupni interni limit u slučaju kada nisu utvrđeni pojedinačni interni limiti</w:t>
      </w:r>
    </w:p>
    <w:p w14:paraId="03D56EBF" w14:textId="48B55BAA" w:rsidR="008231D6" w:rsidRPr="005F18BF" w:rsidRDefault="008231D6" w:rsidP="00154FC6">
      <w:pPr>
        <w:pStyle w:val="Heading2"/>
        <w:jc w:val="center"/>
        <w:rPr>
          <w:rFonts w:ascii="Arial" w:hAnsi="Arial" w:cs="Arial"/>
          <w:b/>
          <w:color w:val="auto"/>
          <w:sz w:val="22"/>
          <w:szCs w:val="22"/>
          <w:lang w:eastAsia="hr-HR"/>
        </w:rPr>
      </w:pPr>
      <w:r w:rsidRPr="005F18BF">
        <w:rPr>
          <w:rFonts w:ascii="Arial" w:hAnsi="Arial" w:cs="Arial"/>
          <w:b/>
          <w:color w:val="auto"/>
          <w:sz w:val="22"/>
          <w:szCs w:val="22"/>
          <w:lang w:eastAsia="hr-HR"/>
        </w:rPr>
        <w:t>Članak 2</w:t>
      </w:r>
      <w:r w:rsidR="00823C4E" w:rsidRPr="005F18BF">
        <w:rPr>
          <w:rFonts w:ascii="Arial" w:hAnsi="Arial" w:cs="Arial"/>
          <w:b/>
          <w:color w:val="auto"/>
          <w:sz w:val="22"/>
          <w:szCs w:val="22"/>
          <w:lang w:eastAsia="hr-HR"/>
        </w:rPr>
        <w:t>1</w:t>
      </w:r>
      <w:r w:rsidRPr="005F18BF">
        <w:rPr>
          <w:rFonts w:ascii="Arial" w:hAnsi="Arial" w:cs="Arial"/>
          <w:b/>
          <w:color w:val="auto"/>
          <w:sz w:val="22"/>
          <w:szCs w:val="22"/>
          <w:lang w:eastAsia="hr-HR"/>
        </w:rPr>
        <w:t>.</w:t>
      </w:r>
    </w:p>
    <w:p w14:paraId="2E063C47" w14:textId="77777777" w:rsidR="008231D6" w:rsidRPr="005F18BF" w:rsidRDefault="008231D6" w:rsidP="005F18BF">
      <w:pPr>
        <w:pStyle w:val="Heading2"/>
        <w:jc w:val="both"/>
        <w:rPr>
          <w:rFonts w:ascii="Arial" w:hAnsi="Arial" w:cs="Arial"/>
          <w:color w:val="auto"/>
          <w:sz w:val="22"/>
          <w:szCs w:val="22"/>
          <w:lang w:eastAsia="hr-HR"/>
        </w:rPr>
      </w:pPr>
    </w:p>
    <w:p w14:paraId="40432DAF" w14:textId="0AC6D8CC" w:rsidR="008231D6" w:rsidRPr="005F18BF" w:rsidRDefault="00297D8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(1) </w:t>
      </w:r>
      <w:r w:rsidR="008231D6" w:rsidRPr="005F18BF">
        <w:rPr>
          <w:rFonts w:ascii="Arial" w:hAnsi="Arial" w:cs="Arial"/>
          <w:color w:val="auto"/>
          <w:sz w:val="22"/>
          <w:szCs w:val="22"/>
          <w:lang w:eastAsia="hr-HR"/>
        </w:rPr>
        <w:t>Ako investicijsko društvo ne može ispuniti zahtjeve iz članka 1</w:t>
      </w:r>
      <w:r w:rsidR="00823C4E" w:rsidRPr="005F18BF">
        <w:rPr>
          <w:rFonts w:ascii="Arial" w:hAnsi="Arial" w:cs="Arial"/>
          <w:color w:val="auto"/>
          <w:sz w:val="22"/>
          <w:szCs w:val="22"/>
          <w:lang w:eastAsia="hr-HR"/>
        </w:rPr>
        <w:t>7</w:t>
      </w:r>
      <w:r w:rsidR="008231D6" w:rsidRPr="005F18BF">
        <w:rPr>
          <w:rFonts w:ascii="Arial" w:hAnsi="Arial" w:cs="Arial"/>
          <w:color w:val="auto"/>
          <w:sz w:val="22"/>
          <w:szCs w:val="22"/>
          <w:lang w:eastAsia="hr-HR"/>
        </w:rPr>
        <w:t>. ovog Pravilnika ili zahtjeve iz članka 1</w:t>
      </w:r>
      <w:r w:rsidR="00823C4E" w:rsidRPr="005F18BF">
        <w:rPr>
          <w:rFonts w:ascii="Arial" w:hAnsi="Arial" w:cs="Arial"/>
          <w:color w:val="auto"/>
          <w:sz w:val="22"/>
          <w:szCs w:val="22"/>
          <w:lang w:eastAsia="hr-HR"/>
        </w:rPr>
        <w:t>8</w:t>
      </w:r>
      <w:r w:rsidR="008231D6" w:rsidRPr="005F18BF">
        <w:rPr>
          <w:rFonts w:ascii="Arial" w:hAnsi="Arial" w:cs="Arial"/>
          <w:color w:val="auto"/>
          <w:sz w:val="22"/>
          <w:szCs w:val="22"/>
          <w:lang w:eastAsia="hr-HR"/>
        </w:rPr>
        <w:t>. ovog Pravilnika, dužno je odrediti ukupni interni limit za izloženosti prema svim subjektima bankarstva u sjeni u visini koja ne prelazi 25% priznatoga kapitala.</w:t>
      </w:r>
    </w:p>
    <w:p w14:paraId="21ABC1DF" w14:textId="77777777" w:rsidR="00702CBF" w:rsidRPr="005F18BF" w:rsidRDefault="00702CBF" w:rsidP="005F18BF">
      <w:pPr>
        <w:pStyle w:val="Heading2"/>
        <w:jc w:val="both"/>
        <w:rPr>
          <w:rFonts w:ascii="Arial" w:hAnsi="Arial" w:cs="Arial"/>
          <w:color w:val="auto"/>
          <w:sz w:val="22"/>
          <w:szCs w:val="22"/>
          <w:lang w:eastAsia="hr-HR"/>
        </w:rPr>
      </w:pPr>
    </w:p>
    <w:p w14:paraId="6C3C6DC2" w14:textId="50358ADF" w:rsidR="008231D6" w:rsidRPr="005F18BF" w:rsidRDefault="00297D8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(2) </w:t>
      </w:r>
      <w:r w:rsidR="008231D6" w:rsidRPr="005F18BF">
        <w:rPr>
          <w:rFonts w:ascii="Arial" w:hAnsi="Arial" w:cs="Arial"/>
          <w:color w:val="auto"/>
          <w:sz w:val="22"/>
          <w:szCs w:val="22"/>
          <w:lang w:eastAsia="hr-HR"/>
        </w:rPr>
        <w:t>Ako investicijsko društvo može ispuniti zahtjeve iz članka 1</w:t>
      </w:r>
      <w:r w:rsidR="00823C4E" w:rsidRPr="005F18BF">
        <w:rPr>
          <w:rFonts w:ascii="Arial" w:hAnsi="Arial" w:cs="Arial"/>
          <w:color w:val="auto"/>
          <w:sz w:val="22"/>
          <w:szCs w:val="22"/>
          <w:lang w:eastAsia="hr-HR"/>
        </w:rPr>
        <w:t>7</w:t>
      </w:r>
      <w:r w:rsidR="008231D6" w:rsidRPr="005F18BF">
        <w:rPr>
          <w:rFonts w:ascii="Arial" w:hAnsi="Arial" w:cs="Arial"/>
          <w:color w:val="auto"/>
          <w:sz w:val="22"/>
          <w:szCs w:val="22"/>
          <w:lang w:eastAsia="hr-HR"/>
        </w:rPr>
        <w:t>. ovog Pravilnika ili zahtjeve iz članka 1</w:t>
      </w:r>
      <w:r w:rsidR="00B00AB9" w:rsidRPr="005F18BF">
        <w:rPr>
          <w:rFonts w:ascii="Arial" w:hAnsi="Arial" w:cs="Arial"/>
          <w:color w:val="auto"/>
          <w:sz w:val="22"/>
          <w:szCs w:val="22"/>
          <w:lang w:eastAsia="hr-HR"/>
        </w:rPr>
        <w:t>8</w:t>
      </w:r>
      <w:r w:rsidR="008231D6" w:rsidRPr="005F18BF">
        <w:rPr>
          <w:rFonts w:ascii="Arial" w:hAnsi="Arial" w:cs="Arial"/>
          <w:color w:val="auto"/>
          <w:sz w:val="22"/>
          <w:szCs w:val="22"/>
          <w:lang w:eastAsia="hr-HR"/>
        </w:rPr>
        <w:t>. ovog Pravilnika, ali ne može prikupiti dovoljno informacija za određivanje internih limita iz članaka 1</w:t>
      </w:r>
      <w:r w:rsidR="00B00AB9" w:rsidRPr="005F18BF">
        <w:rPr>
          <w:rFonts w:ascii="Arial" w:hAnsi="Arial" w:cs="Arial"/>
          <w:color w:val="auto"/>
          <w:sz w:val="22"/>
          <w:szCs w:val="22"/>
          <w:lang w:eastAsia="hr-HR"/>
        </w:rPr>
        <w:t>9</w:t>
      </w:r>
      <w:r w:rsidR="008231D6" w:rsidRPr="005F18BF">
        <w:rPr>
          <w:rFonts w:ascii="Arial" w:hAnsi="Arial" w:cs="Arial"/>
          <w:color w:val="auto"/>
          <w:sz w:val="22"/>
          <w:szCs w:val="22"/>
          <w:lang w:eastAsia="hr-HR"/>
        </w:rPr>
        <w:t xml:space="preserve">. i </w:t>
      </w:r>
      <w:r w:rsidR="00B00AB9" w:rsidRPr="005F18BF">
        <w:rPr>
          <w:rFonts w:ascii="Arial" w:hAnsi="Arial" w:cs="Arial"/>
          <w:color w:val="auto"/>
          <w:sz w:val="22"/>
          <w:szCs w:val="22"/>
          <w:lang w:eastAsia="hr-HR"/>
        </w:rPr>
        <w:t>20</w:t>
      </w:r>
      <w:r w:rsidR="008231D6" w:rsidRPr="005F18BF">
        <w:rPr>
          <w:rFonts w:ascii="Arial" w:hAnsi="Arial" w:cs="Arial"/>
          <w:color w:val="auto"/>
          <w:sz w:val="22"/>
          <w:szCs w:val="22"/>
          <w:lang w:eastAsia="hr-HR"/>
        </w:rPr>
        <w:t>. ovog Pravilnika, za izloženosti prema tim subjektima dužna je odrediti ukupni interni limit u visini koja ne prelazi 25% priznatoga kapitala. Za izloženosti prema preostalim subjektima bankarstva u sjeni investicijsko društvo dužno je odrediti pojedinačne interne limite i ukupni interni limit u skladu s člancima 1</w:t>
      </w:r>
      <w:r w:rsidR="00B00AB9" w:rsidRPr="005F18BF">
        <w:rPr>
          <w:rFonts w:ascii="Arial" w:hAnsi="Arial" w:cs="Arial"/>
          <w:color w:val="auto"/>
          <w:sz w:val="22"/>
          <w:szCs w:val="22"/>
          <w:lang w:eastAsia="hr-HR"/>
        </w:rPr>
        <w:t>9</w:t>
      </w:r>
      <w:r w:rsidR="008231D6" w:rsidRPr="005F18BF">
        <w:rPr>
          <w:rFonts w:ascii="Arial" w:hAnsi="Arial" w:cs="Arial"/>
          <w:color w:val="auto"/>
          <w:sz w:val="22"/>
          <w:szCs w:val="22"/>
          <w:lang w:eastAsia="hr-HR"/>
        </w:rPr>
        <w:t xml:space="preserve">. i </w:t>
      </w:r>
      <w:r w:rsidR="00B00AB9" w:rsidRPr="005F18BF">
        <w:rPr>
          <w:rFonts w:ascii="Arial" w:hAnsi="Arial" w:cs="Arial"/>
          <w:color w:val="auto"/>
          <w:sz w:val="22"/>
          <w:szCs w:val="22"/>
          <w:lang w:eastAsia="hr-HR"/>
        </w:rPr>
        <w:t>20</w:t>
      </w:r>
      <w:r w:rsidR="008231D6" w:rsidRPr="005F18BF">
        <w:rPr>
          <w:rFonts w:ascii="Arial" w:hAnsi="Arial" w:cs="Arial"/>
          <w:color w:val="auto"/>
          <w:sz w:val="22"/>
          <w:szCs w:val="22"/>
          <w:lang w:eastAsia="hr-HR"/>
        </w:rPr>
        <w:t>. ovog Pravilnika.</w:t>
      </w:r>
    </w:p>
    <w:p w14:paraId="143267F7" w14:textId="77777777" w:rsidR="00702CBF" w:rsidRPr="005F18BF" w:rsidRDefault="00702CBF" w:rsidP="005F18BF">
      <w:pPr>
        <w:pStyle w:val="Heading2"/>
        <w:jc w:val="both"/>
        <w:rPr>
          <w:rFonts w:ascii="Arial" w:hAnsi="Arial" w:cs="Arial"/>
          <w:color w:val="auto"/>
          <w:sz w:val="22"/>
          <w:szCs w:val="22"/>
          <w:lang w:eastAsia="hr-HR"/>
        </w:rPr>
      </w:pPr>
    </w:p>
    <w:p w14:paraId="654BADDA" w14:textId="492AAE2F" w:rsidR="008231D6" w:rsidRPr="005F18BF" w:rsidRDefault="00297D8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(3) </w:t>
      </w:r>
      <w:r w:rsidR="008231D6" w:rsidRPr="005F18BF">
        <w:rPr>
          <w:rFonts w:ascii="Arial" w:hAnsi="Arial" w:cs="Arial"/>
          <w:color w:val="auto"/>
          <w:sz w:val="22"/>
          <w:szCs w:val="22"/>
          <w:lang w:eastAsia="hr-HR"/>
        </w:rPr>
        <w:t>U slučaju iz stavka 2. ovog članka najveći iznos izloženosti investicijskog društva prema svim subjektima bankarstva u sjeni ne smije prelaziti manji od sljedećih iznosa:</w:t>
      </w:r>
    </w:p>
    <w:p w14:paraId="23596022" w14:textId="311D6C66" w:rsidR="008231D6" w:rsidRPr="005F18BF" w:rsidRDefault="008231D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ukupni interni limit u skladu s člankom </w:t>
      </w:r>
      <w:r w:rsidR="00B00AB9" w:rsidRPr="005F18BF">
        <w:rPr>
          <w:rFonts w:ascii="Arial" w:hAnsi="Arial" w:cs="Arial"/>
          <w:color w:val="auto"/>
          <w:sz w:val="22"/>
          <w:szCs w:val="22"/>
          <w:lang w:eastAsia="hr-HR"/>
        </w:rPr>
        <w:t>20</w:t>
      </w:r>
      <w:r w:rsidRPr="005F18BF">
        <w:rPr>
          <w:rFonts w:ascii="Arial" w:hAnsi="Arial" w:cs="Arial"/>
          <w:color w:val="auto"/>
          <w:sz w:val="22"/>
          <w:szCs w:val="22"/>
          <w:lang w:eastAsia="hr-HR"/>
        </w:rPr>
        <w:t>. ovog Pravilnika koji se odnosi na izloženosti prema preostalim subjektima bankarstva u sjeni za koje su određeni pojedinačni interni limiti ili</w:t>
      </w:r>
    </w:p>
    <w:p w14:paraId="1804830E" w14:textId="0E26EB48" w:rsidR="0064679F" w:rsidRPr="005F18BF" w:rsidRDefault="008231D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zbroj iznosa od 25 i iznosa pojedinačnih internih limita određenih za preostale subjekte bankarstva u sjeni.</w:t>
      </w:r>
    </w:p>
    <w:p w14:paraId="4E1319DD" w14:textId="77777777" w:rsidR="0064679F" w:rsidRPr="005F18BF" w:rsidRDefault="0064679F" w:rsidP="005F18BF">
      <w:pPr>
        <w:pStyle w:val="Heading2"/>
        <w:jc w:val="both"/>
        <w:rPr>
          <w:rFonts w:ascii="Arial" w:hAnsi="Arial" w:cs="Arial"/>
          <w:color w:val="auto"/>
          <w:sz w:val="22"/>
          <w:szCs w:val="22"/>
          <w:lang w:eastAsia="hr-HR"/>
        </w:rPr>
      </w:pPr>
    </w:p>
    <w:p w14:paraId="6574ABA4" w14:textId="7A8800EF" w:rsidR="0064679F" w:rsidRPr="005F18BF" w:rsidRDefault="0064679F" w:rsidP="005F18BF">
      <w:pPr>
        <w:pStyle w:val="Heading2"/>
        <w:jc w:val="both"/>
        <w:rPr>
          <w:rFonts w:ascii="Arial" w:hAnsi="Arial" w:cs="Arial"/>
          <w:color w:val="auto"/>
          <w:sz w:val="22"/>
          <w:szCs w:val="22"/>
          <w:lang w:eastAsia="hr-HR"/>
        </w:rPr>
      </w:pPr>
    </w:p>
    <w:p w14:paraId="29317239" w14:textId="7FC465A3" w:rsidR="00F97865" w:rsidRPr="005F18BF" w:rsidRDefault="00297D8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V</w:t>
      </w:r>
      <w:r w:rsidR="00F97865" w:rsidRPr="005F18BF">
        <w:rPr>
          <w:rFonts w:ascii="Arial" w:hAnsi="Arial" w:cs="Arial"/>
          <w:color w:val="auto"/>
          <w:sz w:val="22"/>
          <w:szCs w:val="22"/>
          <w:lang w:eastAsia="hr-HR"/>
        </w:rPr>
        <w:t>. TEHNIČKI KRITERIJI KOJI SE ODNOSE NA INTERNE PRISTUPE ZA IZRAČUN KAPITALNIH ZAHTJEVA</w:t>
      </w:r>
    </w:p>
    <w:p w14:paraId="515F4AA2" w14:textId="77777777" w:rsidR="00F97865" w:rsidRPr="005F18BF" w:rsidRDefault="00F97865" w:rsidP="005F18BF">
      <w:pPr>
        <w:pStyle w:val="Heading2"/>
        <w:jc w:val="both"/>
        <w:rPr>
          <w:rFonts w:ascii="Arial" w:hAnsi="Arial" w:cs="Arial"/>
          <w:color w:val="auto"/>
          <w:sz w:val="22"/>
          <w:szCs w:val="22"/>
          <w:lang w:eastAsia="hr-HR"/>
        </w:rPr>
      </w:pPr>
    </w:p>
    <w:p w14:paraId="68F7C87A" w14:textId="77777777" w:rsidR="00F97865" w:rsidRPr="00154FC6" w:rsidRDefault="00F97865" w:rsidP="00154FC6">
      <w:pPr>
        <w:pStyle w:val="Heading1"/>
        <w:jc w:val="center"/>
        <w:rPr>
          <w:rFonts w:ascii="Arial" w:hAnsi="Arial" w:cs="Arial"/>
          <w:b w:val="0"/>
          <w:sz w:val="22"/>
          <w:szCs w:val="22"/>
        </w:rPr>
      </w:pPr>
      <w:r w:rsidRPr="00154FC6">
        <w:rPr>
          <w:rFonts w:ascii="Arial" w:hAnsi="Arial" w:cs="Arial"/>
          <w:b w:val="0"/>
          <w:sz w:val="22"/>
          <w:szCs w:val="22"/>
        </w:rPr>
        <w:t>Interni pristupi za izračun kapitalnih zahtjeva</w:t>
      </w:r>
    </w:p>
    <w:p w14:paraId="04D2CD03" w14:textId="50D4414C" w:rsidR="00F97865" w:rsidRPr="00E1354A" w:rsidRDefault="00710330" w:rsidP="00E1354A">
      <w:pPr>
        <w:pStyle w:val="Heading2"/>
        <w:jc w:val="center"/>
        <w:rPr>
          <w:rFonts w:ascii="Arial" w:hAnsi="Arial" w:cs="Arial"/>
          <w:color w:val="auto"/>
          <w:sz w:val="22"/>
          <w:szCs w:val="22"/>
          <w:lang w:eastAsia="hr-HR"/>
        </w:rPr>
      </w:pPr>
      <w:r w:rsidRPr="00E1354A">
        <w:rPr>
          <w:rFonts w:ascii="Arial" w:hAnsi="Arial" w:cs="Arial"/>
          <w:color w:val="auto"/>
          <w:sz w:val="22"/>
          <w:szCs w:val="22"/>
          <w:lang w:eastAsia="hr-HR"/>
        </w:rPr>
        <w:lastRenderedPageBreak/>
        <w:t>Članak 2</w:t>
      </w:r>
      <w:r w:rsidR="00B00AB9" w:rsidRPr="00E1354A">
        <w:rPr>
          <w:rFonts w:ascii="Arial" w:hAnsi="Arial" w:cs="Arial"/>
          <w:color w:val="auto"/>
          <w:sz w:val="22"/>
          <w:szCs w:val="22"/>
          <w:lang w:eastAsia="hr-HR"/>
        </w:rPr>
        <w:t>2</w:t>
      </w:r>
      <w:r w:rsidR="00F97865" w:rsidRPr="00E1354A">
        <w:rPr>
          <w:rFonts w:ascii="Arial" w:hAnsi="Arial" w:cs="Arial"/>
          <w:color w:val="auto"/>
          <w:sz w:val="22"/>
          <w:szCs w:val="22"/>
          <w:lang w:eastAsia="hr-HR"/>
        </w:rPr>
        <w:t>.</w:t>
      </w:r>
    </w:p>
    <w:p w14:paraId="238B7257" w14:textId="77777777" w:rsidR="00F97865" w:rsidRPr="005F18BF" w:rsidRDefault="00F97865" w:rsidP="005F18BF">
      <w:pPr>
        <w:pStyle w:val="Heading2"/>
        <w:jc w:val="both"/>
        <w:rPr>
          <w:rFonts w:ascii="Arial" w:hAnsi="Arial" w:cs="Arial"/>
          <w:color w:val="auto"/>
          <w:sz w:val="22"/>
          <w:szCs w:val="22"/>
          <w:lang w:eastAsia="hr-HR"/>
        </w:rPr>
      </w:pPr>
    </w:p>
    <w:p w14:paraId="260F93A7" w14:textId="77777777" w:rsidR="00F97865" w:rsidRPr="005F18BF" w:rsidRDefault="00F97865"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Značajno investicijsko društvo dužno je:</w:t>
      </w:r>
    </w:p>
    <w:p w14:paraId="10503488" w14:textId="77777777" w:rsidR="00702CBF" w:rsidRPr="005F18BF" w:rsidRDefault="00702CBF" w:rsidP="005F18BF">
      <w:pPr>
        <w:pStyle w:val="Heading2"/>
        <w:jc w:val="both"/>
        <w:rPr>
          <w:rFonts w:ascii="Arial" w:hAnsi="Arial" w:cs="Arial"/>
          <w:color w:val="auto"/>
          <w:sz w:val="22"/>
          <w:szCs w:val="22"/>
          <w:lang w:eastAsia="hr-HR"/>
        </w:rPr>
      </w:pPr>
    </w:p>
    <w:p w14:paraId="3EA043E9" w14:textId="77777777" w:rsidR="00F97865" w:rsidRPr="005F18BF" w:rsidRDefault="00F97865"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poduzimati odgovarajuće mjere za razvijanje interne procjene kreditnog rizika i upotrebu pristupa zasnovanog na internom rejting sustavu za izračun kapitalnog zahtjeva za kreditni rizik za izloženosti koje su značajne u apsolutnom iznosu i istovremeno imaju veliki broj značajnih drugih ugovornih strana,</w:t>
      </w:r>
    </w:p>
    <w:p w14:paraId="717729F2" w14:textId="77777777" w:rsidR="00702CBF" w:rsidRPr="005F18BF" w:rsidRDefault="00702CBF" w:rsidP="005F18BF">
      <w:pPr>
        <w:pStyle w:val="Heading2"/>
        <w:jc w:val="both"/>
        <w:rPr>
          <w:rFonts w:ascii="Arial" w:hAnsi="Arial" w:cs="Arial"/>
          <w:color w:val="auto"/>
          <w:sz w:val="22"/>
          <w:szCs w:val="22"/>
          <w:lang w:eastAsia="hr-HR"/>
        </w:rPr>
      </w:pPr>
    </w:p>
    <w:p w14:paraId="255A1E1C" w14:textId="77777777" w:rsidR="00F97865" w:rsidRPr="005F18BF" w:rsidRDefault="00F97865"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poduzimati odgovarajuće mjere za razvijanje interne procjene specifičnih rizika i za razvijanje i upotrebu internih modela za izračun kapitalnog zahtjeva za specifični rizik dužničkih instrumenata u knjizi trgovanja, zajedno s internim modelima za izračun kapitalnih zahtjeva za rizik nastanka statusa neispunjavanja obveza i migracijski rizik, za izloženosti koje su značajne u apsolutnom iznosu i imaju veliki broj značajnih pozicija u dužničkim instrumentima različitih izdavatelja.</w:t>
      </w:r>
    </w:p>
    <w:p w14:paraId="060285F1" w14:textId="77777777" w:rsidR="00702CBF" w:rsidRPr="005F18BF" w:rsidRDefault="00702CBF" w:rsidP="005F18BF">
      <w:pPr>
        <w:pStyle w:val="Heading2"/>
        <w:jc w:val="both"/>
        <w:rPr>
          <w:rFonts w:ascii="Arial" w:hAnsi="Arial" w:cs="Arial"/>
          <w:color w:val="auto"/>
          <w:sz w:val="22"/>
          <w:szCs w:val="22"/>
          <w:lang w:eastAsia="hr-HR"/>
        </w:rPr>
      </w:pPr>
    </w:p>
    <w:p w14:paraId="0D41D132" w14:textId="77777777" w:rsidR="00F97865" w:rsidRPr="005F18BF" w:rsidRDefault="00F97865"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Značajno investicijsko društvo se pri procjeni kreditne sposobnosti klijenta ili financijskog instrumenta ne smije rukovoditi isključivo vanjskim kreditnim rejtingom.</w:t>
      </w:r>
    </w:p>
    <w:p w14:paraId="7D906AAF" w14:textId="77777777" w:rsidR="00702CBF" w:rsidRPr="005F18BF" w:rsidRDefault="00702CBF" w:rsidP="005F18BF">
      <w:pPr>
        <w:pStyle w:val="Heading2"/>
        <w:jc w:val="both"/>
        <w:rPr>
          <w:rFonts w:ascii="Arial" w:hAnsi="Arial" w:cs="Arial"/>
          <w:color w:val="auto"/>
          <w:sz w:val="22"/>
          <w:szCs w:val="22"/>
          <w:lang w:eastAsia="hr-HR"/>
        </w:rPr>
      </w:pPr>
    </w:p>
    <w:p w14:paraId="31032768" w14:textId="78165471" w:rsidR="00F97865" w:rsidRPr="005F18BF" w:rsidRDefault="00F97865"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Kada Hanfa utvrdi da interni modeli koje primjenjuje investicijsko društvo podcjenjuju kapitalne zahtjeve, a koji ne proizlaze iz različitih odnosnih rizika izloženosti ili pozicija naložit će investicijskom društvu potrebne mjere.</w:t>
      </w:r>
    </w:p>
    <w:p w14:paraId="4675EAA2" w14:textId="77777777" w:rsidR="00702CBF" w:rsidRPr="005F18BF" w:rsidRDefault="00702CBF" w:rsidP="005F18BF">
      <w:pPr>
        <w:pStyle w:val="Heading2"/>
        <w:jc w:val="both"/>
        <w:rPr>
          <w:rFonts w:ascii="Arial" w:hAnsi="Arial" w:cs="Arial"/>
          <w:color w:val="auto"/>
          <w:sz w:val="22"/>
          <w:szCs w:val="22"/>
          <w:lang w:eastAsia="hr-HR"/>
        </w:rPr>
      </w:pPr>
    </w:p>
    <w:p w14:paraId="610B9C1E" w14:textId="77777777" w:rsidR="00F97865" w:rsidRPr="005F18BF" w:rsidRDefault="00F97865"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Potrebne mjere iz stavka 3. ovoga članka moraju biti u skladu s ciljevima primjene internih pristupa, te stoga ne smiju:</w:t>
      </w:r>
    </w:p>
    <w:p w14:paraId="157114DA" w14:textId="77777777" w:rsidR="00F97865" w:rsidRPr="005F18BF" w:rsidRDefault="00F97865"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dovoditi do standardizacije pristupa ili upotrebe preferiranih metoda,</w:t>
      </w:r>
    </w:p>
    <w:p w14:paraId="2E399C87" w14:textId="77777777" w:rsidR="00F97865" w:rsidRPr="005F18BF" w:rsidRDefault="00F97865"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stvarati pogrešne poticaje ili</w:t>
      </w:r>
    </w:p>
    <w:p w14:paraId="3F898381" w14:textId="4D3196EE" w:rsidR="004C15E5" w:rsidRPr="005F18BF" w:rsidRDefault="00F97865"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uzrokovati da sva investicijska društva neosnovano poduzimaju iste aktivnosti.</w:t>
      </w:r>
    </w:p>
    <w:p w14:paraId="2BD63360" w14:textId="32D3FFB0" w:rsidR="00702CBF" w:rsidRPr="005F18BF" w:rsidRDefault="00702CBF" w:rsidP="005F18BF">
      <w:pPr>
        <w:pStyle w:val="Heading2"/>
        <w:jc w:val="both"/>
        <w:rPr>
          <w:rFonts w:ascii="Arial" w:hAnsi="Arial" w:cs="Arial"/>
          <w:color w:val="auto"/>
          <w:sz w:val="22"/>
          <w:szCs w:val="22"/>
          <w:lang w:eastAsia="hr-HR"/>
        </w:rPr>
      </w:pPr>
    </w:p>
    <w:p w14:paraId="0CCD160F" w14:textId="77777777" w:rsidR="00702CBF" w:rsidRPr="005F18BF" w:rsidRDefault="00702CBF" w:rsidP="005F18BF">
      <w:pPr>
        <w:pStyle w:val="Heading2"/>
        <w:jc w:val="both"/>
        <w:rPr>
          <w:rFonts w:ascii="Arial" w:hAnsi="Arial" w:cs="Arial"/>
          <w:color w:val="auto"/>
          <w:sz w:val="22"/>
          <w:szCs w:val="22"/>
          <w:lang w:eastAsia="hr-HR"/>
        </w:rPr>
      </w:pPr>
    </w:p>
    <w:p w14:paraId="4B3116F4" w14:textId="77777777" w:rsidR="00702CBF" w:rsidRPr="005F18BF" w:rsidRDefault="00702CBF" w:rsidP="005F18BF">
      <w:pPr>
        <w:pStyle w:val="Heading2"/>
        <w:jc w:val="both"/>
        <w:rPr>
          <w:rFonts w:ascii="Arial" w:hAnsi="Arial" w:cs="Arial"/>
          <w:color w:val="auto"/>
          <w:sz w:val="22"/>
          <w:szCs w:val="22"/>
          <w:lang w:eastAsia="hr-HR"/>
        </w:rPr>
      </w:pPr>
    </w:p>
    <w:p w14:paraId="14C4B237" w14:textId="36CA9738" w:rsidR="00A65194" w:rsidRPr="00B12188" w:rsidRDefault="00A65194" w:rsidP="00B12188">
      <w:pPr>
        <w:pStyle w:val="Heading1"/>
        <w:jc w:val="center"/>
        <w:rPr>
          <w:rFonts w:ascii="Arial" w:hAnsi="Arial" w:cs="Arial"/>
          <w:b w:val="0"/>
          <w:sz w:val="22"/>
          <w:szCs w:val="22"/>
        </w:rPr>
      </w:pPr>
      <w:r w:rsidRPr="00B12188">
        <w:rPr>
          <w:rFonts w:ascii="Arial" w:hAnsi="Arial" w:cs="Arial"/>
          <w:b w:val="0"/>
          <w:sz w:val="22"/>
          <w:szCs w:val="22"/>
        </w:rPr>
        <w:t>V</w:t>
      </w:r>
      <w:r w:rsidR="00710330" w:rsidRPr="00B12188">
        <w:rPr>
          <w:rFonts w:ascii="Arial" w:hAnsi="Arial" w:cs="Arial"/>
          <w:b w:val="0"/>
          <w:sz w:val="22"/>
          <w:szCs w:val="22"/>
        </w:rPr>
        <w:t>I</w:t>
      </w:r>
      <w:r w:rsidRPr="00B12188">
        <w:rPr>
          <w:rFonts w:ascii="Arial" w:hAnsi="Arial" w:cs="Arial"/>
          <w:b w:val="0"/>
          <w:sz w:val="22"/>
          <w:szCs w:val="22"/>
        </w:rPr>
        <w:t>. VREDNOVANJE IMOVINE I IZVANBILANČNIH STAVKI</w:t>
      </w:r>
    </w:p>
    <w:p w14:paraId="6FF81DD0" w14:textId="77777777" w:rsidR="00A65194" w:rsidRPr="005F18BF" w:rsidRDefault="00A65194" w:rsidP="00B12188">
      <w:pPr>
        <w:pStyle w:val="Heading2"/>
        <w:jc w:val="center"/>
        <w:rPr>
          <w:rFonts w:ascii="Arial" w:hAnsi="Arial" w:cs="Arial"/>
          <w:color w:val="auto"/>
          <w:sz w:val="22"/>
          <w:szCs w:val="22"/>
          <w:lang w:eastAsia="hr-HR"/>
        </w:rPr>
      </w:pPr>
    </w:p>
    <w:p w14:paraId="58F5A9B1" w14:textId="77777777" w:rsidR="00A65194" w:rsidRPr="005F18BF" w:rsidRDefault="00A65194" w:rsidP="00B12188">
      <w:pPr>
        <w:pStyle w:val="Heading2"/>
        <w:jc w:val="center"/>
        <w:rPr>
          <w:rFonts w:ascii="Arial" w:hAnsi="Arial" w:cs="Arial"/>
          <w:color w:val="auto"/>
          <w:sz w:val="22"/>
          <w:szCs w:val="22"/>
          <w:lang w:eastAsia="hr-HR"/>
        </w:rPr>
      </w:pPr>
      <w:r w:rsidRPr="005F18BF">
        <w:rPr>
          <w:rFonts w:ascii="Arial" w:hAnsi="Arial" w:cs="Arial"/>
          <w:color w:val="auto"/>
          <w:sz w:val="22"/>
          <w:szCs w:val="22"/>
          <w:lang w:eastAsia="hr-HR"/>
        </w:rPr>
        <w:t>Vrednovanje</w:t>
      </w:r>
    </w:p>
    <w:p w14:paraId="637BD09A" w14:textId="619AE3BB" w:rsidR="00A65194" w:rsidRPr="005F18BF" w:rsidRDefault="00A65194" w:rsidP="00B12188">
      <w:pPr>
        <w:pStyle w:val="Heading2"/>
        <w:jc w:val="center"/>
        <w:rPr>
          <w:rFonts w:ascii="Arial" w:hAnsi="Arial" w:cs="Arial"/>
          <w:b/>
          <w:color w:val="auto"/>
          <w:sz w:val="22"/>
          <w:szCs w:val="22"/>
          <w:lang w:eastAsia="hr-HR"/>
        </w:rPr>
      </w:pPr>
      <w:r w:rsidRPr="005F18BF">
        <w:rPr>
          <w:rFonts w:ascii="Arial" w:hAnsi="Arial" w:cs="Arial"/>
          <w:b/>
          <w:color w:val="auto"/>
          <w:sz w:val="22"/>
          <w:szCs w:val="22"/>
          <w:lang w:eastAsia="hr-HR"/>
        </w:rPr>
        <w:t>Č</w:t>
      </w:r>
      <w:r w:rsidR="00710330" w:rsidRPr="005F18BF">
        <w:rPr>
          <w:rFonts w:ascii="Arial" w:hAnsi="Arial" w:cs="Arial"/>
          <w:b/>
          <w:color w:val="auto"/>
          <w:sz w:val="22"/>
          <w:szCs w:val="22"/>
          <w:lang w:eastAsia="hr-HR"/>
        </w:rPr>
        <w:t>lanak 2</w:t>
      </w:r>
      <w:r w:rsidR="00B00AB9" w:rsidRPr="005F18BF">
        <w:rPr>
          <w:rFonts w:ascii="Arial" w:hAnsi="Arial" w:cs="Arial"/>
          <w:b/>
          <w:color w:val="auto"/>
          <w:sz w:val="22"/>
          <w:szCs w:val="22"/>
          <w:lang w:eastAsia="hr-HR"/>
        </w:rPr>
        <w:t>3</w:t>
      </w:r>
      <w:r w:rsidRPr="005F18BF">
        <w:rPr>
          <w:rFonts w:ascii="Arial" w:hAnsi="Arial" w:cs="Arial"/>
          <w:b/>
          <w:color w:val="auto"/>
          <w:sz w:val="22"/>
          <w:szCs w:val="22"/>
          <w:lang w:eastAsia="hr-HR"/>
        </w:rPr>
        <w:t>.</w:t>
      </w:r>
    </w:p>
    <w:p w14:paraId="5333D170" w14:textId="77777777" w:rsidR="00A65194" w:rsidRPr="005F18BF" w:rsidRDefault="00A65194" w:rsidP="005F18BF">
      <w:pPr>
        <w:pStyle w:val="Heading2"/>
        <w:jc w:val="both"/>
        <w:rPr>
          <w:rFonts w:ascii="Arial" w:hAnsi="Arial" w:cs="Arial"/>
          <w:color w:val="auto"/>
          <w:sz w:val="22"/>
          <w:szCs w:val="22"/>
          <w:lang w:eastAsia="hr-HR"/>
        </w:rPr>
      </w:pPr>
    </w:p>
    <w:p w14:paraId="1FFE93F7" w14:textId="77777777" w:rsidR="00A65194" w:rsidRPr="005F18BF" w:rsidRDefault="00A65194"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Investicijsko društvo dužno je vrednovanje imovine i izvanbilančnih stavki te izračunavanje regulatornog kapitala obavljati u skladu s Međunarodnim računovodstvenim standardima koji se primjenjuju u skladu s Uredbom (EZ) br. 1606/2002.</w:t>
      </w:r>
    </w:p>
    <w:p w14:paraId="6AE8B5F1" w14:textId="2CCE8418" w:rsidR="00F97865" w:rsidRPr="005F18BF" w:rsidRDefault="00F97865" w:rsidP="005F18BF">
      <w:pPr>
        <w:pStyle w:val="Heading2"/>
        <w:jc w:val="both"/>
        <w:rPr>
          <w:rFonts w:ascii="Arial" w:hAnsi="Arial" w:cs="Arial"/>
          <w:color w:val="auto"/>
          <w:sz w:val="22"/>
          <w:szCs w:val="22"/>
          <w:lang w:eastAsia="hr-HR"/>
        </w:rPr>
      </w:pPr>
    </w:p>
    <w:p w14:paraId="09AE551A" w14:textId="4BDB9ECB" w:rsidR="00F97865" w:rsidRPr="005F18BF" w:rsidRDefault="00F97865" w:rsidP="005F18BF">
      <w:pPr>
        <w:pStyle w:val="Heading2"/>
        <w:jc w:val="both"/>
        <w:rPr>
          <w:rFonts w:ascii="Arial" w:hAnsi="Arial" w:cs="Arial"/>
          <w:color w:val="auto"/>
          <w:sz w:val="22"/>
          <w:szCs w:val="22"/>
          <w:lang w:eastAsia="hr-HR"/>
        </w:rPr>
      </w:pPr>
    </w:p>
    <w:p w14:paraId="6171B0A2" w14:textId="6A7C35F8" w:rsidR="00A65194" w:rsidRPr="005F18BF" w:rsidRDefault="00A65194"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V</w:t>
      </w:r>
      <w:r w:rsidR="00710330" w:rsidRPr="005F18BF">
        <w:rPr>
          <w:rFonts w:ascii="Arial" w:hAnsi="Arial" w:cs="Arial"/>
          <w:color w:val="auto"/>
          <w:sz w:val="22"/>
          <w:szCs w:val="22"/>
          <w:lang w:eastAsia="hr-HR"/>
        </w:rPr>
        <w:t>II</w:t>
      </w:r>
      <w:r w:rsidRPr="005F18BF">
        <w:rPr>
          <w:rFonts w:ascii="Arial" w:hAnsi="Arial" w:cs="Arial"/>
          <w:color w:val="auto"/>
          <w:sz w:val="22"/>
          <w:szCs w:val="22"/>
          <w:lang w:eastAsia="hr-HR"/>
        </w:rPr>
        <w:t>. PRIMJENA STANDARDIZIRANOG PRISTUPA ZA IZRAČUN IZNOSA IZLOŽENOSTI PONDERIRANOG RIZIKOM</w:t>
      </w:r>
    </w:p>
    <w:p w14:paraId="6426414D" w14:textId="77777777" w:rsidR="00A65194" w:rsidRPr="005F18BF" w:rsidRDefault="00A65194" w:rsidP="005F18BF">
      <w:pPr>
        <w:pStyle w:val="Heading2"/>
        <w:jc w:val="both"/>
        <w:rPr>
          <w:rFonts w:ascii="Arial" w:hAnsi="Arial" w:cs="Arial"/>
          <w:color w:val="auto"/>
          <w:sz w:val="22"/>
          <w:szCs w:val="22"/>
          <w:lang w:eastAsia="hr-HR"/>
        </w:rPr>
      </w:pPr>
    </w:p>
    <w:p w14:paraId="619221C6" w14:textId="77777777" w:rsidR="00A65194" w:rsidRPr="005F18BF" w:rsidRDefault="00A65194" w:rsidP="004C53D3">
      <w:pPr>
        <w:pStyle w:val="Heading2"/>
        <w:jc w:val="center"/>
        <w:rPr>
          <w:rFonts w:ascii="Arial" w:hAnsi="Arial" w:cs="Arial"/>
          <w:color w:val="auto"/>
          <w:sz w:val="22"/>
          <w:szCs w:val="22"/>
          <w:lang w:eastAsia="hr-HR"/>
        </w:rPr>
      </w:pPr>
      <w:r w:rsidRPr="005F18BF">
        <w:rPr>
          <w:rFonts w:ascii="Arial" w:hAnsi="Arial" w:cs="Arial"/>
          <w:color w:val="auto"/>
          <w:sz w:val="22"/>
          <w:szCs w:val="22"/>
          <w:lang w:eastAsia="hr-HR"/>
        </w:rPr>
        <w:t>Područna (regionalna) ili lokalna samouprava</w:t>
      </w:r>
    </w:p>
    <w:p w14:paraId="3E268A7D" w14:textId="0E1F799E" w:rsidR="00A65194" w:rsidRPr="004C53D3" w:rsidRDefault="00710330" w:rsidP="004C53D3">
      <w:pPr>
        <w:pStyle w:val="Heading3"/>
        <w:jc w:val="center"/>
        <w:rPr>
          <w:rFonts w:ascii="Arial" w:hAnsi="Arial" w:cs="Arial"/>
          <w:color w:val="auto"/>
          <w:sz w:val="22"/>
          <w:szCs w:val="22"/>
          <w:lang w:eastAsia="hr-HR"/>
        </w:rPr>
      </w:pPr>
      <w:r w:rsidRPr="004C53D3">
        <w:rPr>
          <w:rFonts w:ascii="Arial" w:hAnsi="Arial" w:cs="Arial"/>
          <w:color w:val="auto"/>
          <w:sz w:val="22"/>
          <w:szCs w:val="22"/>
          <w:lang w:eastAsia="hr-HR"/>
        </w:rPr>
        <w:t>Članak 2</w:t>
      </w:r>
      <w:r w:rsidR="00B00AB9" w:rsidRPr="004C53D3">
        <w:rPr>
          <w:rFonts w:ascii="Arial" w:hAnsi="Arial" w:cs="Arial"/>
          <w:color w:val="auto"/>
          <w:sz w:val="22"/>
          <w:szCs w:val="22"/>
          <w:lang w:eastAsia="hr-HR"/>
        </w:rPr>
        <w:t>4</w:t>
      </w:r>
      <w:r w:rsidR="00A65194" w:rsidRPr="004C53D3">
        <w:rPr>
          <w:rFonts w:ascii="Arial" w:hAnsi="Arial" w:cs="Arial"/>
          <w:color w:val="auto"/>
          <w:sz w:val="22"/>
          <w:szCs w:val="22"/>
          <w:lang w:eastAsia="hr-HR"/>
        </w:rPr>
        <w:t>.</w:t>
      </w:r>
    </w:p>
    <w:p w14:paraId="327E996F" w14:textId="77777777" w:rsidR="00A65194" w:rsidRPr="004C53D3" w:rsidRDefault="00A65194" w:rsidP="004C53D3">
      <w:pPr>
        <w:pStyle w:val="Heading3"/>
        <w:jc w:val="center"/>
        <w:rPr>
          <w:rFonts w:ascii="Arial" w:hAnsi="Arial" w:cs="Arial"/>
          <w:color w:val="auto"/>
          <w:sz w:val="22"/>
          <w:szCs w:val="22"/>
          <w:lang w:eastAsia="hr-HR"/>
        </w:rPr>
      </w:pPr>
    </w:p>
    <w:p w14:paraId="679BA3EA" w14:textId="47FBC999" w:rsidR="00A65194" w:rsidRPr="004C53D3" w:rsidRDefault="00A65194" w:rsidP="004C53D3">
      <w:pPr>
        <w:pStyle w:val="Heading3"/>
        <w:jc w:val="both"/>
        <w:rPr>
          <w:rFonts w:ascii="Arial" w:hAnsi="Arial" w:cs="Arial"/>
          <w:color w:val="auto"/>
          <w:sz w:val="22"/>
          <w:szCs w:val="22"/>
          <w:lang w:eastAsia="hr-HR"/>
        </w:rPr>
      </w:pPr>
      <w:r w:rsidRPr="004C53D3">
        <w:rPr>
          <w:rFonts w:ascii="Arial" w:hAnsi="Arial" w:cs="Arial"/>
          <w:color w:val="auto"/>
          <w:sz w:val="22"/>
          <w:szCs w:val="22"/>
          <w:lang w:eastAsia="hr-HR"/>
        </w:rPr>
        <w:t>Investicijsko društvo dužno je članak 115. Uredbe (EU) br. 575/2013 primijeniti na način da izloženosti prema jedinicama područne (regionalne) ili lokalne samouprave u Republici Hrvatskoj ne smije ponderirati kao izloženosti prema središnjoj državi.</w:t>
      </w:r>
    </w:p>
    <w:p w14:paraId="2171D258" w14:textId="77777777" w:rsidR="004E37F4" w:rsidRPr="005F18BF" w:rsidRDefault="004E37F4" w:rsidP="005F18BF">
      <w:pPr>
        <w:pStyle w:val="Heading2"/>
        <w:jc w:val="both"/>
        <w:rPr>
          <w:rFonts w:ascii="Arial" w:hAnsi="Arial" w:cs="Arial"/>
          <w:color w:val="auto"/>
          <w:sz w:val="22"/>
          <w:szCs w:val="22"/>
          <w:lang w:eastAsia="hr-HR"/>
        </w:rPr>
      </w:pPr>
    </w:p>
    <w:p w14:paraId="58EC4549" w14:textId="77777777" w:rsidR="00A65194" w:rsidRPr="004C53D3" w:rsidRDefault="00A65194" w:rsidP="004C53D3">
      <w:pPr>
        <w:pStyle w:val="Heading1"/>
        <w:jc w:val="center"/>
        <w:rPr>
          <w:rFonts w:ascii="Arial" w:hAnsi="Arial" w:cs="Arial"/>
          <w:b w:val="0"/>
          <w:sz w:val="22"/>
          <w:szCs w:val="22"/>
        </w:rPr>
      </w:pPr>
      <w:r w:rsidRPr="004C53D3">
        <w:rPr>
          <w:rFonts w:ascii="Arial" w:hAnsi="Arial" w:cs="Arial"/>
          <w:b w:val="0"/>
          <w:sz w:val="22"/>
          <w:szCs w:val="22"/>
        </w:rPr>
        <w:t>Subjekti javnog sektora koji imaju tretman središnje države</w:t>
      </w:r>
    </w:p>
    <w:p w14:paraId="7B2AF654" w14:textId="68895F76" w:rsidR="00A65194" w:rsidRPr="004C53D3" w:rsidRDefault="00C45FD0" w:rsidP="004C53D3">
      <w:pPr>
        <w:pStyle w:val="Heading2"/>
        <w:jc w:val="center"/>
        <w:rPr>
          <w:rFonts w:ascii="Arial" w:hAnsi="Arial" w:cs="Arial"/>
          <w:color w:val="auto"/>
          <w:sz w:val="22"/>
          <w:szCs w:val="22"/>
          <w:lang w:eastAsia="hr-HR"/>
        </w:rPr>
      </w:pPr>
      <w:r w:rsidRPr="004C53D3">
        <w:rPr>
          <w:rFonts w:ascii="Arial" w:hAnsi="Arial" w:cs="Arial"/>
          <w:color w:val="auto"/>
          <w:sz w:val="22"/>
          <w:szCs w:val="22"/>
          <w:lang w:eastAsia="hr-HR"/>
        </w:rPr>
        <w:lastRenderedPageBreak/>
        <w:t xml:space="preserve">Članak </w:t>
      </w:r>
      <w:r w:rsidR="00710330" w:rsidRPr="004C53D3">
        <w:rPr>
          <w:rFonts w:ascii="Arial" w:hAnsi="Arial" w:cs="Arial"/>
          <w:color w:val="auto"/>
          <w:sz w:val="22"/>
          <w:szCs w:val="22"/>
          <w:lang w:eastAsia="hr-HR"/>
        </w:rPr>
        <w:t>2</w:t>
      </w:r>
      <w:r w:rsidR="00B00AB9" w:rsidRPr="004C53D3">
        <w:rPr>
          <w:rFonts w:ascii="Arial" w:hAnsi="Arial" w:cs="Arial"/>
          <w:color w:val="auto"/>
          <w:sz w:val="22"/>
          <w:szCs w:val="22"/>
          <w:lang w:eastAsia="hr-HR"/>
        </w:rPr>
        <w:t>5</w:t>
      </w:r>
      <w:r w:rsidR="00A65194" w:rsidRPr="004C53D3">
        <w:rPr>
          <w:rFonts w:ascii="Arial" w:hAnsi="Arial" w:cs="Arial"/>
          <w:color w:val="auto"/>
          <w:sz w:val="22"/>
          <w:szCs w:val="22"/>
          <w:lang w:eastAsia="hr-HR"/>
        </w:rPr>
        <w:t>.</w:t>
      </w:r>
    </w:p>
    <w:p w14:paraId="41A57403" w14:textId="77777777" w:rsidR="004E37F4" w:rsidRPr="004C53D3" w:rsidRDefault="004E37F4" w:rsidP="004C53D3">
      <w:pPr>
        <w:pStyle w:val="Heading2"/>
        <w:jc w:val="center"/>
        <w:rPr>
          <w:rFonts w:ascii="Arial" w:hAnsi="Arial" w:cs="Arial"/>
          <w:color w:val="auto"/>
          <w:sz w:val="22"/>
          <w:szCs w:val="22"/>
          <w:lang w:eastAsia="hr-HR"/>
        </w:rPr>
      </w:pPr>
    </w:p>
    <w:p w14:paraId="3A38FB89" w14:textId="77777777" w:rsidR="00A65194" w:rsidRPr="005F18BF" w:rsidRDefault="00A65194"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Investicijsko društvo dužno je članak 116. Uredbe (EU) br. 575/2013 primijeniti na način da ponderira kao izloženosti prema središnjoj državi izloženosti prema sljedećim subjektima javnog sektora u Republici Hrvatskoj:</w:t>
      </w:r>
    </w:p>
    <w:p w14:paraId="33C6D7D7"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Agencija za pravni promet i posredovanje nekretninama</w:t>
      </w:r>
    </w:p>
    <w:p w14:paraId="6E531231"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Agencija za zaštitu tržišnog natjecanja</w:t>
      </w:r>
    </w:p>
    <w:p w14:paraId="03EDDFC2"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Centar za restrukturiranje i prodaju</w:t>
      </w:r>
    </w:p>
    <w:p w14:paraId="57ADD5FD"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Državna agencija za osiguranje štednih uloga i sanaciju banaka</w:t>
      </w:r>
    </w:p>
    <w:p w14:paraId="42F733CF"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5. Državni ured za reviziju</w:t>
      </w:r>
    </w:p>
    <w:p w14:paraId="208B716E"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6. Energetski institut Hrvoje Požar</w:t>
      </w:r>
    </w:p>
    <w:p w14:paraId="208B4BA6"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7. Fond za financiranje razgradnje i zbrinjavanja radioaktivnog otpada i istrošenoga nuklearnog</w:t>
      </w:r>
    </w:p>
    <w:p w14:paraId="1AE1EC1C"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goriva Nuklearne elektrane Krško</w:t>
      </w:r>
    </w:p>
    <w:p w14:paraId="682BA89D"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8. Fond za zaštitu okoliša i energetsku učinkovitost</w:t>
      </w:r>
    </w:p>
    <w:p w14:paraId="6DF082F2"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9. Hrvatska agencija za malo gospodarstvo, inovacije i investicije</w:t>
      </w:r>
    </w:p>
    <w:p w14:paraId="2543ABFA" w14:textId="4E0BA15A" w:rsidR="00A65194"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10. Hanfa</w:t>
      </w:r>
    </w:p>
    <w:p w14:paraId="35A99808"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11. Hrvatska agencija za okoliš i prirodu</w:t>
      </w:r>
    </w:p>
    <w:p w14:paraId="463A31A3"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12. Hrvatska akademska i istraživačka mreža – CARNet</w:t>
      </w:r>
    </w:p>
    <w:p w14:paraId="418F2609"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13. Hrvatska banka za obnovu i razvitak</w:t>
      </w:r>
    </w:p>
    <w:p w14:paraId="2BB30FB9"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14. Hrvatska izvještajna novinska agencija</w:t>
      </w:r>
    </w:p>
    <w:p w14:paraId="0F6EE7A1"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15. Hrvatska radiotelevizija</w:t>
      </w:r>
    </w:p>
    <w:p w14:paraId="2CB8C08A"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16. Hrvatske vode</w:t>
      </w:r>
    </w:p>
    <w:p w14:paraId="46BF38B0"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17. Hrvatski geološki institut</w:t>
      </w:r>
    </w:p>
    <w:p w14:paraId="30EE8783"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18. Hrvatski zavod za mirovinsko osiguranje</w:t>
      </w:r>
    </w:p>
    <w:p w14:paraId="49D182AF"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19. Hrvatski zavod za transfuzijsku medicinu</w:t>
      </w:r>
    </w:p>
    <w:p w14:paraId="058F421A"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20. Hrvatski zavod za zapošljavanje</w:t>
      </w:r>
    </w:p>
    <w:p w14:paraId="63E7A0B5"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21. Hrvatski zavod za zdravstveno osiguranje</w:t>
      </w:r>
    </w:p>
    <w:p w14:paraId="480D219C"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22. Klinička bolnica Dubrava</w:t>
      </w:r>
    </w:p>
    <w:p w14:paraId="3ACF400E"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23. Klinički bolnički centar Osijek</w:t>
      </w:r>
    </w:p>
    <w:p w14:paraId="3BD91F85"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24. Klinički bolnički centar Rijeka</w:t>
      </w:r>
    </w:p>
    <w:p w14:paraId="139B0145"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25. Klinički bolnički centar Sestre milosrdnice</w:t>
      </w:r>
    </w:p>
    <w:p w14:paraId="3C8C6046"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26. Klinički bolnički centar Split</w:t>
      </w:r>
    </w:p>
    <w:p w14:paraId="70563DB6"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27. Klinički bolnički centar Zagreb</w:t>
      </w:r>
    </w:p>
    <w:p w14:paraId="378A589E"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28. Lučka uprava Ploče</w:t>
      </w:r>
    </w:p>
    <w:p w14:paraId="517675A5"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29. Lučka uprava Rijeka</w:t>
      </w:r>
    </w:p>
    <w:p w14:paraId="488C2963"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30. Lučka uprava Zadar</w:t>
      </w:r>
    </w:p>
    <w:p w14:paraId="441C8AC3"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31. Lučka uprava Split</w:t>
      </w:r>
    </w:p>
    <w:p w14:paraId="160445D7"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32. Lučka uprava Dubrovnik</w:t>
      </w:r>
    </w:p>
    <w:p w14:paraId="3CF80B45"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33. Lučka uprava Šibenik</w:t>
      </w:r>
    </w:p>
    <w:p w14:paraId="12D51875"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34. Lučka uprava Osijek</w:t>
      </w:r>
    </w:p>
    <w:p w14:paraId="1417F16F"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35. Lučka uprava Vukovar</w:t>
      </w:r>
    </w:p>
    <w:p w14:paraId="7595FA40"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lastRenderedPageBreak/>
        <w:t>36. Lučka uprava Slavonski brod</w:t>
      </w:r>
    </w:p>
    <w:p w14:paraId="15AE5BAB"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37. Lučka uprava Sisak</w:t>
      </w:r>
    </w:p>
    <w:p w14:paraId="2F39D88E" w14:textId="438A4EE8"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38. Poljoprivredni institut Osijek</w:t>
      </w:r>
    </w:p>
    <w:p w14:paraId="230D2696"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39. Središnji registar osiguranika</w:t>
      </w:r>
    </w:p>
    <w:p w14:paraId="4A8E0B41"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40. Sveučilište Josipa Jurja Strossmayera u Osijeku</w:t>
      </w:r>
    </w:p>
    <w:p w14:paraId="46529062"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41. Sveučilište Sjever</w:t>
      </w:r>
    </w:p>
    <w:p w14:paraId="6879DC49"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42. Sveučilište u Dubrovniku</w:t>
      </w:r>
    </w:p>
    <w:p w14:paraId="2604D0CF"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43. Sveučilište u Rijeci</w:t>
      </w:r>
    </w:p>
    <w:p w14:paraId="21CB6B72"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44. Sveučilište u Splitu</w:t>
      </w:r>
    </w:p>
    <w:p w14:paraId="13E5AA84"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45. Sveučilište u Zadru</w:t>
      </w:r>
    </w:p>
    <w:p w14:paraId="6CCB42F9"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46. Sveučilište u Zagrebu</w:t>
      </w:r>
    </w:p>
    <w:p w14:paraId="4CD52D10" w14:textId="7777777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47. Zavod za vještačenje, profesionalnu rehabilitaciju i zapošljavanje osoba s invaliditetom</w:t>
      </w:r>
    </w:p>
    <w:p w14:paraId="2C01EB81" w14:textId="292E9A27" w:rsidR="001D51E2" w:rsidRPr="005F18BF" w:rsidRDefault="001D51E2"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48. Agencija za plaćanja u poljoprivredi, ribarstvu i ruralnom razvoju.</w:t>
      </w:r>
    </w:p>
    <w:p w14:paraId="7C8B454B" w14:textId="597D457B" w:rsidR="00C45FD0" w:rsidRPr="005F18BF" w:rsidRDefault="00C45FD0" w:rsidP="005F18BF">
      <w:pPr>
        <w:pStyle w:val="Heading2"/>
        <w:jc w:val="both"/>
        <w:rPr>
          <w:rFonts w:ascii="Arial" w:hAnsi="Arial" w:cs="Arial"/>
          <w:color w:val="auto"/>
          <w:sz w:val="22"/>
          <w:szCs w:val="22"/>
          <w:lang w:eastAsia="hr-HR"/>
        </w:rPr>
      </w:pPr>
    </w:p>
    <w:p w14:paraId="23CF232C" w14:textId="77777777" w:rsidR="00C45FD0" w:rsidRPr="005F18BF" w:rsidRDefault="00C45FD0" w:rsidP="005F18BF">
      <w:pPr>
        <w:pStyle w:val="Heading2"/>
        <w:jc w:val="both"/>
        <w:rPr>
          <w:rFonts w:ascii="Arial" w:hAnsi="Arial" w:cs="Arial"/>
          <w:color w:val="auto"/>
          <w:sz w:val="22"/>
          <w:szCs w:val="22"/>
          <w:lang w:eastAsia="hr-HR"/>
        </w:rPr>
      </w:pPr>
    </w:p>
    <w:p w14:paraId="34070745" w14:textId="6655DAA2" w:rsidR="00C45FD0"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VI</w:t>
      </w:r>
      <w:r w:rsidR="00710330" w:rsidRPr="005F18BF">
        <w:rPr>
          <w:rFonts w:ascii="Arial" w:hAnsi="Arial" w:cs="Arial"/>
          <w:color w:val="auto"/>
          <w:sz w:val="22"/>
          <w:szCs w:val="22"/>
          <w:lang w:eastAsia="hr-HR"/>
        </w:rPr>
        <w:t>I</w:t>
      </w:r>
      <w:r w:rsidR="00C45FD0" w:rsidRPr="005F18BF">
        <w:rPr>
          <w:rFonts w:ascii="Arial" w:hAnsi="Arial" w:cs="Arial"/>
          <w:color w:val="auto"/>
          <w:sz w:val="22"/>
          <w:szCs w:val="22"/>
          <w:lang w:eastAsia="hr-HR"/>
        </w:rPr>
        <w:t>I. ULAGANJE U KVALIFICIRANE UDJELE NEFINANCIJSKIH INSTITUCIJA</w:t>
      </w:r>
    </w:p>
    <w:p w14:paraId="26509B04" w14:textId="77777777" w:rsidR="00C45FD0" w:rsidRPr="005F18BF" w:rsidRDefault="00C45FD0" w:rsidP="005F18BF">
      <w:pPr>
        <w:pStyle w:val="Heading2"/>
        <w:jc w:val="both"/>
        <w:rPr>
          <w:rFonts w:ascii="Arial" w:hAnsi="Arial" w:cs="Arial"/>
          <w:color w:val="auto"/>
          <w:sz w:val="22"/>
          <w:szCs w:val="22"/>
          <w:lang w:eastAsia="hr-HR"/>
        </w:rPr>
      </w:pPr>
    </w:p>
    <w:p w14:paraId="0CAEA3DB" w14:textId="77777777" w:rsidR="00C45FD0" w:rsidRPr="005F18BF" w:rsidRDefault="00C45FD0" w:rsidP="004C53D3">
      <w:pPr>
        <w:pStyle w:val="Heading2"/>
        <w:jc w:val="center"/>
        <w:rPr>
          <w:rFonts w:ascii="Arial" w:hAnsi="Arial" w:cs="Arial"/>
          <w:color w:val="auto"/>
          <w:sz w:val="22"/>
          <w:szCs w:val="22"/>
          <w:lang w:eastAsia="hr-HR"/>
        </w:rPr>
      </w:pPr>
      <w:r w:rsidRPr="005F18BF">
        <w:rPr>
          <w:rFonts w:ascii="Arial" w:hAnsi="Arial" w:cs="Arial"/>
          <w:color w:val="auto"/>
          <w:sz w:val="22"/>
          <w:szCs w:val="22"/>
          <w:lang w:eastAsia="hr-HR"/>
        </w:rPr>
        <w:t>Ulaganje u kvalificirane udjele nefinancijskih institucija</w:t>
      </w:r>
    </w:p>
    <w:p w14:paraId="22D0CE78" w14:textId="0BCE43E8" w:rsidR="00C45FD0" w:rsidRPr="004C53D3" w:rsidRDefault="00914C36" w:rsidP="004C53D3">
      <w:pPr>
        <w:pStyle w:val="Heading3"/>
        <w:jc w:val="center"/>
        <w:rPr>
          <w:rFonts w:ascii="Arial" w:hAnsi="Arial" w:cs="Arial"/>
          <w:color w:val="auto"/>
          <w:sz w:val="22"/>
          <w:szCs w:val="22"/>
          <w:lang w:eastAsia="hr-HR"/>
        </w:rPr>
      </w:pPr>
      <w:r w:rsidRPr="004C53D3">
        <w:rPr>
          <w:rFonts w:ascii="Arial" w:hAnsi="Arial" w:cs="Arial"/>
          <w:color w:val="auto"/>
          <w:sz w:val="22"/>
          <w:szCs w:val="22"/>
          <w:lang w:eastAsia="hr-HR"/>
        </w:rPr>
        <w:t>Č</w:t>
      </w:r>
      <w:r w:rsidR="004C15E5" w:rsidRPr="004C53D3">
        <w:rPr>
          <w:rFonts w:ascii="Arial" w:hAnsi="Arial" w:cs="Arial"/>
          <w:color w:val="auto"/>
          <w:sz w:val="22"/>
          <w:szCs w:val="22"/>
          <w:lang w:eastAsia="hr-HR"/>
        </w:rPr>
        <w:t>lanak 2</w:t>
      </w:r>
      <w:r w:rsidR="00B00AB9" w:rsidRPr="004C53D3">
        <w:rPr>
          <w:rFonts w:ascii="Arial" w:hAnsi="Arial" w:cs="Arial"/>
          <w:color w:val="auto"/>
          <w:sz w:val="22"/>
          <w:szCs w:val="22"/>
          <w:lang w:eastAsia="hr-HR"/>
        </w:rPr>
        <w:t>6</w:t>
      </w:r>
      <w:r w:rsidR="00C45FD0" w:rsidRPr="004C53D3">
        <w:rPr>
          <w:rFonts w:ascii="Arial" w:hAnsi="Arial" w:cs="Arial"/>
          <w:color w:val="auto"/>
          <w:sz w:val="22"/>
          <w:szCs w:val="22"/>
          <w:lang w:eastAsia="hr-HR"/>
        </w:rPr>
        <w:t>.</w:t>
      </w:r>
    </w:p>
    <w:p w14:paraId="43F981D5" w14:textId="77777777" w:rsidR="00C45FD0" w:rsidRPr="005F18BF" w:rsidRDefault="00C45FD0" w:rsidP="005F18BF">
      <w:pPr>
        <w:pStyle w:val="Heading2"/>
        <w:jc w:val="both"/>
        <w:rPr>
          <w:rFonts w:ascii="Arial" w:hAnsi="Arial" w:cs="Arial"/>
          <w:color w:val="auto"/>
          <w:sz w:val="22"/>
          <w:szCs w:val="22"/>
          <w:lang w:eastAsia="hr-HR"/>
        </w:rPr>
      </w:pPr>
    </w:p>
    <w:p w14:paraId="3F8D9721" w14:textId="77777777" w:rsidR="00C45FD0" w:rsidRPr="005F18BF" w:rsidRDefault="00C45FD0"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Investicijsko društvo dužno je na kvalificirani udio u društvu koje nije jedno od društava iz članka 89. stavka 1. točaka a) i b) Uredbe (EU) br. 575/2013, ako iznos tog kvalificiranog udjela prelazi ograničenja propisana člankom 89. stavcima 1. i 2. Uredbe (EU) br. 575/2013, primijeniti odredbu članka 89. stavka 3. točke a) te Uredbe.</w:t>
      </w:r>
    </w:p>
    <w:p w14:paraId="6E8F6E2E" w14:textId="4786A054" w:rsidR="00F97865" w:rsidRPr="005F18BF" w:rsidRDefault="00F97865" w:rsidP="005F18BF">
      <w:pPr>
        <w:pStyle w:val="Heading2"/>
        <w:jc w:val="both"/>
        <w:rPr>
          <w:rFonts w:ascii="Arial" w:hAnsi="Arial" w:cs="Arial"/>
          <w:color w:val="auto"/>
          <w:sz w:val="22"/>
          <w:szCs w:val="22"/>
          <w:lang w:eastAsia="hr-HR"/>
        </w:rPr>
      </w:pPr>
    </w:p>
    <w:p w14:paraId="72D8515F" w14:textId="579A6BFE" w:rsidR="00ED4DBC" w:rsidRPr="005F18BF" w:rsidRDefault="00ED4DBC" w:rsidP="005F18BF">
      <w:pPr>
        <w:pStyle w:val="Heading2"/>
        <w:jc w:val="both"/>
        <w:rPr>
          <w:rFonts w:ascii="Arial" w:eastAsia="Times New Roman" w:hAnsi="Arial" w:cs="Arial"/>
          <w:color w:val="auto"/>
          <w:sz w:val="22"/>
          <w:szCs w:val="22"/>
          <w:lang w:eastAsia="hr-HR"/>
        </w:rPr>
      </w:pPr>
    </w:p>
    <w:p w14:paraId="5A2DDC85" w14:textId="364069DF" w:rsidR="00914C36" w:rsidRPr="0086439E" w:rsidRDefault="00CE4ABD" w:rsidP="0086439E">
      <w:pPr>
        <w:pStyle w:val="Heading1"/>
        <w:jc w:val="center"/>
        <w:rPr>
          <w:rFonts w:ascii="Arial" w:hAnsi="Arial" w:cs="Arial"/>
          <w:b w:val="0"/>
          <w:sz w:val="22"/>
          <w:szCs w:val="22"/>
        </w:rPr>
      </w:pPr>
      <w:r w:rsidRPr="0086439E">
        <w:rPr>
          <w:rFonts w:ascii="Arial" w:hAnsi="Arial" w:cs="Arial"/>
          <w:b w:val="0"/>
          <w:sz w:val="22"/>
          <w:szCs w:val="22"/>
        </w:rPr>
        <w:t>IX</w:t>
      </w:r>
      <w:r w:rsidR="00914C36" w:rsidRPr="0086439E">
        <w:rPr>
          <w:rFonts w:ascii="Arial" w:hAnsi="Arial" w:cs="Arial"/>
          <w:b w:val="0"/>
          <w:sz w:val="22"/>
          <w:szCs w:val="22"/>
        </w:rPr>
        <w:t>. UPRAVLJANJE RIZIKOM LIKVIDNOSTI INVESTICIJSKOG DRUŠTVA</w:t>
      </w:r>
    </w:p>
    <w:p w14:paraId="185231E6" w14:textId="49B8C443" w:rsidR="00914C36" w:rsidRPr="005F18BF" w:rsidRDefault="00914C36" w:rsidP="005F18BF">
      <w:pPr>
        <w:pStyle w:val="Heading2"/>
        <w:jc w:val="both"/>
        <w:rPr>
          <w:rFonts w:ascii="Arial" w:hAnsi="Arial" w:cs="Arial"/>
          <w:color w:val="auto"/>
          <w:sz w:val="22"/>
          <w:szCs w:val="22"/>
          <w:lang w:eastAsia="hr-HR"/>
        </w:rPr>
      </w:pPr>
    </w:p>
    <w:p w14:paraId="504E2092" w14:textId="4B535DEE" w:rsidR="00914C36" w:rsidRPr="005F18BF" w:rsidRDefault="00914C36" w:rsidP="0086439E">
      <w:pPr>
        <w:pStyle w:val="Heading2"/>
        <w:jc w:val="center"/>
        <w:rPr>
          <w:rFonts w:ascii="Arial" w:hAnsi="Arial" w:cs="Arial"/>
          <w:color w:val="auto"/>
          <w:sz w:val="22"/>
          <w:szCs w:val="22"/>
          <w:lang w:eastAsia="hr-HR"/>
        </w:rPr>
      </w:pPr>
      <w:r w:rsidRPr="005F18BF">
        <w:rPr>
          <w:rFonts w:ascii="Arial" w:hAnsi="Arial" w:cs="Arial"/>
          <w:color w:val="auto"/>
          <w:sz w:val="22"/>
          <w:szCs w:val="22"/>
          <w:lang w:eastAsia="hr-HR"/>
        </w:rPr>
        <w:t>Minimalni zahtjevi za upravljanje rizikom likvidnosti</w:t>
      </w:r>
    </w:p>
    <w:p w14:paraId="61884A4F" w14:textId="27DD01CC" w:rsidR="00914C36" w:rsidRPr="005F18BF" w:rsidRDefault="00914C36" w:rsidP="0086439E">
      <w:pPr>
        <w:pStyle w:val="Heading2"/>
        <w:jc w:val="center"/>
        <w:rPr>
          <w:rFonts w:ascii="Arial" w:hAnsi="Arial" w:cs="Arial"/>
          <w:color w:val="auto"/>
          <w:sz w:val="22"/>
          <w:szCs w:val="22"/>
          <w:lang w:eastAsia="hr-HR"/>
        </w:rPr>
      </w:pPr>
      <w:r w:rsidRPr="005F18BF">
        <w:rPr>
          <w:rFonts w:ascii="Arial" w:hAnsi="Arial" w:cs="Arial"/>
          <w:color w:val="auto"/>
          <w:sz w:val="22"/>
          <w:szCs w:val="22"/>
          <w:lang w:eastAsia="hr-HR"/>
        </w:rPr>
        <w:t>investicijskog društva</w:t>
      </w:r>
    </w:p>
    <w:p w14:paraId="258F50FC" w14:textId="030FE278" w:rsidR="00914C36" w:rsidRPr="00E146EB" w:rsidRDefault="004C15E5" w:rsidP="0086439E">
      <w:pPr>
        <w:pStyle w:val="Heading2"/>
        <w:jc w:val="center"/>
        <w:rPr>
          <w:rFonts w:ascii="Arial" w:hAnsi="Arial" w:cs="Arial"/>
          <w:color w:val="auto"/>
          <w:sz w:val="22"/>
          <w:szCs w:val="22"/>
          <w:lang w:eastAsia="hr-HR"/>
        </w:rPr>
      </w:pPr>
      <w:r w:rsidRPr="00E146EB">
        <w:rPr>
          <w:rFonts w:ascii="Arial" w:hAnsi="Arial" w:cs="Arial"/>
          <w:color w:val="auto"/>
          <w:sz w:val="22"/>
          <w:szCs w:val="22"/>
          <w:lang w:eastAsia="hr-HR"/>
        </w:rPr>
        <w:t>Članak 2</w:t>
      </w:r>
      <w:r w:rsidR="00B00AB9" w:rsidRPr="00E146EB">
        <w:rPr>
          <w:rFonts w:ascii="Arial" w:hAnsi="Arial" w:cs="Arial"/>
          <w:color w:val="auto"/>
          <w:sz w:val="22"/>
          <w:szCs w:val="22"/>
          <w:lang w:eastAsia="hr-HR"/>
        </w:rPr>
        <w:t>7</w:t>
      </w:r>
      <w:r w:rsidR="00914C36" w:rsidRPr="00E146EB">
        <w:rPr>
          <w:rFonts w:ascii="Arial" w:hAnsi="Arial" w:cs="Arial"/>
          <w:color w:val="auto"/>
          <w:sz w:val="22"/>
          <w:szCs w:val="22"/>
          <w:lang w:eastAsia="hr-HR"/>
        </w:rPr>
        <w:t>.</w:t>
      </w:r>
    </w:p>
    <w:p w14:paraId="68485758" w14:textId="77F5F165" w:rsidR="00914C36" w:rsidRPr="005F18BF" w:rsidRDefault="00914C36" w:rsidP="005F18BF">
      <w:pPr>
        <w:pStyle w:val="Heading2"/>
        <w:jc w:val="both"/>
        <w:rPr>
          <w:rFonts w:ascii="Arial" w:hAnsi="Arial" w:cs="Arial"/>
          <w:color w:val="auto"/>
          <w:sz w:val="22"/>
          <w:szCs w:val="22"/>
          <w:lang w:eastAsia="hr-HR"/>
        </w:rPr>
      </w:pPr>
    </w:p>
    <w:p w14:paraId="399749CC" w14:textId="7321593D"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Uprava investicijskog društva dužna je donijeti strategiju, politike i ostale interne akte za upravljanje rizikom likvidnosti koji će biti u skladu s profilom rizičnosti investicijskog društva. Strategija upravljanja rizikom likvidnosti obuhvaća minimalno ciljeve i osnovna načela preuzimanja rizika likvidnosti i upravljanja njime. Razinu sklonosti za preuzimanje rizika likvidnosti donosi uprava investicijskog društva u sklopu poslovne strategije najmanje jednom godišnje.</w:t>
      </w:r>
    </w:p>
    <w:p w14:paraId="704BA7E8" w14:textId="77777777" w:rsidR="00814AB0" w:rsidRPr="005F18BF" w:rsidRDefault="00814AB0" w:rsidP="005F18BF">
      <w:pPr>
        <w:pStyle w:val="Heading2"/>
        <w:jc w:val="both"/>
        <w:rPr>
          <w:rFonts w:ascii="Arial" w:hAnsi="Arial" w:cs="Arial"/>
          <w:color w:val="auto"/>
          <w:sz w:val="22"/>
          <w:szCs w:val="22"/>
          <w:lang w:eastAsia="hr-HR"/>
        </w:rPr>
      </w:pPr>
    </w:p>
    <w:p w14:paraId="7BF6FC7A"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Strategije, politike, postupci i sustavi iz stavka 1. ovoga članka smatraju se primjerenima ako:</w:t>
      </w:r>
    </w:p>
    <w:p w14:paraId="7F7D0991" w14:textId="77777777" w:rsidR="00702CBF" w:rsidRPr="005F18BF" w:rsidRDefault="00702CBF" w:rsidP="005F18BF">
      <w:pPr>
        <w:pStyle w:val="Heading2"/>
        <w:jc w:val="both"/>
        <w:rPr>
          <w:rFonts w:ascii="Arial" w:hAnsi="Arial" w:cs="Arial"/>
          <w:color w:val="auto"/>
          <w:sz w:val="22"/>
          <w:szCs w:val="22"/>
          <w:lang w:eastAsia="hr-HR"/>
        </w:rPr>
      </w:pPr>
    </w:p>
    <w:p w14:paraId="4D40BC05"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su razmjerni složenosti, profilu rizičnosti, opsegu poslovanja i definiranoj toleranciji rizika investicijskog društva,</w:t>
      </w:r>
    </w:p>
    <w:p w14:paraId="4779F4A4"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osiguravaju upravljanje rizikom likvidnosti tijekom odgovarajućih vremenskih razdoblja uključujući i unutardnevno,</w:t>
      </w:r>
    </w:p>
    <w:p w14:paraId="2CAB15D7"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odražavaju značaj investicijskog društva u svakoj državi članici u kojoj posluje,</w:t>
      </w:r>
    </w:p>
    <w:p w14:paraId="3A719FEA"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su prilagođeni poslovnim linijama, valutama, podružnicama i pravnim subjektima, te</w:t>
      </w:r>
    </w:p>
    <w:p w14:paraId="3410A070"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5. uključuju odgovarajuće mehanizme raspodjele troškova likvidnosti, koristi i rizika.</w:t>
      </w:r>
    </w:p>
    <w:p w14:paraId="468C3FF3" w14:textId="77777777" w:rsidR="00702CBF" w:rsidRPr="005F18BF" w:rsidRDefault="00702CBF" w:rsidP="005F18BF">
      <w:pPr>
        <w:pStyle w:val="Heading2"/>
        <w:jc w:val="both"/>
        <w:rPr>
          <w:rFonts w:ascii="Arial" w:hAnsi="Arial" w:cs="Arial"/>
          <w:color w:val="auto"/>
          <w:sz w:val="22"/>
          <w:szCs w:val="22"/>
          <w:lang w:eastAsia="hr-HR"/>
        </w:rPr>
      </w:pPr>
    </w:p>
    <w:p w14:paraId="7CE7A6A6"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Politike i drugi interni akti investicijskog društva za upravljanje rizikom likvidnosti moraju minimalno obuhvatiti:</w:t>
      </w:r>
    </w:p>
    <w:p w14:paraId="5DF136D3"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politike i postupke kojima se uređuje uspostava primjerenog i djelotvornog sustava unutarnjih kontrola,</w:t>
      </w:r>
    </w:p>
    <w:p w14:paraId="09D114B2"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strukturu imovine i obveza kao i pretpostavke o likvidnosti i utrživosti imovine,</w:t>
      </w:r>
    </w:p>
    <w:p w14:paraId="3513B48D"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sustav izvještavanja o riziku likvidnosti,</w:t>
      </w:r>
    </w:p>
    <w:p w14:paraId="50024E6D"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politike i postupke sa stranim valutama,</w:t>
      </w:r>
    </w:p>
    <w:p w14:paraId="03879733"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5. mjerenje i praćenje neto novčanih tokova uključujući i unutardnevno upravljanje likvidnošću,</w:t>
      </w:r>
    </w:p>
    <w:p w14:paraId="03C02CB7"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6. prekogranično upravljanje likvidnošću, kao i upravljanje likvidnošću u različitim poslovnim linijama, podružnicama i društvima kćerima,</w:t>
      </w:r>
    </w:p>
    <w:p w14:paraId="7E8009E5"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7. gdje je primjenjivo, upravljanje likvidnošću unutar grupe investicijskih društava,</w:t>
      </w:r>
    </w:p>
    <w:p w14:paraId="110896D9"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8. diversificiranost i stabilnost izvora financiranja, te dostupnost tržišta,</w:t>
      </w:r>
    </w:p>
    <w:p w14:paraId="118FB1AA"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9. testiranje otpornosti na stres i analizu različitih scenarija,</w:t>
      </w:r>
    </w:p>
    <w:p w14:paraId="509F8E63"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10. planove oporavka likvidnosti i</w:t>
      </w:r>
    </w:p>
    <w:p w14:paraId="14265EAF"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11. planove postupanja i financiranja investicijskog društva u kriznim situacijama.</w:t>
      </w:r>
    </w:p>
    <w:p w14:paraId="49E1454C" w14:textId="77777777" w:rsidR="00702CBF" w:rsidRPr="005F18BF" w:rsidRDefault="00702CBF" w:rsidP="005F18BF">
      <w:pPr>
        <w:pStyle w:val="Heading2"/>
        <w:jc w:val="both"/>
        <w:rPr>
          <w:rFonts w:ascii="Arial" w:hAnsi="Arial" w:cs="Arial"/>
          <w:color w:val="auto"/>
          <w:sz w:val="22"/>
          <w:szCs w:val="22"/>
          <w:lang w:eastAsia="hr-HR"/>
        </w:rPr>
      </w:pPr>
    </w:p>
    <w:p w14:paraId="1F0B1693"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U svrhu adekvatnog upravljanja rizikom likvidnosti, investicijsko društvo mora primjenjivati aktivnu politiku upravljanja imovinom/likvidnim sredstvima i obvezama što uključuje stalno nadziranje i usklađivanje financijskih i novčanih tokova, a u cilju prepoznavanja izloženosti riziku likvidnosti.</w:t>
      </w:r>
    </w:p>
    <w:p w14:paraId="69CBBD39" w14:textId="77777777" w:rsidR="00914C36" w:rsidRPr="005F18BF" w:rsidRDefault="00914C36" w:rsidP="005F18BF">
      <w:pPr>
        <w:pStyle w:val="Heading2"/>
        <w:jc w:val="both"/>
        <w:rPr>
          <w:rFonts w:ascii="Arial" w:eastAsia="Times New Roman" w:hAnsi="Arial" w:cs="Arial"/>
          <w:color w:val="auto"/>
          <w:sz w:val="22"/>
          <w:szCs w:val="22"/>
          <w:lang w:eastAsia="hr-HR"/>
        </w:rPr>
      </w:pPr>
    </w:p>
    <w:p w14:paraId="536E8CD0" w14:textId="2DBE092D" w:rsidR="00914C36" w:rsidRPr="00055AC1" w:rsidRDefault="00914C36" w:rsidP="00055AC1">
      <w:pPr>
        <w:pStyle w:val="Heading1"/>
        <w:jc w:val="center"/>
        <w:rPr>
          <w:rFonts w:ascii="Arial" w:hAnsi="Arial" w:cs="Arial"/>
          <w:b w:val="0"/>
          <w:sz w:val="22"/>
          <w:szCs w:val="22"/>
        </w:rPr>
      </w:pPr>
      <w:r w:rsidRPr="00055AC1">
        <w:rPr>
          <w:rFonts w:ascii="Arial" w:hAnsi="Arial" w:cs="Arial"/>
          <w:b w:val="0"/>
          <w:sz w:val="22"/>
          <w:szCs w:val="22"/>
        </w:rPr>
        <w:lastRenderedPageBreak/>
        <w:t>Postupak upravljanja rizikom likvidnosti</w:t>
      </w:r>
    </w:p>
    <w:p w14:paraId="6E72D1DF" w14:textId="4543B333" w:rsidR="00914C36" w:rsidRPr="005F18BF" w:rsidRDefault="004C15E5" w:rsidP="00D832CE">
      <w:pPr>
        <w:pStyle w:val="Heading2"/>
        <w:jc w:val="center"/>
        <w:rPr>
          <w:rFonts w:ascii="Arial" w:hAnsi="Arial" w:cs="Arial"/>
          <w:b/>
          <w:color w:val="auto"/>
          <w:sz w:val="22"/>
          <w:szCs w:val="22"/>
          <w:lang w:eastAsia="hr-HR"/>
        </w:rPr>
      </w:pPr>
      <w:r w:rsidRPr="005F18BF">
        <w:rPr>
          <w:rFonts w:ascii="Arial" w:hAnsi="Arial" w:cs="Arial"/>
          <w:b/>
          <w:color w:val="auto"/>
          <w:sz w:val="22"/>
          <w:szCs w:val="22"/>
          <w:lang w:eastAsia="hr-HR"/>
        </w:rPr>
        <w:lastRenderedPageBreak/>
        <w:t>Članak 2</w:t>
      </w:r>
      <w:r w:rsidR="00B00AB9" w:rsidRPr="005F18BF">
        <w:rPr>
          <w:rFonts w:ascii="Arial" w:hAnsi="Arial" w:cs="Arial"/>
          <w:b/>
          <w:color w:val="auto"/>
          <w:sz w:val="22"/>
          <w:szCs w:val="22"/>
          <w:lang w:eastAsia="hr-HR"/>
        </w:rPr>
        <w:t>8</w:t>
      </w:r>
      <w:r w:rsidR="00914C36" w:rsidRPr="005F18BF">
        <w:rPr>
          <w:rFonts w:ascii="Arial" w:hAnsi="Arial" w:cs="Arial"/>
          <w:b/>
          <w:color w:val="auto"/>
          <w:sz w:val="22"/>
          <w:szCs w:val="22"/>
          <w:lang w:eastAsia="hr-HR"/>
        </w:rPr>
        <w:t>.</w:t>
      </w:r>
    </w:p>
    <w:p w14:paraId="48A0F70A" w14:textId="195C36B0" w:rsidR="00914C36" w:rsidRPr="005F18BF" w:rsidRDefault="00914C36" w:rsidP="005F18BF">
      <w:pPr>
        <w:pStyle w:val="Heading2"/>
        <w:jc w:val="both"/>
        <w:rPr>
          <w:rFonts w:ascii="Arial" w:hAnsi="Arial" w:cs="Arial"/>
          <w:color w:val="auto"/>
          <w:sz w:val="22"/>
          <w:szCs w:val="22"/>
          <w:lang w:eastAsia="hr-HR"/>
        </w:rPr>
      </w:pPr>
    </w:p>
    <w:p w14:paraId="41057273"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Postupak upravljanja rizikom likvidnosti mora minimalno sadržavati sljedeće mjere:</w:t>
      </w:r>
    </w:p>
    <w:p w14:paraId="4BBCAA6B" w14:textId="77777777" w:rsidR="00702CBF" w:rsidRPr="005F18BF" w:rsidRDefault="00702CBF" w:rsidP="005F18BF">
      <w:pPr>
        <w:pStyle w:val="Heading2"/>
        <w:jc w:val="both"/>
        <w:rPr>
          <w:rFonts w:ascii="Arial" w:hAnsi="Arial" w:cs="Arial"/>
          <w:color w:val="auto"/>
          <w:sz w:val="22"/>
          <w:szCs w:val="22"/>
          <w:lang w:eastAsia="hr-HR"/>
        </w:rPr>
      </w:pPr>
    </w:p>
    <w:p w14:paraId="09047CD9"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praćenje kretanja imovine, obveza i izvanbilančnih stavki investicijskog društva kao i ostalih relevantnih pretpostavki tako da se osigura njihova primjerenost aktivnostima investicijskog društva i tržišnim okolnostima,</w:t>
      </w:r>
    </w:p>
    <w:p w14:paraId="0C3646DC"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procedure za postupanje uprave i višeg rukovodstva u slučajevima određenih nepovoljnih rezultata testiranja otpornosti na stres,</w:t>
      </w:r>
    </w:p>
    <w:p w14:paraId="194917FA"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razmatranje različitih mogućnosti odnosno instrumenata smanjenja rizika likvidnosti, uključujući sustave limita i zaštitne slojeve likvidnosti, kako bi investicijsko društvo bilo u mogućnosti izdržati veliki broj različitih stresnih događaja i</w:t>
      </w:r>
    </w:p>
    <w:p w14:paraId="24299230" w14:textId="113AB250"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osiguranje diversificiranosti strukture financiranja i pristupa izvorima financiranja.</w:t>
      </w:r>
    </w:p>
    <w:p w14:paraId="13D752AC" w14:textId="77777777" w:rsidR="00914C36" w:rsidRPr="005F18BF" w:rsidRDefault="00914C36" w:rsidP="005F18BF">
      <w:pPr>
        <w:pStyle w:val="Heading2"/>
        <w:jc w:val="both"/>
        <w:rPr>
          <w:rFonts w:ascii="Arial" w:hAnsi="Arial" w:cs="Arial"/>
          <w:color w:val="auto"/>
          <w:sz w:val="22"/>
          <w:szCs w:val="22"/>
          <w:lang w:eastAsia="hr-HR"/>
        </w:rPr>
      </w:pPr>
    </w:p>
    <w:p w14:paraId="558B37F9" w14:textId="77777777" w:rsidR="00702CBF" w:rsidRPr="005F18BF" w:rsidRDefault="00702CBF" w:rsidP="005F18BF">
      <w:pPr>
        <w:pStyle w:val="Heading2"/>
        <w:jc w:val="both"/>
        <w:rPr>
          <w:rFonts w:ascii="Arial" w:hAnsi="Arial" w:cs="Arial"/>
          <w:b/>
          <w:color w:val="auto"/>
          <w:sz w:val="22"/>
          <w:szCs w:val="22"/>
          <w:lang w:eastAsia="hr-HR"/>
        </w:rPr>
      </w:pPr>
    </w:p>
    <w:p w14:paraId="69D9F009" w14:textId="513E8CA2" w:rsidR="00914C36" w:rsidRPr="00055AC1" w:rsidRDefault="004C15E5" w:rsidP="00055AC1">
      <w:pPr>
        <w:pStyle w:val="Heading2"/>
        <w:jc w:val="center"/>
        <w:rPr>
          <w:rFonts w:ascii="Arial" w:hAnsi="Arial" w:cs="Arial"/>
          <w:color w:val="auto"/>
          <w:sz w:val="22"/>
          <w:szCs w:val="22"/>
          <w:lang w:eastAsia="hr-HR"/>
        </w:rPr>
      </w:pPr>
      <w:r w:rsidRPr="00055AC1">
        <w:rPr>
          <w:rFonts w:ascii="Arial" w:hAnsi="Arial" w:cs="Arial"/>
          <w:color w:val="auto"/>
          <w:sz w:val="22"/>
          <w:szCs w:val="22"/>
          <w:lang w:eastAsia="hr-HR"/>
        </w:rPr>
        <w:t>Članak 2</w:t>
      </w:r>
      <w:r w:rsidR="00B00AB9" w:rsidRPr="00055AC1">
        <w:rPr>
          <w:rFonts w:ascii="Arial" w:hAnsi="Arial" w:cs="Arial"/>
          <w:color w:val="auto"/>
          <w:sz w:val="22"/>
          <w:szCs w:val="22"/>
          <w:lang w:eastAsia="hr-HR"/>
        </w:rPr>
        <w:t>9</w:t>
      </w:r>
      <w:r w:rsidR="00914C36" w:rsidRPr="00055AC1">
        <w:rPr>
          <w:rFonts w:ascii="Arial" w:hAnsi="Arial" w:cs="Arial"/>
          <w:color w:val="auto"/>
          <w:sz w:val="22"/>
          <w:szCs w:val="22"/>
          <w:lang w:eastAsia="hr-HR"/>
        </w:rPr>
        <w:t>.</w:t>
      </w:r>
    </w:p>
    <w:p w14:paraId="6AF744AB" w14:textId="77777777" w:rsidR="00914C36" w:rsidRPr="005F18BF" w:rsidRDefault="00914C36" w:rsidP="005F18BF">
      <w:pPr>
        <w:pStyle w:val="Heading2"/>
        <w:jc w:val="both"/>
        <w:rPr>
          <w:rFonts w:ascii="Arial" w:hAnsi="Arial" w:cs="Arial"/>
          <w:color w:val="auto"/>
          <w:sz w:val="22"/>
          <w:szCs w:val="22"/>
          <w:lang w:eastAsia="hr-HR"/>
        </w:rPr>
      </w:pPr>
    </w:p>
    <w:p w14:paraId="68DA76BD" w14:textId="3E551814"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Investicijsko društvo dužno je uspostaviti odgovarajući sustav izvještavanja koji će, ovisno o vrsti, opsegu i složenosti poslovanja investicijskog društva, biti prihvatljiv za utvrđivanje, mjerenje odnosno procjenjivanje, ovladavanje, praćenje i izvještavanje o riziku likvidnosti.</w:t>
      </w:r>
    </w:p>
    <w:p w14:paraId="29CAF478" w14:textId="77777777" w:rsidR="00814AB0" w:rsidRPr="005F18BF" w:rsidRDefault="00814AB0" w:rsidP="005F18BF">
      <w:pPr>
        <w:pStyle w:val="Heading2"/>
        <w:jc w:val="both"/>
        <w:rPr>
          <w:rFonts w:ascii="Arial" w:hAnsi="Arial" w:cs="Arial"/>
          <w:color w:val="auto"/>
          <w:sz w:val="22"/>
          <w:szCs w:val="22"/>
          <w:lang w:eastAsia="hr-HR"/>
        </w:rPr>
      </w:pPr>
    </w:p>
    <w:p w14:paraId="200A18F6" w14:textId="3B6483CC"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Sustav izvještavanja mora minimalno omogućiti pravodobno i relevantno informiranje uprave o likvidnosti investicijskog društva, praćenje poštivanja donesenih politika i internih akata te praćenje pozicije likvidnosti u kunama i stranim valutama te praćenje rezultata testiranja otpornosti na stres.</w:t>
      </w:r>
    </w:p>
    <w:p w14:paraId="1A210E91" w14:textId="77777777" w:rsidR="00323433" w:rsidRPr="00055AC1" w:rsidRDefault="00323433" w:rsidP="005F18BF">
      <w:pPr>
        <w:pStyle w:val="Heading2"/>
        <w:jc w:val="both"/>
        <w:rPr>
          <w:rFonts w:ascii="Arial" w:hAnsi="Arial" w:cs="Arial"/>
          <w:color w:val="auto"/>
          <w:sz w:val="22"/>
          <w:szCs w:val="22"/>
          <w:lang w:eastAsia="hr-HR"/>
        </w:rPr>
      </w:pPr>
    </w:p>
    <w:p w14:paraId="3E6C6936" w14:textId="67A60C46" w:rsidR="00914C36" w:rsidRPr="00055AC1" w:rsidRDefault="004C15E5" w:rsidP="00055AC1">
      <w:pPr>
        <w:pStyle w:val="Heading2"/>
        <w:jc w:val="center"/>
        <w:rPr>
          <w:rFonts w:ascii="Arial" w:hAnsi="Arial" w:cs="Arial"/>
          <w:color w:val="auto"/>
          <w:sz w:val="22"/>
          <w:szCs w:val="22"/>
          <w:lang w:eastAsia="hr-HR"/>
        </w:rPr>
      </w:pPr>
      <w:r w:rsidRPr="00055AC1">
        <w:rPr>
          <w:rFonts w:ascii="Arial" w:hAnsi="Arial" w:cs="Arial"/>
          <w:color w:val="auto"/>
          <w:sz w:val="22"/>
          <w:szCs w:val="22"/>
          <w:lang w:eastAsia="hr-HR"/>
        </w:rPr>
        <w:t xml:space="preserve">Članak </w:t>
      </w:r>
      <w:r w:rsidR="00B00AB9" w:rsidRPr="00055AC1">
        <w:rPr>
          <w:rFonts w:ascii="Arial" w:hAnsi="Arial" w:cs="Arial"/>
          <w:color w:val="auto"/>
          <w:sz w:val="22"/>
          <w:szCs w:val="22"/>
          <w:lang w:eastAsia="hr-HR"/>
        </w:rPr>
        <w:t>30</w:t>
      </w:r>
      <w:r w:rsidR="00914C36" w:rsidRPr="00055AC1">
        <w:rPr>
          <w:rFonts w:ascii="Arial" w:hAnsi="Arial" w:cs="Arial"/>
          <w:color w:val="auto"/>
          <w:sz w:val="22"/>
          <w:szCs w:val="22"/>
          <w:lang w:eastAsia="hr-HR"/>
        </w:rPr>
        <w:t>.</w:t>
      </w:r>
    </w:p>
    <w:p w14:paraId="4A9B863B" w14:textId="77777777" w:rsidR="00323433" w:rsidRPr="005F18BF" w:rsidRDefault="00323433" w:rsidP="005F18BF">
      <w:pPr>
        <w:pStyle w:val="Heading2"/>
        <w:jc w:val="both"/>
        <w:rPr>
          <w:rFonts w:ascii="Arial" w:hAnsi="Arial" w:cs="Arial"/>
          <w:color w:val="auto"/>
          <w:sz w:val="22"/>
          <w:szCs w:val="22"/>
          <w:lang w:eastAsia="hr-HR"/>
        </w:rPr>
      </w:pPr>
    </w:p>
    <w:p w14:paraId="600D2045"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Investicijsko društvo dužno je redovito provjeravati točnost ulaznih podataka koji se upotrebljavaju pri izračunu pokazatelja likvidnosti.</w:t>
      </w:r>
    </w:p>
    <w:p w14:paraId="46E27F83" w14:textId="77777777" w:rsidR="00702CBF" w:rsidRPr="005F18BF" w:rsidRDefault="00702CBF" w:rsidP="005F18BF">
      <w:pPr>
        <w:pStyle w:val="Heading2"/>
        <w:jc w:val="both"/>
        <w:rPr>
          <w:rFonts w:ascii="Arial" w:hAnsi="Arial" w:cs="Arial"/>
          <w:color w:val="auto"/>
          <w:sz w:val="22"/>
          <w:szCs w:val="22"/>
          <w:lang w:eastAsia="hr-HR"/>
        </w:rPr>
      </w:pPr>
    </w:p>
    <w:p w14:paraId="729BE73B"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Investicijsko društvo dužno je aktivno upravljati imovinom, odvojeno voditi evidencije o založenoj i slobodnoj imovini te pratiti visinu raspoložive imovine prema fizičkim i pravnim osobama kod kojih je u posjedu i državi u kojoj je zakonski upisana u registar ili na račun. Investicijsko društvo dužno je pratiti prihvatljivost instrumenata osiguranja radi njihova pravodobnog korištenja, a osobito korištenja u izvanrednim situacijama.</w:t>
      </w:r>
    </w:p>
    <w:p w14:paraId="609C981F" w14:textId="77777777" w:rsidR="00702CBF" w:rsidRPr="005F18BF" w:rsidRDefault="00702CBF" w:rsidP="005F18BF">
      <w:pPr>
        <w:pStyle w:val="Heading2"/>
        <w:jc w:val="both"/>
        <w:rPr>
          <w:rFonts w:ascii="Arial" w:hAnsi="Arial" w:cs="Arial"/>
          <w:color w:val="auto"/>
          <w:sz w:val="22"/>
          <w:szCs w:val="22"/>
          <w:lang w:eastAsia="hr-HR"/>
        </w:rPr>
      </w:pPr>
    </w:p>
    <w:p w14:paraId="6202BF6A"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Investicijsko društvo dužno je također uzimati u obzir postojeća pravna, regulatorna i operativna ograničenja u prijenosu likvidne i neopterećene imovine između subjekata unutar i izvan Europskoga gospodarskog prostora.</w:t>
      </w:r>
    </w:p>
    <w:p w14:paraId="0A5FEAF5" w14:textId="77777777" w:rsidR="00702CBF" w:rsidRPr="005F18BF" w:rsidRDefault="00702CBF" w:rsidP="005F18BF">
      <w:pPr>
        <w:pStyle w:val="Heading2"/>
        <w:jc w:val="both"/>
        <w:rPr>
          <w:rFonts w:ascii="Arial" w:hAnsi="Arial" w:cs="Arial"/>
          <w:color w:val="auto"/>
          <w:sz w:val="22"/>
          <w:szCs w:val="22"/>
          <w:lang w:eastAsia="hr-HR"/>
        </w:rPr>
      </w:pPr>
    </w:p>
    <w:p w14:paraId="1E761E73" w14:textId="77777777" w:rsidR="00914C36" w:rsidRPr="005F18BF" w:rsidRDefault="00914C36"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lastRenderedPageBreak/>
        <w:t>(4) Investicijsko društvo dužno je izraditi metodologiju utvrđivanja, mjerenja i praćenja pozicija financiranja te upravljanja istima koja obuhvaća tekuće i planirane materijalno značajne novčane tokove koji proizlaze iz imovine, obveza i izvanbilančnih stavki, uključujući i potencijalne obveze te mogući utjecaj reputacijskog rizika.</w:t>
      </w:r>
    </w:p>
    <w:p w14:paraId="01AAC593" w14:textId="77777777" w:rsidR="00914C36" w:rsidRPr="005F18BF" w:rsidRDefault="00914C36" w:rsidP="005F18BF">
      <w:pPr>
        <w:pStyle w:val="Heading2"/>
        <w:jc w:val="both"/>
        <w:rPr>
          <w:rFonts w:ascii="Arial" w:hAnsi="Arial" w:cs="Arial"/>
          <w:color w:val="auto"/>
          <w:sz w:val="22"/>
          <w:szCs w:val="22"/>
          <w:lang w:eastAsia="hr-HR"/>
        </w:rPr>
      </w:pPr>
    </w:p>
    <w:p w14:paraId="08805094" w14:textId="77777777" w:rsidR="00702CBF" w:rsidRPr="005F18BF" w:rsidRDefault="00702CBF" w:rsidP="005F18BF">
      <w:pPr>
        <w:pStyle w:val="Heading2"/>
        <w:jc w:val="both"/>
        <w:rPr>
          <w:rFonts w:ascii="Arial" w:hAnsi="Arial" w:cs="Arial"/>
          <w:color w:val="auto"/>
          <w:sz w:val="22"/>
          <w:szCs w:val="22"/>
          <w:lang w:eastAsia="hr-HR"/>
        </w:rPr>
      </w:pPr>
    </w:p>
    <w:p w14:paraId="459B009A" w14:textId="496F7AD9" w:rsidR="00323433" w:rsidRPr="00B53D37" w:rsidRDefault="00323433" w:rsidP="00B53D37">
      <w:pPr>
        <w:pStyle w:val="Heading1"/>
        <w:jc w:val="center"/>
        <w:rPr>
          <w:rFonts w:ascii="Arial" w:hAnsi="Arial" w:cs="Arial"/>
          <w:b w:val="0"/>
          <w:sz w:val="22"/>
          <w:szCs w:val="22"/>
        </w:rPr>
      </w:pPr>
      <w:r w:rsidRPr="00B53D37">
        <w:rPr>
          <w:rFonts w:ascii="Arial" w:hAnsi="Arial" w:cs="Arial"/>
          <w:b w:val="0"/>
          <w:sz w:val="22"/>
          <w:szCs w:val="22"/>
        </w:rPr>
        <w:t>Testiranje otpornosti na stres</w:t>
      </w:r>
    </w:p>
    <w:p w14:paraId="6672E338" w14:textId="39F5A3FB" w:rsidR="00323433" w:rsidRPr="003936DC" w:rsidRDefault="004C15E5" w:rsidP="003936DC">
      <w:pPr>
        <w:pStyle w:val="Heading2"/>
        <w:jc w:val="center"/>
        <w:rPr>
          <w:rFonts w:ascii="Arial" w:hAnsi="Arial" w:cs="Arial"/>
          <w:color w:val="auto"/>
          <w:sz w:val="22"/>
          <w:szCs w:val="22"/>
          <w:lang w:eastAsia="hr-HR"/>
        </w:rPr>
      </w:pPr>
      <w:r w:rsidRPr="003936DC">
        <w:rPr>
          <w:rFonts w:ascii="Arial" w:hAnsi="Arial" w:cs="Arial"/>
          <w:color w:val="auto"/>
          <w:sz w:val="22"/>
          <w:szCs w:val="22"/>
          <w:lang w:eastAsia="hr-HR"/>
        </w:rPr>
        <w:lastRenderedPageBreak/>
        <w:t>Članak 3</w:t>
      </w:r>
      <w:r w:rsidR="00B00AB9" w:rsidRPr="003936DC">
        <w:rPr>
          <w:rFonts w:ascii="Arial" w:hAnsi="Arial" w:cs="Arial"/>
          <w:color w:val="auto"/>
          <w:sz w:val="22"/>
          <w:szCs w:val="22"/>
          <w:lang w:eastAsia="hr-HR"/>
        </w:rPr>
        <w:t>1</w:t>
      </w:r>
      <w:r w:rsidR="00323433" w:rsidRPr="003936DC">
        <w:rPr>
          <w:rFonts w:ascii="Arial" w:hAnsi="Arial" w:cs="Arial"/>
          <w:color w:val="auto"/>
          <w:sz w:val="22"/>
          <w:szCs w:val="22"/>
          <w:lang w:eastAsia="hr-HR"/>
        </w:rPr>
        <w:t>.</w:t>
      </w:r>
    </w:p>
    <w:p w14:paraId="32B01D2A" w14:textId="77777777" w:rsidR="00323433" w:rsidRPr="005F18BF" w:rsidRDefault="00323433" w:rsidP="005F18BF">
      <w:pPr>
        <w:pStyle w:val="Heading2"/>
        <w:jc w:val="both"/>
        <w:rPr>
          <w:rFonts w:ascii="Arial" w:hAnsi="Arial" w:cs="Arial"/>
          <w:color w:val="auto"/>
          <w:sz w:val="22"/>
          <w:szCs w:val="22"/>
          <w:lang w:eastAsia="hr-HR"/>
        </w:rPr>
      </w:pPr>
    </w:p>
    <w:p w14:paraId="6083BBED"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Investicijsko društvo dužno je u politikama upravljanja rizikom likvidnosti definirati testiranje otpornosti na stres (analize scenarija i analize osjetljivosti) na sljedeći način:</w:t>
      </w:r>
    </w:p>
    <w:p w14:paraId="4F288824" w14:textId="77777777" w:rsidR="00702CBF" w:rsidRPr="005F18BF" w:rsidRDefault="00702CBF" w:rsidP="005F18BF">
      <w:pPr>
        <w:pStyle w:val="Heading2"/>
        <w:jc w:val="both"/>
        <w:rPr>
          <w:rFonts w:ascii="Arial" w:hAnsi="Arial" w:cs="Arial"/>
          <w:color w:val="auto"/>
          <w:sz w:val="22"/>
          <w:szCs w:val="22"/>
          <w:lang w:eastAsia="hr-HR"/>
        </w:rPr>
      </w:pPr>
    </w:p>
    <w:p w14:paraId="38CD521C"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propisati i donijeti postupke za provođenje i analizu različitih testiranja otpornosti na stres, te učestalost njihova provođenja (barem jednom godišnje), uzimajući u obzir scenarije odnosno faktore specifične za investicijsko društvo (unutarnje), tržišne scenarije odnosno faktore (vanjske) i kombinirane alternativne scenarije,</w:t>
      </w:r>
    </w:p>
    <w:p w14:paraId="37D3BBF0"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propisati provođenje testiranja likvidnosti ovisno o okolnostima i njihovu intenzitetu: od uobičajenih (predvidivih ili normalnih) okolnosti do neuobičajenih (ekstremnih) okolnosti,</w:t>
      </w:r>
    </w:p>
    <w:p w14:paraId="50DDAFC4"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propisati model provođenja testiranja za kraća i za dulja razdoblja stresnih okolnosti,</w:t>
      </w:r>
    </w:p>
    <w:p w14:paraId="63ACDA47"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omogućiti upravi, višem rukovodstvu i, kada je to primjereno, nadzornoj funkciji investicijskog društva analizu rezultata testiranja,</w:t>
      </w:r>
    </w:p>
    <w:p w14:paraId="793EBB18"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5. propisati procedure za postupke koji bi se trebali poduzeti u slučajevima određenih nepovoljnih rezultata testiranja otpornosti na stres,</w:t>
      </w:r>
    </w:p>
    <w:p w14:paraId="769C77BC"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6. utvrditi raspored testiranja otpornosti na stres pri planiranju za iduću kalendarsku godinu te osigurati izvještavanje Uprave investicijskog društva o rezultatima planiranih i realiziranih ispitivanja na godišnjoj razini i</w:t>
      </w:r>
    </w:p>
    <w:p w14:paraId="6BAA566A"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7. predvidjeti alternativne scenarije za pozicije likvidnosti i instrumente za smanjenje rizika likvidnosti, te najmanje jednom godišnje preispitati pretpostavke na kojima se temelje odluke o izvorima financiranja. Ti alternativni scenariji posebice se odnose na izvanbilančne stavke i ostale potencijalne obveze.</w:t>
      </w:r>
    </w:p>
    <w:p w14:paraId="0F9F673A" w14:textId="77777777" w:rsidR="00702CBF" w:rsidRPr="005F18BF" w:rsidRDefault="00702CBF" w:rsidP="005F18BF">
      <w:pPr>
        <w:pStyle w:val="Heading2"/>
        <w:jc w:val="both"/>
        <w:rPr>
          <w:rFonts w:ascii="Arial" w:hAnsi="Arial" w:cs="Arial"/>
          <w:color w:val="auto"/>
          <w:sz w:val="22"/>
          <w:szCs w:val="22"/>
          <w:lang w:eastAsia="hr-HR"/>
        </w:rPr>
      </w:pPr>
    </w:p>
    <w:p w14:paraId="00C208BD" w14:textId="0F1CFD10"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Rezultati testiranja otpornosti na stres osnova su za poduzimanje korektivnih mjera ili aktivnosti za ublažavanje izloženosti investicijskog društva, osiguranje zaštitnih slojeva likvidnosti i prilagodbu profila likvidnosti investicijskog društva njegovoj toleranciji na rizik.</w:t>
      </w:r>
    </w:p>
    <w:p w14:paraId="66250C7A" w14:textId="77777777" w:rsidR="00814AB0" w:rsidRPr="005F18BF" w:rsidRDefault="00814AB0" w:rsidP="005F18BF">
      <w:pPr>
        <w:pStyle w:val="Heading2"/>
        <w:jc w:val="both"/>
        <w:rPr>
          <w:rFonts w:ascii="Arial" w:hAnsi="Arial" w:cs="Arial"/>
          <w:color w:val="auto"/>
          <w:sz w:val="22"/>
          <w:szCs w:val="22"/>
          <w:lang w:eastAsia="hr-HR"/>
        </w:rPr>
      </w:pPr>
    </w:p>
    <w:p w14:paraId="2ED5E140"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Investicijsko društvo dužno je koristiti se rezultatima testiranja otpornosti na stres, a osobito alternativnim scenarijima iz stavka 1. točke 7. ovoga članka u prilagođavanju strategije upravljanja rizikom likvidnosti, donošenju politika, određivanju limita, zauzimanju pozicija likvidnosti te pri donošenju učinkovitih planova postupanja u kriznim situacijama i planova oporavka likvidnosti.</w:t>
      </w:r>
    </w:p>
    <w:p w14:paraId="061FD10D" w14:textId="77777777" w:rsidR="00702CBF" w:rsidRPr="005F18BF" w:rsidRDefault="00702CBF" w:rsidP="005F18BF">
      <w:pPr>
        <w:pStyle w:val="Heading2"/>
        <w:jc w:val="both"/>
        <w:rPr>
          <w:rFonts w:ascii="Arial" w:hAnsi="Arial" w:cs="Arial"/>
          <w:color w:val="auto"/>
          <w:sz w:val="22"/>
          <w:szCs w:val="22"/>
          <w:lang w:eastAsia="hr-HR"/>
        </w:rPr>
      </w:pPr>
    </w:p>
    <w:p w14:paraId="5E2F1CA1"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Plan oporavka likvidnosti mora sadržavati odgovarajuće strategije i primjerene provedbene mjere za rješavanje mogućih manjkova likvidnosti, uključujući manjkove likvidnosti u odnosu na podružnice s poslovnim nastanom u drugoj državi članici.</w:t>
      </w:r>
    </w:p>
    <w:p w14:paraId="07888373" w14:textId="77777777" w:rsidR="00702CBF" w:rsidRPr="005F18BF" w:rsidRDefault="00702CBF" w:rsidP="005F18BF">
      <w:pPr>
        <w:pStyle w:val="Heading2"/>
        <w:jc w:val="both"/>
        <w:rPr>
          <w:rFonts w:ascii="Arial" w:hAnsi="Arial" w:cs="Arial"/>
          <w:color w:val="auto"/>
          <w:sz w:val="22"/>
          <w:szCs w:val="22"/>
          <w:lang w:eastAsia="hr-HR"/>
        </w:rPr>
      </w:pPr>
    </w:p>
    <w:p w14:paraId="506A43A9" w14:textId="7B189E7D"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(5) Investicijsko društvo dužno je najmanje jednom godišnje testirati planove oporavka likvidnosti i ažurirati ih na temelju rezultata dobivenih testiranjem otpornosti na stres temeljem stavka 1. ovog članka.</w:t>
      </w:r>
    </w:p>
    <w:p w14:paraId="7A851DA3" w14:textId="77777777" w:rsidR="00323433" w:rsidRPr="005F18BF" w:rsidRDefault="00323433" w:rsidP="005F18BF">
      <w:pPr>
        <w:pStyle w:val="Heading2"/>
        <w:jc w:val="both"/>
        <w:rPr>
          <w:rFonts w:ascii="Arial" w:hAnsi="Arial" w:cs="Arial"/>
          <w:color w:val="auto"/>
          <w:sz w:val="22"/>
          <w:szCs w:val="22"/>
          <w:lang w:eastAsia="hr-HR"/>
        </w:rPr>
      </w:pPr>
    </w:p>
    <w:p w14:paraId="17B29399" w14:textId="118A5C81" w:rsidR="00323433" w:rsidRPr="003936DC" w:rsidRDefault="00323433" w:rsidP="003936DC">
      <w:pPr>
        <w:pStyle w:val="Heading1"/>
        <w:jc w:val="center"/>
        <w:rPr>
          <w:rFonts w:ascii="Arial" w:hAnsi="Arial" w:cs="Arial"/>
          <w:b w:val="0"/>
          <w:sz w:val="22"/>
          <w:szCs w:val="22"/>
        </w:rPr>
      </w:pPr>
      <w:r w:rsidRPr="003936DC">
        <w:rPr>
          <w:rFonts w:ascii="Arial" w:hAnsi="Arial" w:cs="Arial"/>
          <w:b w:val="0"/>
          <w:sz w:val="22"/>
          <w:szCs w:val="22"/>
        </w:rPr>
        <w:t>Evidencije likvidnih sredstava i obveza</w:t>
      </w:r>
    </w:p>
    <w:p w14:paraId="38D508F5" w14:textId="5D6F5214" w:rsidR="00323433" w:rsidRPr="003936DC" w:rsidRDefault="004C15E5" w:rsidP="003936DC">
      <w:pPr>
        <w:pStyle w:val="Heading2"/>
        <w:jc w:val="center"/>
        <w:rPr>
          <w:rFonts w:ascii="Arial" w:hAnsi="Arial" w:cs="Arial"/>
          <w:color w:val="auto"/>
          <w:sz w:val="22"/>
          <w:szCs w:val="22"/>
          <w:lang w:eastAsia="hr-HR"/>
        </w:rPr>
      </w:pPr>
      <w:r w:rsidRPr="003936DC">
        <w:rPr>
          <w:rFonts w:ascii="Arial" w:hAnsi="Arial" w:cs="Arial"/>
          <w:color w:val="auto"/>
          <w:sz w:val="22"/>
          <w:szCs w:val="22"/>
          <w:lang w:eastAsia="hr-HR"/>
        </w:rPr>
        <w:lastRenderedPageBreak/>
        <w:t>Članak 3</w:t>
      </w:r>
      <w:r w:rsidR="00B00AB9" w:rsidRPr="003936DC">
        <w:rPr>
          <w:rFonts w:ascii="Arial" w:hAnsi="Arial" w:cs="Arial"/>
          <w:color w:val="auto"/>
          <w:sz w:val="22"/>
          <w:szCs w:val="22"/>
          <w:lang w:eastAsia="hr-HR"/>
        </w:rPr>
        <w:t>2</w:t>
      </w:r>
      <w:r w:rsidR="00323433" w:rsidRPr="003936DC">
        <w:rPr>
          <w:rFonts w:ascii="Arial" w:hAnsi="Arial" w:cs="Arial"/>
          <w:color w:val="auto"/>
          <w:sz w:val="22"/>
          <w:szCs w:val="22"/>
          <w:lang w:eastAsia="hr-HR"/>
        </w:rPr>
        <w:t>.</w:t>
      </w:r>
    </w:p>
    <w:p w14:paraId="2F233FE6" w14:textId="77777777" w:rsidR="00323433" w:rsidRPr="005F18BF" w:rsidRDefault="00323433" w:rsidP="005F18BF">
      <w:pPr>
        <w:pStyle w:val="Heading2"/>
        <w:jc w:val="both"/>
        <w:rPr>
          <w:rFonts w:ascii="Arial" w:hAnsi="Arial" w:cs="Arial"/>
          <w:color w:val="auto"/>
          <w:sz w:val="22"/>
          <w:szCs w:val="22"/>
          <w:lang w:eastAsia="hr-HR"/>
        </w:rPr>
      </w:pPr>
    </w:p>
    <w:p w14:paraId="5FC57791" w14:textId="6E891144"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Uz računovodstvene evidencije koje je investicijsko društvo dužno redovito voditi, dio podataka potreban za izračun pokazatelja likvidnosti, a koji nisu prikazani u računovodstvenim evidencijama, investicijsko društvo dužno je voditi u zasebnim evidencijama (analitičkim evidencijama koje će osigurati informacije o ispunjavanju uvjeta pojedinih pozicija za uključenje u izračun pokazatelja likvidnosti).</w:t>
      </w:r>
    </w:p>
    <w:p w14:paraId="5E3876BC" w14:textId="77777777" w:rsidR="00814AB0" w:rsidRPr="005F18BF" w:rsidRDefault="00814AB0" w:rsidP="005F18BF">
      <w:pPr>
        <w:pStyle w:val="Heading2"/>
        <w:jc w:val="both"/>
        <w:rPr>
          <w:rFonts w:ascii="Arial" w:hAnsi="Arial" w:cs="Arial"/>
          <w:color w:val="auto"/>
          <w:sz w:val="22"/>
          <w:szCs w:val="22"/>
          <w:lang w:eastAsia="hr-HR"/>
        </w:rPr>
      </w:pPr>
    </w:p>
    <w:p w14:paraId="3588EA57" w14:textId="63BC0FC3"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Podlogu za izračun pokazatelja likvidnosti društvo je dužno čuvati 3 kalendarske godine i to u obliku u kojem nisu moguće naknadne izmjene podataka.</w:t>
      </w:r>
    </w:p>
    <w:p w14:paraId="40B58A06" w14:textId="77777777" w:rsidR="00323433" w:rsidRPr="005F18BF" w:rsidRDefault="00323433" w:rsidP="005F18BF">
      <w:pPr>
        <w:pStyle w:val="Heading2"/>
        <w:jc w:val="both"/>
        <w:rPr>
          <w:rFonts w:ascii="Arial" w:hAnsi="Arial" w:cs="Arial"/>
          <w:color w:val="auto"/>
          <w:sz w:val="22"/>
          <w:szCs w:val="22"/>
          <w:lang w:eastAsia="hr-HR"/>
        </w:rPr>
      </w:pPr>
    </w:p>
    <w:p w14:paraId="6092DE53" w14:textId="14DEB364" w:rsidR="00323433" w:rsidRPr="003936DC" w:rsidRDefault="00323433" w:rsidP="003936DC">
      <w:pPr>
        <w:pStyle w:val="Heading1"/>
        <w:jc w:val="center"/>
        <w:rPr>
          <w:rFonts w:ascii="Arial" w:hAnsi="Arial" w:cs="Arial"/>
          <w:b w:val="0"/>
          <w:sz w:val="22"/>
          <w:szCs w:val="22"/>
        </w:rPr>
      </w:pPr>
      <w:r w:rsidRPr="003936DC">
        <w:rPr>
          <w:rFonts w:ascii="Arial" w:hAnsi="Arial" w:cs="Arial"/>
          <w:b w:val="0"/>
          <w:sz w:val="22"/>
          <w:szCs w:val="22"/>
        </w:rPr>
        <w:t>Pokazatelj likvidnosti investicijskog društva</w:t>
      </w:r>
    </w:p>
    <w:p w14:paraId="7D68045E" w14:textId="12ACA162" w:rsidR="00323433" w:rsidRPr="00D07ACB" w:rsidRDefault="004C15E5" w:rsidP="003936DC">
      <w:pPr>
        <w:pStyle w:val="Heading2"/>
        <w:jc w:val="center"/>
        <w:rPr>
          <w:rFonts w:ascii="Arial" w:hAnsi="Arial" w:cs="Arial"/>
          <w:color w:val="auto"/>
          <w:sz w:val="22"/>
          <w:szCs w:val="22"/>
          <w:lang w:eastAsia="hr-HR"/>
        </w:rPr>
      </w:pPr>
      <w:r w:rsidRPr="00D07ACB">
        <w:rPr>
          <w:rFonts w:ascii="Arial" w:hAnsi="Arial" w:cs="Arial"/>
          <w:color w:val="auto"/>
          <w:sz w:val="22"/>
          <w:szCs w:val="22"/>
          <w:lang w:eastAsia="hr-HR"/>
        </w:rPr>
        <w:t>Članak 3</w:t>
      </w:r>
      <w:r w:rsidR="00B00AB9" w:rsidRPr="00D07ACB">
        <w:rPr>
          <w:rFonts w:ascii="Arial" w:hAnsi="Arial" w:cs="Arial"/>
          <w:color w:val="auto"/>
          <w:sz w:val="22"/>
          <w:szCs w:val="22"/>
          <w:lang w:eastAsia="hr-HR"/>
        </w:rPr>
        <w:t>3</w:t>
      </w:r>
      <w:r w:rsidR="00323433" w:rsidRPr="00D07ACB">
        <w:rPr>
          <w:rFonts w:ascii="Arial" w:hAnsi="Arial" w:cs="Arial"/>
          <w:color w:val="auto"/>
          <w:sz w:val="22"/>
          <w:szCs w:val="22"/>
          <w:lang w:eastAsia="hr-HR"/>
        </w:rPr>
        <w:t>.</w:t>
      </w:r>
    </w:p>
    <w:p w14:paraId="1CDE28B9" w14:textId="77777777" w:rsidR="00323433" w:rsidRPr="005F18BF" w:rsidRDefault="00323433" w:rsidP="005F18BF">
      <w:pPr>
        <w:pStyle w:val="Heading2"/>
        <w:jc w:val="both"/>
        <w:rPr>
          <w:rFonts w:ascii="Arial" w:hAnsi="Arial" w:cs="Arial"/>
          <w:color w:val="auto"/>
          <w:sz w:val="22"/>
          <w:szCs w:val="22"/>
          <w:lang w:eastAsia="hr-HR"/>
        </w:rPr>
      </w:pPr>
    </w:p>
    <w:p w14:paraId="1A7C91C5"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Pokazatelj likvidnosti investicijskog društva je omjer između likvidnih sredstava i obveza koje su dospjele i koje uskoro dospijevaju.</w:t>
      </w:r>
    </w:p>
    <w:p w14:paraId="0E664C85" w14:textId="77777777" w:rsidR="00702CBF" w:rsidRPr="005F18BF" w:rsidRDefault="00702CBF" w:rsidP="005F18BF">
      <w:pPr>
        <w:pStyle w:val="Heading2"/>
        <w:jc w:val="both"/>
        <w:rPr>
          <w:rFonts w:ascii="Arial" w:hAnsi="Arial" w:cs="Arial"/>
          <w:color w:val="auto"/>
          <w:sz w:val="22"/>
          <w:szCs w:val="22"/>
          <w:lang w:eastAsia="hr-HR"/>
        </w:rPr>
      </w:pPr>
    </w:p>
    <w:p w14:paraId="37F103B7" w14:textId="7D1CC80E"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Pokazatelj likvidnosti investicijskog društva u svakom trenutku mora biti jednak ili veći 1,00.</w:t>
      </w:r>
    </w:p>
    <w:p w14:paraId="5433CB67" w14:textId="77777777" w:rsidR="00323433" w:rsidRPr="005F18BF" w:rsidRDefault="00323433" w:rsidP="005F18BF">
      <w:pPr>
        <w:pStyle w:val="Heading2"/>
        <w:jc w:val="both"/>
        <w:rPr>
          <w:rFonts w:ascii="Arial" w:hAnsi="Arial" w:cs="Arial"/>
          <w:color w:val="auto"/>
          <w:sz w:val="22"/>
          <w:szCs w:val="22"/>
          <w:lang w:eastAsia="hr-HR"/>
        </w:rPr>
      </w:pPr>
    </w:p>
    <w:p w14:paraId="34285275" w14:textId="352F7F5F" w:rsidR="00323433" w:rsidRPr="00D07ACB" w:rsidRDefault="007F05CD" w:rsidP="00D07ACB">
      <w:pPr>
        <w:pStyle w:val="Heading1"/>
        <w:jc w:val="center"/>
        <w:rPr>
          <w:rFonts w:ascii="Arial" w:hAnsi="Arial" w:cs="Arial"/>
          <w:b w:val="0"/>
          <w:sz w:val="22"/>
          <w:szCs w:val="22"/>
        </w:rPr>
      </w:pPr>
      <w:r w:rsidRPr="00D07ACB">
        <w:rPr>
          <w:rFonts w:ascii="Arial" w:hAnsi="Arial" w:cs="Arial"/>
          <w:b w:val="0"/>
          <w:sz w:val="22"/>
          <w:szCs w:val="22"/>
        </w:rPr>
        <w:t>Likvidna sredstva i opseg likvidnosti investicijskog društva</w:t>
      </w:r>
    </w:p>
    <w:p w14:paraId="09F01737" w14:textId="03B7F775" w:rsidR="00323433" w:rsidRPr="00D07ACB" w:rsidRDefault="004C15E5" w:rsidP="00D07ACB">
      <w:pPr>
        <w:pStyle w:val="Heading2"/>
        <w:jc w:val="center"/>
        <w:rPr>
          <w:rFonts w:ascii="Arial" w:hAnsi="Arial" w:cs="Arial"/>
          <w:color w:val="auto"/>
          <w:sz w:val="22"/>
          <w:szCs w:val="22"/>
          <w:lang w:eastAsia="hr-HR"/>
        </w:rPr>
      </w:pPr>
      <w:r w:rsidRPr="00D07ACB">
        <w:rPr>
          <w:rFonts w:ascii="Arial" w:hAnsi="Arial" w:cs="Arial"/>
          <w:color w:val="auto"/>
          <w:sz w:val="22"/>
          <w:szCs w:val="22"/>
          <w:lang w:eastAsia="hr-HR"/>
        </w:rPr>
        <w:lastRenderedPageBreak/>
        <w:t>Članak 3</w:t>
      </w:r>
      <w:r w:rsidR="00B00AB9" w:rsidRPr="00D07ACB">
        <w:rPr>
          <w:rFonts w:ascii="Arial" w:hAnsi="Arial" w:cs="Arial"/>
          <w:color w:val="auto"/>
          <w:sz w:val="22"/>
          <w:szCs w:val="22"/>
          <w:lang w:eastAsia="hr-HR"/>
        </w:rPr>
        <w:t>4</w:t>
      </w:r>
      <w:r w:rsidR="00323433" w:rsidRPr="00D07ACB">
        <w:rPr>
          <w:rFonts w:ascii="Arial" w:hAnsi="Arial" w:cs="Arial"/>
          <w:color w:val="auto"/>
          <w:sz w:val="22"/>
          <w:szCs w:val="22"/>
          <w:lang w:eastAsia="hr-HR"/>
        </w:rPr>
        <w:t>.</w:t>
      </w:r>
    </w:p>
    <w:p w14:paraId="491EEFA3" w14:textId="77777777" w:rsidR="007F05CD" w:rsidRPr="005F18BF" w:rsidRDefault="007F05CD" w:rsidP="005F18BF">
      <w:pPr>
        <w:pStyle w:val="Heading2"/>
        <w:jc w:val="both"/>
        <w:rPr>
          <w:rFonts w:ascii="Arial" w:hAnsi="Arial" w:cs="Arial"/>
          <w:color w:val="auto"/>
          <w:sz w:val="22"/>
          <w:szCs w:val="22"/>
          <w:lang w:eastAsia="hr-HR"/>
        </w:rPr>
      </w:pPr>
    </w:p>
    <w:p w14:paraId="5AB7621C" w14:textId="439D089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w:t>
      </w:r>
      <w:r w:rsidR="007F05CD" w:rsidRPr="005F18BF">
        <w:rPr>
          <w:rFonts w:ascii="Arial" w:hAnsi="Arial" w:cs="Arial"/>
          <w:color w:val="auto"/>
          <w:sz w:val="22"/>
          <w:szCs w:val="22"/>
          <w:lang w:eastAsia="hr-HR"/>
        </w:rPr>
        <w:t>1</w:t>
      </w:r>
      <w:r w:rsidR="004C15E5" w:rsidRPr="005F18BF">
        <w:rPr>
          <w:rFonts w:ascii="Arial" w:hAnsi="Arial" w:cs="Arial"/>
          <w:color w:val="auto"/>
          <w:sz w:val="22"/>
          <w:szCs w:val="22"/>
          <w:lang w:eastAsia="hr-HR"/>
        </w:rPr>
        <w:t>) Likvidna sredstva iz članka 3</w:t>
      </w:r>
      <w:r w:rsidR="00B00AB9" w:rsidRPr="005F18BF">
        <w:rPr>
          <w:rFonts w:ascii="Arial" w:hAnsi="Arial" w:cs="Arial"/>
          <w:color w:val="auto"/>
          <w:sz w:val="22"/>
          <w:szCs w:val="22"/>
          <w:lang w:eastAsia="hr-HR"/>
        </w:rPr>
        <w:t>3</w:t>
      </w:r>
      <w:r w:rsidRPr="005F18BF">
        <w:rPr>
          <w:rFonts w:ascii="Arial" w:hAnsi="Arial" w:cs="Arial"/>
          <w:color w:val="auto"/>
          <w:sz w:val="22"/>
          <w:szCs w:val="22"/>
          <w:lang w:eastAsia="hr-HR"/>
        </w:rPr>
        <w:t>. ovog Pravilnika su sredstva na raspolaganju investicijskom društvu koja svojim volumenom čine ukupni opseg likvidnosti, a obuhvaćaju sljedeće bilančne pozicije:</w:t>
      </w:r>
    </w:p>
    <w:p w14:paraId="483BB0CD"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sredstva na novčanim računima za redovno poslovanje investicijskog društva (ova stavka ne uključuje novčana sredstva koja je investicijsko društvo primilo i kojima upravlja u tuđe ime i za tuđi račun – npr. sredstva za kupnju financijskih instrumenata za račun klijenata),</w:t>
      </w:r>
    </w:p>
    <w:p w14:paraId="34FA8024"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depoziti po viđenju, depoziti u kreditnim institucijama s preostalim dospijećem do pet (5) dana i depoziti na opoziv s opozivom do pet (5) dana,</w:t>
      </w:r>
    </w:p>
    <w:p w14:paraId="0912AC7D"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gotovina u blagajni (maksimalno se može prikazati do iznosa od 10% ukupnih sredstava na novčanim računima investicijskog društva za redovno poslovanje),</w:t>
      </w:r>
    </w:p>
    <w:p w14:paraId="2C6FEEDC"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obveznice ili kuponi obveznica, trezorski i blagajnički zapisi i drugi slični novčani instrumenti onih izdavatelja kojima je dodijeljen ponder rizika »0« u skladu s Trećim dijelom Glavom II Uredbe (EU) br. 575/2013.,</w:t>
      </w:r>
    </w:p>
    <w:p w14:paraId="5D2B3148"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5. neiskorišteni ugovoreni iznosi bezuvjetnih okvirnih kredita odobrenih od kreditnih institucija sa sjedištem u državi članici, a koje je moguće u roku pet (5) dana iskoristiti do iznosa definiranog ugovorom,</w:t>
      </w:r>
    </w:p>
    <w:p w14:paraId="5D0E7C4F"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6. dospjela i nedospjela potraživanja za koje je investicijsko društvo na dan izračuna pokazatelja likvidnosti primilo predujam ili dokaz o plaćanju izvršenom od strane kreditne institucije sa sjedištem u državi članci Europske unije,</w:t>
      </w:r>
    </w:p>
    <w:p w14:paraId="0FC3C4C9"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7. potraživanja od klirinške organizacije s naslova prodaje vrijednosnih papira za vlastiti račun, s dospijećem zaključno pet (5) dana, osim ako su potraživanja u dospijeću više od jednog dana, a nisu plaćena,</w:t>
      </w:r>
    </w:p>
    <w:p w14:paraId="6460FD94"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8. ostala likvidna sredstva s dospijećem do pet (5) dana (novac i potraživanja koja dospijevaju u roku od pet (5) dana).</w:t>
      </w:r>
    </w:p>
    <w:p w14:paraId="738A5B44" w14:textId="77777777" w:rsidR="00702CBF" w:rsidRPr="005F18BF" w:rsidRDefault="00702CBF" w:rsidP="005F18BF">
      <w:pPr>
        <w:pStyle w:val="Heading2"/>
        <w:jc w:val="both"/>
        <w:rPr>
          <w:rFonts w:ascii="Arial" w:hAnsi="Arial" w:cs="Arial"/>
          <w:color w:val="auto"/>
          <w:sz w:val="22"/>
          <w:szCs w:val="22"/>
          <w:lang w:eastAsia="hr-HR"/>
        </w:rPr>
      </w:pPr>
    </w:p>
    <w:p w14:paraId="77ECF732"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Investicijsko društvo ne može u likvidna sredstva uvrstiti one bilančne pozicije iz stavka 1. ovog članka koje su opterećene pravima trećih.</w:t>
      </w:r>
    </w:p>
    <w:p w14:paraId="42CC6BFA" w14:textId="77777777" w:rsidR="00702CBF" w:rsidRPr="005F18BF" w:rsidRDefault="00702CBF" w:rsidP="005F18BF">
      <w:pPr>
        <w:pStyle w:val="Heading2"/>
        <w:jc w:val="both"/>
        <w:rPr>
          <w:rFonts w:ascii="Arial" w:hAnsi="Arial" w:cs="Arial"/>
          <w:color w:val="auto"/>
          <w:sz w:val="22"/>
          <w:szCs w:val="22"/>
          <w:lang w:eastAsia="hr-HR"/>
        </w:rPr>
      </w:pPr>
    </w:p>
    <w:p w14:paraId="58D43099"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Investicijsko društvo ne može u likvidna sredstva uvrstiti one bilančne pozicije iz stavka 1. ovog članka koje nije moguće unovčiti u roku pet (5) dana.</w:t>
      </w:r>
    </w:p>
    <w:p w14:paraId="29664247" w14:textId="77777777" w:rsidR="00702CBF" w:rsidRPr="005F18BF" w:rsidRDefault="00702CBF" w:rsidP="005F18BF">
      <w:pPr>
        <w:pStyle w:val="Heading2"/>
        <w:jc w:val="both"/>
        <w:rPr>
          <w:rFonts w:ascii="Arial" w:hAnsi="Arial" w:cs="Arial"/>
          <w:color w:val="auto"/>
          <w:sz w:val="22"/>
          <w:szCs w:val="22"/>
          <w:lang w:eastAsia="hr-HR"/>
        </w:rPr>
      </w:pPr>
    </w:p>
    <w:p w14:paraId="5F594C1A"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Iznimno od stavka 2. ovog članka, u likvidna sredstva mogu se uvrstiti pozicije koje udovoljavaju sljedećim uvjetima:</w:t>
      </w:r>
    </w:p>
    <w:p w14:paraId="03AA1F9C" w14:textId="77777777" w:rsidR="00702CBF" w:rsidRPr="005F18BF" w:rsidRDefault="00702CBF" w:rsidP="005F18BF">
      <w:pPr>
        <w:pStyle w:val="Heading2"/>
        <w:jc w:val="both"/>
        <w:rPr>
          <w:rFonts w:ascii="Arial" w:hAnsi="Arial" w:cs="Arial"/>
          <w:color w:val="auto"/>
          <w:sz w:val="22"/>
          <w:szCs w:val="22"/>
          <w:lang w:eastAsia="hr-HR"/>
        </w:rPr>
      </w:pPr>
    </w:p>
    <w:p w14:paraId="7FC95835" w14:textId="691C7381"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1. Dužnički vrijednosni papiri koji su dani u zalog u repo transakciji odnosno pozajmljeni drugoj ugovornoj strani, ako ispunjavaju uvjete iz stavka 1. točke 4. ovog članka, u razdoblju od pet radnih dana prije okončanja transakcije smatraju se likvidnim sredstvima i unose se u </w:t>
      </w:r>
      <w:r w:rsidR="00C82D78" w:rsidRPr="005F18BF">
        <w:rPr>
          <w:rFonts w:ascii="Arial" w:hAnsi="Arial" w:cs="Arial"/>
          <w:color w:val="auto"/>
          <w:sz w:val="22"/>
          <w:szCs w:val="22"/>
          <w:lang w:eastAsia="hr-HR"/>
        </w:rPr>
        <w:t xml:space="preserve">izvještaje </w:t>
      </w:r>
      <w:r w:rsidR="00702CBF" w:rsidRPr="005F18BF">
        <w:rPr>
          <w:rFonts w:ascii="Arial" w:hAnsi="Arial" w:cs="Arial"/>
          <w:color w:val="auto"/>
          <w:sz w:val="22"/>
          <w:szCs w:val="22"/>
          <w:lang w:eastAsia="hr-HR"/>
        </w:rPr>
        <w:t>iz Priloga</w:t>
      </w:r>
      <w:r w:rsidRPr="005F18BF">
        <w:rPr>
          <w:rFonts w:ascii="Arial" w:hAnsi="Arial" w:cs="Arial"/>
          <w:color w:val="auto"/>
          <w:sz w:val="22"/>
          <w:szCs w:val="22"/>
          <w:lang w:eastAsia="hr-HR"/>
        </w:rPr>
        <w:t xml:space="preserve"> </w:t>
      </w:r>
      <w:r w:rsidR="00702CBF" w:rsidRPr="005F18BF">
        <w:rPr>
          <w:rFonts w:ascii="Arial" w:hAnsi="Arial" w:cs="Arial"/>
          <w:color w:val="auto"/>
          <w:sz w:val="22"/>
          <w:szCs w:val="22"/>
          <w:lang w:eastAsia="hr-HR"/>
        </w:rPr>
        <w:t xml:space="preserve">ovoga Pravilnika </w:t>
      </w:r>
      <w:r w:rsidRPr="005F18BF">
        <w:rPr>
          <w:rFonts w:ascii="Arial" w:hAnsi="Arial" w:cs="Arial"/>
          <w:color w:val="auto"/>
          <w:sz w:val="22"/>
          <w:szCs w:val="22"/>
          <w:lang w:eastAsia="hr-HR"/>
        </w:rPr>
        <w:t>(Obrazac 1: Dnevni izračun pokazatelja likvidnosti investicijskog društva – Obrazac DL). Dužnički vrijednosni papiri koji su dani u zalog u repo transakciji odnosno pozajmljeni drugoj ugovornoj strani ne smatraju se likvidnim sredstvima ako je preostalo dospijeće transakcije dulje od pet (5) dana.</w:t>
      </w:r>
    </w:p>
    <w:p w14:paraId="52D47766" w14:textId="77777777" w:rsidR="00702CBF" w:rsidRPr="005F18BF" w:rsidRDefault="00702CBF" w:rsidP="005F18BF">
      <w:pPr>
        <w:pStyle w:val="Heading2"/>
        <w:jc w:val="both"/>
        <w:rPr>
          <w:rFonts w:ascii="Arial" w:hAnsi="Arial" w:cs="Arial"/>
          <w:color w:val="auto"/>
          <w:sz w:val="22"/>
          <w:szCs w:val="22"/>
          <w:lang w:eastAsia="hr-HR"/>
        </w:rPr>
      </w:pPr>
    </w:p>
    <w:p w14:paraId="6A49F67E" w14:textId="68D9EE0D"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lastRenderedPageBreak/>
        <w:t xml:space="preserve">2. Dužnički vrijednosni papiri koji su primljeni u obratnoj repo transakciji ili transakciji pozajmljivanja vrijednosnih papira od druge ugovorne strane, mogu se smatrati likvidnim sredstvima, ako zadovoljavaju uvjete iz stavka 1. točke 4. ovog članka, te se uključuju u </w:t>
      </w:r>
      <w:r w:rsidR="00C82D78" w:rsidRPr="005F18BF">
        <w:rPr>
          <w:rFonts w:ascii="Arial" w:hAnsi="Arial" w:cs="Arial"/>
          <w:color w:val="auto"/>
          <w:sz w:val="22"/>
          <w:szCs w:val="22"/>
          <w:lang w:eastAsia="hr-HR"/>
        </w:rPr>
        <w:t xml:space="preserve">izvještaje </w:t>
      </w:r>
      <w:r w:rsidR="00702CBF" w:rsidRPr="005F18BF">
        <w:rPr>
          <w:rFonts w:ascii="Arial" w:hAnsi="Arial" w:cs="Arial"/>
          <w:color w:val="auto"/>
          <w:sz w:val="22"/>
          <w:szCs w:val="22"/>
          <w:lang w:eastAsia="hr-HR"/>
        </w:rPr>
        <w:t>iz Priloga ovoga Pravilnika</w:t>
      </w:r>
      <w:r w:rsidRPr="005F18BF">
        <w:rPr>
          <w:rFonts w:ascii="Arial" w:hAnsi="Arial" w:cs="Arial"/>
          <w:color w:val="auto"/>
          <w:sz w:val="22"/>
          <w:szCs w:val="22"/>
          <w:lang w:eastAsia="hr-HR"/>
        </w:rPr>
        <w:t xml:space="preserve"> (Obrazac 1: Dnevni izračun pokazatelja likvidnosti investicijskog društva – Obrazac DL) od datuma ugovaranja transakcije do pet radnih dana do dospijeća transakcije. U razdoblju od pet radnih dana prije dospijeća transakcije oni se smatraju potraživanjem investicijskog društva. Ako investicijsko društvo za vrijeme obratne repo transakcije i transakcije pozajmljivanja od druge ugovorne strane primljene vrijednosne papire prenese na treću osobu (vlasništvo i/ili zalog), oni se u tom razdoblju ne uključuju u likvidna sredstva.</w:t>
      </w:r>
    </w:p>
    <w:p w14:paraId="6699CDBB" w14:textId="77777777" w:rsidR="00CE0C6C" w:rsidRPr="005F18BF" w:rsidRDefault="00CE0C6C" w:rsidP="005F18BF">
      <w:pPr>
        <w:pStyle w:val="Heading2"/>
        <w:jc w:val="both"/>
        <w:rPr>
          <w:rFonts w:ascii="Arial" w:hAnsi="Arial" w:cs="Arial"/>
          <w:color w:val="auto"/>
          <w:sz w:val="22"/>
          <w:szCs w:val="22"/>
          <w:lang w:eastAsia="hr-HR"/>
        </w:rPr>
      </w:pPr>
    </w:p>
    <w:p w14:paraId="328228C0" w14:textId="254DF76D" w:rsidR="00323433" w:rsidRPr="00D07ACB" w:rsidRDefault="007F05CD" w:rsidP="00D07ACB">
      <w:pPr>
        <w:pStyle w:val="Heading1"/>
        <w:jc w:val="center"/>
        <w:rPr>
          <w:rFonts w:ascii="Arial" w:hAnsi="Arial" w:cs="Arial"/>
          <w:b w:val="0"/>
          <w:sz w:val="22"/>
          <w:szCs w:val="22"/>
        </w:rPr>
      </w:pPr>
      <w:r w:rsidRPr="00D07ACB">
        <w:rPr>
          <w:rFonts w:ascii="Arial" w:hAnsi="Arial" w:cs="Arial"/>
          <w:b w:val="0"/>
          <w:sz w:val="22"/>
          <w:szCs w:val="22"/>
        </w:rPr>
        <w:t>Dospjele obveze investicijskog društva</w:t>
      </w:r>
      <w:r w:rsidR="00323433" w:rsidRPr="00D07ACB">
        <w:rPr>
          <w:rFonts w:ascii="Arial" w:hAnsi="Arial" w:cs="Arial"/>
          <w:b w:val="0"/>
          <w:sz w:val="22"/>
          <w:szCs w:val="22"/>
        </w:rPr>
        <w:t xml:space="preserve"> </w:t>
      </w:r>
      <w:r w:rsidRPr="00D07ACB">
        <w:rPr>
          <w:rFonts w:ascii="Arial" w:hAnsi="Arial" w:cs="Arial"/>
          <w:b w:val="0"/>
          <w:sz w:val="22"/>
          <w:szCs w:val="22"/>
        </w:rPr>
        <w:t>i obveze koje uskoro dospijevaju</w:t>
      </w:r>
    </w:p>
    <w:p w14:paraId="46621395" w14:textId="7A5F4E76" w:rsidR="00323433" w:rsidRPr="00D07ACB" w:rsidRDefault="004C15E5" w:rsidP="00D07ACB">
      <w:pPr>
        <w:pStyle w:val="Heading2"/>
        <w:jc w:val="center"/>
        <w:rPr>
          <w:rFonts w:ascii="Arial" w:hAnsi="Arial" w:cs="Arial"/>
          <w:color w:val="auto"/>
          <w:sz w:val="22"/>
          <w:szCs w:val="22"/>
          <w:lang w:eastAsia="hr-HR"/>
        </w:rPr>
      </w:pPr>
      <w:r w:rsidRPr="00D07ACB">
        <w:rPr>
          <w:rFonts w:ascii="Arial" w:hAnsi="Arial" w:cs="Arial"/>
          <w:color w:val="auto"/>
          <w:sz w:val="22"/>
          <w:szCs w:val="22"/>
          <w:lang w:eastAsia="hr-HR"/>
        </w:rPr>
        <w:t>Članak 3</w:t>
      </w:r>
      <w:r w:rsidR="00B00AB9" w:rsidRPr="00D07ACB">
        <w:rPr>
          <w:rFonts w:ascii="Arial" w:hAnsi="Arial" w:cs="Arial"/>
          <w:color w:val="auto"/>
          <w:sz w:val="22"/>
          <w:szCs w:val="22"/>
          <w:lang w:eastAsia="hr-HR"/>
        </w:rPr>
        <w:t>5</w:t>
      </w:r>
      <w:r w:rsidR="00323433" w:rsidRPr="00D07ACB">
        <w:rPr>
          <w:rFonts w:ascii="Arial" w:hAnsi="Arial" w:cs="Arial"/>
          <w:color w:val="auto"/>
          <w:sz w:val="22"/>
          <w:szCs w:val="22"/>
          <w:lang w:eastAsia="hr-HR"/>
        </w:rPr>
        <w:t>.</w:t>
      </w:r>
    </w:p>
    <w:p w14:paraId="5987B1D3" w14:textId="77777777" w:rsidR="007F05CD" w:rsidRPr="005F18BF" w:rsidRDefault="007F05CD" w:rsidP="005F18BF">
      <w:pPr>
        <w:pStyle w:val="Heading2"/>
        <w:jc w:val="both"/>
        <w:rPr>
          <w:rFonts w:ascii="Arial" w:hAnsi="Arial" w:cs="Arial"/>
          <w:color w:val="auto"/>
          <w:sz w:val="22"/>
          <w:szCs w:val="22"/>
          <w:lang w:eastAsia="hr-HR"/>
        </w:rPr>
      </w:pPr>
    </w:p>
    <w:p w14:paraId="3B96200F" w14:textId="3551FB41"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Obveze in</w:t>
      </w:r>
      <w:r w:rsidR="007F05CD" w:rsidRPr="005F18BF">
        <w:rPr>
          <w:rFonts w:ascii="Arial" w:hAnsi="Arial" w:cs="Arial"/>
          <w:color w:val="auto"/>
          <w:sz w:val="22"/>
          <w:szCs w:val="22"/>
          <w:lang w:eastAsia="hr-HR"/>
        </w:rPr>
        <w:t>vesticijskog dr</w:t>
      </w:r>
      <w:r w:rsidR="004C15E5" w:rsidRPr="005F18BF">
        <w:rPr>
          <w:rFonts w:ascii="Arial" w:hAnsi="Arial" w:cs="Arial"/>
          <w:color w:val="auto"/>
          <w:sz w:val="22"/>
          <w:szCs w:val="22"/>
          <w:lang w:eastAsia="hr-HR"/>
        </w:rPr>
        <w:t>uštva iz članka 3</w:t>
      </w:r>
      <w:r w:rsidR="00B00AB9" w:rsidRPr="005F18BF">
        <w:rPr>
          <w:rFonts w:ascii="Arial" w:hAnsi="Arial" w:cs="Arial"/>
          <w:color w:val="auto"/>
          <w:sz w:val="22"/>
          <w:szCs w:val="22"/>
          <w:lang w:eastAsia="hr-HR"/>
        </w:rPr>
        <w:t>3</w:t>
      </w:r>
      <w:r w:rsidRPr="005F18BF">
        <w:rPr>
          <w:rFonts w:ascii="Arial" w:hAnsi="Arial" w:cs="Arial"/>
          <w:color w:val="auto"/>
          <w:sz w:val="22"/>
          <w:szCs w:val="22"/>
          <w:lang w:eastAsia="hr-HR"/>
        </w:rPr>
        <w:t>. ovog Pravilnika koje su dospjele su one obveze iz poslovanja, financiranja i pružanja i/ili obavljanja investicijskih usluga i aktivnosti u svezi s financijskim instrumentima koje su dospjele za plaćanje na dan za koji se izračunava pokazatelj likvidnosti.</w:t>
      </w:r>
    </w:p>
    <w:p w14:paraId="70D1D1F6" w14:textId="77777777" w:rsidR="00702CBF" w:rsidRPr="005F18BF" w:rsidRDefault="00702CBF" w:rsidP="005F18BF">
      <w:pPr>
        <w:pStyle w:val="Heading2"/>
        <w:jc w:val="both"/>
        <w:rPr>
          <w:rFonts w:ascii="Arial" w:hAnsi="Arial" w:cs="Arial"/>
          <w:color w:val="auto"/>
          <w:sz w:val="22"/>
          <w:szCs w:val="22"/>
          <w:lang w:eastAsia="hr-HR"/>
        </w:rPr>
      </w:pPr>
    </w:p>
    <w:p w14:paraId="0958ACA1" w14:textId="2520C628"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Obveze in</w:t>
      </w:r>
      <w:r w:rsidR="007F05CD" w:rsidRPr="005F18BF">
        <w:rPr>
          <w:rFonts w:ascii="Arial" w:hAnsi="Arial" w:cs="Arial"/>
          <w:color w:val="auto"/>
          <w:sz w:val="22"/>
          <w:szCs w:val="22"/>
          <w:lang w:eastAsia="hr-HR"/>
        </w:rPr>
        <w:t>v</w:t>
      </w:r>
      <w:r w:rsidR="004C15E5" w:rsidRPr="005F18BF">
        <w:rPr>
          <w:rFonts w:ascii="Arial" w:hAnsi="Arial" w:cs="Arial"/>
          <w:color w:val="auto"/>
          <w:sz w:val="22"/>
          <w:szCs w:val="22"/>
          <w:lang w:eastAsia="hr-HR"/>
        </w:rPr>
        <w:t>esticijskog društva iz članka 3</w:t>
      </w:r>
      <w:r w:rsidR="00B00AB9" w:rsidRPr="005F18BF">
        <w:rPr>
          <w:rFonts w:ascii="Arial" w:hAnsi="Arial" w:cs="Arial"/>
          <w:color w:val="auto"/>
          <w:sz w:val="22"/>
          <w:szCs w:val="22"/>
          <w:lang w:eastAsia="hr-HR"/>
        </w:rPr>
        <w:t>3</w:t>
      </w:r>
      <w:r w:rsidRPr="005F18BF">
        <w:rPr>
          <w:rFonts w:ascii="Arial" w:hAnsi="Arial" w:cs="Arial"/>
          <w:color w:val="auto"/>
          <w:sz w:val="22"/>
          <w:szCs w:val="22"/>
          <w:lang w:eastAsia="hr-HR"/>
        </w:rPr>
        <w:t>. ovog Pravilnika koje uskoro dospijevaju su one obveze iz poslovanja, financiranja i pružanja i/ili obavljanja investicijskih usluga i aktivnosti u svezi s financijskim instrumentima koje će dospjeti u roku pet (5) radnih dana ili ih je moguće opozvati u roku pet (5) dana od dana za koji se izračunava pokazatelj likvidnosti.</w:t>
      </w:r>
    </w:p>
    <w:p w14:paraId="716ADE9A" w14:textId="77777777" w:rsidR="00702CBF" w:rsidRPr="005F18BF" w:rsidRDefault="00702CBF" w:rsidP="005F18BF">
      <w:pPr>
        <w:pStyle w:val="Heading2"/>
        <w:jc w:val="both"/>
        <w:rPr>
          <w:rFonts w:ascii="Arial" w:hAnsi="Arial" w:cs="Arial"/>
          <w:color w:val="auto"/>
          <w:sz w:val="22"/>
          <w:szCs w:val="22"/>
          <w:lang w:eastAsia="hr-HR"/>
        </w:rPr>
      </w:pPr>
    </w:p>
    <w:p w14:paraId="29E3536A"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U obveze iz stavka 1. i 2. ovog članka ubrajaju se i bilančne i izvanbilančne obveze koje nisu opozive, a povezane su s izdatkom odnosno obvezama iz terminskih poslova i danih garancija.</w:t>
      </w:r>
    </w:p>
    <w:p w14:paraId="1978765D" w14:textId="77777777" w:rsidR="00702CBF" w:rsidRPr="005F18BF" w:rsidRDefault="00702CBF" w:rsidP="005F18BF">
      <w:pPr>
        <w:pStyle w:val="Heading2"/>
        <w:jc w:val="both"/>
        <w:rPr>
          <w:rFonts w:ascii="Arial" w:hAnsi="Arial" w:cs="Arial"/>
          <w:color w:val="auto"/>
          <w:sz w:val="22"/>
          <w:szCs w:val="22"/>
          <w:lang w:eastAsia="hr-HR"/>
        </w:rPr>
      </w:pPr>
    </w:p>
    <w:p w14:paraId="1103C275"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Obveze iz stavka 1. i 2. ovog članka čine i svi drugi odgođeni izdaci koji nisu iskazani kao obveza u bilanci stanja, ali za koje je izvjesno da će nastupiti u roku jednog (1) dana.</w:t>
      </w:r>
    </w:p>
    <w:p w14:paraId="299F8F5E" w14:textId="77777777" w:rsidR="00702CBF" w:rsidRPr="005F18BF" w:rsidRDefault="00702CBF" w:rsidP="005F18BF">
      <w:pPr>
        <w:pStyle w:val="Heading2"/>
        <w:jc w:val="both"/>
        <w:rPr>
          <w:rFonts w:ascii="Arial" w:hAnsi="Arial" w:cs="Arial"/>
          <w:color w:val="auto"/>
          <w:sz w:val="22"/>
          <w:szCs w:val="22"/>
          <w:lang w:eastAsia="hr-HR"/>
        </w:rPr>
      </w:pPr>
    </w:p>
    <w:p w14:paraId="5847B7C7" w14:textId="0CD53F81"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(5) U dospjelim obvezama investicijsko društvo dužno je prikazati i sve dospjele obveze po osnovi kupnje vrijednosnih papira za klijenta, a za koje klijent nije doznačio novčana sredstva.</w:t>
      </w:r>
    </w:p>
    <w:p w14:paraId="6BF1E8B7" w14:textId="77777777" w:rsidR="007F05CD" w:rsidRPr="005F18BF" w:rsidRDefault="007F05CD" w:rsidP="005F18BF">
      <w:pPr>
        <w:pStyle w:val="Heading2"/>
        <w:jc w:val="both"/>
        <w:rPr>
          <w:rFonts w:ascii="Arial" w:hAnsi="Arial" w:cs="Arial"/>
          <w:color w:val="auto"/>
          <w:sz w:val="22"/>
          <w:szCs w:val="22"/>
          <w:lang w:eastAsia="hr-HR"/>
        </w:rPr>
      </w:pPr>
    </w:p>
    <w:p w14:paraId="52622CC0" w14:textId="706D7FA9" w:rsidR="00323433" w:rsidRPr="00D07ACB" w:rsidRDefault="007F05CD" w:rsidP="00D07ACB">
      <w:pPr>
        <w:pStyle w:val="Heading1"/>
        <w:jc w:val="center"/>
        <w:rPr>
          <w:rFonts w:ascii="Arial" w:hAnsi="Arial" w:cs="Arial"/>
          <w:b w:val="0"/>
          <w:sz w:val="22"/>
          <w:szCs w:val="22"/>
        </w:rPr>
      </w:pPr>
      <w:r w:rsidRPr="00D07ACB">
        <w:rPr>
          <w:rFonts w:ascii="Arial" w:hAnsi="Arial" w:cs="Arial"/>
          <w:b w:val="0"/>
          <w:sz w:val="22"/>
          <w:szCs w:val="22"/>
        </w:rPr>
        <w:t>Vrednovanje stavki likvidnih sredstava i obveza</w:t>
      </w:r>
    </w:p>
    <w:p w14:paraId="1B5BAB54" w14:textId="755EA254" w:rsidR="00323433" w:rsidRPr="00D07ACB" w:rsidRDefault="004C15E5" w:rsidP="00D07ACB">
      <w:pPr>
        <w:pStyle w:val="Heading2"/>
        <w:jc w:val="center"/>
        <w:rPr>
          <w:rFonts w:ascii="Arial" w:hAnsi="Arial" w:cs="Arial"/>
          <w:color w:val="auto"/>
          <w:sz w:val="22"/>
          <w:szCs w:val="22"/>
          <w:lang w:eastAsia="hr-HR"/>
        </w:rPr>
      </w:pPr>
      <w:r w:rsidRPr="00D07ACB">
        <w:rPr>
          <w:rFonts w:ascii="Arial" w:hAnsi="Arial" w:cs="Arial"/>
          <w:color w:val="auto"/>
          <w:sz w:val="22"/>
          <w:szCs w:val="22"/>
          <w:lang w:eastAsia="hr-HR"/>
        </w:rPr>
        <w:lastRenderedPageBreak/>
        <w:t>Članak 3</w:t>
      </w:r>
      <w:r w:rsidR="00B00AB9" w:rsidRPr="00D07ACB">
        <w:rPr>
          <w:rFonts w:ascii="Arial" w:hAnsi="Arial" w:cs="Arial"/>
          <w:color w:val="auto"/>
          <w:sz w:val="22"/>
          <w:szCs w:val="22"/>
          <w:lang w:eastAsia="hr-HR"/>
        </w:rPr>
        <w:t>6</w:t>
      </w:r>
      <w:r w:rsidR="00323433" w:rsidRPr="00D07ACB">
        <w:rPr>
          <w:rFonts w:ascii="Arial" w:hAnsi="Arial" w:cs="Arial"/>
          <w:color w:val="auto"/>
          <w:sz w:val="22"/>
          <w:szCs w:val="22"/>
          <w:lang w:eastAsia="hr-HR"/>
        </w:rPr>
        <w:t>.</w:t>
      </w:r>
    </w:p>
    <w:p w14:paraId="453C53FA" w14:textId="77777777" w:rsidR="007F05CD" w:rsidRPr="005F18BF" w:rsidRDefault="007F05CD" w:rsidP="005F18BF">
      <w:pPr>
        <w:pStyle w:val="Heading2"/>
        <w:jc w:val="both"/>
        <w:rPr>
          <w:rFonts w:ascii="Arial" w:hAnsi="Arial" w:cs="Arial"/>
          <w:color w:val="auto"/>
          <w:sz w:val="22"/>
          <w:szCs w:val="22"/>
          <w:lang w:eastAsia="hr-HR"/>
        </w:rPr>
      </w:pPr>
    </w:p>
    <w:p w14:paraId="26C8665F" w14:textId="1CFC8660"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Za potrebe izračuna pokazatelja likvidnosti stavke likvidnih sredstava i stavke obveza iskazuju se po knjigovodstvenoj vrijednosti sukladno primjeni odgovarajućih računovodstvenih standarda.</w:t>
      </w:r>
    </w:p>
    <w:p w14:paraId="1EBBC793" w14:textId="77777777" w:rsidR="007F05CD" w:rsidRPr="005F18BF" w:rsidRDefault="007F05CD" w:rsidP="005F18BF">
      <w:pPr>
        <w:pStyle w:val="Heading2"/>
        <w:jc w:val="both"/>
        <w:rPr>
          <w:rFonts w:ascii="Arial" w:hAnsi="Arial" w:cs="Arial"/>
          <w:color w:val="auto"/>
          <w:sz w:val="22"/>
          <w:szCs w:val="22"/>
          <w:lang w:eastAsia="hr-HR"/>
        </w:rPr>
      </w:pPr>
    </w:p>
    <w:p w14:paraId="710C0E78" w14:textId="5EF9A04C" w:rsidR="00323433" w:rsidRPr="00D07ACB" w:rsidRDefault="007F05CD" w:rsidP="00D07ACB">
      <w:pPr>
        <w:pStyle w:val="Heading1"/>
        <w:jc w:val="center"/>
        <w:rPr>
          <w:rFonts w:ascii="Arial" w:hAnsi="Arial" w:cs="Arial"/>
          <w:b w:val="0"/>
          <w:sz w:val="22"/>
          <w:szCs w:val="22"/>
        </w:rPr>
      </w:pPr>
      <w:r w:rsidRPr="00D07ACB">
        <w:rPr>
          <w:rFonts w:ascii="Arial" w:hAnsi="Arial" w:cs="Arial"/>
          <w:b w:val="0"/>
          <w:sz w:val="22"/>
          <w:szCs w:val="22"/>
        </w:rPr>
        <w:t>Izračunavanje pokazatelja likvidnosti i opsega likvidnosti</w:t>
      </w:r>
    </w:p>
    <w:p w14:paraId="76940821" w14:textId="133AECE2" w:rsidR="00323433" w:rsidRPr="00D07ACB" w:rsidRDefault="007F05CD" w:rsidP="00D07ACB">
      <w:pPr>
        <w:pStyle w:val="Heading2"/>
        <w:jc w:val="center"/>
        <w:rPr>
          <w:rFonts w:ascii="Arial" w:hAnsi="Arial" w:cs="Arial"/>
          <w:color w:val="auto"/>
          <w:sz w:val="22"/>
          <w:szCs w:val="22"/>
          <w:lang w:eastAsia="hr-HR"/>
        </w:rPr>
      </w:pPr>
      <w:r w:rsidRPr="00D07ACB">
        <w:rPr>
          <w:rFonts w:ascii="Arial" w:hAnsi="Arial" w:cs="Arial"/>
          <w:color w:val="auto"/>
          <w:sz w:val="22"/>
          <w:szCs w:val="22"/>
          <w:lang w:eastAsia="hr-HR"/>
        </w:rPr>
        <w:t>Članak</w:t>
      </w:r>
      <w:r w:rsidR="004C15E5" w:rsidRPr="00D07ACB">
        <w:rPr>
          <w:rFonts w:ascii="Arial" w:hAnsi="Arial" w:cs="Arial"/>
          <w:color w:val="auto"/>
          <w:sz w:val="22"/>
          <w:szCs w:val="22"/>
          <w:lang w:eastAsia="hr-HR"/>
        </w:rPr>
        <w:t xml:space="preserve"> 3</w:t>
      </w:r>
      <w:r w:rsidR="00B00AB9" w:rsidRPr="00D07ACB">
        <w:rPr>
          <w:rFonts w:ascii="Arial" w:hAnsi="Arial" w:cs="Arial"/>
          <w:color w:val="auto"/>
          <w:sz w:val="22"/>
          <w:szCs w:val="22"/>
          <w:lang w:eastAsia="hr-HR"/>
        </w:rPr>
        <w:t>7</w:t>
      </w:r>
      <w:r w:rsidR="00323433" w:rsidRPr="00D07ACB">
        <w:rPr>
          <w:rFonts w:ascii="Arial" w:hAnsi="Arial" w:cs="Arial"/>
          <w:color w:val="auto"/>
          <w:sz w:val="22"/>
          <w:szCs w:val="22"/>
          <w:lang w:eastAsia="hr-HR"/>
        </w:rPr>
        <w:t>.</w:t>
      </w:r>
    </w:p>
    <w:p w14:paraId="25443F0B" w14:textId="77777777" w:rsidR="007F05CD" w:rsidRPr="005F18BF" w:rsidRDefault="007F05CD" w:rsidP="005F18BF">
      <w:pPr>
        <w:pStyle w:val="Heading2"/>
        <w:jc w:val="both"/>
        <w:rPr>
          <w:rFonts w:ascii="Arial" w:hAnsi="Arial" w:cs="Arial"/>
          <w:color w:val="auto"/>
          <w:sz w:val="22"/>
          <w:szCs w:val="22"/>
          <w:lang w:eastAsia="hr-HR"/>
        </w:rPr>
      </w:pPr>
    </w:p>
    <w:p w14:paraId="2808C19E" w14:textId="532D6D3D"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Investicijsko društvo svaki radni dan utvrđuje opseg likvidnosti iz čl</w:t>
      </w:r>
      <w:r w:rsidR="004C15E5" w:rsidRPr="005F18BF">
        <w:rPr>
          <w:rFonts w:ascii="Arial" w:hAnsi="Arial" w:cs="Arial"/>
          <w:color w:val="auto"/>
          <w:sz w:val="22"/>
          <w:szCs w:val="22"/>
          <w:lang w:eastAsia="hr-HR"/>
        </w:rPr>
        <w:t>anka 3</w:t>
      </w:r>
      <w:r w:rsidR="00B00AB9" w:rsidRPr="005F18BF">
        <w:rPr>
          <w:rFonts w:ascii="Arial" w:hAnsi="Arial" w:cs="Arial"/>
          <w:color w:val="auto"/>
          <w:sz w:val="22"/>
          <w:szCs w:val="22"/>
          <w:lang w:eastAsia="hr-HR"/>
        </w:rPr>
        <w:t>4</w:t>
      </w:r>
      <w:r w:rsidRPr="005F18BF">
        <w:rPr>
          <w:rFonts w:ascii="Arial" w:hAnsi="Arial" w:cs="Arial"/>
          <w:color w:val="auto"/>
          <w:sz w:val="22"/>
          <w:szCs w:val="22"/>
          <w:lang w:eastAsia="hr-HR"/>
        </w:rPr>
        <w:t xml:space="preserve">. ovog Pravilnika, dospjele obveze i obveze koje uskoro dospijevaju iz članka </w:t>
      </w:r>
      <w:r w:rsidR="00B25F9A" w:rsidRPr="005F18BF">
        <w:rPr>
          <w:rFonts w:ascii="Arial" w:hAnsi="Arial" w:cs="Arial"/>
          <w:color w:val="auto"/>
          <w:sz w:val="22"/>
          <w:szCs w:val="22"/>
          <w:lang w:eastAsia="hr-HR"/>
        </w:rPr>
        <w:t>3</w:t>
      </w:r>
      <w:r w:rsidR="00B00AB9" w:rsidRPr="005F18BF">
        <w:rPr>
          <w:rFonts w:ascii="Arial" w:hAnsi="Arial" w:cs="Arial"/>
          <w:color w:val="auto"/>
          <w:sz w:val="22"/>
          <w:szCs w:val="22"/>
          <w:lang w:eastAsia="hr-HR"/>
        </w:rPr>
        <w:t>5</w:t>
      </w:r>
      <w:r w:rsidR="00B25F9A" w:rsidRPr="005F18BF">
        <w:rPr>
          <w:rFonts w:ascii="Arial" w:hAnsi="Arial" w:cs="Arial"/>
          <w:color w:val="auto"/>
          <w:sz w:val="22"/>
          <w:szCs w:val="22"/>
          <w:lang w:eastAsia="hr-HR"/>
        </w:rPr>
        <w:t>.</w:t>
      </w:r>
      <w:r w:rsidRPr="005F18BF">
        <w:rPr>
          <w:rFonts w:ascii="Arial" w:hAnsi="Arial" w:cs="Arial"/>
          <w:color w:val="auto"/>
          <w:sz w:val="22"/>
          <w:szCs w:val="22"/>
          <w:lang w:eastAsia="hr-HR"/>
        </w:rPr>
        <w:t xml:space="preserve"> ovoga Pravilnika te izračunava po</w:t>
      </w:r>
      <w:r w:rsidR="00FB09EB" w:rsidRPr="005F18BF">
        <w:rPr>
          <w:rFonts w:ascii="Arial" w:hAnsi="Arial" w:cs="Arial"/>
          <w:color w:val="auto"/>
          <w:sz w:val="22"/>
          <w:szCs w:val="22"/>
          <w:lang w:eastAsia="hr-HR"/>
        </w:rPr>
        <w:t>k</w:t>
      </w:r>
      <w:r w:rsidR="004C15E5" w:rsidRPr="005F18BF">
        <w:rPr>
          <w:rFonts w:ascii="Arial" w:hAnsi="Arial" w:cs="Arial"/>
          <w:color w:val="auto"/>
          <w:sz w:val="22"/>
          <w:szCs w:val="22"/>
          <w:lang w:eastAsia="hr-HR"/>
        </w:rPr>
        <w:t>azatelj likvidnosti iz članka 3</w:t>
      </w:r>
      <w:r w:rsidR="00B00AB9" w:rsidRPr="005F18BF">
        <w:rPr>
          <w:rFonts w:ascii="Arial" w:hAnsi="Arial" w:cs="Arial"/>
          <w:color w:val="auto"/>
          <w:sz w:val="22"/>
          <w:szCs w:val="22"/>
          <w:lang w:eastAsia="hr-HR"/>
        </w:rPr>
        <w:t>3</w:t>
      </w:r>
      <w:r w:rsidRPr="005F18BF">
        <w:rPr>
          <w:rFonts w:ascii="Arial" w:hAnsi="Arial" w:cs="Arial"/>
          <w:color w:val="auto"/>
          <w:sz w:val="22"/>
          <w:szCs w:val="22"/>
          <w:lang w:eastAsia="hr-HR"/>
        </w:rPr>
        <w:t>. ovog Pravilnika.</w:t>
      </w:r>
    </w:p>
    <w:p w14:paraId="66B95ED7" w14:textId="77777777" w:rsidR="00702CBF" w:rsidRPr="005F18BF" w:rsidRDefault="00702CBF" w:rsidP="005F18BF">
      <w:pPr>
        <w:pStyle w:val="Heading2"/>
        <w:jc w:val="both"/>
        <w:rPr>
          <w:rFonts w:ascii="Arial" w:hAnsi="Arial" w:cs="Arial"/>
          <w:color w:val="auto"/>
          <w:sz w:val="22"/>
          <w:szCs w:val="22"/>
          <w:lang w:eastAsia="hr-HR"/>
        </w:rPr>
      </w:pPr>
    </w:p>
    <w:p w14:paraId="72F885F7" w14:textId="10C49EB8"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Investicijsko društvo dužno je svaki radni dan ujutro izračunavati pokazatelj li</w:t>
      </w:r>
      <w:r w:rsidR="004C15E5" w:rsidRPr="005F18BF">
        <w:rPr>
          <w:rFonts w:ascii="Arial" w:hAnsi="Arial" w:cs="Arial"/>
          <w:color w:val="auto"/>
          <w:sz w:val="22"/>
          <w:szCs w:val="22"/>
          <w:lang w:eastAsia="hr-HR"/>
        </w:rPr>
        <w:t>kvidnosti iz članka 3</w:t>
      </w:r>
      <w:r w:rsidR="00B00AB9" w:rsidRPr="005F18BF">
        <w:rPr>
          <w:rFonts w:ascii="Arial" w:hAnsi="Arial" w:cs="Arial"/>
          <w:color w:val="auto"/>
          <w:sz w:val="22"/>
          <w:szCs w:val="22"/>
          <w:lang w:eastAsia="hr-HR"/>
        </w:rPr>
        <w:t>3</w:t>
      </w:r>
      <w:r w:rsidRPr="005F18BF">
        <w:rPr>
          <w:rFonts w:ascii="Arial" w:hAnsi="Arial" w:cs="Arial"/>
          <w:color w:val="auto"/>
          <w:sz w:val="22"/>
          <w:szCs w:val="22"/>
          <w:lang w:eastAsia="hr-HR"/>
        </w:rPr>
        <w:t>. ovog Pravilnika.</w:t>
      </w:r>
    </w:p>
    <w:p w14:paraId="3AFCB549" w14:textId="77777777" w:rsidR="007F05CD" w:rsidRPr="005F18BF" w:rsidRDefault="007F05CD" w:rsidP="005F18BF">
      <w:pPr>
        <w:pStyle w:val="Heading2"/>
        <w:jc w:val="both"/>
        <w:rPr>
          <w:rFonts w:ascii="Arial" w:hAnsi="Arial" w:cs="Arial"/>
          <w:color w:val="auto"/>
          <w:sz w:val="22"/>
          <w:szCs w:val="22"/>
          <w:lang w:eastAsia="hr-HR"/>
        </w:rPr>
      </w:pPr>
    </w:p>
    <w:p w14:paraId="43383E14" w14:textId="252864E2" w:rsidR="00323433" w:rsidRPr="00D07ACB" w:rsidRDefault="00FB09EB" w:rsidP="00D07ACB">
      <w:pPr>
        <w:pStyle w:val="Heading1"/>
        <w:jc w:val="center"/>
        <w:rPr>
          <w:rFonts w:ascii="Arial" w:hAnsi="Arial" w:cs="Arial"/>
          <w:b w:val="0"/>
          <w:sz w:val="22"/>
          <w:szCs w:val="22"/>
        </w:rPr>
      </w:pPr>
      <w:r w:rsidRPr="00D07ACB">
        <w:rPr>
          <w:rFonts w:ascii="Arial" w:hAnsi="Arial" w:cs="Arial"/>
          <w:b w:val="0"/>
          <w:sz w:val="22"/>
          <w:szCs w:val="22"/>
        </w:rPr>
        <w:t>Izvještavanje o nemogućnosti izvršenja dospjelih novčanih obveza u/po njihovom dospijeću</w:t>
      </w:r>
    </w:p>
    <w:p w14:paraId="5FB26E17" w14:textId="6209BF59" w:rsidR="00323433" w:rsidRPr="00D07ACB" w:rsidRDefault="004C15E5" w:rsidP="00D07ACB">
      <w:pPr>
        <w:pStyle w:val="Heading2"/>
        <w:jc w:val="center"/>
        <w:rPr>
          <w:rFonts w:ascii="Arial" w:hAnsi="Arial" w:cs="Arial"/>
          <w:color w:val="auto"/>
          <w:sz w:val="22"/>
          <w:szCs w:val="22"/>
          <w:lang w:eastAsia="hr-HR"/>
        </w:rPr>
      </w:pPr>
      <w:r w:rsidRPr="00D07ACB">
        <w:rPr>
          <w:rFonts w:ascii="Arial" w:hAnsi="Arial" w:cs="Arial"/>
          <w:color w:val="auto"/>
          <w:sz w:val="22"/>
          <w:szCs w:val="22"/>
          <w:lang w:eastAsia="hr-HR"/>
        </w:rPr>
        <w:t>Članak 3</w:t>
      </w:r>
      <w:r w:rsidR="00B00AB9" w:rsidRPr="00D07ACB">
        <w:rPr>
          <w:rFonts w:ascii="Arial" w:hAnsi="Arial" w:cs="Arial"/>
          <w:color w:val="auto"/>
          <w:sz w:val="22"/>
          <w:szCs w:val="22"/>
          <w:lang w:eastAsia="hr-HR"/>
        </w:rPr>
        <w:t>8</w:t>
      </w:r>
      <w:r w:rsidR="00323433" w:rsidRPr="00D07ACB">
        <w:rPr>
          <w:rFonts w:ascii="Arial" w:hAnsi="Arial" w:cs="Arial"/>
          <w:color w:val="auto"/>
          <w:sz w:val="22"/>
          <w:szCs w:val="22"/>
          <w:lang w:eastAsia="hr-HR"/>
        </w:rPr>
        <w:t>.</w:t>
      </w:r>
    </w:p>
    <w:p w14:paraId="03C84AAD" w14:textId="77777777" w:rsidR="00FB09EB" w:rsidRPr="005F18BF" w:rsidRDefault="00FB09EB" w:rsidP="005F18BF">
      <w:pPr>
        <w:pStyle w:val="Heading2"/>
        <w:jc w:val="both"/>
        <w:rPr>
          <w:rFonts w:ascii="Arial" w:hAnsi="Arial" w:cs="Arial"/>
          <w:color w:val="auto"/>
          <w:sz w:val="22"/>
          <w:szCs w:val="22"/>
          <w:lang w:eastAsia="hr-HR"/>
        </w:rPr>
      </w:pPr>
    </w:p>
    <w:p w14:paraId="5B36469D" w14:textId="48A5C00C"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(1) Investicijsko društvo obvezno je </w:t>
      </w:r>
      <w:r w:rsidR="00A22C2A" w:rsidRPr="005F18BF">
        <w:rPr>
          <w:rFonts w:ascii="Arial" w:hAnsi="Arial" w:cs="Arial"/>
          <w:color w:val="auto"/>
          <w:sz w:val="22"/>
          <w:szCs w:val="22"/>
          <w:lang w:eastAsia="hr-HR"/>
        </w:rPr>
        <w:t>Hanfu</w:t>
      </w:r>
      <w:r w:rsidRPr="005F18BF">
        <w:rPr>
          <w:rFonts w:ascii="Arial" w:hAnsi="Arial" w:cs="Arial"/>
          <w:color w:val="auto"/>
          <w:sz w:val="22"/>
          <w:szCs w:val="22"/>
          <w:lang w:eastAsia="hr-HR"/>
        </w:rPr>
        <w:t xml:space="preserve"> obavijestiti u roku od 24 sata od nastupa svakog pojedinačnog zakašnjenja plaćanja dospjelih obveza.</w:t>
      </w:r>
    </w:p>
    <w:p w14:paraId="0BF0A87D" w14:textId="77777777" w:rsidR="00702CBF" w:rsidRPr="005F18BF" w:rsidRDefault="00702CBF" w:rsidP="005F18BF">
      <w:pPr>
        <w:pStyle w:val="Heading2"/>
        <w:jc w:val="both"/>
        <w:rPr>
          <w:rFonts w:ascii="Arial" w:hAnsi="Arial" w:cs="Arial"/>
          <w:color w:val="auto"/>
          <w:sz w:val="22"/>
          <w:szCs w:val="22"/>
          <w:lang w:eastAsia="hr-HR"/>
        </w:rPr>
      </w:pPr>
    </w:p>
    <w:p w14:paraId="4C3FE235" w14:textId="0AB6CFCD"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(2) Obavijest iz stavka 1. ovog članka mora sadržavati ukupan iznos dospjelih neplaćenih obveza investicijskog društva razlikujući obveze s osnova plaćanja financijskih instrumenata od drugih obveza, razloge kašnjenja plaćanja, mjere i postupke koje će investicijsko društvo provesti radi otklanjanja nesposobnosti plaćanja. Obavijest se šalje </w:t>
      </w:r>
      <w:r w:rsidR="00A22C2A" w:rsidRPr="005F18BF">
        <w:rPr>
          <w:rFonts w:ascii="Arial" w:hAnsi="Arial" w:cs="Arial"/>
          <w:color w:val="auto"/>
          <w:sz w:val="22"/>
          <w:szCs w:val="22"/>
          <w:lang w:eastAsia="hr-HR"/>
        </w:rPr>
        <w:t>Hanfi</w:t>
      </w:r>
      <w:r w:rsidRPr="005F18BF">
        <w:rPr>
          <w:rFonts w:ascii="Arial" w:hAnsi="Arial" w:cs="Arial"/>
          <w:color w:val="auto"/>
          <w:sz w:val="22"/>
          <w:szCs w:val="22"/>
          <w:lang w:eastAsia="hr-HR"/>
        </w:rPr>
        <w:t xml:space="preserve"> na mail adresu: investment.firms@hanfa.hr.</w:t>
      </w:r>
    </w:p>
    <w:p w14:paraId="43B56606" w14:textId="77777777" w:rsidR="00702CBF" w:rsidRPr="005F18BF" w:rsidRDefault="00702CBF" w:rsidP="005F18BF">
      <w:pPr>
        <w:pStyle w:val="Heading2"/>
        <w:jc w:val="both"/>
        <w:rPr>
          <w:rFonts w:ascii="Arial" w:hAnsi="Arial" w:cs="Arial"/>
          <w:color w:val="auto"/>
          <w:sz w:val="22"/>
          <w:szCs w:val="22"/>
          <w:lang w:eastAsia="hr-HR"/>
        </w:rPr>
      </w:pPr>
    </w:p>
    <w:p w14:paraId="49D5D7AE" w14:textId="00010A09"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Uz obavijest iz stavka 1. ovoga članka, investicijsko društvo mora priložiti izračun opsega likvidnosti i pokazatelja likvidnosti na Obrascu 1. iz Priloga ovog Pravilnika.</w:t>
      </w:r>
    </w:p>
    <w:p w14:paraId="42EAA767" w14:textId="77777777" w:rsidR="00A22C2A" w:rsidRPr="005F18BF" w:rsidRDefault="00A22C2A" w:rsidP="005F18BF">
      <w:pPr>
        <w:pStyle w:val="Heading2"/>
        <w:jc w:val="both"/>
        <w:rPr>
          <w:rFonts w:ascii="Arial" w:hAnsi="Arial" w:cs="Arial"/>
          <w:color w:val="auto"/>
          <w:sz w:val="22"/>
          <w:szCs w:val="22"/>
          <w:lang w:eastAsia="hr-HR"/>
        </w:rPr>
      </w:pPr>
    </w:p>
    <w:p w14:paraId="2BC0128B" w14:textId="54D8246E" w:rsidR="00323433" w:rsidRPr="00A51E31" w:rsidRDefault="00A22C2A" w:rsidP="00A51E31">
      <w:pPr>
        <w:pStyle w:val="Heading1"/>
        <w:jc w:val="center"/>
        <w:rPr>
          <w:rFonts w:ascii="Arial" w:hAnsi="Arial" w:cs="Arial"/>
          <w:b w:val="0"/>
          <w:sz w:val="22"/>
          <w:szCs w:val="22"/>
        </w:rPr>
      </w:pPr>
      <w:r w:rsidRPr="00A51E31">
        <w:rPr>
          <w:rFonts w:ascii="Arial" w:hAnsi="Arial" w:cs="Arial"/>
          <w:b w:val="0"/>
          <w:sz w:val="22"/>
          <w:szCs w:val="22"/>
        </w:rPr>
        <w:t>Izvještavanje o pokazatelju likvidnosti</w:t>
      </w:r>
    </w:p>
    <w:p w14:paraId="02941A4B" w14:textId="2AFEB69D" w:rsidR="00323433" w:rsidRPr="00A51E31" w:rsidRDefault="004C15E5" w:rsidP="00A51E31">
      <w:pPr>
        <w:pStyle w:val="Heading2"/>
        <w:jc w:val="center"/>
        <w:rPr>
          <w:rFonts w:ascii="Arial" w:hAnsi="Arial" w:cs="Arial"/>
          <w:color w:val="auto"/>
          <w:sz w:val="22"/>
          <w:szCs w:val="22"/>
          <w:lang w:eastAsia="hr-HR"/>
        </w:rPr>
      </w:pPr>
      <w:r w:rsidRPr="00A51E31">
        <w:rPr>
          <w:rFonts w:ascii="Arial" w:hAnsi="Arial" w:cs="Arial"/>
          <w:color w:val="auto"/>
          <w:sz w:val="22"/>
          <w:szCs w:val="22"/>
          <w:lang w:eastAsia="hr-HR"/>
        </w:rPr>
        <w:lastRenderedPageBreak/>
        <w:t>Članak 3</w:t>
      </w:r>
      <w:r w:rsidR="00B00AB9" w:rsidRPr="00A51E31">
        <w:rPr>
          <w:rFonts w:ascii="Arial" w:hAnsi="Arial" w:cs="Arial"/>
          <w:color w:val="auto"/>
          <w:sz w:val="22"/>
          <w:szCs w:val="22"/>
          <w:lang w:eastAsia="hr-HR"/>
        </w:rPr>
        <w:t>9</w:t>
      </w:r>
      <w:r w:rsidR="00323433" w:rsidRPr="00A51E31">
        <w:rPr>
          <w:rFonts w:ascii="Arial" w:hAnsi="Arial" w:cs="Arial"/>
          <w:color w:val="auto"/>
          <w:sz w:val="22"/>
          <w:szCs w:val="22"/>
          <w:lang w:eastAsia="hr-HR"/>
        </w:rPr>
        <w:t>.</w:t>
      </w:r>
    </w:p>
    <w:p w14:paraId="74378E07" w14:textId="77777777" w:rsidR="00A22C2A" w:rsidRPr="005F18BF" w:rsidRDefault="00A22C2A" w:rsidP="005F18BF">
      <w:pPr>
        <w:pStyle w:val="Heading2"/>
        <w:jc w:val="both"/>
        <w:rPr>
          <w:rFonts w:ascii="Arial" w:hAnsi="Arial" w:cs="Arial"/>
          <w:color w:val="auto"/>
          <w:sz w:val="22"/>
          <w:szCs w:val="22"/>
          <w:lang w:eastAsia="hr-HR"/>
        </w:rPr>
      </w:pPr>
    </w:p>
    <w:p w14:paraId="06C160C7" w14:textId="28A685EA"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(1) Investicijsko društvo izvještava </w:t>
      </w:r>
      <w:r w:rsidR="00A22C2A" w:rsidRPr="005F18BF">
        <w:rPr>
          <w:rFonts w:ascii="Arial" w:hAnsi="Arial" w:cs="Arial"/>
          <w:color w:val="auto"/>
          <w:sz w:val="22"/>
          <w:szCs w:val="22"/>
          <w:lang w:eastAsia="hr-HR"/>
        </w:rPr>
        <w:t>Hanfu</w:t>
      </w:r>
      <w:r w:rsidRPr="005F18BF">
        <w:rPr>
          <w:rFonts w:ascii="Arial" w:hAnsi="Arial" w:cs="Arial"/>
          <w:color w:val="auto"/>
          <w:sz w:val="22"/>
          <w:szCs w:val="22"/>
          <w:lang w:eastAsia="hr-HR"/>
        </w:rPr>
        <w:t xml:space="preserve"> o pokazatelju likvidnosti i opsegu likvidnosti za sve radne dane proteklog mjeseca do </w:t>
      </w:r>
      <w:r w:rsidR="00472BA3" w:rsidRPr="005F18BF">
        <w:rPr>
          <w:rFonts w:ascii="Arial" w:hAnsi="Arial" w:cs="Arial"/>
          <w:color w:val="auto"/>
          <w:sz w:val="22"/>
          <w:szCs w:val="22"/>
          <w:lang w:eastAsia="hr-HR"/>
        </w:rPr>
        <w:t>10</w:t>
      </w:r>
      <w:r w:rsidRPr="005F18BF">
        <w:rPr>
          <w:rFonts w:ascii="Arial" w:hAnsi="Arial" w:cs="Arial"/>
          <w:color w:val="auto"/>
          <w:sz w:val="22"/>
          <w:szCs w:val="22"/>
          <w:lang w:eastAsia="hr-HR"/>
        </w:rPr>
        <w:t>. kalendarskog dana u tekućem mjesecu.</w:t>
      </w:r>
    </w:p>
    <w:p w14:paraId="3B16B4A7" w14:textId="77777777" w:rsidR="00702CBF" w:rsidRPr="005F18BF" w:rsidRDefault="00702CBF" w:rsidP="005F18BF">
      <w:pPr>
        <w:pStyle w:val="Heading2"/>
        <w:jc w:val="both"/>
        <w:rPr>
          <w:rFonts w:ascii="Arial" w:hAnsi="Arial" w:cs="Arial"/>
          <w:color w:val="auto"/>
          <w:sz w:val="22"/>
          <w:szCs w:val="22"/>
          <w:lang w:eastAsia="hr-HR"/>
        </w:rPr>
      </w:pPr>
    </w:p>
    <w:p w14:paraId="43AA683E" w14:textId="3D170311"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(2) Obveza izvještavanja iz stavka 1. ovoga članka odnosi se na dostavu Obrasca 1 i Obrasca 2 iz Priloga ovog Pravilnika u elektroničkom obliku potpisanim naprednim elektroničkim potpisom u skladu s tehničkom uputom </w:t>
      </w:r>
      <w:r w:rsidR="00A22C2A" w:rsidRPr="005F18BF">
        <w:rPr>
          <w:rFonts w:ascii="Arial" w:hAnsi="Arial" w:cs="Arial"/>
          <w:color w:val="auto"/>
          <w:sz w:val="22"/>
          <w:szCs w:val="22"/>
          <w:lang w:eastAsia="hr-HR"/>
        </w:rPr>
        <w:t>Hanfe</w:t>
      </w:r>
      <w:r w:rsidRPr="005F18BF">
        <w:rPr>
          <w:rFonts w:ascii="Arial" w:hAnsi="Arial" w:cs="Arial"/>
          <w:color w:val="auto"/>
          <w:sz w:val="22"/>
          <w:szCs w:val="22"/>
          <w:lang w:eastAsia="hr-HR"/>
        </w:rPr>
        <w:t>.</w:t>
      </w:r>
    </w:p>
    <w:p w14:paraId="77E41191" w14:textId="77777777" w:rsidR="009F7794" w:rsidRPr="005F18BF" w:rsidRDefault="009F7794" w:rsidP="005F18BF">
      <w:pPr>
        <w:pStyle w:val="Heading2"/>
        <w:jc w:val="both"/>
        <w:rPr>
          <w:rFonts w:ascii="Arial" w:hAnsi="Arial" w:cs="Arial"/>
          <w:color w:val="auto"/>
          <w:sz w:val="22"/>
          <w:szCs w:val="22"/>
          <w:lang w:eastAsia="hr-HR"/>
        </w:rPr>
      </w:pPr>
    </w:p>
    <w:p w14:paraId="7B6DFAF6" w14:textId="2D4FDE8E"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(3) Smatra se da je investicijsko društvo ispunilo obvezu iz ovog stavka u trenutku kada je izvještaj prihvaćen na poslužitelju </w:t>
      </w:r>
      <w:r w:rsidR="00A22C2A" w:rsidRPr="005F18BF">
        <w:rPr>
          <w:rFonts w:ascii="Arial" w:hAnsi="Arial" w:cs="Arial"/>
          <w:color w:val="auto"/>
          <w:sz w:val="22"/>
          <w:szCs w:val="22"/>
          <w:lang w:eastAsia="hr-HR"/>
        </w:rPr>
        <w:t>Hanfe</w:t>
      </w:r>
      <w:r w:rsidRPr="005F18BF">
        <w:rPr>
          <w:rFonts w:ascii="Arial" w:hAnsi="Arial" w:cs="Arial"/>
          <w:color w:val="auto"/>
          <w:sz w:val="22"/>
          <w:szCs w:val="22"/>
          <w:lang w:eastAsia="hr-HR"/>
        </w:rPr>
        <w:t xml:space="preserve"> za zaprimanje izvještaja.</w:t>
      </w:r>
    </w:p>
    <w:p w14:paraId="075471DF" w14:textId="77777777" w:rsidR="009F7794" w:rsidRPr="005F18BF" w:rsidRDefault="009F7794" w:rsidP="005F18BF">
      <w:pPr>
        <w:pStyle w:val="Heading2"/>
        <w:jc w:val="both"/>
        <w:rPr>
          <w:rFonts w:ascii="Arial" w:hAnsi="Arial" w:cs="Arial"/>
          <w:color w:val="auto"/>
          <w:sz w:val="22"/>
          <w:szCs w:val="22"/>
          <w:lang w:eastAsia="hr-HR"/>
        </w:rPr>
      </w:pPr>
    </w:p>
    <w:p w14:paraId="4541A83A" w14:textId="2E188751"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(4) U opravdanim slučajevima nemogućnosti dostave u elektroničkom obliku, investicijsko društvo dužno je u propisanom roku dostaviti izvještaje u pisanom obliku, neposredno ili poštom u svrhu pravodobnog </w:t>
      </w:r>
      <w:r w:rsidR="00C82D78" w:rsidRPr="005F18BF">
        <w:rPr>
          <w:rFonts w:ascii="Arial" w:hAnsi="Arial" w:cs="Arial"/>
          <w:color w:val="auto"/>
          <w:sz w:val="22"/>
          <w:szCs w:val="22"/>
          <w:lang w:eastAsia="hr-HR"/>
        </w:rPr>
        <w:t>izvještavanja</w:t>
      </w:r>
      <w:r w:rsidRPr="005F18BF">
        <w:rPr>
          <w:rFonts w:ascii="Arial" w:hAnsi="Arial" w:cs="Arial"/>
          <w:color w:val="auto"/>
          <w:sz w:val="22"/>
          <w:szCs w:val="22"/>
          <w:lang w:eastAsia="hr-HR"/>
        </w:rPr>
        <w:t>.</w:t>
      </w:r>
    </w:p>
    <w:p w14:paraId="794411C1" w14:textId="77777777" w:rsidR="009F7794" w:rsidRPr="005F18BF" w:rsidRDefault="009F7794" w:rsidP="005F18BF">
      <w:pPr>
        <w:pStyle w:val="Heading2"/>
        <w:jc w:val="both"/>
        <w:rPr>
          <w:rFonts w:ascii="Arial" w:hAnsi="Arial" w:cs="Arial"/>
          <w:color w:val="auto"/>
          <w:sz w:val="22"/>
          <w:szCs w:val="22"/>
          <w:lang w:eastAsia="hr-HR"/>
        </w:rPr>
      </w:pPr>
    </w:p>
    <w:p w14:paraId="02DF9277" w14:textId="413A2800"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(5) Investicijsko društvo dužno je dostaviti izvještaje na način propisan stavkom 2. ovog članka čim prestanu razlozi nemogućnosti dostave, a najkasnije u roku od 8 dana od isteka roka za dostavu izvještaja.</w:t>
      </w:r>
    </w:p>
    <w:p w14:paraId="6F1D509A" w14:textId="77777777" w:rsidR="00A22C2A" w:rsidRPr="005F18BF" w:rsidRDefault="00A22C2A" w:rsidP="005F18BF">
      <w:pPr>
        <w:pStyle w:val="Heading2"/>
        <w:jc w:val="both"/>
        <w:rPr>
          <w:rFonts w:ascii="Arial" w:hAnsi="Arial" w:cs="Arial"/>
          <w:color w:val="auto"/>
          <w:sz w:val="22"/>
          <w:szCs w:val="22"/>
          <w:lang w:eastAsia="hr-HR"/>
        </w:rPr>
      </w:pPr>
    </w:p>
    <w:p w14:paraId="56028717" w14:textId="2E124C2D" w:rsidR="00323433" w:rsidRPr="00A51E31" w:rsidRDefault="00330418" w:rsidP="00A51E31">
      <w:pPr>
        <w:pStyle w:val="Heading1"/>
        <w:jc w:val="center"/>
        <w:rPr>
          <w:rFonts w:ascii="Arial" w:hAnsi="Arial" w:cs="Arial"/>
          <w:b w:val="0"/>
          <w:sz w:val="22"/>
          <w:szCs w:val="22"/>
        </w:rPr>
      </w:pPr>
      <w:r w:rsidRPr="00A51E31">
        <w:rPr>
          <w:rFonts w:ascii="Arial" w:hAnsi="Arial" w:cs="Arial"/>
          <w:b w:val="0"/>
          <w:sz w:val="22"/>
          <w:szCs w:val="22"/>
        </w:rPr>
        <w:t>Omjer nepokrivenih obveza klijenata za kupnju financijskih instrumenata i novčanih sredstava investicijskog društva</w:t>
      </w:r>
    </w:p>
    <w:p w14:paraId="3A056F79" w14:textId="0637F156" w:rsidR="00323433" w:rsidRPr="00A51E31" w:rsidRDefault="004C15E5" w:rsidP="00A51E31">
      <w:pPr>
        <w:pStyle w:val="Heading2"/>
        <w:jc w:val="center"/>
        <w:rPr>
          <w:rFonts w:ascii="Arial" w:hAnsi="Arial" w:cs="Arial"/>
          <w:color w:val="auto"/>
          <w:sz w:val="22"/>
          <w:szCs w:val="22"/>
          <w:lang w:eastAsia="hr-HR"/>
        </w:rPr>
      </w:pPr>
      <w:r w:rsidRPr="00A51E31">
        <w:rPr>
          <w:rFonts w:ascii="Arial" w:hAnsi="Arial" w:cs="Arial"/>
          <w:color w:val="auto"/>
          <w:sz w:val="22"/>
          <w:szCs w:val="22"/>
          <w:lang w:eastAsia="hr-HR"/>
        </w:rPr>
        <w:lastRenderedPageBreak/>
        <w:t xml:space="preserve">Članak </w:t>
      </w:r>
      <w:r w:rsidR="00B00AB9" w:rsidRPr="00A51E31">
        <w:rPr>
          <w:rFonts w:ascii="Arial" w:hAnsi="Arial" w:cs="Arial"/>
          <w:color w:val="auto"/>
          <w:sz w:val="22"/>
          <w:szCs w:val="22"/>
          <w:lang w:eastAsia="hr-HR"/>
        </w:rPr>
        <w:t>40</w:t>
      </w:r>
      <w:r w:rsidR="00323433" w:rsidRPr="00A51E31">
        <w:rPr>
          <w:rFonts w:ascii="Arial" w:hAnsi="Arial" w:cs="Arial"/>
          <w:color w:val="auto"/>
          <w:sz w:val="22"/>
          <w:szCs w:val="22"/>
          <w:lang w:eastAsia="hr-HR"/>
        </w:rPr>
        <w:t>.</w:t>
      </w:r>
    </w:p>
    <w:p w14:paraId="462154BD" w14:textId="77777777" w:rsidR="00330418" w:rsidRPr="005F18BF" w:rsidRDefault="00330418" w:rsidP="005F18BF">
      <w:pPr>
        <w:pStyle w:val="Heading2"/>
        <w:jc w:val="both"/>
        <w:rPr>
          <w:rFonts w:ascii="Arial" w:hAnsi="Arial" w:cs="Arial"/>
          <w:color w:val="auto"/>
          <w:sz w:val="22"/>
          <w:szCs w:val="22"/>
          <w:lang w:eastAsia="hr-HR"/>
        </w:rPr>
      </w:pPr>
    </w:p>
    <w:p w14:paraId="7D9257EF"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U Obrascu 1. Dnevni izračun pokazatelja likvidnosti investicijskog društva – Obrazac DL koji se nalazi u prilogu ovog Pravilnika investicijsko društvo dužno je prikazati omjer nepokrivenih obveza klijenata za kupnju vrijednosnih papira i novčanih sredstava investicijskog društva.</w:t>
      </w:r>
    </w:p>
    <w:p w14:paraId="033A2F42" w14:textId="77777777" w:rsidR="009F7794" w:rsidRPr="005F18BF" w:rsidRDefault="009F7794" w:rsidP="005F18BF">
      <w:pPr>
        <w:pStyle w:val="Heading2"/>
        <w:jc w:val="both"/>
        <w:rPr>
          <w:rFonts w:ascii="Arial" w:hAnsi="Arial" w:cs="Arial"/>
          <w:color w:val="auto"/>
          <w:sz w:val="22"/>
          <w:szCs w:val="22"/>
          <w:lang w:eastAsia="hr-HR"/>
        </w:rPr>
      </w:pPr>
    </w:p>
    <w:p w14:paraId="72446A00"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Nepokrivene obveze klijenta za kupnju vrijednosnih papira su sve obveze po osnovi izvršene kupnje vrijednosnih papira za klijenta za koje klijent nije doznačio novčana sredstva.</w:t>
      </w:r>
    </w:p>
    <w:p w14:paraId="04FBE075" w14:textId="77777777" w:rsidR="009F7794" w:rsidRPr="005F18BF" w:rsidRDefault="009F7794" w:rsidP="005F18BF">
      <w:pPr>
        <w:pStyle w:val="Heading2"/>
        <w:jc w:val="both"/>
        <w:rPr>
          <w:rFonts w:ascii="Arial" w:hAnsi="Arial" w:cs="Arial"/>
          <w:color w:val="auto"/>
          <w:sz w:val="22"/>
          <w:szCs w:val="22"/>
          <w:lang w:eastAsia="hr-HR"/>
        </w:rPr>
      </w:pPr>
    </w:p>
    <w:p w14:paraId="45A37DB5"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Dospjele nepokrivene obveze klijenta po osnovi kupnje vrijednosnih papira su sve obveze klijenta po osnovi kupnje vrijednosnih papira za koje klijent nije doznačio novčana sredstva, a obveza je dospjela na dan izrade izvještaja.</w:t>
      </w:r>
    </w:p>
    <w:p w14:paraId="56F1C3A3" w14:textId="77777777" w:rsidR="009F7794" w:rsidRPr="005F18BF" w:rsidRDefault="009F7794" w:rsidP="005F18BF">
      <w:pPr>
        <w:pStyle w:val="Heading2"/>
        <w:jc w:val="both"/>
        <w:rPr>
          <w:rFonts w:ascii="Arial" w:hAnsi="Arial" w:cs="Arial"/>
          <w:color w:val="auto"/>
          <w:sz w:val="22"/>
          <w:szCs w:val="22"/>
          <w:lang w:eastAsia="hr-HR"/>
        </w:rPr>
      </w:pPr>
    </w:p>
    <w:p w14:paraId="2C1A5E66"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Nepokrivene obveze klijenta po osnovi kupnje vrijednosnih papira koje dospijevaju u roku od pet (5) radnih dana su sve obveze klijenta po osnovi izvršene kupnje vrijednosnih papira za koje klijent nije doznačio novčana sredstva, a prikazuju se pod ovom kategorijom u razdoblju od datuma transakcije do datuma namire.</w:t>
      </w:r>
    </w:p>
    <w:p w14:paraId="1B3AF729" w14:textId="77777777" w:rsidR="009F7794" w:rsidRPr="005F18BF" w:rsidRDefault="009F7794" w:rsidP="005F18BF">
      <w:pPr>
        <w:pStyle w:val="Heading2"/>
        <w:jc w:val="both"/>
        <w:rPr>
          <w:rFonts w:ascii="Arial" w:hAnsi="Arial" w:cs="Arial"/>
          <w:color w:val="auto"/>
          <w:sz w:val="22"/>
          <w:szCs w:val="22"/>
          <w:lang w:eastAsia="hr-HR"/>
        </w:rPr>
      </w:pPr>
    </w:p>
    <w:p w14:paraId="0AA43A23"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(5) Novčana sredstva društva za potrebe izračuna omjera pokrivenosti I i II su sva novčana sredstva na računima za redovno poslovanje društva i neiskorišteni ugovoreni iznosi bezuvjetnih okvirnih kredita odobrenih od kreditnih institucija sa sjedištem u Republici Hrvatskoj ili državi članci Europske unije, a koje je moguće u roku pet radnih (5) dana iskoristiti do iznosa definiranog ugovorom.</w:t>
      </w:r>
    </w:p>
    <w:p w14:paraId="5DE420D2" w14:textId="77777777" w:rsidR="009F7794" w:rsidRPr="005F18BF" w:rsidRDefault="009F7794" w:rsidP="005F18BF">
      <w:pPr>
        <w:pStyle w:val="Heading2"/>
        <w:jc w:val="both"/>
        <w:rPr>
          <w:rFonts w:ascii="Arial" w:hAnsi="Arial" w:cs="Arial"/>
          <w:color w:val="auto"/>
          <w:sz w:val="22"/>
          <w:szCs w:val="22"/>
          <w:lang w:eastAsia="hr-HR"/>
        </w:rPr>
      </w:pPr>
    </w:p>
    <w:p w14:paraId="59570457"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(6) Omjer pokrivenosti I stavlja u omjer Dospjele nepokrivene obveze klijenta iz stavka 3. ovog članka i Novčana sredstva društva iz stavka 5. ovog članka.</w:t>
      </w:r>
    </w:p>
    <w:p w14:paraId="7D255989" w14:textId="77777777" w:rsidR="009F7794" w:rsidRPr="005F18BF" w:rsidRDefault="009F7794" w:rsidP="005F18BF">
      <w:pPr>
        <w:pStyle w:val="Heading2"/>
        <w:jc w:val="both"/>
        <w:rPr>
          <w:rFonts w:ascii="Arial" w:hAnsi="Arial" w:cs="Arial"/>
          <w:color w:val="auto"/>
          <w:sz w:val="22"/>
          <w:szCs w:val="22"/>
          <w:lang w:eastAsia="hr-HR"/>
        </w:rPr>
      </w:pPr>
    </w:p>
    <w:p w14:paraId="7A4E5D36" w14:textId="77777777" w:rsidR="00323433" w:rsidRPr="005F18BF" w:rsidRDefault="00323433"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(7) Omjer pokrivenosti II stavlja u omjer Nepokrivene obveze klijenta iz stavka 4. ovog članka i Novčana sredstva društva iz stavka 5. ovog članka.</w:t>
      </w:r>
    </w:p>
    <w:p w14:paraId="7DE954B9" w14:textId="77777777" w:rsidR="00242405" w:rsidRPr="005F18BF" w:rsidRDefault="00242405" w:rsidP="005F18BF">
      <w:pPr>
        <w:pStyle w:val="Heading2"/>
        <w:jc w:val="both"/>
        <w:rPr>
          <w:rFonts w:ascii="Arial" w:hAnsi="Arial" w:cs="Arial"/>
          <w:color w:val="auto"/>
          <w:sz w:val="22"/>
          <w:szCs w:val="22"/>
          <w:lang w:eastAsia="hr-HR"/>
        </w:rPr>
      </w:pPr>
    </w:p>
    <w:p w14:paraId="6234640F" w14:textId="30FEFA60" w:rsidR="004640A3" w:rsidRPr="00A51E31" w:rsidRDefault="00F56983" w:rsidP="00A51E31">
      <w:pPr>
        <w:pStyle w:val="Heading1"/>
        <w:jc w:val="center"/>
        <w:rPr>
          <w:rFonts w:ascii="Arial" w:hAnsi="Arial" w:cs="Arial"/>
          <w:b w:val="0"/>
          <w:sz w:val="22"/>
          <w:szCs w:val="22"/>
        </w:rPr>
      </w:pPr>
      <w:r w:rsidRPr="00A51E31">
        <w:rPr>
          <w:rFonts w:ascii="Arial" w:hAnsi="Arial" w:cs="Arial"/>
          <w:b w:val="0"/>
          <w:sz w:val="22"/>
          <w:szCs w:val="22"/>
        </w:rPr>
        <w:t>Značajna investicijska društva i upravljanje rizikom likvidnosti</w:t>
      </w:r>
    </w:p>
    <w:p w14:paraId="5F9608EE" w14:textId="2B321FF9" w:rsidR="003D60D3" w:rsidRPr="004E2266" w:rsidRDefault="004C15E5" w:rsidP="004E2266">
      <w:pPr>
        <w:pStyle w:val="Heading2"/>
        <w:jc w:val="center"/>
        <w:rPr>
          <w:rFonts w:ascii="Arial" w:hAnsi="Arial" w:cs="Arial"/>
          <w:color w:val="auto"/>
          <w:sz w:val="22"/>
          <w:szCs w:val="22"/>
          <w:lang w:eastAsia="hr-HR"/>
        </w:rPr>
      </w:pPr>
      <w:r w:rsidRPr="004E2266">
        <w:rPr>
          <w:rFonts w:ascii="Arial" w:hAnsi="Arial" w:cs="Arial"/>
          <w:color w:val="auto"/>
          <w:sz w:val="22"/>
          <w:szCs w:val="22"/>
          <w:lang w:eastAsia="hr-HR"/>
        </w:rPr>
        <w:t>Članak 4</w:t>
      </w:r>
      <w:r w:rsidR="00B00AB9" w:rsidRPr="004E2266">
        <w:rPr>
          <w:rFonts w:ascii="Arial" w:hAnsi="Arial" w:cs="Arial"/>
          <w:color w:val="auto"/>
          <w:sz w:val="22"/>
          <w:szCs w:val="22"/>
          <w:lang w:eastAsia="hr-HR"/>
        </w:rPr>
        <w:t>1</w:t>
      </w:r>
      <w:r w:rsidR="003D60D3" w:rsidRPr="004E2266">
        <w:rPr>
          <w:rFonts w:ascii="Arial" w:hAnsi="Arial" w:cs="Arial"/>
          <w:color w:val="auto"/>
          <w:sz w:val="22"/>
          <w:szCs w:val="22"/>
          <w:lang w:eastAsia="hr-HR"/>
        </w:rPr>
        <w:t>.</w:t>
      </w:r>
    </w:p>
    <w:p w14:paraId="78A61526" w14:textId="77777777" w:rsidR="003D60D3" w:rsidRPr="005F18BF" w:rsidRDefault="003D60D3" w:rsidP="005F18BF">
      <w:pPr>
        <w:pStyle w:val="Heading2"/>
        <w:jc w:val="both"/>
        <w:rPr>
          <w:rFonts w:ascii="Arial" w:hAnsi="Arial" w:cs="Arial"/>
          <w:color w:val="auto"/>
          <w:sz w:val="22"/>
          <w:szCs w:val="22"/>
          <w:lang w:eastAsia="hr-HR"/>
        </w:rPr>
      </w:pPr>
    </w:p>
    <w:p w14:paraId="39906816" w14:textId="6B6366F3" w:rsidR="00970E88" w:rsidRPr="005F18BF" w:rsidRDefault="009F7794"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Značajno investicijsko društvo</w:t>
      </w:r>
      <w:r w:rsidR="003D60D3" w:rsidRPr="005F18BF">
        <w:rPr>
          <w:rFonts w:ascii="Arial" w:hAnsi="Arial" w:cs="Arial"/>
          <w:color w:val="auto"/>
          <w:sz w:val="22"/>
          <w:szCs w:val="22"/>
          <w:lang w:eastAsia="hr-HR"/>
        </w:rPr>
        <w:t xml:space="preserve"> </w:t>
      </w:r>
      <w:r w:rsidRPr="005F18BF">
        <w:rPr>
          <w:rFonts w:ascii="Arial" w:hAnsi="Arial" w:cs="Arial"/>
          <w:color w:val="auto"/>
          <w:sz w:val="22"/>
          <w:szCs w:val="22"/>
          <w:lang w:eastAsia="hr-HR"/>
        </w:rPr>
        <w:t xml:space="preserve">dužno je </w:t>
      </w:r>
      <w:r w:rsidR="003D60D3" w:rsidRPr="005F18BF">
        <w:rPr>
          <w:rFonts w:ascii="Arial" w:hAnsi="Arial" w:cs="Arial"/>
          <w:color w:val="auto"/>
          <w:sz w:val="22"/>
          <w:szCs w:val="22"/>
          <w:lang w:eastAsia="hr-HR"/>
        </w:rPr>
        <w:t>uz odredbe ovog Pravilnika ispunjavati i uvjete kako je propisano člancima 411. do 428. Uredbe (EU) br. 575/2013.</w:t>
      </w:r>
    </w:p>
    <w:p w14:paraId="49F50E6B" w14:textId="282D68BA" w:rsidR="004C15E5" w:rsidRPr="005F18BF" w:rsidRDefault="004C15E5" w:rsidP="005F18BF">
      <w:pPr>
        <w:pStyle w:val="Heading2"/>
        <w:jc w:val="both"/>
        <w:rPr>
          <w:rFonts w:ascii="Arial" w:hAnsi="Arial" w:cs="Arial"/>
          <w:color w:val="auto"/>
          <w:sz w:val="22"/>
          <w:szCs w:val="22"/>
          <w:lang w:eastAsia="hr-HR"/>
        </w:rPr>
      </w:pPr>
    </w:p>
    <w:p w14:paraId="0E4E9E4C" w14:textId="572D4730" w:rsidR="004C15E5" w:rsidRPr="004E2266" w:rsidRDefault="004C15E5" w:rsidP="004E2266">
      <w:pPr>
        <w:pStyle w:val="Heading1"/>
        <w:jc w:val="center"/>
        <w:rPr>
          <w:rFonts w:ascii="Arial" w:hAnsi="Arial" w:cs="Arial"/>
          <w:b w:val="0"/>
          <w:sz w:val="22"/>
          <w:szCs w:val="22"/>
        </w:rPr>
      </w:pPr>
      <w:r w:rsidRPr="004E2266">
        <w:rPr>
          <w:rFonts w:ascii="Arial" w:hAnsi="Arial" w:cs="Arial"/>
          <w:b w:val="0"/>
          <w:sz w:val="22"/>
          <w:szCs w:val="22"/>
        </w:rPr>
        <w:t>Dostava podataka o usklađenosti sustava upravljanja rizicima sa odredbama</w:t>
      </w:r>
    </w:p>
    <w:p w14:paraId="71177B90" w14:textId="28688C31" w:rsidR="004C15E5" w:rsidRPr="005F18BF" w:rsidRDefault="004C15E5" w:rsidP="004E2266">
      <w:pPr>
        <w:pStyle w:val="Heading1"/>
        <w:jc w:val="center"/>
      </w:pPr>
      <w:r w:rsidRPr="004E2266">
        <w:rPr>
          <w:rFonts w:ascii="Arial" w:hAnsi="Arial" w:cs="Arial"/>
          <w:b w:val="0"/>
          <w:sz w:val="22"/>
          <w:szCs w:val="22"/>
        </w:rPr>
        <w:t>Uredbe (EU) br. 575/2013 i Zakona</w:t>
      </w:r>
    </w:p>
    <w:p w14:paraId="4DD6EB2C" w14:textId="1CF0CCD9" w:rsidR="005578E8" w:rsidRPr="004E2266" w:rsidRDefault="005578E8" w:rsidP="004E2266">
      <w:pPr>
        <w:pStyle w:val="Heading2"/>
        <w:jc w:val="center"/>
        <w:rPr>
          <w:rFonts w:ascii="Arial" w:hAnsi="Arial" w:cs="Arial"/>
          <w:color w:val="auto"/>
          <w:sz w:val="22"/>
          <w:szCs w:val="22"/>
          <w:lang w:eastAsia="hr-HR"/>
        </w:rPr>
      </w:pPr>
      <w:r w:rsidRPr="004E2266">
        <w:rPr>
          <w:rFonts w:ascii="Arial" w:hAnsi="Arial" w:cs="Arial"/>
          <w:color w:val="auto"/>
          <w:sz w:val="22"/>
          <w:szCs w:val="22"/>
          <w:lang w:eastAsia="hr-HR"/>
        </w:rPr>
        <w:lastRenderedPageBreak/>
        <w:t>Članak 4</w:t>
      </w:r>
      <w:r w:rsidR="00B00AB9" w:rsidRPr="004E2266">
        <w:rPr>
          <w:rFonts w:ascii="Arial" w:hAnsi="Arial" w:cs="Arial"/>
          <w:color w:val="auto"/>
          <w:sz w:val="22"/>
          <w:szCs w:val="22"/>
          <w:lang w:eastAsia="hr-HR"/>
        </w:rPr>
        <w:t>2</w:t>
      </w:r>
      <w:r w:rsidRPr="004E2266">
        <w:rPr>
          <w:rFonts w:ascii="Arial" w:hAnsi="Arial" w:cs="Arial"/>
          <w:color w:val="auto"/>
          <w:sz w:val="22"/>
          <w:szCs w:val="22"/>
          <w:lang w:eastAsia="hr-HR"/>
        </w:rPr>
        <w:t>.</w:t>
      </w:r>
    </w:p>
    <w:p w14:paraId="2F43D0C5" w14:textId="249D00E7" w:rsidR="004C15E5" w:rsidRPr="005F18BF" w:rsidRDefault="004C15E5" w:rsidP="005F18BF">
      <w:pPr>
        <w:pStyle w:val="Heading2"/>
        <w:jc w:val="both"/>
        <w:rPr>
          <w:rFonts w:ascii="Arial" w:hAnsi="Arial" w:cs="Arial"/>
          <w:color w:val="auto"/>
          <w:sz w:val="22"/>
          <w:szCs w:val="22"/>
          <w:lang w:eastAsia="hr-HR"/>
        </w:rPr>
      </w:pPr>
    </w:p>
    <w:p w14:paraId="52D20D01" w14:textId="77777777" w:rsidR="00B00AB9" w:rsidRPr="005F18BF" w:rsidRDefault="00B00AB9"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Investicijsko društvo čiji inicijalni kapital iznosi najmanje 6.000.000,00 kuna dostavlja Hanfi izvještaj o usklađenosti postupaka i metoda koje se odnose na sustav upravljanja rizicima investicijskog društva s odredbama Uredbe (EU) br. 575/2013 i odredbama propisanim Dijelom drugim, Glavom I., Poglavljem VII. Zakona.</w:t>
      </w:r>
    </w:p>
    <w:p w14:paraId="5F49CBC8" w14:textId="77777777" w:rsidR="00B00AB9" w:rsidRPr="005F18BF" w:rsidRDefault="00B00AB9" w:rsidP="005F18BF">
      <w:pPr>
        <w:pStyle w:val="Heading2"/>
        <w:jc w:val="both"/>
        <w:rPr>
          <w:rFonts w:ascii="Arial" w:hAnsi="Arial" w:cs="Arial"/>
          <w:color w:val="auto"/>
          <w:sz w:val="22"/>
          <w:szCs w:val="22"/>
          <w:lang w:eastAsia="hr-HR"/>
        </w:rPr>
      </w:pPr>
    </w:p>
    <w:p w14:paraId="2D1BB17E" w14:textId="5534930B" w:rsidR="00B00AB9" w:rsidRPr="005F18BF" w:rsidRDefault="00B00AB9"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(2) Izvještaj iz stavka 1. ovoga članka investicijsko društvo iz stavka 1. ovoga članka dužno je dostaviti Hanfi do 31. siječnja </w:t>
      </w:r>
      <w:r w:rsidR="00ED1F18" w:rsidRPr="005F18BF">
        <w:rPr>
          <w:rFonts w:ascii="Arial" w:eastAsia="Times New Roman" w:hAnsi="Arial" w:cs="Arial"/>
          <w:color w:val="auto"/>
          <w:sz w:val="22"/>
          <w:szCs w:val="22"/>
          <w:lang w:eastAsia="hr-HR"/>
        </w:rPr>
        <w:t xml:space="preserve">2019., a potom po svakoj bitnijoj promjeni. </w:t>
      </w:r>
    </w:p>
    <w:p w14:paraId="1A74EF97" w14:textId="77777777" w:rsidR="00B00AB9" w:rsidRPr="005F18BF" w:rsidRDefault="00B00AB9" w:rsidP="005F18BF">
      <w:pPr>
        <w:pStyle w:val="Heading2"/>
        <w:jc w:val="both"/>
        <w:rPr>
          <w:rFonts w:ascii="Arial" w:hAnsi="Arial" w:cs="Arial"/>
          <w:color w:val="auto"/>
          <w:sz w:val="22"/>
          <w:szCs w:val="22"/>
          <w:lang w:eastAsia="hr-HR"/>
        </w:rPr>
      </w:pPr>
    </w:p>
    <w:p w14:paraId="13182BE8" w14:textId="77777777" w:rsidR="00B00AB9" w:rsidRPr="005F18BF" w:rsidRDefault="00B00AB9"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Investicijsko društvo čiji inicijalni kapital iznosi 1.000.000,00 kuna dužno je dostaviti Hanfi izvještaj iz stavka 1. ovoga članka na zahtjev Hanfe.</w:t>
      </w:r>
    </w:p>
    <w:p w14:paraId="215911AA" w14:textId="77777777" w:rsidR="00B00AB9" w:rsidRPr="005F18BF" w:rsidRDefault="00B00AB9" w:rsidP="005F18BF">
      <w:pPr>
        <w:pStyle w:val="Heading2"/>
        <w:jc w:val="both"/>
        <w:rPr>
          <w:rFonts w:ascii="Arial" w:hAnsi="Arial" w:cs="Arial"/>
          <w:color w:val="auto"/>
          <w:sz w:val="22"/>
          <w:szCs w:val="22"/>
          <w:lang w:eastAsia="hr-HR"/>
        </w:rPr>
      </w:pPr>
    </w:p>
    <w:p w14:paraId="71076AF1" w14:textId="5CF9F991" w:rsidR="00B00AB9" w:rsidRPr="005F18BF" w:rsidRDefault="00B00AB9"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Izvještaj iz stavka 1. ovoga članka minimalno sadrži opis postupaka i metoda koje je ustrojilo investicijsko društvo u odnosu na primjenjive odredbe propisane Poglavljima II. do IX. ovoga Pravilnika i Dijelom drugim, Glavom I., Poglavljem VII. Zakona.</w:t>
      </w:r>
    </w:p>
    <w:p w14:paraId="09304F33" w14:textId="760BD6F2" w:rsidR="00693BF9" w:rsidRPr="005F18BF" w:rsidRDefault="00693BF9" w:rsidP="005F18BF">
      <w:pPr>
        <w:pStyle w:val="Heading2"/>
        <w:jc w:val="both"/>
        <w:rPr>
          <w:rFonts w:ascii="Arial" w:hAnsi="Arial" w:cs="Arial"/>
          <w:color w:val="auto"/>
          <w:sz w:val="22"/>
          <w:szCs w:val="22"/>
          <w:lang w:eastAsia="hr-HR"/>
        </w:rPr>
      </w:pPr>
    </w:p>
    <w:p w14:paraId="3F4201BE" w14:textId="77777777" w:rsidR="00A36DC9" w:rsidRPr="005F18BF" w:rsidRDefault="00A36DC9" w:rsidP="005F18BF">
      <w:pPr>
        <w:pStyle w:val="Heading2"/>
        <w:jc w:val="both"/>
        <w:rPr>
          <w:rFonts w:ascii="Arial" w:hAnsi="Arial" w:cs="Arial"/>
          <w:color w:val="auto"/>
          <w:sz w:val="22"/>
          <w:szCs w:val="22"/>
          <w:lang w:eastAsia="hr-HR"/>
        </w:rPr>
      </w:pPr>
    </w:p>
    <w:p w14:paraId="0C8CDEE2" w14:textId="0302AA67" w:rsidR="00372168" w:rsidRPr="004E2266" w:rsidRDefault="00970E88" w:rsidP="004E2266">
      <w:pPr>
        <w:pStyle w:val="Heading1"/>
        <w:jc w:val="center"/>
        <w:rPr>
          <w:rFonts w:ascii="Arial" w:hAnsi="Arial" w:cs="Arial"/>
          <w:b w:val="0"/>
          <w:sz w:val="22"/>
          <w:szCs w:val="22"/>
        </w:rPr>
      </w:pPr>
      <w:r w:rsidRPr="004E2266">
        <w:rPr>
          <w:rFonts w:ascii="Arial" w:hAnsi="Arial" w:cs="Arial"/>
          <w:b w:val="0"/>
          <w:sz w:val="22"/>
          <w:szCs w:val="22"/>
        </w:rPr>
        <w:t xml:space="preserve">X. </w:t>
      </w:r>
      <w:r w:rsidR="009F7794" w:rsidRPr="004E2266">
        <w:rPr>
          <w:rFonts w:ascii="Arial" w:hAnsi="Arial" w:cs="Arial"/>
          <w:b w:val="0"/>
          <w:sz w:val="22"/>
          <w:szCs w:val="22"/>
        </w:rPr>
        <w:t xml:space="preserve">PRIMJENA </w:t>
      </w:r>
      <w:r w:rsidR="00372168" w:rsidRPr="004E2266">
        <w:rPr>
          <w:rFonts w:ascii="Arial" w:hAnsi="Arial" w:cs="Arial"/>
          <w:b w:val="0"/>
          <w:sz w:val="22"/>
          <w:szCs w:val="22"/>
        </w:rPr>
        <w:t>PROVEDBENE UREDBE KOMISIJE (EU) br. 680/2014</w:t>
      </w:r>
    </w:p>
    <w:p w14:paraId="2F564207" w14:textId="77777777" w:rsidR="000F5F99" w:rsidRPr="005F18BF" w:rsidRDefault="000F5F99" w:rsidP="005F18BF">
      <w:pPr>
        <w:pStyle w:val="Heading2"/>
        <w:jc w:val="both"/>
        <w:rPr>
          <w:rFonts w:ascii="Arial" w:hAnsi="Arial" w:cs="Arial"/>
          <w:color w:val="auto"/>
          <w:sz w:val="22"/>
          <w:szCs w:val="22"/>
          <w:lang w:eastAsia="hr-HR"/>
        </w:rPr>
      </w:pPr>
    </w:p>
    <w:p w14:paraId="70F6D7E3" w14:textId="1E9F6F14" w:rsidR="00372168" w:rsidRPr="00B944F9" w:rsidRDefault="003265BB" w:rsidP="00B944F9">
      <w:pPr>
        <w:pStyle w:val="Heading2"/>
        <w:jc w:val="center"/>
        <w:rPr>
          <w:rFonts w:ascii="Arial" w:hAnsi="Arial" w:cs="Arial"/>
          <w:color w:val="auto"/>
          <w:sz w:val="22"/>
          <w:szCs w:val="22"/>
          <w:lang w:eastAsia="hr-HR"/>
        </w:rPr>
      </w:pPr>
      <w:r w:rsidRPr="00B944F9">
        <w:rPr>
          <w:rFonts w:ascii="Arial" w:hAnsi="Arial" w:cs="Arial"/>
          <w:color w:val="auto"/>
          <w:sz w:val="22"/>
          <w:szCs w:val="22"/>
          <w:lang w:eastAsia="hr-HR"/>
        </w:rPr>
        <w:t>Članak 4</w:t>
      </w:r>
      <w:r w:rsidR="00B00AB9" w:rsidRPr="00B944F9">
        <w:rPr>
          <w:rFonts w:ascii="Arial" w:hAnsi="Arial" w:cs="Arial"/>
          <w:color w:val="auto"/>
          <w:sz w:val="22"/>
          <w:szCs w:val="22"/>
          <w:lang w:eastAsia="hr-HR"/>
        </w:rPr>
        <w:t>3</w:t>
      </w:r>
      <w:r w:rsidR="00970E88" w:rsidRPr="00B944F9">
        <w:rPr>
          <w:rFonts w:ascii="Arial" w:hAnsi="Arial" w:cs="Arial"/>
          <w:color w:val="auto"/>
          <w:sz w:val="22"/>
          <w:szCs w:val="22"/>
          <w:lang w:eastAsia="hr-HR"/>
        </w:rPr>
        <w:t>.</w:t>
      </w:r>
    </w:p>
    <w:p w14:paraId="4F70A56F" w14:textId="77777777" w:rsidR="00970E88" w:rsidRPr="005F18BF" w:rsidRDefault="00970E88" w:rsidP="005F18BF">
      <w:pPr>
        <w:pStyle w:val="Heading2"/>
        <w:jc w:val="both"/>
        <w:rPr>
          <w:rFonts w:ascii="Arial" w:hAnsi="Arial" w:cs="Arial"/>
          <w:color w:val="auto"/>
          <w:sz w:val="22"/>
          <w:szCs w:val="22"/>
          <w:lang w:eastAsia="hr-HR"/>
        </w:rPr>
      </w:pPr>
    </w:p>
    <w:p w14:paraId="48C50A63" w14:textId="07B660FB"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Osnova za izradu Izvještaja o adekvatnosti kapitala su računovodstveni podaci iz poslovnih knjiga investicijskih društava koje se vode u skladu s Međunarodnim standardima financijskog izvještavanja koji se primjenjuju u skladu s Uredbom (EZ) br. 1606/2002 te zakonskim i podzakonskim aktima kojima se uređuje financijsko izvještavanje investicijskih društava u Republici Hrvatskoj.</w:t>
      </w:r>
    </w:p>
    <w:p w14:paraId="24453C53" w14:textId="77777777" w:rsidR="00591058" w:rsidRPr="005F18BF" w:rsidRDefault="00591058" w:rsidP="005F18BF">
      <w:pPr>
        <w:pStyle w:val="Heading2"/>
        <w:jc w:val="both"/>
        <w:rPr>
          <w:rFonts w:ascii="Arial" w:hAnsi="Arial" w:cs="Arial"/>
          <w:color w:val="auto"/>
          <w:sz w:val="22"/>
          <w:szCs w:val="22"/>
          <w:lang w:eastAsia="hr-HR"/>
        </w:rPr>
      </w:pPr>
    </w:p>
    <w:p w14:paraId="58F9F79D" w14:textId="77777777" w:rsidR="00A16B57" w:rsidRPr="005F18BF" w:rsidRDefault="00A16B57" w:rsidP="005F18BF">
      <w:pPr>
        <w:pStyle w:val="Heading2"/>
        <w:jc w:val="both"/>
        <w:rPr>
          <w:rFonts w:ascii="Arial" w:hAnsi="Arial" w:cs="Arial"/>
          <w:color w:val="auto"/>
          <w:sz w:val="22"/>
          <w:szCs w:val="22"/>
          <w:lang w:eastAsia="hr-HR"/>
        </w:rPr>
      </w:pPr>
    </w:p>
    <w:p w14:paraId="6F7E3D13" w14:textId="77777777" w:rsidR="00A16B57" w:rsidRPr="00B944F9" w:rsidRDefault="00A16B57" w:rsidP="00B944F9">
      <w:pPr>
        <w:pStyle w:val="Heading1"/>
        <w:jc w:val="center"/>
        <w:rPr>
          <w:rFonts w:ascii="Arial" w:hAnsi="Arial" w:cs="Arial"/>
          <w:b w:val="0"/>
          <w:sz w:val="22"/>
          <w:szCs w:val="22"/>
        </w:rPr>
      </w:pPr>
      <w:r w:rsidRPr="00B944F9">
        <w:rPr>
          <w:rFonts w:ascii="Arial" w:hAnsi="Arial" w:cs="Arial"/>
          <w:b w:val="0"/>
          <w:sz w:val="22"/>
          <w:szCs w:val="22"/>
        </w:rPr>
        <w:t>Izvještavanje o regulatornom kapitalu i kapitalnim zahtjevima na pojedinačnoj i konsolidiranoj osnovi za investicijska društva različita od investicijskih društava koja podliježu člancima 95. i 96. Uredbe (EU) br. 575/2013</w:t>
      </w:r>
    </w:p>
    <w:p w14:paraId="414B61F4" w14:textId="657512A1" w:rsidR="00372168" w:rsidRPr="00B944F9" w:rsidRDefault="00372168" w:rsidP="00B944F9">
      <w:pPr>
        <w:pStyle w:val="Heading2"/>
        <w:jc w:val="center"/>
        <w:rPr>
          <w:rFonts w:ascii="Arial" w:hAnsi="Arial" w:cs="Arial"/>
          <w:color w:val="auto"/>
          <w:sz w:val="22"/>
          <w:szCs w:val="22"/>
          <w:lang w:eastAsia="hr-HR"/>
        </w:rPr>
      </w:pPr>
      <w:r w:rsidRPr="00B944F9">
        <w:rPr>
          <w:rFonts w:ascii="Arial" w:hAnsi="Arial" w:cs="Arial"/>
          <w:color w:val="auto"/>
          <w:sz w:val="22"/>
          <w:szCs w:val="22"/>
          <w:lang w:eastAsia="hr-HR"/>
        </w:rPr>
        <w:lastRenderedPageBreak/>
        <w:t xml:space="preserve">Članak </w:t>
      </w:r>
      <w:r w:rsidR="003265BB" w:rsidRPr="00B944F9">
        <w:rPr>
          <w:rFonts w:ascii="Arial" w:hAnsi="Arial" w:cs="Arial"/>
          <w:color w:val="auto"/>
          <w:sz w:val="22"/>
          <w:szCs w:val="22"/>
          <w:lang w:eastAsia="hr-HR"/>
        </w:rPr>
        <w:t>4</w:t>
      </w:r>
      <w:r w:rsidR="00B00AB9" w:rsidRPr="00B944F9">
        <w:rPr>
          <w:rFonts w:ascii="Arial" w:hAnsi="Arial" w:cs="Arial"/>
          <w:color w:val="auto"/>
          <w:sz w:val="22"/>
          <w:szCs w:val="22"/>
          <w:lang w:eastAsia="hr-HR"/>
        </w:rPr>
        <w:t>4</w:t>
      </w:r>
      <w:r w:rsidRPr="00B944F9">
        <w:rPr>
          <w:rFonts w:ascii="Arial" w:hAnsi="Arial" w:cs="Arial"/>
          <w:color w:val="auto"/>
          <w:sz w:val="22"/>
          <w:szCs w:val="22"/>
          <w:lang w:eastAsia="hr-HR"/>
        </w:rPr>
        <w:t>.</w:t>
      </w:r>
    </w:p>
    <w:p w14:paraId="4873E180" w14:textId="77777777" w:rsidR="009769CC" w:rsidRPr="005F18BF" w:rsidRDefault="009769CC" w:rsidP="005F18BF">
      <w:pPr>
        <w:pStyle w:val="Heading2"/>
        <w:jc w:val="both"/>
        <w:rPr>
          <w:rFonts w:ascii="Arial" w:hAnsi="Arial" w:cs="Arial"/>
          <w:color w:val="auto"/>
          <w:sz w:val="22"/>
          <w:szCs w:val="22"/>
          <w:lang w:eastAsia="hr-HR"/>
        </w:rPr>
      </w:pPr>
    </w:p>
    <w:p w14:paraId="03F9A7B6"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Investicijska društva osim investicijskih društava koja podliježu člancima 95. i 96. Uredbe (EU) br. 575/2013 za potrebe izvještavanja o regulatornom kapitalu i kapitalnim zahtjevima na pojedinačnoj osnovi dostavljaju tromjesečno:</w:t>
      </w:r>
    </w:p>
    <w:p w14:paraId="6E7BB85B" w14:textId="77777777" w:rsidR="009F7794" w:rsidRPr="005F18BF" w:rsidRDefault="009F7794" w:rsidP="005F18BF">
      <w:pPr>
        <w:pStyle w:val="Heading2"/>
        <w:jc w:val="both"/>
        <w:rPr>
          <w:rFonts w:ascii="Arial" w:hAnsi="Arial" w:cs="Arial"/>
          <w:color w:val="auto"/>
          <w:sz w:val="22"/>
          <w:szCs w:val="22"/>
          <w:lang w:eastAsia="hr-HR"/>
        </w:rPr>
      </w:pPr>
    </w:p>
    <w:p w14:paraId="1BA3995B"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a) informacije o regulatornom kapitalu i kapitalnim zahtjevima, kako je navedeno u obrascima 1. do 5. u Prilogu I., prema uputama iz Priloga II. dijela II. točke 1. Provedbene Uredbe Komisije (EU) br. 680/2014,</w:t>
      </w:r>
    </w:p>
    <w:p w14:paraId="2B516997" w14:textId="77777777" w:rsidR="009F7794" w:rsidRPr="005F18BF" w:rsidRDefault="009F7794" w:rsidP="005F18BF">
      <w:pPr>
        <w:pStyle w:val="Heading2"/>
        <w:jc w:val="both"/>
        <w:rPr>
          <w:rFonts w:ascii="Arial" w:hAnsi="Arial" w:cs="Arial"/>
          <w:color w:val="auto"/>
          <w:sz w:val="22"/>
          <w:szCs w:val="22"/>
          <w:lang w:eastAsia="hr-HR"/>
        </w:rPr>
      </w:pPr>
    </w:p>
    <w:p w14:paraId="6E3F0049"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b) informacije o izloženostima kreditnom riziku i kreditnom riziku druge ugovorne strane na koje se primjenjuje standardizirani pristup, kako je navedeno u obrascu 7. u Prilogu I., u skladu s uputama iz Priloga II. dijela II. točke 3.2. Provedbene Uredbe Komisije (EU) br. 680/2014,</w:t>
      </w:r>
    </w:p>
    <w:p w14:paraId="142F59D7" w14:textId="77777777" w:rsidR="009F7794" w:rsidRPr="005F18BF" w:rsidRDefault="009F7794" w:rsidP="005F18BF">
      <w:pPr>
        <w:pStyle w:val="Heading2"/>
        <w:jc w:val="both"/>
        <w:rPr>
          <w:rFonts w:ascii="Arial" w:hAnsi="Arial" w:cs="Arial"/>
          <w:color w:val="auto"/>
          <w:sz w:val="22"/>
          <w:szCs w:val="22"/>
          <w:lang w:eastAsia="hr-HR"/>
        </w:rPr>
      </w:pPr>
    </w:p>
    <w:p w14:paraId="01FAF49F"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c) informacije o izloženostima kreditnom riziku i kreditnom riziku druge ugovorne strane na koje se primjenjuje pristup zasnovan na internim rejting-sustavima, kako je navedeno u obrascu 8. u Prilogu I., u skladu s uputama iz Priloga II. dijela II. točke 3.3. Provedbene Uredbe Komisije (EU) br. 680/2014,</w:t>
      </w:r>
    </w:p>
    <w:p w14:paraId="5E45A5DB" w14:textId="77777777" w:rsidR="009F7794" w:rsidRPr="005F18BF" w:rsidRDefault="009F7794" w:rsidP="005F18BF">
      <w:pPr>
        <w:pStyle w:val="Heading2"/>
        <w:jc w:val="both"/>
        <w:rPr>
          <w:rFonts w:ascii="Arial" w:hAnsi="Arial" w:cs="Arial"/>
          <w:color w:val="auto"/>
          <w:sz w:val="22"/>
          <w:szCs w:val="22"/>
          <w:lang w:eastAsia="hr-HR"/>
        </w:rPr>
      </w:pPr>
    </w:p>
    <w:p w14:paraId="1387343B"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d) informacije o geografskoj distribuciji izloženosti po zemljama, kako je navedeno u obrascu 9. u Prilogu I., u skladu s uputama iz Priloga II. dijela II. točke 3.4. Provedbene Uredbe Komisije (EU) br. 680/2014, ako su inozemne originalne izloženosti u svim inozemnim zemljama i svim kategorijama izloženosti, kako je navedeno u retku 850 obrasca 4. u Prilogu I., jednake ili veće od 10% ukupnih domaćih i inozemnih originalnih izloženosti navedenih u retku 860 obrasca 4. u Prilogu I. Provedbene Uredbe Komisije (EU) br. 680/2014. U tu se svrhu domaćim izloženostima smatraju izloženosti prema drugim ugovornim stranama koje se nalaze u državi članici u kojoj se nalazi investicijsko društvo,</w:t>
      </w:r>
    </w:p>
    <w:p w14:paraId="1B975542" w14:textId="77777777" w:rsidR="009F7794" w:rsidRPr="005F18BF" w:rsidRDefault="009F7794" w:rsidP="005F18BF">
      <w:pPr>
        <w:pStyle w:val="Heading2"/>
        <w:jc w:val="both"/>
        <w:rPr>
          <w:rFonts w:ascii="Arial" w:hAnsi="Arial" w:cs="Arial"/>
          <w:color w:val="auto"/>
          <w:sz w:val="22"/>
          <w:szCs w:val="22"/>
          <w:lang w:eastAsia="hr-HR"/>
        </w:rPr>
      </w:pPr>
    </w:p>
    <w:p w14:paraId="44EB8551"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e) informacije o izloženostima na osnovi vlasničkih ulaganja na koje se primjenjuje pristup zasnovan na internim rejting-sustavima, kako je navedeno u obrascu 10. u Prilogu I., u skladu s uputama iz Priloga II. dijela II. točke 3.5. Provedbene Uredbe Komisije (EU) br. 680/2014,</w:t>
      </w:r>
    </w:p>
    <w:p w14:paraId="28180074" w14:textId="77777777" w:rsidR="009F7794" w:rsidRPr="005F18BF" w:rsidRDefault="009F7794" w:rsidP="005F18BF">
      <w:pPr>
        <w:pStyle w:val="Heading2"/>
        <w:jc w:val="both"/>
        <w:rPr>
          <w:rFonts w:ascii="Arial" w:hAnsi="Arial" w:cs="Arial"/>
          <w:color w:val="auto"/>
          <w:sz w:val="22"/>
          <w:szCs w:val="22"/>
          <w:lang w:eastAsia="hr-HR"/>
        </w:rPr>
      </w:pPr>
    </w:p>
    <w:p w14:paraId="1A6642A7" w14:textId="5BA0E860"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f) informacije o riziku namire, kako je navedeno u obrascu 11. u Prilogu I., u skladu s uputama iz Priloga II. dijela II. točke 3.6. Provedbene Uredbe Komisije (EU) br. 680/2014,</w:t>
      </w:r>
    </w:p>
    <w:p w14:paraId="46FF94D3" w14:textId="77777777" w:rsidR="00E65117" w:rsidRPr="005F18BF" w:rsidRDefault="00E65117" w:rsidP="005F18BF">
      <w:pPr>
        <w:pStyle w:val="Heading2"/>
        <w:jc w:val="both"/>
        <w:rPr>
          <w:rFonts w:ascii="Arial" w:hAnsi="Arial" w:cs="Arial"/>
          <w:color w:val="auto"/>
          <w:sz w:val="22"/>
          <w:szCs w:val="22"/>
          <w:lang w:eastAsia="hr-HR"/>
        </w:rPr>
      </w:pPr>
    </w:p>
    <w:p w14:paraId="6017CC6B"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g) informacije o kapitalnim zahtjevima i gubicima povezanima s operativnim rizikom, kako je navedeno u obrascu 16. u Prilogu I., u skladu s uputama iz Priloga II. dijela II. točke 4.1. Provedbene Uredbe Komisije (EU) br. 680/2014,</w:t>
      </w:r>
    </w:p>
    <w:p w14:paraId="49F70567" w14:textId="77777777" w:rsidR="009F7794" w:rsidRPr="005F18BF" w:rsidRDefault="009F7794" w:rsidP="005F18BF">
      <w:pPr>
        <w:pStyle w:val="Heading2"/>
        <w:jc w:val="both"/>
        <w:rPr>
          <w:rFonts w:ascii="Arial" w:hAnsi="Arial" w:cs="Arial"/>
          <w:color w:val="auto"/>
          <w:sz w:val="22"/>
          <w:szCs w:val="22"/>
          <w:lang w:eastAsia="hr-HR"/>
        </w:rPr>
      </w:pPr>
    </w:p>
    <w:p w14:paraId="0C0A1737"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h) informacije o kapitalnim zahtjevima povezanima s tržišnim rizikom, kako je navedeno u obrascima 18. do 24. u Prilogu I., u skladu s uputama iz Priloga II. dijela II. točaka 5.1. do 5.7. Provedbene Uredbe Komisije (EU) br. 680/2014,</w:t>
      </w:r>
    </w:p>
    <w:p w14:paraId="00571EEA" w14:textId="77777777" w:rsidR="009F7794" w:rsidRPr="005F18BF" w:rsidRDefault="009F7794" w:rsidP="005F18BF">
      <w:pPr>
        <w:pStyle w:val="Heading2"/>
        <w:jc w:val="both"/>
        <w:rPr>
          <w:rFonts w:ascii="Arial" w:hAnsi="Arial" w:cs="Arial"/>
          <w:color w:val="auto"/>
          <w:sz w:val="22"/>
          <w:szCs w:val="22"/>
          <w:lang w:eastAsia="hr-HR"/>
        </w:rPr>
      </w:pPr>
    </w:p>
    <w:p w14:paraId="7A29537F"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lastRenderedPageBreak/>
        <w:t>i) informacije o kapitalnim zahtjevima povezanima s rizikom prilagodbe kreditnom vrednovanju, kako je navedeno u obrascu 25. u Prilogu I., u skladu s uputama iz Priloga II. dijela II. točke 5.8. Provedbene Uredbe Komisije (EU) br. 680/2014.</w:t>
      </w:r>
    </w:p>
    <w:p w14:paraId="0B75D0A9" w14:textId="77777777" w:rsidR="009F7794" w:rsidRPr="005F18BF" w:rsidRDefault="009F7794" w:rsidP="005F18BF">
      <w:pPr>
        <w:pStyle w:val="Heading2"/>
        <w:jc w:val="both"/>
        <w:rPr>
          <w:rFonts w:ascii="Arial" w:hAnsi="Arial" w:cs="Arial"/>
          <w:color w:val="auto"/>
          <w:sz w:val="22"/>
          <w:szCs w:val="22"/>
          <w:lang w:eastAsia="hr-HR"/>
        </w:rPr>
      </w:pPr>
    </w:p>
    <w:p w14:paraId="1E752A06"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Investicijska društva za potrebe izvještavanja o regulatornom kapitalu i kapitalnim zahtjevima na konsolidiranoj osnovi, osim za grupe koje se sastoje samo od investicijskih društava koja podliježu člancima 95. i 96. Uredbe (EU) br. 575/2013, dostavljaju:</w:t>
      </w:r>
    </w:p>
    <w:p w14:paraId="283B6D26" w14:textId="77777777" w:rsidR="009F7794" w:rsidRPr="005F18BF" w:rsidRDefault="009F7794" w:rsidP="005F18BF">
      <w:pPr>
        <w:pStyle w:val="Heading2"/>
        <w:jc w:val="both"/>
        <w:rPr>
          <w:rFonts w:ascii="Arial" w:hAnsi="Arial" w:cs="Arial"/>
          <w:color w:val="auto"/>
          <w:sz w:val="22"/>
          <w:szCs w:val="22"/>
          <w:lang w:eastAsia="hr-HR"/>
        </w:rPr>
      </w:pPr>
    </w:p>
    <w:p w14:paraId="0FD9D776"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a) informacije iz stavka 1. ovoga članka na konsolidiranoj osnovi tromjesečno,</w:t>
      </w:r>
    </w:p>
    <w:p w14:paraId="4390B74D" w14:textId="77777777" w:rsidR="009F7794" w:rsidRPr="005F18BF" w:rsidRDefault="009F7794" w:rsidP="005F18BF">
      <w:pPr>
        <w:pStyle w:val="Heading2"/>
        <w:jc w:val="both"/>
        <w:rPr>
          <w:rFonts w:ascii="Arial" w:hAnsi="Arial" w:cs="Arial"/>
          <w:color w:val="auto"/>
          <w:sz w:val="22"/>
          <w:szCs w:val="22"/>
          <w:lang w:eastAsia="hr-HR"/>
        </w:rPr>
      </w:pPr>
    </w:p>
    <w:p w14:paraId="332B94F2"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b) informacije iz obrasca 6. u Prilogu I. za subjekte uključene u opseg konsolidacije polugodišnje u skladu s uputama iz Priloga II. dijela II. točke 2. Provedbene Uredbe Komisije (EU) br. 680/2014.</w:t>
      </w:r>
    </w:p>
    <w:p w14:paraId="098584E0" w14:textId="77777777" w:rsidR="0062374B" w:rsidRPr="005F18BF" w:rsidRDefault="0062374B" w:rsidP="005F18BF">
      <w:pPr>
        <w:pStyle w:val="Heading2"/>
        <w:jc w:val="both"/>
        <w:rPr>
          <w:rFonts w:ascii="Arial" w:eastAsia="Times New Roman" w:hAnsi="Arial" w:cs="Arial"/>
          <w:color w:val="auto"/>
          <w:sz w:val="22"/>
          <w:szCs w:val="22"/>
          <w:lang w:eastAsia="hr-HR"/>
        </w:rPr>
      </w:pPr>
    </w:p>
    <w:p w14:paraId="5E3A4EA8" w14:textId="5A5EDD79" w:rsidR="007B4C84" w:rsidRPr="00636A2C" w:rsidRDefault="00372168" w:rsidP="00636A2C">
      <w:pPr>
        <w:pStyle w:val="Heading1"/>
        <w:jc w:val="center"/>
        <w:rPr>
          <w:rFonts w:ascii="Arial" w:hAnsi="Arial" w:cs="Arial"/>
          <w:b w:val="0"/>
          <w:sz w:val="22"/>
          <w:szCs w:val="22"/>
        </w:rPr>
      </w:pPr>
      <w:r w:rsidRPr="00636A2C">
        <w:rPr>
          <w:rFonts w:ascii="Arial" w:hAnsi="Arial" w:cs="Arial"/>
          <w:b w:val="0"/>
          <w:sz w:val="22"/>
          <w:szCs w:val="22"/>
        </w:rPr>
        <w:t>Izvještavanje o regulatornom kapitalu i kapitalnim zahtjevima na pojedinačnoj i konsolidiranoj osnovi za investicijska društva koja podliježu člancima 95.</w:t>
      </w:r>
      <w:r w:rsidR="0039265B" w:rsidRPr="00636A2C">
        <w:rPr>
          <w:rFonts w:ascii="Arial" w:hAnsi="Arial" w:cs="Arial"/>
          <w:b w:val="0"/>
          <w:sz w:val="22"/>
          <w:szCs w:val="22"/>
        </w:rPr>
        <w:t xml:space="preserve"> i 96. Uredbe (EU) br. 575/2013</w:t>
      </w:r>
    </w:p>
    <w:p w14:paraId="08D7EA0B" w14:textId="57588573" w:rsidR="007B4C84" w:rsidRPr="00636A2C" w:rsidRDefault="00372168" w:rsidP="00636A2C">
      <w:pPr>
        <w:pStyle w:val="Heading2"/>
        <w:jc w:val="center"/>
        <w:rPr>
          <w:rFonts w:ascii="Arial" w:hAnsi="Arial" w:cs="Arial"/>
          <w:color w:val="auto"/>
          <w:sz w:val="22"/>
          <w:szCs w:val="22"/>
          <w:lang w:eastAsia="hr-HR"/>
        </w:rPr>
      </w:pPr>
      <w:r w:rsidRPr="00636A2C">
        <w:rPr>
          <w:rFonts w:ascii="Arial" w:hAnsi="Arial" w:cs="Arial"/>
          <w:color w:val="auto"/>
          <w:sz w:val="22"/>
          <w:szCs w:val="22"/>
          <w:lang w:eastAsia="hr-HR"/>
        </w:rPr>
        <w:lastRenderedPageBreak/>
        <w:t xml:space="preserve">Članak </w:t>
      </w:r>
      <w:r w:rsidR="003265BB" w:rsidRPr="00636A2C">
        <w:rPr>
          <w:rFonts w:ascii="Arial" w:hAnsi="Arial" w:cs="Arial"/>
          <w:color w:val="auto"/>
          <w:sz w:val="22"/>
          <w:szCs w:val="22"/>
          <w:lang w:eastAsia="hr-HR"/>
        </w:rPr>
        <w:t>4</w:t>
      </w:r>
      <w:r w:rsidR="00B00AB9" w:rsidRPr="00636A2C">
        <w:rPr>
          <w:rFonts w:ascii="Arial" w:hAnsi="Arial" w:cs="Arial"/>
          <w:color w:val="auto"/>
          <w:sz w:val="22"/>
          <w:szCs w:val="22"/>
          <w:lang w:eastAsia="hr-HR"/>
        </w:rPr>
        <w:t>5</w:t>
      </w:r>
      <w:r w:rsidRPr="00636A2C">
        <w:rPr>
          <w:rFonts w:ascii="Arial" w:hAnsi="Arial" w:cs="Arial"/>
          <w:color w:val="auto"/>
          <w:sz w:val="22"/>
          <w:szCs w:val="22"/>
          <w:lang w:eastAsia="hr-HR"/>
        </w:rPr>
        <w:t>.</w:t>
      </w:r>
    </w:p>
    <w:p w14:paraId="0007713A" w14:textId="77777777" w:rsidR="009769CC" w:rsidRPr="005F18BF" w:rsidRDefault="009769CC" w:rsidP="005F18BF">
      <w:pPr>
        <w:pStyle w:val="Heading2"/>
        <w:jc w:val="both"/>
        <w:rPr>
          <w:rFonts w:ascii="Arial" w:hAnsi="Arial" w:cs="Arial"/>
          <w:color w:val="auto"/>
          <w:sz w:val="22"/>
          <w:szCs w:val="22"/>
          <w:lang w:eastAsia="hr-HR"/>
        </w:rPr>
      </w:pPr>
    </w:p>
    <w:p w14:paraId="4E621E31"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Investicijska društva koja podliježu članku 95. (EU) br. 575/2013 za potrebe izvještavanja o regulatornom kapitalu i kapitalnim zahtjevima na pojedinačnoj osnovi dostavljaju informacije iz obrazaca 1. do 5. u Prilogu I. tromjesečno u skladu s uputama iz Priloga II. dijela II. točke 1. Provedbene Uredbe Komisije (EU) br. 680/2014.</w:t>
      </w:r>
    </w:p>
    <w:p w14:paraId="3E26C860" w14:textId="77777777" w:rsidR="009F7794" w:rsidRPr="005F18BF" w:rsidRDefault="009F7794" w:rsidP="005F18BF">
      <w:pPr>
        <w:pStyle w:val="Heading2"/>
        <w:jc w:val="both"/>
        <w:rPr>
          <w:rFonts w:ascii="Arial" w:hAnsi="Arial" w:cs="Arial"/>
          <w:color w:val="auto"/>
          <w:sz w:val="22"/>
          <w:szCs w:val="22"/>
          <w:lang w:eastAsia="hr-HR"/>
        </w:rPr>
      </w:pPr>
    </w:p>
    <w:p w14:paraId="252D0CC7" w14:textId="7A047A3F"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(2) Investicijska društva koja podliježu članku 96. Uredbe (EU) br. 575/2013 za potrebe izvještavanja o regulatornom kapitalu i kapitalnim zahtjevima na pojedinačnoj osnovi dostavljaju informacije iz članka </w:t>
      </w:r>
      <w:r w:rsidR="00C1689E" w:rsidRPr="005F18BF">
        <w:rPr>
          <w:rFonts w:ascii="Arial" w:hAnsi="Arial" w:cs="Arial"/>
          <w:color w:val="auto"/>
          <w:sz w:val="22"/>
          <w:szCs w:val="22"/>
          <w:lang w:eastAsia="hr-HR"/>
        </w:rPr>
        <w:t>4</w:t>
      </w:r>
      <w:r w:rsidR="00B00AB9" w:rsidRPr="005F18BF">
        <w:rPr>
          <w:rFonts w:ascii="Arial" w:hAnsi="Arial" w:cs="Arial"/>
          <w:color w:val="auto"/>
          <w:sz w:val="22"/>
          <w:szCs w:val="22"/>
          <w:lang w:eastAsia="hr-HR"/>
        </w:rPr>
        <w:t>4</w:t>
      </w:r>
      <w:r w:rsidRPr="005F18BF">
        <w:rPr>
          <w:rFonts w:ascii="Arial" w:hAnsi="Arial" w:cs="Arial"/>
          <w:color w:val="auto"/>
          <w:sz w:val="22"/>
          <w:szCs w:val="22"/>
          <w:lang w:eastAsia="hr-HR"/>
        </w:rPr>
        <w:t>. stavka 1. ovoga Pravilnika učestalošću koja je ondje propisana.</w:t>
      </w:r>
    </w:p>
    <w:p w14:paraId="0AB82B55" w14:textId="77777777" w:rsidR="009F7794" w:rsidRPr="005F18BF" w:rsidRDefault="009F7794" w:rsidP="005F18BF">
      <w:pPr>
        <w:pStyle w:val="Heading2"/>
        <w:jc w:val="both"/>
        <w:rPr>
          <w:rFonts w:ascii="Arial" w:hAnsi="Arial" w:cs="Arial"/>
          <w:color w:val="auto"/>
          <w:sz w:val="22"/>
          <w:szCs w:val="22"/>
          <w:lang w:eastAsia="hr-HR"/>
        </w:rPr>
      </w:pPr>
    </w:p>
    <w:p w14:paraId="4C4FF300"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Investicijska društva iz grupe koja se sastoji samo od investicijskih društava koja podliježu članku 95. Uredbe (EU) br. 575/2013 za potrebe izvještavanja o regulatornom kapitalu i kapitalnim zahtjevima na konsolidiranoj osnovi dostavljaju (na konsolidiranoj osnovi):</w:t>
      </w:r>
    </w:p>
    <w:p w14:paraId="585EB42F" w14:textId="77777777" w:rsidR="009F7794" w:rsidRPr="005F18BF" w:rsidRDefault="009F7794" w:rsidP="005F18BF">
      <w:pPr>
        <w:pStyle w:val="Heading2"/>
        <w:jc w:val="both"/>
        <w:rPr>
          <w:rFonts w:ascii="Arial" w:hAnsi="Arial" w:cs="Arial"/>
          <w:color w:val="auto"/>
          <w:sz w:val="22"/>
          <w:szCs w:val="22"/>
          <w:lang w:eastAsia="hr-HR"/>
        </w:rPr>
      </w:pPr>
    </w:p>
    <w:p w14:paraId="68CA27CB" w14:textId="2A2F7F06" w:rsidR="004236B7" w:rsidRPr="005F18BF" w:rsidRDefault="004236B7"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a) informacije o regulatornom kapitalu i kapitalnim zahtjevima, kako je navedeno u obrascima 1. – 5. u Prilogu I., tromjesečno prema uputama iz Priloga II. dijela II. točke 1. Provedbene Uredbe Komisije (EU) br. 680/2014,.</w:t>
      </w:r>
    </w:p>
    <w:p w14:paraId="058902DF" w14:textId="77777777" w:rsidR="009F7794" w:rsidRPr="005F18BF" w:rsidRDefault="009F7794" w:rsidP="005F18BF">
      <w:pPr>
        <w:pStyle w:val="Heading2"/>
        <w:jc w:val="both"/>
        <w:rPr>
          <w:rFonts w:ascii="Arial" w:hAnsi="Arial" w:cs="Arial"/>
          <w:color w:val="auto"/>
          <w:sz w:val="22"/>
          <w:szCs w:val="22"/>
          <w:lang w:eastAsia="hr-HR"/>
        </w:rPr>
      </w:pPr>
    </w:p>
    <w:p w14:paraId="18796468"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b) informacije o regulatornom kapitalu i kapitalnim zahtjevima za subjekte uključene u opseg konsolidacije, kako je navedeno u obrascu 6. u Prilogu I., polugodišnje prema uputama iz Priloga II. dijela II. točke 2. Provedbene Uredbe Komisije (EU) br. 680/2014.</w:t>
      </w:r>
    </w:p>
    <w:p w14:paraId="46A8F4A6" w14:textId="77777777" w:rsidR="009F7794" w:rsidRPr="005F18BF" w:rsidRDefault="009F7794" w:rsidP="005F18BF">
      <w:pPr>
        <w:pStyle w:val="Heading2"/>
        <w:jc w:val="both"/>
        <w:rPr>
          <w:rFonts w:ascii="Arial" w:hAnsi="Arial" w:cs="Arial"/>
          <w:color w:val="auto"/>
          <w:sz w:val="22"/>
          <w:szCs w:val="22"/>
          <w:lang w:eastAsia="hr-HR"/>
        </w:rPr>
      </w:pPr>
    </w:p>
    <w:p w14:paraId="040D9B17"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Investicijska društva iz grupa koje se sastoje samo od investicijskih društava koja podliježu člancima 95. i 96. i grupe koje se sastoje samo od investicijskih društava koja podliježu članku 96. Uredbe (EU) br. 575/2013 za potrebe izvještavanja o regulatornom kapitalu i kapitalnim zahtjevima na konsolidiranoj osnovi dostavljaju sljedeće informacije na konsolidiranoj osnovi:</w:t>
      </w:r>
    </w:p>
    <w:p w14:paraId="7FBC4C68" w14:textId="77777777" w:rsidR="009F7794" w:rsidRPr="005F18BF" w:rsidRDefault="009F7794" w:rsidP="005F18BF">
      <w:pPr>
        <w:pStyle w:val="Heading2"/>
        <w:jc w:val="both"/>
        <w:rPr>
          <w:rFonts w:ascii="Arial" w:hAnsi="Arial" w:cs="Arial"/>
          <w:color w:val="auto"/>
          <w:sz w:val="22"/>
          <w:szCs w:val="22"/>
          <w:lang w:eastAsia="hr-HR"/>
        </w:rPr>
      </w:pPr>
    </w:p>
    <w:p w14:paraId="19036267" w14:textId="4A2C4AD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a)</w:t>
      </w:r>
      <w:r w:rsidR="002A67DF" w:rsidRPr="005F18BF">
        <w:rPr>
          <w:rFonts w:ascii="Arial" w:hAnsi="Arial" w:cs="Arial"/>
          <w:color w:val="auto"/>
          <w:sz w:val="22"/>
          <w:szCs w:val="22"/>
        </w:rPr>
        <w:t xml:space="preserve"> </w:t>
      </w:r>
      <w:r w:rsidR="002A67DF" w:rsidRPr="005F18BF">
        <w:rPr>
          <w:rFonts w:ascii="Arial" w:hAnsi="Arial" w:cs="Arial"/>
          <w:color w:val="auto"/>
          <w:sz w:val="22"/>
          <w:szCs w:val="22"/>
          <w:lang w:eastAsia="hr-HR"/>
        </w:rPr>
        <w:t xml:space="preserve"> informacije iz članka </w:t>
      </w:r>
      <w:r w:rsidR="00C1689E" w:rsidRPr="005F18BF">
        <w:rPr>
          <w:rFonts w:ascii="Arial" w:hAnsi="Arial" w:cs="Arial"/>
          <w:color w:val="auto"/>
          <w:sz w:val="22"/>
          <w:szCs w:val="22"/>
          <w:lang w:eastAsia="hr-HR"/>
        </w:rPr>
        <w:t>4</w:t>
      </w:r>
      <w:r w:rsidR="00B00AB9" w:rsidRPr="005F18BF">
        <w:rPr>
          <w:rFonts w:ascii="Arial" w:hAnsi="Arial" w:cs="Arial"/>
          <w:color w:val="auto"/>
          <w:sz w:val="22"/>
          <w:szCs w:val="22"/>
          <w:lang w:eastAsia="hr-HR"/>
        </w:rPr>
        <w:t>4</w:t>
      </w:r>
      <w:r w:rsidR="002A67DF" w:rsidRPr="005F18BF">
        <w:rPr>
          <w:rFonts w:ascii="Arial" w:hAnsi="Arial" w:cs="Arial"/>
          <w:color w:val="auto"/>
          <w:sz w:val="22"/>
          <w:szCs w:val="22"/>
          <w:lang w:eastAsia="hr-HR"/>
        </w:rPr>
        <w:t>. stavka 1. ovoga Pravilnika učestalošću koja je ondje propisana,.</w:t>
      </w:r>
    </w:p>
    <w:p w14:paraId="10152C0E" w14:textId="77777777" w:rsidR="009F7794" w:rsidRPr="005F18BF" w:rsidRDefault="009F7794" w:rsidP="005F18BF">
      <w:pPr>
        <w:pStyle w:val="Heading2"/>
        <w:jc w:val="both"/>
        <w:rPr>
          <w:rFonts w:ascii="Arial" w:hAnsi="Arial" w:cs="Arial"/>
          <w:color w:val="auto"/>
          <w:sz w:val="22"/>
          <w:szCs w:val="22"/>
          <w:lang w:eastAsia="hr-HR"/>
        </w:rPr>
      </w:pPr>
    </w:p>
    <w:p w14:paraId="31E2C0DE"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b) informacije za subjekte uključene u opseg konsolidacije, kako je navedeno u obrascu 6. u Prilogu I., polugodišnje prema uputama iz Priloga II. dijela II. točke 2. Provedbene Uredbe Komisije (EU) br. 680/2014.</w:t>
      </w:r>
    </w:p>
    <w:p w14:paraId="20DE31FF" w14:textId="77777777" w:rsidR="00A22B9C" w:rsidRPr="005F18BF" w:rsidRDefault="00A22B9C" w:rsidP="005F18BF">
      <w:pPr>
        <w:pStyle w:val="Heading2"/>
        <w:jc w:val="both"/>
        <w:rPr>
          <w:rFonts w:ascii="Arial" w:eastAsia="Times New Roman" w:hAnsi="Arial" w:cs="Arial"/>
          <w:color w:val="auto"/>
          <w:sz w:val="22"/>
          <w:szCs w:val="22"/>
          <w:lang w:eastAsia="hr-HR"/>
        </w:rPr>
      </w:pPr>
    </w:p>
    <w:p w14:paraId="31F8B25F" w14:textId="1AE52523" w:rsidR="002926C6" w:rsidRPr="00574C51" w:rsidRDefault="00A22B9C" w:rsidP="00574C51">
      <w:pPr>
        <w:pStyle w:val="Heading1"/>
        <w:jc w:val="center"/>
        <w:rPr>
          <w:rFonts w:ascii="Arial" w:hAnsi="Arial" w:cs="Arial"/>
          <w:b w:val="0"/>
          <w:sz w:val="22"/>
          <w:szCs w:val="22"/>
        </w:rPr>
      </w:pPr>
      <w:r w:rsidRPr="00574C51">
        <w:rPr>
          <w:rFonts w:ascii="Arial" w:hAnsi="Arial" w:cs="Arial"/>
          <w:b w:val="0"/>
          <w:sz w:val="22"/>
          <w:szCs w:val="22"/>
        </w:rPr>
        <w:t>Izvještavanje o opterećenosti imovine na pojedinačnoj i konsolidiranoj osnovi</w:t>
      </w:r>
    </w:p>
    <w:p w14:paraId="78B62E90" w14:textId="203FF30C" w:rsidR="00A22B9C" w:rsidRPr="00894F6B" w:rsidRDefault="00A22B9C" w:rsidP="00894F6B">
      <w:pPr>
        <w:pStyle w:val="Heading2"/>
        <w:jc w:val="center"/>
        <w:rPr>
          <w:rFonts w:ascii="Arial" w:hAnsi="Arial" w:cs="Arial"/>
          <w:color w:val="auto"/>
          <w:sz w:val="22"/>
          <w:szCs w:val="22"/>
          <w:lang w:eastAsia="hr-HR"/>
        </w:rPr>
      </w:pPr>
      <w:r w:rsidRPr="00894F6B">
        <w:rPr>
          <w:rFonts w:ascii="Arial" w:hAnsi="Arial" w:cs="Arial"/>
          <w:color w:val="auto"/>
          <w:sz w:val="22"/>
          <w:szCs w:val="22"/>
          <w:lang w:eastAsia="hr-HR"/>
        </w:rPr>
        <w:lastRenderedPageBreak/>
        <w:t xml:space="preserve">Članak </w:t>
      </w:r>
      <w:r w:rsidR="003265BB" w:rsidRPr="00894F6B">
        <w:rPr>
          <w:rFonts w:ascii="Arial" w:hAnsi="Arial" w:cs="Arial"/>
          <w:color w:val="auto"/>
          <w:sz w:val="22"/>
          <w:szCs w:val="22"/>
          <w:lang w:eastAsia="hr-HR"/>
        </w:rPr>
        <w:t>4</w:t>
      </w:r>
      <w:r w:rsidR="00B00AB9" w:rsidRPr="00894F6B">
        <w:rPr>
          <w:rFonts w:ascii="Arial" w:hAnsi="Arial" w:cs="Arial"/>
          <w:color w:val="auto"/>
          <w:sz w:val="22"/>
          <w:szCs w:val="22"/>
          <w:lang w:eastAsia="hr-HR"/>
        </w:rPr>
        <w:t>6</w:t>
      </w:r>
      <w:r w:rsidRPr="00894F6B">
        <w:rPr>
          <w:rFonts w:ascii="Arial" w:hAnsi="Arial" w:cs="Arial"/>
          <w:color w:val="auto"/>
          <w:sz w:val="22"/>
          <w:szCs w:val="22"/>
          <w:lang w:eastAsia="hr-HR"/>
        </w:rPr>
        <w:t>.</w:t>
      </w:r>
    </w:p>
    <w:p w14:paraId="6CBB5F55" w14:textId="77777777" w:rsidR="009769CC" w:rsidRPr="005F18BF" w:rsidRDefault="009769CC" w:rsidP="005F18BF">
      <w:pPr>
        <w:pStyle w:val="Heading2"/>
        <w:jc w:val="both"/>
        <w:rPr>
          <w:rFonts w:ascii="Arial" w:hAnsi="Arial" w:cs="Arial"/>
          <w:color w:val="auto"/>
          <w:sz w:val="22"/>
          <w:szCs w:val="22"/>
          <w:lang w:eastAsia="hr-HR"/>
        </w:rPr>
      </w:pPr>
    </w:p>
    <w:p w14:paraId="00253218" w14:textId="77777777" w:rsidR="00A22B9C" w:rsidRPr="005F18BF" w:rsidRDefault="00A22B9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Za potrebe izvještavanja o opterećenosti imovine u skladu s člankom 100. Uredbe (EU) br. 575/2013 na pojedinačnoj i konsolidiranoj osnovi, investicijska društva dostavljaju informacije navedene u Prilogu XVI., u skladu s uputama iz Priloga XVII. Provedbene Uredbe Komisije (EU) br. 680/2014, koja je izmijenjena Provedbenom Uredbom Komisije (EU) br. 79/2015.</w:t>
      </w:r>
    </w:p>
    <w:p w14:paraId="0F55FE9E" w14:textId="77777777" w:rsidR="009F7794" w:rsidRPr="005F18BF" w:rsidRDefault="009F7794" w:rsidP="005F18BF">
      <w:pPr>
        <w:pStyle w:val="Heading2"/>
        <w:jc w:val="both"/>
        <w:rPr>
          <w:rFonts w:ascii="Arial" w:hAnsi="Arial" w:cs="Arial"/>
          <w:color w:val="auto"/>
          <w:sz w:val="22"/>
          <w:szCs w:val="22"/>
          <w:lang w:eastAsia="hr-HR"/>
        </w:rPr>
      </w:pPr>
    </w:p>
    <w:p w14:paraId="2DFF65DD" w14:textId="77777777" w:rsidR="00A22B9C" w:rsidRPr="005F18BF" w:rsidRDefault="00A22B9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Informacije iz stavka 1. dostavljaju se u skladu sa sljedećim odredbama:</w:t>
      </w:r>
    </w:p>
    <w:p w14:paraId="29DF593A" w14:textId="77777777" w:rsidR="009F7794" w:rsidRPr="005F18BF" w:rsidRDefault="009F7794" w:rsidP="005F18BF">
      <w:pPr>
        <w:pStyle w:val="Heading2"/>
        <w:jc w:val="both"/>
        <w:rPr>
          <w:rFonts w:ascii="Arial" w:hAnsi="Arial" w:cs="Arial"/>
          <w:color w:val="auto"/>
          <w:sz w:val="22"/>
          <w:szCs w:val="22"/>
          <w:lang w:eastAsia="hr-HR"/>
        </w:rPr>
      </w:pPr>
    </w:p>
    <w:p w14:paraId="39F38A08" w14:textId="77777777" w:rsidR="00A22B9C" w:rsidRPr="005F18BF" w:rsidRDefault="00A22B9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(a) informacije iz Priloga XVI. dijelova A, B i D tromjesečno;</w:t>
      </w:r>
    </w:p>
    <w:p w14:paraId="62D5120B" w14:textId="77777777" w:rsidR="009F7794" w:rsidRPr="005F18BF" w:rsidRDefault="009F7794" w:rsidP="005F18BF">
      <w:pPr>
        <w:pStyle w:val="Heading2"/>
        <w:jc w:val="both"/>
        <w:rPr>
          <w:rFonts w:ascii="Arial" w:hAnsi="Arial" w:cs="Arial"/>
          <w:color w:val="auto"/>
          <w:sz w:val="22"/>
          <w:szCs w:val="22"/>
          <w:lang w:eastAsia="hr-HR"/>
        </w:rPr>
      </w:pPr>
    </w:p>
    <w:p w14:paraId="4F03265A" w14:textId="77777777" w:rsidR="00A22B9C" w:rsidRPr="005F18BF" w:rsidRDefault="00A22B9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(b) informacije iz Priloga XVI. dijela C godišnje;</w:t>
      </w:r>
    </w:p>
    <w:p w14:paraId="3E90018B" w14:textId="77777777" w:rsidR="009F7794" w:rsidRPr="005F18BF" w:rsidRDefault="009F7794" w:rsidP="005F18BF">
      <w:pPr>
        <w:pStyle w:val="Heading2"/>
        <w:jc w:val="both"/>
        <w:rPr>
          <w:rFonts w:ascii="Arial" w:hAnsi="Arial" w:cs="Arial"/>
          <w:color w:val="auto"/>
          <w:sz w:val="22"/>
          <w:szCs w:val="22"/>
          <w:lang w:eastAsia="hr-HR"/>
        </w:rPr>
      </w:pPr>
    </w:p>
    <w:p w14:paraId="46E3358B" w14:textId="77777777" w:rsidR="00A22B9C" w:rsidRPr="005F18BF" w:rsidRDefault="00A22B9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(c) informacije iz Priloga XVI. dijela E polugodišnje.</w:t>
      </w:r>
    </w:p>
    <w:p w14:paraId="3A3C9455" w14:textId="77777777" w:rsidR="009F7794" w:rsidRPr="005F18BF" w:rsidRDefault="009F7794" w:rsidP="005F18BF">
      <w:pPr>
        <w:pStyle w:val="Heading2"/>
        <w:jc w:val="both"/>
        <w:rPr>
          <w:rFonts w:ascii="Arial" w:hAnsi="Arial" w:cs="Arial"/>
          <w:color w:val="auto"/>
          <w:sz w:val="22"/>
          <w:szCs w:val="22"/>
          <w:lang w:eastAsia="hr-HR"/>
        </w:rPr>
      </w:pPr>
    </w:p>
    <w:p w14:paraId="1589F016" w14:textId="77777777" w:rsidR="00A22B9C" w:rsidRPr="005F18BF" w:rsidRDefault="00A22B9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Investicijska društva nisu obvezna dostaviti informacije iz Priloga XVI. dijela B, C ili E ako ispunjavaju svaki od sljedećih kriterija:</w:t>
      </w:r>
    </w:p>
    <w:p w14:paraId="65F378FA" w14:textId="77777777" w:rsidR="009F7794" w:rsidRPr="005F18BF" w:rsidRDefault="009F7794" w:rsidP="005F18BF">
      <w:pPr>
        <w:pStyle w:val="Heading2"/>
        <w:jc w:val="both"/>
        <w:rPr>
          <w:rFonts w:ascii="Arial" w:hAnsi="Arial" w:cs="Arial"/>
          <w:color w:val="auto"/>
          <w:sz w:val="22"/>
          <w:szCs w:val="22"/>
          <w:lang w:eastAsia="hr-HR"/>
        </w:rPr>
      </w:pPr>
    </w:p>
    <w:p w14:paraId="67CC469E" w14:textId="77777777" w:rsidR="00A22B9C" w:rsidRPr="005F18BF" w:rsidRDefault="00A22B9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(a) ukupna imovina investicijskog društva, izračunana u skladu s Prilogom XVII. odjeljkom 1.6 točkom 10., manja je od 30 milijardi EUR;</w:t>
      </w:r>
    </w:p>
    <w:p w14:paraId="42D6B1BA" w14:textId="77777777" w:rsidR="009F7794" w:rsidRPr="005F18BF" w:rsidRDefault="009F7794" w:rsidP="005F18BF">
      <w:pPr>
        <w:pStyle w:val="Heading2"/>
        <w:jc w:val="both"/>
        <w:rPr>
          <w:rFonts w:ascii="Arial" w:hAnsi="Arial" w:cs="Arial"/>
          <w:color w:val="auto"/>
          <w:sz w:val="22"/>
          <w:szCs w:val="22"/>
          <w:lang w:eastAsia="hr-HR"/>
        </w:rPr>
      </w:pPr>
    </w:p>
    <w:p w14:paraId="22BE184E" w14:textId="77777777" w:rsidR="00A22B9C" w:rsidRPr="005F18BF" w:rsidRDefault="00A22B9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(b) razina opterećenosti imovine investicijskog društva, izračunana u skladu s Prilogom XVII. odjeljkom 1.6 točkom 9., manja je od 15%.</w:t>
      </w:r>
    </w:p>
    <w:p w14:paraId="65D5B50D" w14:textId="77777777" w:rsidR="009F7794" w:rsidRPr="005F18BF" w:rsidRDefault="009F7794" w:rsidP="005F18BF">
      <w:pPr>
        <w:pStyle w:val="Heading2"/>
        <w:jc w:val="both"/>
        <w:rPr>
          <w:rFonts w:ascii="Arial" w:hAnsi="Arial" w:cs="Arial"/>
          <w:color w:val="auto"/>
          <w:sz w:val="22"/>
          <w:szCs w:val="22"/>
          <w:lang w:eastAsia="hr-HR"/>
        </w:rPr>
      </w:pPr>
    </w:p>
    <w:p w14:paraId="0730BE16" w14:textId="7B28C126" w:rsidR="00A22B9C" w:rsidRPr="005F18BF" w:rsidRDefault="00A22B9C"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(4) Investicijska društva su obvezna dostaviti informacije iz Priloga XVI. dijela D samo ako izdaju obveznice iz članka 25</w:t>
      </w:r>
      <w:r w:rsidR="005E0C50" w:rsidRPr="005F18BF">
        <w:rPr>
          <w:rFonts w:ascii="Arial" w:hAnsi="Arial" w:cs="Arial"/>
          <w:color w:val="auto"/>
          <w:sz w:val="22"/>
          <w:szCs w:val="22"/>
          <w:lang w:eastAsia="hr-HR"/>
        </w:rPr>
        <w:t>4</w:t>
      </w:r>
      <w:r w:rsidRPr="005F18BF">
        <w:rPr>
          <w:rFonts w:ascii="Arial" w:hAnsi="Arial" w:cs="Arial"/>
          <w:color w:val="auto"/>
          <w:sz w:val="22"/>
          <w:szCs w:val="22"/>
          <w:lang w:eastAsia="hr-HR"/>
        </w:rPr>
        <w:t>. stavka 1. članka 7. Zakona o otvorenim investicijskim fondovima s javnom ponudom (»Narod</w:t>
      </w:r>
      <w:r w:rsidR="005E0C50" w:rsidRPr="005F18BF">
        <w:rPr>
          <w:rFonts w:ascii="Arial" w:hAnsi="Arial" w:cs="Arial"/>
          <w:color w:val="auto"/>
          <w:sz w:val="22"/>
          <w:szCs w:val="22"/>
          <w:lang w:eastAsia="hr-HR"/>
        </w:rPr>
        <w:t>ne novine« br. 44/16</w:t>
      </w:r>
      <w:r w:rsidR="009769CC" w:rsidRPr="005F18BF">
        <w:rPr>
          <w:rFonts w:ascii="Arial" w:hAnsi="Arial" w:cs="Arial"/>
          <w:color w:val="auto"/>
          <w:sz w:val="22"/>
          <w:szCs w:val="22"/>
          <w:lang w:eastAsia="hr-HR"/>
        </w:rPr>
        <w:t>).</w:t>
      </w:r>
    </w:p>
    <w:p w14:paraId="73F8F92D" w14:textId="77777777" w:rsidR="00A22B9C" w:rsidRPr="005F18BF" w:rsidRDefault="00A22B9C" w:rsidP="005F18BF">
      <w:pPr>
        <w:pStyle w:val="Heading2"/>
        <w:jc w:val="both"/>
        <w:rPr>
          <w:rFonts w:ascii="Arial" w:hAnsi="Arial" w:cs="Arial"/>
          <w:color w:val="auto"/>
          <w:sz w:val="22"/>
          <w:szCs w:val="22"/>
          <w:lang w:eastAsia="hr-HR"/>
        </w:rPr>
      </w:pPr>
    </w:p>
    <w:p w14:paraId="317C337A" w14:textId="77777777" w:rsidR="00A22B9C" w:rsidRPr="005F18BF" w:rsidRDefault="00A22B9C" w:rsidP="005F18BF">
      <w:pPr>
        <w:pStyle w:val="Heading2"/>
        <w:jc w:val="both"/>
        <w:rPr>
          <w:rFonts w:ascii="Arial" w:hAnsi="Arial" w:cs="Arial"/>
          <w:color w:val="auto"/>
          <w:sz w:val="22"/>
          <w:szCs w:val="22"/>
          <w:lang w:eastAsia="hr-HR"/>
        </w:rPr>
      </w:pPr>
    </w:p>
    <w:p w14:paraId="21FD2DEF" w14:textId="411643D9" w:rsidR="007B4C84" w:rsidRPr="00894F6B" w:rsidRDefault="00372168" w:rsidP="00894F6B">
      <w:pPr>
        <w:pStyle w:val="Heading1"/>
        <w:jc w:val="center"/>
        <w:rPr>
          <w:rFonts w:ascii="Arial" w:hAnsi="Arial" w:cs="Arial"/>
          <w:b w:val="0"/>
          <w:sz w:val="22"/>
          <w:szCs w:val="22"/>
        </w:rPr>
      </w:pPr>
      <w:r w:rsidRPr="00894F6B">
        <w:rPr>
          <w:rFonts w:ascii="Arial" w:hAnsi="Arial" w:cs="Arial"/>
          <w:b w:val="0"/>
          <w:sz w:val="22"/>
          <w:szCs w:val="22"/>
        </w:rPr>
        <w:t>Izvještavanje o velikim izloženostima na pojed</w:t>
      </w:r>
      <w:r w:rsidR="009769CC" w:rsidRPr="00894F6B">
        <w:rPr>
          <w:rFonts w:ascii="Arial" w:hAnsi="Arial" w:cs="Arial"/>
          <w:b w:val="0"/>
          <w:sz w:val="22"/>
          <w:szCs w:val="22"/>
        </w:rPr>
        <w:t>inačnoj i konsolidiranoj osnovi</w:t>
      </w:r>
    </w:p>
    <w:p w14:paraId="22BED9E2" w14:textId="679FF18C" w:rsidR="00372168" w:rsidRPr="005143C4" w:rsidRDefault="00372168" w:rsidP="005143C4">
      <w:pPr>
        <w:pStyle w:val="Heading2"/>
        <w:jc w:val="center"/>
        <w:rPr>
          <w:rFonts w:ascii="Arial" w:eastAsia="Times New Roman" w:hAnsi="Arial" w:cs="Arial"/>
          <w:color w:val="auto"/>
          <w:sz w:val="22"/>
          <w:szCs w:val="22"/>
          <w:lang w:eastAsia="hr-HR"/>
        </w:rPr>
      </w:pPr>
      <w:r w:rsidRPr="005143C4">
        <w:rPr>
          <w:rFonts w:ascii="Arial" w:eastAsia="Times New Roman" w:hAnsi="Arial" w:cs="Arial"/>
          <w:color w:val="auto"/>
          <w:sz w:val="22"/>
          <w:szCs w:val="22"/>
          <w:lang w:eastAsia="hr-HR"/>
        </w:rPr>
        <w:lastRenderedPageBreak/>
        <w:t xml:space="preserve">Članak </w:t>
      </w:r>
      <w:r w:rsidR="003265BB" w:rsidRPr="005143C4">
        <w:rPr>
          <w:rFonts w:ascii="Arial" w:eastAsia="Times New Roman" w:hAnsi="Arial" w:cs="Arial"/>
          <w:color w:val="auto"/>
          <w:sz w:val="22"/>
          <w:szCs w:val="22"/>
          <w:lang w:eastAsia="hr-HR"/>
        </w:rPr>
        <w:t>4</w:t>
      </w:r>
      <w:r w:rsidR="00B00AB9" w:rsidRPr="005143C4">
        <w:rPr>
          <w:rFonts w:ascii="Arial" w:eastAsia="Times New Roman" w:hAnsi="Arial" w:cs="Arial"/>
          <w:color w:val="auto"/>
          <w:sz w:val="22"/>
          <w:szCs w:val="22"/>
          <w:lang w:eastAsia="hr-HR"/>
        </w:rPr>
        <w:t>7</w:t>
      </w:r>
      <w:r w:rsidRPr="005143C4">
        <w:rPr>
          <w:rFonts w:ascii="Arial" w:eastAsia="Times New Roman" w:hAnsi="Arial" w:cs="Arial"/>
          <w:color w:val="auto"/>
          <w:sz w:val="22"/>
          <w:szCs w:val="22"/>
          <w:lang w:eastAsia="hr-HR"/>
        </w:rPr>
        <w:t>.</w:t>
      </w:r>
    </w:p>
    <w:p w14:paraId="7C823A39" w14:textId="77777777" w:rsidR="009769CC" w:rsidRPr="005F18BF" w:rsidRDefault="009769CC" w:rsidP="005F18BF">
      <w:pPr>
        <w:pStyle w:val="Heading2"/>
        <w:jc w:val="both"/>
        <w:rPr>
          <w:rFonts w:ascii="Arial" w:eastAsia="Times New Roman" w:hAnsi="Arial" w:cs="Arial"/>
          <w:color w:val="auto"/>
          <w:sz w:val="22"/>
          <w:szCs w:val="22"/>
          <w:lang w:eastAsia="hr-HR"/>
        </w:rPr>
      </w:pPr>
    </w:p>
    <w:p w14:paraId="0EB96ED3"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(1) Odredbe ovoga članka ne primjenjuju se na:</w:t>
      </w:r>
    </w:p>
    <w:p w14:paraId="2582EB94"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7ADD3F35"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a) investicijska društva koja ispunjavaju kriterije iz članka 95. stavka 1. Uredbe (EU) br. 575/2013,</w:t>
      </w:r>
    </w:p>
    <w:p w14:paraId="3E2C4387"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14CEDB0E"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b) investicijska društva koja ispunjavaju kriterije iz članka 96. stavka 1. Uredbe (EU) br. 575/2013,</w:t>
      </w:r>
    </w:p>
    <w:p w14:paraId="2BDDB61D"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5EB652DE"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c) grupu ako ta grupa obuhvaća samo investicijska društva iz članka 95. stavka 1. Uredbe (EU) br. 575/2013 ili investicijska društva iz članka 96. stavka 1. Uredbe (EU) br. 575/2013 i ako ta grupa ne obuhvaća kreditne institucije.</w:t>
      </w:r>
    </w:p>
    <w:p w14:paraId="1AF43954"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139603FD"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(2) Za potrebe izvještavanja o velikim izloženostima prema osobama i grupama povezanih osoba u skladu s člankom 394. stavkom 1. Uredbe (EU) br. 575/2013 na pojedinačnoj i konsolidiranoj osnovi, investicijska društva dostavljaju informacije iz Priloga VIII. tromjesečno u skladu s uputama iz Priloga IX. Provedbene Uredbe Komisije (EU) br. 680/2014.</w:t>
      </w:r>
    </w:p>
    <w:p w14:paraId="3091E79E"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7D23C59E"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(3) Investicijska društva koja podliježu dijelu trećem glavi II. poglavlju 3. Uredbe (EU) br. 575/2013 za potrebe izvještavanja o dvadeset najvećih izloženosti prema osobama i grupama povezanih osoba u skladu sa zadnjom rečenicom članka 394. stavka 1. Uredbe (EU) br. 575/2013 na konsolidiranoj osnovi dostavljaju informacije iz Priloga VIII. tromjesečno u skladu s uputama iz Priloga IX. Provedbene Uredbe Komisije (EU) br. 680/2014.</w:t>
      </w:r>
    </w:p>
    <w:p w14:paraId="3E7B2734"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60612DE4"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(4) Za potrebe izvještavanja o deset najvećih izloženosti prema institucijama te deset najvećih izloženosti prema nereguliranim financijskim subjektima u skladu s člankom 394. stavkom 2. Uredbe (EU) br. 575/2013 na konsolidiranoj osnovi, investicijska društva dostavljaju informacije iz Priloga VIII. tromjesečno u skladu s uputama iz Priloga IX. Provedbene Uredbe Komisije (EU) br. 680/2014.</w:t>
      </w:r>
    </w:p>
    <w:p w14:paraId="154D3C8C" w14:textId="77777777" w:rsidR="004B6BC8" w:rsidRPr="005F18BF" w:rsidRDefault="004B6BC8" w:rsidP="005F18BF">
      <w:pPr>
        <w:pStyle w:val="Heading2"/>
        <w:jc w:val="both"/>
        <w:rPr>
          <w:rFonts w:ascii="Arial" w:eastAsia="Times New Roman" w:hAnsi="Arial" w:cs="Arial"/>
          <w:color w:val="auto"/>
          <w:sz w:val="22"/>
          <w:szCs w:val="22"/>
          <w:lang w:eastAsia="hr-HR"/>
        </w:rPr>
      </w:pPr>
    </w:p>
    <w:p w14:paraId="0B3ABC24" w14:textId="6B017156" w:rsidR="008E419B" w:rsidRPr="0003063F" w:rsidRDefault="00372168" w:rsidP="0003063F">
      <w:pPr>
        <w:pStyle w:val="Heading1"/>
        <w:jc w:val="center"/>
        <w:rPr>
          <w:rFonts w:ascii="Arial" w:hAnsi="Arial" w:cs="Arial"/>
          <w:b w:val="0"/>
          <w:sz w:val="22"/>
          <w:szCs w:val="22"/>
        </w:rPr>
      </w:pPr>
      <w:r w:rsidRPr="0003063F">
        <w:rPr>
          <w:rFonts w:ascii="Arial" w:hAnsi="Arial" w:cs="Arial"/>
          <w:b w:val="0"/>
          <w:sz w:val="22"/>
          <w:szCs w:val="22"/>
        </w:rPr>
        <w:t>Izvještavanje o omjeru financijske poluge na pojedinačnoj i konsolidiranoj osnovi</w:t>
      </w:r>
    </w:p>
    <w:p w14:paraId="74F6282B" w14:textId="32EEBFEC" w:rsidR="00372168" w:rsidRPr="0003063F" w:rsidRDefault="00372168" w:rsidP="0003063F">
      <w:pPr>
        <w:pStyle w:val="Heading2"/>
        <w:jc w:val="center"/>
        <w:rPr>
          <w:rFonts w:ascii="Arial" w:hAnsi="Arial" w:cs="Arial"/>
          <w:color w:val="auto"/>
          <w:sz w:val="22"/>
          <w:szCs w:val="22"/>
          <w:lang w:eastAsia="hr-HR"/>
        </w:rPr>
      </w:pPr>
      <w:r w:rsidRPr="0003063F">
        <w:rPr>
          <w:rFonts w:ascii="Arial" w:hAnsi="Arial" w:cs="Arial"/>
          <w:color w:val="auto"/>
          <w:sz w:val="22"/>
          <w:szCs w:val="22"/>
          <w:lang w:eastAsia="hr-HR"/>
        </w:rPr>
        <w:lastRenderedPageBreak/>
        <w:t xml:space="preserve">Članak </w:t>
      </w:r>
      <w:r w:rsidR="003265BB" w:rsidRPr="0003063F">
        <w:rPr>
          <w:rFonts w:ascii="Arial" w:hAnsi="Arial" w:cs="Arial"/>
          <w:color w:val="auto"/>
          <w:sz w:val="22"/>
          <w:szCs w:val="22"/>
          <w:lang w:eastAsia="hr-HR"/>
        </w:rPr>
        <w:t>4</w:t>
      </w:r>
      <w:r w:rsidR="00210388" w:rsidRPr="0003063F">
        <w:rPr>
          <w:rFonts w:ascii="Arial" w:hAnsi="Arial" w:cs="Arial"/>
          <w:color w:val="auto"/>
          <w:sz w:val="22"/>
          <w:szCs w:val="22"/>
          <w:lang w:eastAsia="hr-HR"/>
        </w:rPr>
        <w:t>8</w:t>
      </w:r>
      <w:r w:rsidRPr="0003063F">
        <w:rPr>
          <w:rFonts w:ascii="Arial" w:hAnsi="Arial" w:cs="Arial"/>
          <w:color w:val="auto"/>
          <w:sz w:val="22"/>
          <w:szCs w:val="22"/>
          <w:lang w:eastAsia="hr-HR"/>
        </w:rPr>
        <w:t>.</w:t>
      </w:r>
    </w:p>
    <w:p w14:paraId="0F66C52F" w14:textId="77777777" w:rsidR="009769CC" w:rsidRPr="005F18BF" w:rsidRDefault="009769CC" w:rsidP="005F18BF">
      <w:pPr>
        <w:pStyle w:val="Heading2"/>
        <w:jc w:val="both"/>
        <w:rPr>
          <w:rFonts w:ascii="Arial" w:hAnsi="Arial" w:cs="Arial"/>
          <w:color w:val="auto"/>
          <w:sz w:val="22"/>
          <w:szCs w:val="22"/>
          <w:lang w:eastAsia="hr-HR"/>
        </w:rPr>
      </w:pPr>
    </w:p>
    <w:p w14:paraId="226FE765"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Odredbe ovoga članka ne primjenjuju se na:</w:t>
      </w:r>
    </w:p>
    <w:p w14:paraId="4BB9BDD7" w14:textId="77777777" w:rsidR="009F7794" w:rsidRPr="005F18BF" w:rsidRDefault="009F7794" w:rsidP="005F18BF">
      <w:pPr>
        <w:pStyle w:val="Heading2"/>
        <w:jc w:val="both"/>
        <w:rPr>
          <w:rFonts w:ascii="Arial" w:hAnsi="Arial" w:cs="Arial"/>
          <w:color w:val="auto"/>
          <w:sz w:val="22"/>
          <w:szCs w:val="22"/>
          <w:lang w:eastAsia="hr-HR"/>
        </w:rPr>
      </w:pPr>
    </w:p>
    <w:p w14:paraId="3A0CC537"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a) investicijska društva koja ispunjavaju kriterije iz članka 95. stavka 1. Uredbe (EU) br. 575/2013,</w:t>
      </w:r>
    </w:p>
    <w:p w14:paraId="460D0A89" w14:textId="77777777" w:rsidR="009F7794" w:rsidRPr="005F18BF" w:rsidRDefault="009F7794" w:rsidP="005F18BF">
      <w:pPr>
        <w:pStyle w:val="Heading2"/>
        <w:jc w:val="both"/>
        <w:rPr>
          <w:rFonts w:ascii="Arial" w:hAnsi="Arial" w:cs="Arial"/>
          <w:color w:val="auto"/>
          <w:sz w:val="22"/>
          <w:szCs w:val="22"/>
          <w:lang w:eastAsia="hr-HR"/>
        </w:rPr>
      </w:pPr>
    </w:p>
    <w:p w14:paraId="16F69950"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b) investicijska društva koja ispunjavaju kriterije iz članka 96. stavka 1. Uredbe (EU) br. 575/2013.</w:t>
      </w:r>
    </w:p>
    <w:p w14:paraId="777C73AA" w14:textId="77777777" w:rsidR="009F7794" w:rsidRPr="005F18BF" w:rsidRDefault="009F7794" w:rsidP="005F18BF">
      <w:pPr>
        <w:pStyle w:val="Heading2"/>
        <w:jc w:val="both"/>
        <w:rPr>
          <w:rFonts w:ascii="Arial" w:hAnsi="Arial" w:cs="Arial"/>
          <w:color w:val="auto"/>
          <w:sz w:val="22"/>
          <w:szCs w:val="22"/>
          <w:lang w:eastAsia="hr-HR"/>
        </w:rPr>
      </w:pPr>
    </w:p>
    <w:p w14:paraId="0D644CBC"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Za potrebe izvještavanja o omjeru financijske poluge u skladu s člankom 430. stavkom 1. Uredbe (EU) br. 575/2013 na pojedinačnoj i konsolidiranoj osnovi institucije su dužne dostavljati informacije iz Priloga X. tromjesečno u skladu s uputama iz Priloga XI. Provedbene Uredbe Komisije (EU) br. 680/2014.</w:t>
      </w:r>
    </w:p>
    <w:p w14:paraId="1432AD23" w14:textId="77777777" w:rsidR="009F7794" w:rsidRPr="005F18BF" w:rsidRDefault="009F7794" w:rsidP="005F18BF">
      <w:pPr>
        <w:pStyle w:val="Heading2"/>
        <w:jc w:val="both"/>
        <w:rPr>
          <w:rFonts w:ascii="Arial" w:hAnsi="Arial" w:cs="Arial"/>
          <w:color w:val="auto"/>
          <w:sz w:val="22"/>
          <w:szCs w:val="22"/>
          <w:lang w:eastAsia="hr-HR"/>
        </w:rPr>
      </w:pPr>
    </w:p>
    <w:p w14:paraId="5BE08463" w14:textId="77777777"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Sukladno članku 499. stavku 3. Uredbe (EU) br. 575/2013 do 31. prosinca 2017. omjer financijske poluge računa se na kraju tromjesečja, a od 1. siječnja 2018. sukladno članku 429. stavku 2. na način da se izračuna jednostavna aritmetička sredina mjesečnih podataka za tromjesečje.</w:t>
      </w:r>
    </w:p>
    <w:p w14:paraId="0BEC86DC" w14:textId="77777777" w:rsidR="00FD0B7A" w:rsidRPr="005F18BF" w:rsidRDefault="00FD0B7A" w:rsidP="005F18BF">
      <w:pPr>
        <w:pStyle w:val="Heading2"/>
        <w:jc w:val="both"/>
        <w:rPr>
          <w:rFonts w:ascii="Arial" w:hAnsi="Arial" w:cs="Arial"/>
          <w:color w:val="auto"/>
          <w:sz w:val="22"/>
          <w:szCs w:val="22"/>
          <w:lang w:eastAsia="hr-HR"/>
        </w:rPr>
      </w:pPr>
    </w:p>
    <w:p w14:paraId="0BFE6AA2" w14:textId="1DA030B3" w:rsidR="00FD0B7A" w:rsidRPr="00577305" w:rsidRDefault="00372168" w:rsidP="00577305">
      <w:pPr>
        <w:pStyle w:val="Heading1"/>
        <w:jc w:val="center"/>
        <w:rPr>
          <w:rFonts w:ascii="Arial" w:hAnsi="Arial" w:cs="Arial"/>
          <w:b w:val="0"/>
          <w:sz w:val="22"/>
          <w:szCs w:val="22"/>
        </w:rPr>
      </w:pPr>
      <w:r w:rsidRPr="00577305">
        <w:rPr>
          <w:rFonts w:ascii="Arial" w:hAnsi="Arial" w:cs="Arial"/>
          <w:b w:val="0"/>
          <w:sz w:val="22"/>
          <w:szCs w:val="22"/>
        </w:rPr>
        <w:t>Izvještajna razdoblja i rokovi dostave nerevidiranih Izvještaja o adekvatnosti kapitala</w:t>
      </w:r>
    </w:p>
    <w:p w14:paraId="67506886" w14:textId="0C45A045" w:rsidR="008E419B" w:rsidRPr="00025B2B" w:rsidRDefault="00372168" w:rsidP="00025B2B">
      <w:pPr>
        <w:pStyle w:val="Heading2"/>
        <w:jc w:val="center"/>
        <w:rPr>
          <w:rFonts w:ascii="Arial" w:eastAsia="Times New Roman" w:hAnsi="Arial" w:cs="Arial"/>
          <w:color w:val="auto"/>
          <w:sz w:val="22"/>
          <w:szCs w:val="22"/>
          <w:lang w:eastAsia="hr-HR"/>
        </w:rPr>
      </w:pPr>
      <w:r w:rsidRPr="00025B2B">
        <w:rPr>
          <w:rFonts w:ascii="Arial" w:eastAsia="Times New Roman" w:hAnsi="Arial" w:cs="Arial"/>
          <w:color w:val="auto"/>
          <w:sz w:val="22"/>
          <w:szCs w:val="22"/>
          <w:lang w:eastAsia="hr-HR"/>
        </w:rPr>
        <w:t xml:space="preserve">Članak </w:t>
      </w:r>
      <w:r w:rsidR="003265BB" w:rsidRPr="00025B2B">
        <w:rPr>
          <w:rFonts w:ascii="Arial" w:eastAsia="Times New Roman" w:hAnsi="Arial" w:cs="Arial"/>
          <w:color w:val="auto"/>
          <w:sz w:val="22"/>
          <w:szCs w:val="22"/>
          <w:lang w:eastAsia="hr-HR"/>
        </w:rPr>
        <w:t>4</w:t>
      </w:r>
      <w:r w:rsidR="00210388" w:rsidRPr="00025B2B">
        <w:rPr>
          <w:rFonts w:ascii="Arial" w:eastAsia="Times New Roman" w:hAnsi="Arial" w:cs="Arial"/>
          <w:color w:val="auto"/>
          <w:sz w:val="22"/>
          <w:szCs w:val="22"/>
          <w:lang w:eastAsia="hr-HR"/>
        </w:rPr>
        <w:t>9</w:t>
      </w:r>
      <w:r w:rsidRPr="00025B2B">
        <w:rPr>
          <w:rFonts w:ascii="Arial" w:eastAsia="Times New Roman" w:hAnsi="Arial" w:cs="Arial"/>
          <w:color w:val="auto"/>
          <w:sz w:val="22"/>
          <w:szCs w:val="22"/>
          <w:lang w:eastAsia="hr-HR"/>
        </w:rPr>
        <w:t>.</w:t>
      </w:r>
    </w:p>
    <w:p w14:paraId="6E6A3F9B" w14:textId="77777777" w:rsidR="009769CC" w:rsidRPr="005F18BF" w:rsidRDefault="009769CC" w:rsidP="005F18BF">
      <w:pPr>
        <w:pStyle w:val="Heading2"/>
        <w:jc w:val="both"/>
        <w:rPr>
          <w:rFonts w:ascii="Arial" w:eastAsia="Times New Roman" w:hAnsi="Arial" w:cs="Arial"/>
          <w:color w:val="auto"/>
          <w:sz w:val="22"/>
          <w:szCs w:val="22"/>
          <w:lang w:eastAsia="hr-HR"/>
        </w:rPr>
      </w:pPr>
    </w:p>
    <w:p w14:paraId="49BC5DC9"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(1) Investicijska društva Izvještaje o adekvatnosti kapitala sastavljaju sa stanjem na sljedeće datume: 31. ožujka, 30. lipnja, 30. rujna i 31. prosinca.</w:t>
      </w:r>
    </w:p>
    <w:p w14:paraId="019B9161"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5A66C4DB" w14:textId="3740EBC2"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(2) Investicijska društva dostavljaju </w:t>
      </w:r>
      <w:r w:rsidR="009769CC" w:rsidRPr="005F18BF">
        <w:rPr>
          <w:rFonts w:ascii="Arial" w:eastAsia="Times New Roman" w:hAnsi="Arial" w:cs="Arial"/>
          <w:color w:val="auto"/>
          <w:sz w:val="22"/>
          <w:szCs w:val="22"/>
          <w:lang w:eastAsia="hr-HR"/>
        </w:rPr>
        <w:t>Hanfi</w:t>
      </w:r>
      <w:r w:rsidRPr="005F18BF">
        <w:rPr>
          <w:rFonts w:ascii="Arial" w:eastAsia="Times New Roman" w:hAnsi="Arial" w:cs="Arial"/>
          <w:color w:val="auto"/>
          <w:sz w:val="22"/>
          <w:szCs w:val="22"/>
          <w:lang w:eastAsia="hr-HR"/>
        </w:rPr>
        <w:t xml:space="preserve"> Izvještaje o adekvatnosti kapitala najkasnije do kraja radnog vremena sljedećih datuma dostave: 12. svibnja, 11. kolovoza, 11. studenoga i 11. veljače sukladno članku </w:t>
      </w:r>
      <w:r w:rsidR="00C1689E" w:rsidRPr="005F18BF">
        <w:rPr>
          <w:rFonts w:ascii="Arial" w:eastAsia="Times New Roman" w:hAnsi="Arial" w:cs="Arial"/>
          <w:color w:val="auto"/>
          <w:sz w:val="22"/>
          <w:szCs w:val="22"/>
          <w:lang w:eastAsia="hr-HR"/>
        </w:rPr>
        <w:t>5</w:t>
      </w:r>
      <w:r w:rsidR="00210388" w:rsidRPr="005F18BF">
        <w:rPr>
          <w:rFonts w:ascii="Arial" w:eastAsia="Times New Roman" w:hAnsi="Arial" w:cs="Arial"/>
          <w:color w:val="auto"/>
          <w:sz w:val="22"/>
          <w:szCs w:val="22"/>
          <w:lang w:eastAsia="hr-HR"/>
        </w:rPr>
        <w:t>1</w:t>
      </w:r>
      <w:r w:rsidRPr="005F18BF">
        <w:rPr>
          <w:rFonts w:ascii="Arial" w:eastAsia="Times New Roman" w:hAnsi="Arial" w:cs="Arial"/>
          <w:color w:val="auto"/>
          <w:sz w:val="22"/>
          <w:szCs w:val="22"/>
          <w:lang w:eastAsia="hr-HR"/>
        </w:rPr>
        <w:t>. ovog Pravilnika.</w:t>
      </w:r>
    </w:p>
    <w:p w14:paraId="18007E77"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339AE16C" w14:textId="7DF1865E"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(3) Ako je propisani dan dostave </w:t>
      </w:r>
      <w:r w:rsidR="00C82D78" w:rsidRPr="005F18BF">
        <w:rPr>
          <w:rFonts w:ascii="Arial" w:eastAsia="Times New Roman" w:hAnsi="Arial" w:cs="Arial"/>
          <w:color w:val="auto"/>
          <w:sz w:val="22"/>
          <w:szCs w:val="22"/>
          <w:lang w:eastAsia="hr-HR"/>
        </w:rPr>
        <w:t xml:space="preserve">izvještaja </w:t>
      </w:r>
      <w:r w:rsidRPr="005F18BF">
        <w:rPr>
          <w:rFonts w:ascii="Arial" w:eastAsia="Times New Roman" w:hAnsi="Arial" w:cs="Arial"/>
          <w:color w:val="auto"/>
          <w:sz w:val="22"/>
          <w:szCs w:val="22"/>
          <w:lang w:eastAsia="hr-HR"/>
        </w:rPr>
        <w:t>neradni dan, podaci se dostavljaju sljedeći radni dan.</w:t>
      </w:r>
    </w:p>
    <w:p w14:paraId="362E6F85" w14:textId="77777777" w:rsidR="00AE0287" w:rsidRPr="005F18BF" w:rsidRDefault="00AE0287" w:rsidP="005F18BF">
      <w:pPr>
        <w:pStyle w:val="Heading2"/>
        <w:jc w:val="both"/>
        <w:rPr>
          <w:rFonts w:ascii="Arial" w:eastAsia="Times New Roman" w:hAnsi="Arial" w:cs="Arial"/>
          <w:color w:val="auto"/>
          <w:sz w:val="22"/>
          <w:szCs w:val="22"/>
          <w:lang w:eastAsia="hr-HR"/>
        </w:rPr>
      </w:pPr>
    </w:p>
    <w:p w14:paraId="57C6BA3C" w14:textId="77777777" w:rsidR="00372168" w:rsidRPr="001A49D0" w:rsidRDefault="00372168" w:rsidP="001A49D0">
      <w:pPr>
        <w:pStyle w:val="Heading1"/>
        <w:jc w:val="center"/>
        <w:rPr>
          <w:rFonts w:ascii="Arial" w:hAnsi="Arial" w:cs="Arial"/>
          <w:b w:val="0"/>
          <w:sz w:val="22"/>
          <w:szCs w:val="22"/>
        </w:rPr>
      </w:pPr>
      <w:r w:rsidRPr="001A49D0">
        <w:rPr>
          <w:rFonts w:ascii="Arial" w:hAnsi="Arial" w:cs="Arial"/>
          <w:b w:val="0"/>
          <w:sz w:val="22"/>
          <w:szCs w:val="22"/>
        </w:rPr>
        <w:t>Revizija Izvještaja o adekvatnosti kapitala</w:t>
      </w:r>
    </w:p>
    <w:p w14:paraId="7DE36D01" w14:textId="50A15475" w:rsidR="00372168" w:rsidRPr="001A49D0" w:rsidRDefault="00372168" w:rsidP="001A49D0">
      <w:pPr>
        <w:pStyle w:val="Heading2"/>
        <w:jc w:val="center"/>
        <w:rPr>
          <w:rFonts w:ascii="Arial" w:hAnsi="Arial" w:cs="Arial"/>
          <w:color w:val="auto"/>
          <w:sz w:val="22"/>
          <w:szCs w:val="22"/>
          <w:lang w:eastAsia="hr-HR"/>
        </w:rPr>
      </w:pPr>
      <w:r w:rsidRPr="001A49D0">
        <w:rPr>
          <w:rFonts w:ascii="Arial" w:hAnsi="Arial" w:cs="Arial"/>
          <w:color w:val="auto"/>
          <w:sz w:val="22"/>
          <w:szCs w:val="22"/>
          <w:lang w:eastAsia="hr-HR"/>
        </w:rPr>
        <w:lastRenderedPageBreak/>
        <w:t xml:space="preserve">Članak </w:t>
      </w:r>
      <w:r w:rsidR="00210388" w:rsidRPr="001A49D0">
        <w:rPr>
          <w:rFonts w:ascii="Arial" w:hAnsi="Arial" w:cs="Arial"/>
          <w:color w:val="auto"/>
          <w:sz w:val="22"/>
          <w:szCs w:val="22"/>
          <w:lang w:eastAsia="hr-HR"/>
        </w:rPr>
        <w:t>50</w:t>
      </w:r>
      <w:r w:rsidRPr="001A49D0">
        <w:rPr>
          <w:rFonts w:ascii="Arial" w:hAnsi="Arial" w:cs="Arial"/>
          <w:color w:val="auto"/>
          <w:sz w:val="22"/>
          <w:szCs w:val="22"/>
          <w:lang w:eastAsia="hr-HR"/>
        </w:rPr>
        <w:t>.</w:t>
      </w:r>
    </w:p>
    <w:p w14:paraId="3F47DDBD" w14:textId="77777777" w:rsidR="003265BB" w:rsidRPr="005F18BF" w:rsidRDefault="003265BB" w:rsidP="005F18BF">
      <w:pPr>
        <w:pStyle w:val="Heading2"/>
        <w:jc w:val="both"/>
        <w:rPr>
          <w:rFonts w:ascii="Arial" w:hAnsi="Arial" w:cs="Arial"/>
          <w:b/>
          <w:color w:val="auto"/>
          <w:sz w:val="22"/>
          <w:szCs w:val="22"/>
          <w:lang w:eastAsia="hr-HR"/>
        </w:rPr>
      </w:pPr>
    </w:p>
    <w:p w14:paraId="18D9BE12" w14:textId="350D9889"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(1) Investicijska društva dužna su na pojedinačnoj osnovi dostaviti </w:t>
      </w:r>
      <w:r w:rsidR="009769CC" w:rsidRPr="005F18BF">
        <w:rPr>
          <w:rFonts w:ascii="Arial" w:hAnsi="Arial" w:cs="Arial"/>
          <w:color w:val="auto"/>
          <w:sz w:val="22"/>
          <w:szCs w:val="22"/>
          <w:lang w:eastAsia="hr-HR"/>
        </w:rPr>
        <w:t>Hanfi</w:t>
      </w:r>
      <w:r w:rsidRPr="005F18BF">
        <w:rPr>
          <w:rFonts w:ascii="Arial" w:hAnsi="Arial" w:cs="Arial"/>
          <w:color w:val="auto"/>
          <w:sz w:val="22"/>
          <w:szCs w:val="22"/>
          <w:lang w:eastAsia="hr-HR"/>
        </w:rPr>
        <w:t xml:space="preserve"> Izvještaje o adekvatnosti kapitala revidirane od strane ovlaštenog revizora sa stanjem na dan 31. prosinca najkasnije do 30. travnja sljedeće godine.</w:t>
      </w:r>
    </w:p>
    <w:p w14:paraId="1EB10ED9" w14:textId="77777777" w:rsidR="009F7794" w:rsidRPr="005F18BF" w:rsidRDefault="009F7794" w:rsidP="005F18BF">
      <w:pPr>
        <w:pStyle w:val="Heading2"/>
        <w:jc w:val="both"/>
        <w:rPr>
          <w:rFonts w:ascii="Arial" w:hAnsi="Arial" w:cs="Arial"/>
          <w:color w:val="auto"/>
          <w:sz w:val="22"/>
          <w:szCs w:val="22"/>
          <w:lang w:eastAsia="hr-HR"/>
        </w:rPr>
      </w:pPr>
    </w:p>
    <w:p w14:paraId="745D7202" w14:textId="25354FD3" w:rsidR="00372168"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 xml:space="preserve">(2) Matična investicijska društva dužna su za svoju grupu investicijskog društva u Republici Hrvatskoj na konsolidiranoj osnovi dostaviti </w:t>
      </w:r>
      <w:r w:rsidR="009769CC" w:rsidRPr="005F18BF">
        <w:rPr>
          <w:rFonts w:ascii="Arial" w:hAnsi="Arial" w:cs="Arial"/>
          <w:color w:val="auto"/>
          <w:sz w:val="22"/>
          <w:szCs w:val="22"/>
          <w:lang w:eastAsia="hr-HR"/>
        </w:rPr>
        <w:t>Hanfi</w:t>
      </w:r>
      <w:r w:rsidRPr="005F18BF">
        <w:rPr>
          <w:rFonts w:ascii="Arial" w:hAnsi="Arial" w:cs="Arial"/>
          <w:color w:val="auto"/>
          <w:sz w:val="22"/>
          <w:szCs w:val="22"/>
          <w:lang w:eastAsia="hr-HR"/>
        </w:rPr>
        <w:t xml:space="preserve"> izvještaje o adekvatnosti kapitala revidirane od strane ovlaštenog revizora sa stanjem na dan 31. prosinca najkasnije do 30. lipnja sljedeće godine.</w:t>
      </w:r>
    </w:p>
    <w:p w14:paraId="38794F14" w14:textId="77777777" w:rsidR="009F7794" w:rsidRPr="005F18BF" w:rsidRDefault="009F7794" w:rsidP="005F18BF">
      <w:pPr>
        <w:pStyle w:val="Heading2"/>
        <w:jc w:val="both"/>
        <w:rPr>
          <w:rFonts w:ascii="Arial" w:hAnsi="Arial" w:cs="Arial"/>
          <w:color w:val="auto"/>
          <w:sz w:val="22"/>
          <w:szCs w:val="22"/>
          <w:lang w:eastAsia="hr-HR"/>
        </w:rPr>
      </w:pPr>
    </w:p>
    <w:p w14:paraId="0F5B0378" w14:textId="6167CA08" w:rsidR="009769CC" w:rsidRPr="005F18BF" w:rsidRDefault="00372168"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(3) Ovlašteni revizor je tijekom obavljanja revizije Izvještaja o adekvatnosti kapitala obvezan provjeriti pravilnost, točnost i potpunost izvještaja te ocijeniti jesu li isti sastavljeni u skladu sa Zakonom, ovim Pravilnikom, Uredbom (EU) br. 575/2013 te jesu li usklađeni s godišnjim financijskim izvještajima investicijskog društva na izvještajni datum.</w:t>
      </w:r>
    </w:p>
    <w:p w14:paraId="55D22E7C" w14:textId="5F74C6A0" w:rsidR="000049A9" w:rsidRPr="00C73294" w:rsidRDefault="00372168" w:rsidP="00C73294">
      <w:pPr>
        <w:pStyle w:val="Heading1"/>
        <w:jc w:val="center"/>
        <w:rPr>
          <w:rFonts w:ascii="Arial" w:hAnsi="Arial" w:cs="Arial"/>
          <w:b w:val="0"/>
          <w:sz w:val="22"/>
          <w:szCs w:val="22"/>
        </w:rPr>
      </w:pPr>
      <w:r w:rsidRPr="00C73294">
        <w:rPr>
          <w:rFonts w:ascii="Arial" w:hAnsi="Arial" w:cs="Arial"/>
          <w:b w:val="0"/>
          <w:sz w:val="22"/>
          <w:szCs w:val="22"/>
        </w:rPr>
        <w:t>Način dostave Izvještaja o adekvatnosti kapitala</w:t>
      </w:r>
    </w:p>
    <w:p w14:paraId="12C6C668" w14:textId="0B4E8508" w:rsidR="008E419B" w:rsidRPr="00383F98" w:rsidRDefault="00372168" w:rsidP="00383F98">
      <w:pPr>
        <w:pStyle w:val="Heading2"/>
        <w:jc w:val="center"/>
        <w:rPr>
          <w:rFonts w:ascii="Arial" w:eastAsia="Times New Roman" w:hAnsi="Arial" w:cs="Arial"/>
          <w:color w:val="auto"/>
          <w:sz w:val="22"/>
          <w:szCs w:val="22"/>
          <w:lang w:eastAsia="hr-HR"/>
        </w:rPr>
      </w:pPr>
      <w:r w:rsidRPr="00383F98">
        <w:rPr>
          <w:rFonts w:ascii="Arial" w:eastAsia="Times New Roman" w:hAnsi="Arial" w:cs="Arial"/>
          <w:color w:val="auto"/>
          <w:sz w:val="22"/>
          <w:szCs w:val="22"/>
          <w:lang w:eastAsia="hr-HR"/>
        </w:rPr>
        <w:t xml:space="preserve">Članak </w:t>
      </w:r>
      <w:r w:rsidR="003265BB" w:rsidRPr="00383F98">
        <w:rPr>
          <w:rFonts w:ascii="Arial" w:eastAsia="Times New Roman" w:hAnsi="Arial" w:cs="Arial"/>
          <w:color w:val="auto"/>
          <w:sz w:val="22"/>
          <w:szCs w:val="22"/>
          <w:lang w:eastAsia="hr-HR"/>
        </w:rPr>
        <w:t>5</w:t>
      </w:r>
      <w:r w:rsidR="00210388" w:rsidRPr="00383F98">
        <w:rPr>
          <w:rFonts w:ascii="Arial" w:eastAsia="Times New Roman" w:hAnsi="Arial" w:cs="Arial"/>
          <w:color w:val="auto"/>
          <w:sz w:val="22"/>
          <w:szCs w:val="22"/>
          <w:lang w:eastAsia="hr-HR"/>
        </w:rPr>
        <w:t>1</w:t>
      </w:r>
      <w:r w:rsidRPr="00383F98">
        <w:rPr>
          <w:rFonts w:ascii="Arial" w:eastAsia="Times New Roman" w:hAnsi="Arial" w:cs="Arial"/>
          <w:color w:val="auto"/>
          <w:sz w:val="22"/>
          <w:szCs w:val="22"/>
          <w:lang w:eastAsia="hr-HR"/>
        </w:rPr>
        <w:t>.</w:t>
      </w:r>
    </w:p>
    <w:p w14:paraId="6F3AEFF0" w14:textId="77777777" w:rsidR="009769CC" w:rsidRPr="005F18BF" w:rsidRDefault="009769CC" w:rsidP="005F18BF">
      <w:pPr>
        <w:pStyle w:val="Heading2"/>
        <w:jc w:val="both"/>
        <w:rPr>
          <w:rFonts w:ascii="Arial" w:eastAsia="Times New Roman" w:hAnsi="Arial" w:cs="Arial"/>
          <w:color w:val="auto"/>
          <w:sz w:val="22"/>
          <w:szCs w:val="22"/>
          <w:lang w:eastAsia="hr-HR"/>
        </w:rPr>
      </w:pPr>
    </w:p>
    <w:p w14:paraId="085F3B45" w14:textId="6226B903"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(1) Investicijska društva dužna su Izvještaje o adekvatnosti kapitala dostavljati </w:t>
      </w:r>
      <w:r w:rsidR="009769CC" w:rsidRPr="005F18BF">
        <w:rPr>
          <w:rFonts w:ascii="Arial" w:eastAsia="Times New Roman" w:hAnsi="Arial" w:cs="Arial"/>
          <w:color w:val="auto"/>
          <w:sz w:val="22"/>
          <w:szCs w:val="22"/>
          <w:lang w:eastAsia="hr-HR"/>
        </w:rPr>
        <w:t>Hanfi</w:t>
      </w:r>
      <w:r w:rsidRPr="005F18BF">
        <w:rPr>
          <w:rFonts w:ascii="Arial" w:eastAsia="Times New Roman" w:hAnsi="Arial" w:cs="Arial"/>
          <w:color w:val="auto"/>
          <w:sz w:val="22"/>
          <w:szCs w:val="22"/>
          <w:lang w:eastAsia="hr-HR"/>
        </w:rPr>
        <w:t xml:space="preserve"> u elektroničkom obliku s naprednim elektroničkim potpisom u skladu s tehni</w:t>
      </w:r>
      <w:r w:rsidR="009769CC" w:rsidRPr="005F18BF">
        <w:rPr>
          <w:rFonts w:ascii="Arial" w:eastAsia="Times New Roman" w:hAnsi="Arial" w:cs="Arial"/>
          <w:color w:val="auto"/>
          <w:sz w:val="22"/>
          <w:szCs w:val="22"/>
          <w:lang w:eastAsia="hr-HR"/>
        </w:rPr>
        <w:t>čkom uputom Hanfe</w:t>
      </w:r>
      <w:r w:rsidRPr="005F18BF">
        <w:rPr>
          <w:rFonts w:ascii="Arial" w:eastAsia="Times New Roman" w:hAnsi="Arial" w:cs="Arial"/>
          <w:color w:val="auto"/>
          <w:sz w:val="22"/>
          <w:szCs w:val="22"/>
          <w:lang w:eastAsia="hr-HR"/>
        </w:rPr>
        <w:t>.</w:t>
      </w:r>
    </w:p>
    <w:p w14:paraId="307B57E1"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48716DA1" w14:textId="5E524012"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(2) Investicijska društva dužna su Izvještaje o adekvatnosti kapitala revidirane od strane ovlaštenog revizora dostaviti i u pisanom obliku sukladno članku </w:t>
      </w:r>
      <w:r w:rsidR="00210388" w:rsidRPr="005F18BF">
        <w:rPr>
          <w:rFonts w:ascii="Arial" w:eastAsia="Times New Roman" w:hAnsi="Arial" w:cs="Arial"/>
          <w:color w:val="auto"/>
          <w:sz w:val="22"/>
          <w:szCs w:val="22"/>
          <w:lang w:eastAsia="hr-HR"/>
        </w:rPr>
        <w:t>50</w:t>
      </w:r>
      <w:r w:rsidRPr="005F18BF">
        <w:rPr>
          <w:rFonts w:ascii="Arial" w:eastAsia="Times New Roman" w:hAnsi="Arial" w:cs="Arial"/>
          <w:color w:val="auto"/>
          <w:sz w:val="22"/>
          <w:szCs w:val="22"/>
          <w:lang w:eastAsia="hr-HR"/>
        </w:rPr>
        <w:t>. ovog Pravilnika.</w:t>
      </w:r>
    </w:p>
    <w:p w14:paraId="74258A17"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42878FBB" w14:textId="5136AC1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(3) Smatra se da su investicijska društva dostavila izvještaje iz stavka 1. ovog članka u trenutku kada je izvještaj prihvaćen na poslužitelju </w:t>
      </w:r>
      <w:r w:rsidR="009769CC" w:rsidRPr="005F18BF">
        <w:rPr>
          <w:rFonts w:ascii="Arial" w:eastAsia="Times New Roman" w:hAnsi="Arial" w:cs="Arial"/>
          <w:color w:val="auto"/>
          <w:sz w:val="22"/>
          <w:szCs w:val="22"/>
          <w:lang w:eastAsia="hr-HR"/>
        </w:rPr>
        <w:t>Hanfe</w:t>
      </w:r>
      <w:r w:rsidRPr="005F18BF">
        <w:rPr>
          <w:rFonts w:ascii="Arial" w:eastAsia="Times New Roman" w:hAnsi="Arial" w:cs="Arial"/>
          <w:color w:val="auto"/>
          <w:sz w:val="22"/>
          <w:szCs w:val="22"/>
          <w:lang w:eastAsia="hr-HR"/>
        </w:rPr>
        <w:t xml:space="preserve"> za zaprimanje izvještaja.</w:t>
      </w:r>
    </w:p>
    <w:p w14:paraId="4EDCF7D4"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65A1D565"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(4) U opravdanim slučajevima nemogućnosti dostave u elektroničkom obliku, investicijska društva dužna su u propisanom roku dostaviti izvještaje u pisanom obliku, neposredno ili poštom u svrhu pravodobnog izvještavanja.</w:t>
      </w:r>
    </w:p>
    <w:p w14:paraId="31301EDE"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0C846314" w14:textId="77777777" w:rsidR="00372168" w:rsidRPr="005F18BF" w:rsidRDefault="0037216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(5) Investicijska društva dužna su dostaviti izvještaje na način propisan stavkom 1. ovog članka čim prestanu razlozi nemogućnosti dostave, a najkasnije u roku od 8 (osam) dana od isteka roka za dostavu izvještaja.</w:t>
      </w:r>
    </w:p>
    <w:p w14:paraId="030A7CF0" w14:textId="77777777" w:rsidR="000049A9" w:rsidRPr="005F18BF" w:rsidRDefault="000049A9" w:rsidP="005F18BF">
      <w:pPr>
        <w:pStyle w:val="Heading2"/>
        <w:jc w:val="both"/>
        <w:rPr>
          <w:rFonts w:ascii="Arial" w:eastAsia="Times New Roman" w:hAnsi="Arial" w:cs="Arial"/>
          <w:color w:val="auto"/>
          <w:sz w:val="22"/>
          <w:szCs w:val="22"/>
          <w:lang w:eastAsia="hr-HR"/>
        </w:rPr>
      </w:pPr>
    </w:p>
    <w:p w14:paraId="4467A98D" w14:textId="7EA1F327" w:rsidR="000049A9" w:rsidRPr="005F18BF" w:rsidRDefault="000049A9" w:rsidP="005F18BF">
      <w:pPr>
        <w:pStyle w:val="Heading2"/>
        <w:jc w:val="both"/>
        <w:rPr>
          <w:rFonts w:ascii="Arial" w:eastAsia="Times New Roman" w:hAnsi="Arial" w:cs="Arial"/>
          <w:color w:val="auto"/>
          <w:sz w:val="22"/>
          <w:szCs w:val="22"/>
          <w:lang w:eastAsia="hr-HR"/>
        </w:rPr>
      </w:pPr>
    </w:p>
    <w:p w14:paraId="25FA1C4D" w14:textId="558B8513" w:rsidR="00516629" w:rsidRPr="005C06E2" w:rsidRDefault="00516629" w:rsidP="005C06E2">
      <w:pPr>
        <w:pStyle w:val="Heading1"/>
        <w:jc w:val="center"/>
        <w:rPr>
          <w:rFonts w:ascii="Arial" w:hAnsi="Arial" w:cs="Arial"/>
          <w:b w:val="0"/>
          <w:sz w:val="22"/>
          <w:szCs w:val="22"/>
        </w:rPr>
      </w:pPr>
      <w:r w:rsidRPr="005C06E2">
        <w:rPr>
          <w:rFonts w:ascii="Arial" w:hAnsi="Arial" w:cs="Arial"/>
          <w:b w:val="0"/>
          <w:sz w:val="22"/>
          <w:szCs w:val="22"/>
        </w:rPr>
        <w:t>XI. IZVJEŠTAVANJE HANFE O REZULTATIMA IZRAČUNA INTERNIH PRISTUPA ZA IZLOŽENOSTI ILI POZICIJE KOJE SU UKLJUČENE U REFERENTNE PORTFELJE</w:t>
      </w:r>
    </w:p>
    <w:p w14:paraId="36D24921" w14:textId="37A84F22" w:rsidR="00516629" w:rsidRPr="005F18BF" w:rsidRDefault="00516629" w:rsidP="005F18BF">
      <w:pPr>
        <w:pStyle w:val="Heading2"/>
        <w:jc w:val="both"/>
        <w:rPr>
          <w:rFonts w:ascii="Arial" w:eastAsia="Times New Roman" w:hAnsi="Arial" w:cs="Arial"/>
          <w:color w:val="auto"/>
          <w:sz w:val="22"/>
          <w:szCs w:val="22"/>
          <w:lang w:eastAsia="hr-HR"/>
        </w:rPr>
      </w:pPr>
    </w:p>
    <w:p w14:paraId="4EF0A0EB" w14:textId="708C5B5B" w:rsidR="00516629" w:rsidRPr="005F18BF" w:rsidRDefault="00516629" w:rsidP="00B95996">
      <w:pPr>
        <w:pStyle w:val="Heading2"/>
        <w:jc w:val="center"/>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Članak </w:t>
      </w:r>
      <w:r w:rsidR="003265BB" w:rsidRPr="005F18BF">
        <w:rPr>
          <w:rFonts w:ascii="Arial" w:eastAsia="Times New Roman" w:hAnsi="Arial" w:cs="Arial"/>
          <w:color w:val="auto"/>
          <w:sz w:val="22"/>
          <w:szCs w:val="22"/>
          <w:lang w:eastAsia="hr-HR"/>
        </w:rPr>
        <w:t>5</w:t>
      </w:r>
      <w:r w:rsidR="00210388" w:rsidRPr="005F18BF">
        <w:rPr>
          <w:rFonts w:ascii="Arial" w:eastAsia="Times New Roman" w:hAnsi="Arial" w:cs="Arial"/>
          <w:color w:val="auto"/>
          <w:sz w:val="22"/>
          <w:szCs w:val="22"/>
          <w:lang w:eastAsia="hr-HR"/>
        </w:rPr>
        <w:t>2</w:t>
      </w:r>
      <w:r w:rsidRPr="005F18BF">
        <w:rPr>
          <w:rFonts w:ascii="Arial" w:eastAsia="Times New Roman" w:hAnsi="Arial" w:cs="Arial"/>
          <w:color w:val="auto"/>
          <w:sz w:val="22"/>
          <w:szCs w:val="22"/>
          <w:lang w:eastAsia="hr-HR"/>
        </w:rPr>
        <w:t>.</w:t>
      </w:r>
    </w:p>
    <w:p w14:paraId="0674D1A3" w14:textId="773E15FC" w:rsidR="00516629" w:rsidRPr="005F18BF" w:rsidRDefault="00516629" w:rsidP="005F18BF">
      <w:pPr>
        <w:pStyle w:val="Heading2"/>
        <w:jc w:val="both"/>
        <w:rPr>
          <w:rFonts w:ascii="Arial" w:eastAsia="Times New Roman" w:hAnsi="Arial" w:cs="Arial"/>
          <w:color w:val="auto"/>
          <w:sz w:val="22"/>
          <w:szCs w:val="22"/>
          <w:lang w:eastAsia="hr-HR"/>
        </w:rPr>
      </w:pPr>
    </w:p>
    <w:p w14:paraId="23DE5B4F" w14:textId="5C14D783" w:rsidR="00423018" w:rsidRPr="005F18BF" w:rsidRDefault="00423018"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(1) Izvještaj o rezultatima izračuna internih pristupa za izloženosti ili pozicije koje su uključene u referentne portfelje</w:t>
      </w:r>
      <w:r w:rsidR="00106B35" w:rsidRPr="005F18BF">
        <w:rPr>
          <w:rFonts w:ascii="Arial" w:eastAsia="Times New Roman" w:hAnsi="Arial" w:cs="Arial"/>
          <w:color w:val="auto"/>
          <w:sz w:val="22"/>
          <w:szCs w:val="22"/>
          <w:lang w:eastAsia="hr-HR"/>
        </w:rPr>
        <w:t xml:space="preserve"> investicijsko društvo dostavlja za poslovnu godinu koja je jednaka kalendarskoj godini. </w:t>
      </w:r>
    </w:p>
    <w:p w14:paraId="592BFF01"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269CA21F" w14:textId="414D8A89" w:rsidR="00106B35" w:rsidRPr="005F18BF" w:rsidRDefault="00106B35"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(2) Izvještaj iz stavka 1. ovog</w:t>
      </w:r>
      <w:r w:rsidR="00EB3044" w:rsidRPr="005F18BF">
        <w:rPr>
          <w:rFonts w:ascii="Arial" w:eastAsia="Times New Roman" w:hAnsi="Arial" w:cs="Arial"/>
          <w:color w:val="auto"/>
          <w:sz w:val="22"/>
          <w:szCs w:val="22"/>
          <w:lang w:eastAsia="hr-HR"/>
        </w:rPr>
        <w:t>a</w:t>
      </w:r>
      <w:r w:rsidRPr="005F18BF">
        <w:rPr>
          <w:rFonts w:ascii="Arial" w:eastAsia="Times New Roman" w:hAnsi="Arial" w:cs="Arial"/>
          <w:color w:val="auto"/>
          <w:sz w:val="22"/>
          <w:szCs w:val="22"/>
          <w:lang w:eastAsia="hr-HR"/>
        </w:rPr>
        <w:t xml:space="preserve"> članka investicijsko društvo dužno je dostaviti Hanfi </w:t>
      </w:r>
      <w:r w:rsidR="009F7794" w:rsidRPr="005F18BF">
        <w:rPr>
          <w:rFonts w:ascii="Arial" w:eastAsia="Times New Roman" w:hAnsi="Arial" w:cs="Arial"/>
          <w:color w:val="auto"/>
          <w:sz w:val="22"/>
          <w:szCs w:val="22"/>
          <w:lang w:eastAsia="hr-HR"/>
        </w:rPr>
        <w:t>do 31. siječnja tekuće godine za prethodnu kalendarsku godinu</w:t>
      </w:r>
      <w:r w:rsidRPr="005F18BF">
        <w:rPr>
          <w:rFonts w:ascii="Arial" w:eastAsia="Times New Roman" w:hAnsi="Arial" w:cs="Arial"/>
          <w:color w:val="auto"/>
          <w:sz w:val="22"/>
          <w:szCs w:val="22"/>
          <w:lang w:eastAsia="hr-HR"/>
        </w:rPr>
        <w:t>.</w:t>
      </w:r>
    </w:p>
    <w:p w14:paraId="57A746AA" w14:textId="77777777" w:rsidR="009F7794" w:rsidRPr="005F18BF" w:rsidRDefault="009F7794" w:rsidP="005F18BF">
      <w:pPr>
        <w:pStyle w:val="Heading2"/>
        <w:jc w:val="both"/>
        <w:rPr>
          <w:rFonts w:ascii="Arial" w:eastAsia="Times New Roman" w:hAnsi="Arial" w:cs="Arial"/>
          <w:color w:val="auto"/>
          <w:sz w:val="22"/>
          <w:szCs w:val="22"/>
          <w:lang w:eastAsia="hr-HR"/>
        </w:rPr>
      </w:pPr>
    </w:p>
    <w:p w14:paraId="67E18694" w14:textId="0C0BF235" w:rsidR="00106B35" w:rsidRPr="005F18BF" w:rsidRDefault="00106B35"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(3) </w:t>
      </w:r>
      <w:r w:rsidR="00EB3044" w:rsidRPr="005F18BF">
        <w:rPr>
          <w:rFonts w:ascii="Arial" w:eastAsia="Times New Roman" w:hAnsi="Arial" w:cs="Arial"/>
          <w:color w:val="auto"/>
          <w:sz w:val="22"/>
          <w:szCs w:val="22"/>
          <w:lang w:eastAsia="hr-HR"/>
        </w:rPr>
        <w:t xml:space="preserve">Izvještaj iz stavka 1. ovoga članka sadrži </w:t>
      </w:r>
      <w:r w:rsidR="009548D5" w:rsidRPr="005F18BF">
        <w:rPr>
          <w:rFonts w:ascii="Arial" w:eastAsia="Times New Roman" w:hAnsi="Arial" w:cs="Arial"/>
          <w:color w:val="auto"/>
          <w:sz w:val="22"/>
          <w:szCs w:val="22"/>
          <w:lang w:eastAsia="hr-HR"/>
        </w:rPr>
        <w:t>rezultate o svim izračunima provedenim unutar izvještajne godine</w:t>
      </w:r>
      <w:r w:rsidR="009F7794" w:rsidRPr="005F18BF">
        <w:rPr>
          <w:rFonts w:ascii="Arial" w:eastAsia="Times New Roman" w:hAnsi="Arial" w:cs="Arial"/>
          <w:color w:val="auto"/>
          <w:sz w:val="22"/>
          <w:szCs w:val="22"/>
          <w:lang w:eastAsia="hr-HR"/>
        </w:rPr>
        <w:t xml:space="preserve"> na koju se odnosi</w:t>
      </w:r>
      <w:r w:rsidR="009548D5" w:rsidRPr="005F18BF">
        <w:rPr>
          <w:rFonts w:ascii="Arial" w:eastAsia="Times New Roman" w:hAnsi="Arial" w:cs="Arial"/>
          <w:color w:val="auto"/>
          <w:sz w:val="22"/>
          <w:szCs w:val="22"/>
          <w:lang w:eastAsia="hr-HR"/>
        </w:rPr>
        <w:t xml:space="preserve">. </w:t>
      </w:r>
    </w:p>
    <w:p w14:paraId="43013881" w14:textId="77777777" w:rsidR="00134CD1" w:rsidRPr="005F18BF" w:rsidRDefault="00134CD1" w:rsidP="005F18BF">
      <w:pPr>
        <w:pStyle w:val="Heading2"/>
        <w:jc w:val="both"/>
        <w:rPr>
          <w:rFonts w:ascii="Arial" w:eastAsia="Times New Roman" w:hAnsi="Arial" w:cs="Arial"/>
          <w:color w:val="auto"/>
          <w:sz w:val="22"/>
          <w:szCs w:val="22"/>
          <w:lang w:eastAsia="hr-HR"/>
        </w:rPr>
      </w:pPr>
    </w:p>
    <w:p w14:paraId="316F1ECC" w14:textId="1E4BD4F0" w:rsidR="001F3FB9" w:rsidRPr="00B95996" w:rsidRDefault="00134CD1" w:rsidP="00B95996">
      <w:pPr>
        <w:pStyle w:val="Heading1"/>
        <w:jc w:val="center"/>
        <w:rPr>
          <w:rFonts w:ascii="Arial" w:hAnsi="Arial" w:cs="Arial"/>
          <w:b w:val="0"/>
          <w:sz w:val="22"/>
          <w:szCs w:val="22"/>
        </w:rPr>
      </w:pPr>
      <w:r w:rsidRPr="00B95996">
        <w:rPr>
          <w:rFonts w:ascii="Arial" w:hAnsi="Arial" w:cs="Arial"/>
          <w:b w:val="0"/>
          <w:sz w:val="22"/>
          <w:szCs w:val="22"/>
        </w:rPr>
        <w:t xml:space="preserve">XII. </w:t>
      </w:r>
      <w:r w:rsidR="001F3FB9" w:rsidRPr="00B95996">
        <w:rPr>
          <w:rFonts w:ascii="Arial" w:hAnsi="Arial" w:cs="Arial"/>
          <w:b w:val="0"/>
          <w:sz w:val="22"/>
          <w:szCs w:val="22"/>
        </w:rPr>
        <w:t>JAVNA OBJAVA O SUSTAVU UPRAVLJNJA INVESTICIJSKOG DRUŠTVA</w:t>
      </w:r>
    </w:p>
    <w:p w14:paraId="5E34B22F" w14:textId="77777777" w:rsidR="001925A3" w:rsidRPr="005F18BF" w:rsidRDefault="001925A3" w:rsidP="005F18BF">
      <w:pPr>
        <w:pStyle w:val="Heading2"/>
        <w:jc w:val="both"/>
        <w:rPr>
          <w:rFonts w:ascii="Arial" w:eastAsia="Times New Roman" w:hAnsi="Arial" w:cs="Arial"/>
          <w:color w:val="auto"/>
          <w:sz w:val="22"/>
          <w:szCs w:val="22"/>
          <w:lang w:eastAsia="hr-HR"/>
        </w:rPr>
      </w:pPr>
    </w:p>
    <w:p w14:paraId="584D821F" w14:textId="5399A61F" w:rsidR="001F3FB9" w:rsidRPr="005F18BF" w:rsidRDefault="001F3FB9" w:rsidP="006C1431">
      <w:pPr>
        <w:pStyle w:val="Heading2"/>
        <w:jc w:val="center"/>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Članak </w:t>
      </w:r>
      <w:r w:rsidR="003265BB" w:rsidRPr="005F18BF">
        <w:rPr>
          <w:rFonts w:ascii="Arial" w:eastAsia="Times New Roman" w:hAnsi="Arial" w:cs="Arial"/>
          <w:color w:val="auto"/>
          <w:sz w:val="22"/>
          <w:szCs w:val="22"/>
          <w:lang w:eastAsia="hr-HR"/>
        </w:rPr>
        <w:t>5</w:t>
      </w:r>
      <w:r w:rsidR="00210388" w:rsidRPr="005F18BF">
        <w:rPr>
          <w:rFonts w:ascii="Arial" w:eastAsia="Times New Roman" w:hAnsi="Arial" w:cs="Arial"/>
          <w:color w:val="auto"/>
          <w:sz w:val="22"/>
          <w:szCs w:val="22"/>
          <w:lang w:eastAsia="hr-HR"/>
        </w:rPr>
        <w:t>3</w:t>
      </w:r>
      <w:r w:rsidRPr="005F18BF">
        <w:rPr>
          <w:rFonts w:ascii="Arial" w:eastAsia="Times New Roman" w:hAnsi="Arial" w:cs="Arial"/>
          <w:color w:val="auto"/>
          <w:sz w:val="22"/>
          <w:szCs w:val="22"/>
          <w:lang w:eastAsia="hr-HR"/>
        </w:rPr>
        <w:t>.</w:t>
      </w:r>
    </w:p>
    <w:p w14:paraId="4B15AAB2" w14:textId="77777777" w:rsidR="003265BB" w:rsidRPr="005F18BF" w:rsidRDefault="003265BB" w:rsidP="005F18BF">
      <w:pPr>
        <w:pStyle w:val="Heading2"/>
        <w:jc w:val="both"/>
        <w:rPr>
          <w:rFonts w:ascii="Arial" w:eastAsia="Times New Roman" w:hAnsi="Arial" w:cs="Arial"/>
          <w:color w:val="auto"/>
          <w:sz w:val="22"/>
          <w:szCs w:val="22"/>
          <w:lang w:eastAsia="hr-HR"/>
        </w:rPr>
      </w:pPr>
    </w:p>
    <w:p w14:paraId="00912DC2" w14:textId="004AC86B" w:rsidR="001F3FB9" w:rsidRPr="005F18BF" w:rsidRDefault="00787327" w:rsidP="005F18BF">
      <w:pPr>
        <w:pStyle w:val="Heading2"/>
        <w:jc w:val="both"/>
        <w:rPr>
          <w:rFonts w:ascii="Arial" w:eastAsia="Times New Roman" w:hAnsi="Arial" w:cs="Arial"/>
          <w:color w:val="auto"/>
          <w:sz w:val="22"/>
          <w:szCs w:val="22"/>
          <w:lang w:eastAsia="hr-HR"/>
        </w:rPr>
      </w:pPr>
      <w:r w:rsidRPr="005F18BF">
        <w:rPr>
          <w:rFonts w:ascii="Arial" w:eastAsia="Times New Roman" w:hAnsi="Arial" w:cs="Arial"/>
          <w:color w:val="auto"/>
          <w:sz w:val="22"/>
          <w:szCs w:val="22"/>
          <w:lang w:eastAsia="hr-HR"/>
        </w:rPr>
        <w:t xml:space="preserve">Investicijsko društvo javno </w:t>
      </w:r>
      <w:r w:rsidR="000971FE" w:rsidRPr="005F18BF">
        <w:rPr>
          <w:rFonts w:ascii="Arial" w:eastAsia="Times New Roman" w:hAnsi="Arial" w:cs="Arial"/>
          <w:color w:val="auto"/>
          <w:sz w:val="22"/>
          <w:szCs w:val="22"/>
          <w:lang w:eastAsia="hr-HR"/>
        </w:rPr>
        <w:t>objavljuje</w:t>
      </w:r>
      <w:r w:rsidRPr="005F18BF">
        <w:rPr>
          <w:rFonts w:ascii="Arial" w:eastAsia="Times New Roman" w:hAnsi="Arial" w:cs="Arial"/>
          <w:color w:val="auto"/>
          <w:sz w:val="22"/>
          <w:szCs w:val="22"/>
          <w:lang w:eastAsia="hr-HR"/>
        </w:rPr>
        <w:t xml:space="preserve"> podatke iz članka 31. Zakona u učestalosti i rokovima kako je propisano člankom 433. Uredbe (EU) br. 575/2013. </w:t>
      </w:r>
    </w:p>
    <w:p w14:paraId="13FA265D" w14:textId="77777777" w:rsidR="0031238F" w:rsidRPr="005F18BF" w:rsidRDefault="0031238F" w:rsidP="005F18BF">
      <w:pPr>
        <w:pStyle w:val="Heading2"/>
        <w:jc w:val="both"/>
        <w:rPr>
          <w:rFonts w:ascii="Arial" w:eastAsia="Times New Roman" w:hAnsi="Arial" w:cs="Arial"/>
          <w:color w:val="auto"/>
          <w:sz w:val="22"/>
          <w:szCs w:val="22"/>
          <w:lang w:eastAsia="hr-HR"/>
        </w:rPr>
      </w:pPr>
    </w:p>
    <w:p w14:paraId="504FE346" w14:textId="77777777" w:rsidR="00516629" w:rsidRPr="005F18BF" w:rsidRDefault="00516629" w:rsidP="005F18BF">
      <w:pPr>
        <w:pStyle w:val="Heading2"/>
        <w:jc w:val="both"/>
        <w:rPr>
          <w:rFonts w:ascii="Arial" w:eastAsia="Times New Roman" w:hAnsi="Arial" w:cs="Arial"/>
          <w:color w:val="auto"/>
          <w:sz w:val="22"/>
          <w:szCs w:val="22"/>
          <w:lang w:eastAsia="hr-HR"/>
        </w:rPr>
      </w:pPr>
    </w:p>
    <w:p w14:paraId="3179A0DB" w14:textId="3D7EE7B2" w:rsidR="005E599A" w:rsidRPr="006C1431" w:rsidRDefault="00AB0CF2" w:rsidP="006C1431">
      <w:pPr>
        <w:pStyle w:val="Heading1"/>
        <w:jc w:val="center"/>
        <w:rPr>
          <w:rFonts w:ascii="Arial" w:hAnsi="Arial" w:cs="Arial"/>
          <w:b w:val="0"/>
          <w:sz w:val="22"/>
          <w:szCs w:val="22"/>
        </w:rPr>
      </w:pPr>
      <w:r w:rsidRPr="006C1431">
        <w:rPr>
          <w:rFonts w:ascii="Arial" w:hAnsi="Arial" w:cs="Arial"/>
          <w:b w:val="0"/>
          <w:sz w:val="22"/>
          <w:szCs w:val="22"/>
        </w:rPr>
        <w:t>XIII</w:t>
      </w:r>
      <w:r w:rsidR="00217444" w:rsidRPr="006C1431">
        <w:rPr>
          <w:rFonts w:ascii="Arial" w:hAnsi="Arial" w:cs="Arial"/>
          <w:b w:val="0"/>
          <w:sz w:val="22"/>
          <w:szCs w:val="22"/>
        </w:rPr>
        <w:t>. PRIJELAZNE I ZAVRŠNE ODREDBE</w:t>
      </w:r>
    </w:p>
    <w:p w14:paraId="488B75D9" w14:textId="77777777" w:rsidR="001925A3" w:rsidRPr="005F18BF" w:rsidRDefault="001925A3" w:rsidP="005F18BF">
      <w:pPr>
        <w:pStyle w:val="Heading2"/>
        <w:jc w:val="both"/>
        <w:rPr>
          <w:rFonts w:ascii="Arial" w:eastAsia="Times New Roman" w:hAnsi="Arial" w:cs="Arial"/>
          <w:color w:val="auto"/>
          <w:sz w:val="22"/>
          <w:szCs w:val="22"/>
          <w:lang w:eastAsia="hr-HR"/>
        </w:rPr>
      </w:pPr>
    </w:p>
    <w:p w14:paraId="33146639" w14:textId="4886DB0A" w:rsidR="00387B20" w:rsidRPr="005F18BF" w:rsidRDefault="00387B20" w:rsidP="006D3088">
      <w:pPr>
        <w:pStyle w:val="Heading2"/>
        <w:jc w:val="center"/>
        <w:rPr>
          <w:rFonts w:ascii="Arial" w:eastAsia="Times New Roman" w:hAnsi="Arial" w:cs="Arial"/>
          <w:color w:val="auto"/>
          <w:sz w:val="22"/>
          <w:szCs w:val="22"/>
          <w:lang w:eastAsia="hr-HR"/>
        </w:rPr>
      </w:pPr>
      <w:bookmarkStart w:id="0" w:name="_GoBack"/>
      <w:r w:rsidRPr="005F18BF">
        <w:rPr>
          <w:rFonts w:ascii="Arial" w:eastAsia="Times New Roman" w:hAnsi="Arial" w:cs="Arial"/>
          <w:color w:val="auto"/>
          <w:sz w:val="22"/>
          <w:szCs w:val="22"/>
          <w:lang w:eastAsia="hr-HR"/>
        </w:rPr>
        <w:t xml:space="preserve">Članak </w:t>
      </w:r>
      <w:r w:rsidR="003265BB" w:rsidRPr="005F18BF">
        <w:rPr>
          <w:rFonts w:ascii="Arial" w:eastAsia="Times New Roman" w:hAnsi="Arial" w:cs="Arial"/>
          <w:color w:val="auto"/>
          <w:sz w:val="22"/>
          <w:szCs w:val="22"/>
          <w:lang w:eastAsia="hr-HR"/>
        </w:rPr>
        <w:t>5</w:t>
      </w:r>
      <w:r w:rsidR="00210388" w:rsidRPr="005F18BF">
        <w:rPr>
          <w:rFonts w:ascii="Arial" w:eastAsia="Times New Roman" w:hAnsi="Arial" w:cs="Arial"/>
          <w:color w:val="auto"/>
          <w:sz w:val="22"/>
          <w:szCs w:val="22"/>
          <w:lang w:eastAsia="hr-HR"/>
        </w:rPr>
        <w:t>4</w:t>
      </w:r>
      <w:r w:rsidRPr="005F18BF">
        <w:rPr>
          <w:rFonts w:ascii="Arial" w:eastAsia="Times New Roman" w:hAnsi="Arial" w:cs="Arial"/>
          <w:color w:val="auto"/>
          <w:sz w:val="22"/>
          <w:szCs w:val="22"/>
          <w:lang w:eastAsia="hr-HR"/>
        </w:rPr>
        <w:t>.</w:t>
      </w:r>
    </w:p>
    <w:bookmarkEnd w:id="0"/>
    <w:p w14:paraId="30A26356" w14:textId="5EDEDD9E" w:rsidR="00387B20" w:rsidRPr="005F18BF" w:rsidRDefault="00217444"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(1) Danom stupanja na snagu ovoga Pravilnika prestaju važiti</w:t>
      </w:r>
      <w:r w:rsidR="00387B20" w:rsidRPr="005F18BF">
        <w:rPr>
          <w:rFonts w:ascii="Arial" w:eastAsia="Times New Roman" w:hAnsi="Arial" w:cs="Arial"/>
          <w:color w:val="auto"/>
          <w:sz w:val="22"/>
          <w:szCs w:val="22"/>
          <w:lang w:eastAsia="hr-HR"/>
        </w:rPr>
        <w:t xml:space="preserve"> </w:t>
      </w:r>
      <w:r w:rsidR="008402C1" w:rsidRPr="005F18BF">
        <w:rPr>
          <w:rFonts w:ascii="Arial" w:eastAsia="Times New Roman" w:hAnsi="Arial" w:cs="Arial"/>
          <w:color w:val="auto"/>
          <w:sz w:val="22"/>
          <w:szCs w:val="22"/>
          <w:lang w:eastAsia="hr-HR"/>
        </w:rPr>
        <w:t xml:space="preserve">Pravilnik o upravljanju rizicima i adekvatnosti kapitala </w:t>
      </w:r>
      <w:r w:rsidRPr="005F18BF">
        <w:rPr>
          <w:rFonts w:ascii="Arial" w:eastAsia="Times New Roman" w:hAnsi="Arial" w:cs="Arial"/>
          <w:color w:val="auto"/>
          <w:sz w:val="22"/>
          <w:szCs w:val="22"/>
          <w:lang w:eastAsia="hr-HR"/>
        </w:rPr>
        <w:t>investicijskih društava (</w:t>
      </w:r>
      <w:r w:rsidR="003F243D" w:rsidRPr="005F18BF">
        <w:rPr>
          <w:rFonts w:ascii="Arial" w:eastAsia="Times New Roman" w:hAnsi="Arial" w:cs="Arial"/>
          <w:color w:val="auto"/>
          <w:sz w:val="22"/>
          <w:szCs w:val="22"/>
          <w:lang w:eastAsia="hr-HR"/>
        </w:rPr>
        <w:t>»Narodne novine« br.</w:t>
      </w:r>
      <w:r w:rsidR="008402C1" w:rsidRPr="005F18BF">
        <w:rPr>
          <w:rFonts w:ascii="Arial" w:eastAsia="Times New Roman" w:hAnsi="Arial" w:cs="Arial"/>
          <w:color w:val="auto"/>
          <w:sz w:val="22"/>
          <w:szCs w:val="22"/>
          <w:lang w:eastAsia="hr-HR"/>
        </w:rPr>
        <w:t xml:space="preserve"> 31/14)</w:t>
      </w:r>
      <w:r w:rsidR="00661F11" w:rsidRPr="005F18BF">
        <w:rPr>
          <w:rFonts w:ascii="Arial" w:eastAsia="Times New Roman" w:hAnsi="Arial" w:cs="Arial"/>
          <w:color w:val="auto"/>
          <w:sz w:val="22"/>
          <w:szCs w:val="22"/>
          <w:lang w:eastAsia="hr-HR"/>
        </w:rPr>
        <w:t xml:space="preserve">, </w:t>
      </w:r>
      <w:r w:rsidR="00393C30" w:rsidRPr="005F18BF">
        <w:rPr>
          <w:rFonts w:ascii="Arial" w:eastAsia="Times New Roman" w:hAnsi="Arial" w:cs="Arial"/>
          <w:color w:val="auto"/>
          <w:sz w:val="22"/>
          <w:szCs w:val="22"/>
          <w:lang w:eastAsia="hr-HR"/>
        </w:rPr>
        <w:t>Pravilnik o provedbi Provedbene Ur</w:t>
      </w:r>
      <w:r w:rsidR="00B44445" w:rsidRPr="005F18BF">
        <w:rPr>
          <w:rFonts w:ascii="Arial" w:eastAsia="Times New Roman" w:hAnsi="Arial" w:cs="Arial"/>
          <w:color w:val="auto"/>
          <w:sz w:val="22"/>
          <w:szCs w:val="22"/>
          <w:lang w:eastAsia="hr-HR"/>
        </w:rPr>
        <w:t>edbe Komisije (EU) br. 680/2014</w:t>
      </w:r>
      <w:r w:rsidR="00393C30" w:rsidRPr="005F18BF">
        <w:rPr>
          <w:rFonts w:ascii="Arial" w:eastAsia="Times New Roman" w:hAnsi="Arial" w:cs="Arial"/>
          <w:color w:val="auto"/>
          <w:sz w:val="22"/>
          <w:szCs w:val="22"/>
          <w:lang w:eastAsia="hr-HR"/>
        </w:rPr>
        <w:t xml:space="preserve"> </w:t>
      </w:r>
      <w:r w:rsidRPr="005F18BF">
        <w:rPr>
          <w:rFonts w:ascii="Arial" w:eastAsia="Times New Roman" w:hAnsi="Arial" w:cs="Arial"/>
          <w:color w:val="auto"/>
          <w:sz w:val="22"/>
          <w:szCs w:val="22"/>
          <w:lang w:eastAsia="hr-HR"/>
        </w:rPr>
        <w:t>(</w:t>
      </w:r>
      <w:r w:rsidR="003F243D" w:rsidRPr="005F18BF">
        <w:rPr>
          <w:rFonts w:ascii="Arial" w:eastAsia="Times New Roman" w:hAnsi="Arial" w:cs="Arial"/>
          <w:color w:val="auto"/>
          <w:sz w:val="22"/>
          <w:szCs w:val="22"/>
          <w:lang w:eastAsia="hr-HR"/>
        </w:rPr>
        <w:t>(»Narodne novine« br.</w:t>
      </w:r>
      <w:r w:rsidR="00393C30" w:rsidRPr="005F18BF">
        <w:rPr>
          <w:rFonts w:ascii="Arial" w:eastAsia="Times New Roman" w:hAnsi="Arial" w:cs="Arial"/>
          <w:color w:val="auto"/>
          <w:sz w:val="22"/>
          <w:szCs w:val="22"/>
          <w:lang w:eastAsia="hr-HR"/>
        </w:rPr>
        <w:t xml:space="preserve"> 109/14 i 52/15), </w:t>
      </w:r>
      <w:r w:rsidR="00F67A39" w:rsidRPr="005F18BF">
        <w:rPr>
          <w:rFonts w:ascii="Arial" w:eastAsia="Times New Roman" w:hAnsi="Arial" w:cs="Arial"/>
          <w:color w:val="auto"/>
          <w:sz w:val="22"/>
          <w:szCs w:val="22"/>
          <w:lang w:eastAsia="hr-HR"/>
        </w:rPr>
        <w:t xml:space="preserve">i </w:t>
      </w:r>
      <w:r w:rsidR="001306AE" w:rsidRPr="005F18BF">
        <w:rPr>
          <w:rFonts w:ascii="Arial" w:eastAsia="Times New Roman" w:hAnsi="Arial" w:cs="Arial"/>
          <w:color w:val="auto"/>
          <w:sz w:val="22"/>
          <w:szCs w:val="22"/>
          <w:lang w:eastAsia="hr-HR"/>
        </w:rPr>
        <w:t xml:space="preserve">Pravilnik o upravljanju rizikom likvidnosti </w:t>
      </w:r>
      <w:r w:rsidRPr="005F18BF">
        <w:rPr>
          <w:rFonts w:ascii="Arial" w:eastAsia="Times New Roman" w:hAnsi="Arial" w:cs="Arial"/>
          <w:color w:val="auto"/>
          <w:sz w:val="22"/>
          <w:szCs w:val="22"/>
          <w:lang w:eastAsia="hr-HR"/>
        </w:rPr>
        <w:t>investicijskih društava (</w:t>
      </w:r>
      <w:r w:rsidR="003F243D" w:rsidRPr="005F18BF">
        <w:rPr>
          <w:rFonts w:ascii="Arial" w:eastAsia="Times New Roman" w:hAnsi="Arial" w:cs="Arial"/>
          <w:color w:val="auto"/>
          <w:sz w:val="22"/>
          <w:szCs w:val="22"/>
          <w:lang w:eastAsia="hr-HR"/>
        </w:rPr>
        <w:t xml:space="preserve">»Narodne novine« br. </w:t>
      </w:r>
      <w:r w:rsidR="001306AE" w:rsidRPr="005F18BF">
        <w:rPr>
          <w:rFonts w:ascii="Arial" w:eastAsia="Times New Roman" w:hAnsi="Arial" w:cs="Arial"/>
          <w:color w:val="auto"/>
          <w:sz w:val="22"/>
          <w:szCs w:val="22"/>
          <w:lang w:eastAsia="hr-HR"/>
        </w:rPr>
        <w:t xml:space="preserve"> 31/14)</w:t>
      </w:r>
      <w:r w:rsidRPr="005F18BF">
        <w:rPr>
          <w:rFonts w:ascii="Arial" w:eastAsia="Times New Roman" w:hAnsi="Arial" w:cs="Arial"/>
          <w:color w:val="auto"/>
          <w:sz w:val="22"/>
          <w:szCs w:val="22"/>
          <w:lang w:eastAsia="hr-HR"/>
        </w:rPr>
        <w:t>.</w:t>
      </w:r>
    </w:p>
    <w:p w14:paraId="5C47E079" w14:textId="77777777" w:rsidR="009F7794" w:rsidRPr="005F18BF" w:rsidRDefault="009F7794" w:rsidP="005F18BF">
      <w:pPr>
        <w:pStyle w:val="Heading2"/>
        <w:jc w:val="both"/>
        <w:rPr>
          <w:rFonts w:ascii="Arial" w:hAnsi="Arial" w:cs="Arial"/>
          <w:color w:val="auto"/>
          <w:sz w:val="22"/>
          <w:szCs w:val="22"/>
          <w:lang w:eastAsia="hr-HR"/>
        </w:rPr>
      </w:pPr>
    </w:p>
    <w:p w14:paraId="6F33E259" w14:textId="26954834" w:rsidR="00DE0FF9" w:rsidRPr="005F18BF" w:rsidRDefault="00387B20" w:rsidP="005F18BF">
      <w:pPr>
        <w:pStyle w:val="Heading2"/>
        <w:jc w:val="both"/>
        <w:rPr>
          <w:rFonts w:ascii="Arial" w:hAnsi="Arial" w:cs="Arial"/>
          <w:color w:val="auto"/>
          <w:sz w:val="22"/>
          <w:szCs w:val="22"/>
          <w:lang w:eastAsia="hr-HR"/>
        </w:rPr>
      </w:pPr>
      <w:r w:rsidRPr="005F18BF">
        <w:rPr>
          <w:rFonts w:ascii="Arial" w:hAnsi="Arial" w:cs="Arial"/>
          <w:color w:val="auto"/>
          <w:sz w:val="22"/>
          <w:szCs w:val="22"/>
          <w:lang w:eastAsia="hr-HR"/>
        </w:rPr>
        <w:t>(2) Ovaj Pravilnik stupa na snagu osmog dana od dana objave u »Na</w:t>
      </w:r>
      <w:r w:rsidR="00353D80" w:rsidRPr="005F18BF">
        <w:rPr>
          <w:rFonts w:ascii="Arial" w:hAnsi="Arial" w:cs="Arial"/>
          <w:color w:val="auto"/>
          <w:sz w:val="22"/>
          <w:szCs w:val="22"/>
          <w:lang w:eastAsia="hr-HR"/>
        </w:rPr>
        <w:t>rodnim novinama«</w:t>
      </w:r>
      <w:r w:rsidRPr="005F18BF">
        <w:rPr>
          <w:rFonts w:ascii="Arial" w:hAnsi="Arial" w:cs="Arial"/>
          <w:color w:val="auto"/>
          <w:sz w:val="22"/>
          <w:szCs w:val="22"/>
          <w:lang w:eastAsia="hr-HR"/>
        </w:rPr>
        <w:t>.</w:t>
      </w:r>
    </w:p>
    <w:p w14:paraId="0832C5B8" w14:textId="08CD00F8" w:rsidR="00DE0FF9" w:rsidRDefault="00DE0FF9" w:rsidP="00DE0FF9">
      <w:pPr>
        <w:spacing w:after="0" w:line="360" w:lineRule="auto"/>
        <w:ind w:left="284" w:hanging="284"/>
        <w:rPr>
          <w:rFonts w:ascii="Arial" w:eastAsia="Times New Roman" w:hAnsi="Arial" w:cs="Arial"/>
          <w:b/>
          <w:color w:val="000000" w:themeColor="text1"/>
          <w:lang w:eastAsia="hr-HR"/>
        </w:rPr>
      </w:pPr>
      <w:r>
        <w:rPr>
          <w:rFonts w:ascii="Arial" w:eastAsia="Times New Roman" w:hAnsi="Arial" w:cs="Arial"/>
          <w:b/>
          <w:noProof/>
          <w:color w:val="000000" w:themeColor="text1"/>
          <w:lang w:eastAsia="hr-HR"/>
        </w:rPr>
        <w:lastRenderedPageBreak/>
        <w:drawing>
          <wp:inline distT="0" distB="0" distL="0" distR="0" wp14:anchorId="7C7526C0" wp14:editId="398D187B">
            <wp:extent cx="6084570" cy="412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4127500"/>
                    </a:xfrm>
                    <a:prstGeom prst="rect">
                      <a:avLst/>
                    </a:prstGeom>
                    <a:noFill/>
                  </pic:spPr>
                </pic:pic>
              </a:graphicData>
            </a:graphic>
          </wp:inline>
        </w:drawing>
      </w:r>
      <w:r>
        <w:rPr>
          <w:rFonts w:ascii="Arial" w:eastAsia="Times New Roman" w:hAnsi="Arial" w:cs="Arial"/>
          <w:b/>
          <w:noProof/>
          <w:color w:val="000000" w:themeColor="text1"/>
          <w:lang w:eastAsia="hr-HR"/>
        </w:rPr>
        <w:drawing>
          <wp:inline distT="0" distB="0" distL="0" distR="0" wp14:anchorId="22B19717" wp14:editId="3C44EC52">
            <wp:extent cx="5590540" cy="4547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540" cy="4547870"/>
                    </a:xfrm>
                    <a:prstGeom prst="rect">
                      <a:avLst/>
                    </a:prstGeom>
                    <a:noFill/>
                  </pic:spPr>
                </pic:pic>
              </a:graphicData>
            </a:graphic>
          </wp:inline>
        </w:drawing>
      </w:r>
      <w:r>
        <w:rPr>
          <w:rFonts w:ascii="Arial" w:eastAsia="Times New Roman" w:hAnsi="Arial" w:cs="Arial"/>
          <w:b/>
          <w:noProof/>
          <w:color w:val="000000" w:themeColor="text1"/>
          <w:lang w:eastAsia="hr-HR"/>
        </w:rPr>
        <w:lastRenderedPageBreak/>
        <w:drawing>
          <wp:inline distT="0" distB="0" distL="0" distR="0" wp14:anchorId="528CD363" wp14:editId="5428256E">
            <wp:extent cx="5730875" cy="41211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121150"/>
                    </a:xfrm>
                    <a:prstGeom prst="rect">
                      <a:avLst/>
                    </a:prstGeom>
                    <a:noFill/>
                  </pic:spPr>
                </pic:pic>
              </a:graphicData>
            </a:graphic>
          </wp:inline>
        </w:drawing>
      </w:r>
      <w:r>
        <w:rPr>
          <w:rFonts w:ascii="Arial" w:eastAsia="Times New Roman" w:hAnsi="Arial" w:cs="Arial"/>
          <w:b/>
          <w:noProof/>
          <w:color w:val="000000" w:themeColor="text1"/>
          <w:lang w:eastAsia="hr-HR"/>
        </w:rPr>
        <w:drawing>
          <wp:inline distT="0" distB="0" distL="0" distR="0" wp14:anchorId="5E1E365E" wp14:editId="114BD670">
            <wp:extent cx="5730875" cy="142684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1426845"/>
                    </a:xfrm>
                    <a:prstGeom prst="rect">
                      <a:avLst/>
                    </a:prstGeom>
                    <a:noFill/>
                  </pic:spPr>
                </pic:pic>
              </a:graphicData>
            </a:graphic>
          </wp:inline>
        </w:drawing>
      </w:r>
      <w:r>
        <w:rPr>
          <w:rFonts w:ascii="Arial" w:eastAsia="Times New Roman" w:hAnsi="Arial" w:cs="Arial"/>
          <w:b/>
          <w:noProof/>
          <w:color w:val="000000" w:themeColor="text1"/>
          <w:lang w:eastAsia="hr-HR"/>
        </w:rPr>
        <w:lastRenderedPageBreak/>
        <w:drawing>
          <wp:inline distT="0" distB="0" distL="0" distR="0" wp14:anchorId="4E59CC76" wp14:editId="0BB9EA24">
            <wp:extent cx="5730875" cy="59988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5998845"/>
                    </a:xfrm>
                    <a:prstGeom prst="rect">
                      <a:avLst/>
                    </a:prstGeom>
                    <a:noFill/>
                  </pic:spPr>
                </pic:pic>
              </a:graphicData>
            </a:graphic>
          </wp:inline>
        </w:drawing>
      </w:r>
      <w:r>
        <w:rPr>
          <w:rFonts w:ascii="Arial" w:eastAsia="Times New Roman" w:hAnsi="Arial" w:cs="Arial"/>
          <w:b/>
          <w:noProof/>
          <w:color w:val="000000" w:themeColor="text1"/>
          <w:lang w:eastAsia="hr-HR"/>
        </w:rPr>
        <w:drawing>
          <wp:inline distT="0" distB="0" distL="0" distR="0" wp14:anchorId="5A05B725" wp14:editId="208FDF4D">
            <wp:extent cx="5730875" cy="112776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1127760"/>
                    </a:xfrm>
                    <a:prstGeom prst="rect">
                      <a:avLst/>
                    </a:prstGeom>
                    <a:noFill/>
                  </pic:spPr>
                </pic:pic>
              </a:graphicData>
            </a:graphic>
          </wp:inline>
        </w:drawing>
      </w:r>
      <w:r>
        <w:rPr>
          <w:rFonts w:ascii="Arial" w:eastAsia="Times New Roman" w:hAnsi="Arial" w:cs="Arial"/>
          <w:b/>
          <w:noProof/>
          <w:color w:val="000000" w:themeColor="text1"/>
          <w:lang w:eastAsia="hr-HR"/>
        </w:rPr>
        <w:lastRenderedPageBreak/>
        <w:drawing>
          <wp:inline distT="0" distB="0" distL="0" distR="0" wp14:anchorId="2BB13384" wp14:editId="172776C1">
            <wp:extent cx="5730875" cy="269494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2694940"/>
                    </a:xfrm>
                    <a:prstGeom prst="rect">
                      <a:avLst/>
                    </a:prstGeom>
                    <a:noFill/>
                  </pic:spPr>
                </pic:pic>
              </a:graphicData>
            </a:graphic>
          </wp:inline>
        </w:drawing>
      </w:r>
      <w:r>
        <w:rPr>
          <w:rFonts w:ascii="Arial" w:eastAsia="Times New Roman" w:hAnsi="Arial" w:cs="Arial"/>
          <w:b/>
          <w:noProof/>
          <w:color w:val="000000" w:themeColor="text1"/>
          <w:lang w:eastAsia="hr-HR"/>
        </w:rPr>
        <w:drawing>
          <wp:inline distT="0" distB="0" distL="0" distR="0" wp14:anchorId="33A8BE4B" wp14:editId="652F89B6">
            <wp:extent cx="5730875" cy="60172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6017260"/>
                    </a:xfrm>
                    <a:prstGeom prst="rect">
                      <a:avLst/>
                    </a:prstGeom>
                    <a:noFill/>
                  </pic:spPr>
                </pic:pic>
              </a:graphicData>
            </a:graphic>
          </wp:inline>
        </w:drawing>
      </w:r>
    </w:p>
    <w:p w14:paraId="1C65B484" w14:textId="77777777" w:rsidR="00B25F9A" w:rsidRPr="00B25F9A" w:rsidRDefault="00B25F9A" w:rsidP="00B25F9A">
      <w:pPr>
        <w:pStyle w:val="t-9-8-bez-uvl"/>
        <w:rPr>
          <w:b/>
          <w:color w:val="666666"/>
          <w:sz w:val="21"/>
          <w:szCs w:val="21"/>
        </w:rPr>
      </w:pPr>
      <w:r w:rsidRPr="00B25F9A">
        <w:rPr>
          <w:b/>
          <w:color w:val="666666"/>
          <w:sz w:val="21"/>
          <w:szCs w:val="21"/>
        </w:rPr>
        <w:lastRenderedPageBreak/>
        <w:t xml:space="preserve">Datum izvješća:                                                                                                                              </w:t>
      </w:r>
    </w:p>
    <w:p w14:paraId="2001CCE6" w14:textId="5215763C" w:rsidR="00B25F9A" w:rsidRPr="00B25F9A" w:rsidRDefault="00B25F9A" w:rsidP="00B25F9A">
      <w:pPr>
        <w:pStyle w:val="t-9-8-bez-uvl"/>
        <w:rPr>
          <w:b/>
          <w:color w:val="666666"/>
          <w:sz w:val="21"/>
          <w:szCs w:val="21"/>
        </w:rPr>
      </w:pPr>
      <w:r w:rsidRPr="00B25F9A">
        <w:rPr>
          <w:b/>
          <w:color w:val="666666"/>
          <w:sz w:val="21"/>
          <w:szCs w:val="21"/>
        </w:rPr>
        <w:t>Ovlaštena osoba društva:</w:t>
      </w:r>
    </w:p>
    <w:p w14:paraId="001E58A5" w14:textId="067A0482" w:rsidR="00B25F9A" w:rsidRPr="00B25F9A" w:rsidRDefault="00B25F9A" w:rsidP="00B25F9A">
      <w:pPr>
        <w:pStyle w:val="t-9-8-bez-uvl"/>
        <w:rPr>
          <w:b/>
          <w:color w:val="666666"/>
          <w:sz w:val="21"/>
          <w:szCs w:val="21"/>
        </w:rPr>
      </w:pPr>
      <w:r w:rsidRPr="00B25F9A">
        <w:rPr>
          <w:b/>
          <w:color w:val="666666"/>
          <w:sz w:val="21"/>
          <w:szCs w:val="21"/>
        </w:rPr>
        <w:t>Sastavio:</w:t>
      </w:r>
    </w:p>
    <w:p w14:paraId="273B5130" w14:textId="26E1E4C2" w:rsidR="00B25F9A" w:rsidRPr="00B25F9A" w:rsidRDefault="00B25F9A" w:rsidP="00B25F9A">
      <w:pPr>
        <w:pStyle w:val="t-9-8-bez-uvl"/>
        <w:rPr>
          <w:b/>
          <w:color w:val="666666"/>
          <w:sz w:val="21"/>
          <w:szCs w:val="21"/>
        </w:rPr>
      </w:pPr>
      <w:r w:rsidRPr="00B25F9A">
        <w:rPr>
          <w:b/>
          <w:color w:val="666666"/>
          <w:sz w:val="21"/>
          <w:szCs w:val="21"/>
        </w:rPr>
        <w:t>Telefon:</w:t>
      </w:r>
    </w:p>
    <w:p w14:paraId="3BAADBEC" w14:textId="5F112365" w:rsidR="00B25F9A" w:rsidRPr="00042F59" w:rsidRDefault="00B25F9A" w:rsidP="00DE0FF9">
      <w:pPr>
        <w:spacing w:after="0" w:line="360" w:lineRule="auto"/>
        <w:ind w:left="284" w:hanging="284"/>
        <w:rPr>
          <w:rFonts w:ascii="Arial" w:eastAsia="Times New Roman" w:hAnsi="Arial" w:cs="Arial"/>
          <w:b/>
          <w:color w:val="000000" w:themeColor="text1"/>
          <w:lang w:eastAsia="hr-HR"/>
        </w:rPr>
      </w:pPr>
    </w:p>
    <w:sectPr w:rsidR="00B25F9A" w:rsidRPr="00042F59">
      <w:headerReference w:type="even" r:id="rId19"/>
      <w:headerReference w:type="default" r:id="rId20"/>
      <w:footerReference w:type="default" r:id="rId21"/>
      <w:head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F2CEA" w14:textId="77777777" w:rsidR="00582623" w:rsidRDefault="00582623" w:rsidP="00F967E2">
      <w:pPr>
        <w:spacing w:after="0" w:line="240" w:lineRule="auto"/>
      </w:pPr>
      <w:r>
        <w:separator/>
      </w:r>
    </w:p>
  </w:endnote>
  <w:endnote w:type="continuationSeparator" w:id="0">
    <w:p w14:paraId="5EC941EB" w14:textId="77777777" w:rsidR="00582623" w:rsidRDefault="00582623" w:rsidP="00F967E2">
      <w:pPr>
        <w:spacing w:after="0" w:line="240" w:lineRule="auto"/>
      </w:pPr>
      <w:r>
        <w:continuationSeparator/>
      </w:r>
    </w:p>
  </w:endnote>
  <w:endnote w:type="continuationNotice" w:id="1">
    <w:p w14:paraId="2042A613" w14:textId="77777777" w:rsidR="00582623" w:rsidRDefault="005826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981191576"/>
      <w:docPartObj>
        <w:docPartGallery w:val="Page Numbers (Bottom of Page)"/>
        <w:docPartUnique/>
      </w:docPartObj>
    </w:sdtPr>
    <w:sdtEndPr>
      <w:rPr>
        <w:rFonts w:ascii="Arial" w:hAnsi="Arial" w:cs="Arial"/>
        <w:noProof/>
      </w:rPr>
    </w:sdtEndPr>
    <w:sdtContent>
      <w:p w14:paraId="44665539" w14:textId="75119768" w:rsidR="00823C4E" w:rsidRPr="00B921DA" w:rsidRDefault="00823C4E">
        <w:pPr>
          <w:pStyle w:val="Footer"/>
          <w:jc w:val="center"/>
          <w:rPr>
            <w:rFonts w:ascii="Arial" w:hAnsi="Arial" w:cs="Arial"/>
            <w:sz w:val="20"/>
            <w:szCs w:val="20"/>
          </w:rPr>
        </w:pPr>
        <w:r w:rsidRPr="00B921DA">
          <w:rPr>
            <w:rFonts w:ascii="Arial" w:hAnsi="Arial" w:cs="Arial"/>
            <w:sz w:val="20"/>
            <w:szCs w:val="20"/>
          </w:rPr>
          <w:fldChar w:fldCharType="begin"/>
        </w:r>
        <w:r w:rsidRPr="00B921DA">
          <w:rPr>
            <w:rFonts w:ascii="Arial" w:hAnsi="Arial" w:cs="Arial"/>
            <w:sz w:val="20"/>
            <w:szCs w:val="20"/>
          </w:rPr>
          <w:instrText xml:space="preserve"> PAGE   \* MERGEFORMAT </w:instrText>
        </w:r>
        <w:r w:rsidRPr="00B921DA">
          <w:rPr>
            <w:rFonts w:ascii="Arial" w:hAnsi="Arial" w:cs="Arial"/>
            <w:sz w:val="20"/>
            <w:szCs w:val="20"/>
          </w:rPr>
          <w:fldChar w:fldCharType="separate"/>
        </w:r>
        <w:r w:rsidR="006D3088">
          <w:rPr>
            <w:rFonts w:ascii="Arial" w:hAnsi="Arial" w:cs="Arial"/>
            <w:noProof/>
            <w:sz w:val="20"/>
            <w:szCs w:val="20"/>
          </w:rPr>
          <w:t>47</w:t>
        </w:r>
        <w:r w:rsidRPr="00B921DA">
          <w:rPr>
            <w:rFonts w:ascii="Arial" w:hAnsi="Arial" w:cs="Arial"/>
            <w:noProof/>
            <w:sz w:val="20"/>
            <w:szCs w:val="20"/>
          </w:rPr>
          <w:fldChar w:fldCharType="end"/>
        </w:r>
      </w:p>
    </w:sdtContent>
  </w:sdt>
  <w:p w14:paraId="255A101E" w14:textId="77777777" w:rsidR="00823C4E" w:rsidRDefault="00823C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47630" w14:textId="77777777" w:rsidR="00582623" w:rsidRDefault="00582623" w:rsidP="00F967E2">
      <w:pPr>
        <w:spacing w:after="0" w:line="240" w:lineRule="auto"/>
      </w:pPr>
      <w:r>
        <w:separator/>
      </w:r>
    </w:p>
  </w:footnote>
  <w:footnote w:type="continuationSeparator" w:id="0">
    <w:p w14:paraId="36AE5EDD" w14:textId="77777777" w:rsidR="00582623" w:rsidRDefault="00582623" w:rsidP="00F967E2">
      <w:pPr>
        <w:spacing w:after="0" w:line="240" w:lineRule="auto"/>
      </w:pPr>
      <w:r>
        <w:continuationSeparator/>
      </w:r>
    </w:p>
  </w:footnote>
  <w:footnote w:type="continuationNotice" w:id="1">
    <w:p w14:paraId="17D19B18" w14:textId="77777777" w:rsidR="00582623" w:rsidRDefault="0058262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9EEC6" w14:textId="23E0BD19" w:rsidR="00823C4E" w:rsidRDefault="00582623">
    <w:pPr>
      <w:pStyle w:val="Header"/>
    </w:pPr>
    <w:r>
      <w:rPr>
        <w:noProof/>
      </w:rPr>
      <w:pict w14:anchorId="6BD34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24809" o:spid="_x0000_s2050" type="#_x0000_t136" style="position:absolute;margin-left:0;margin-top:0;width:454.5pt;height:181.8pt;rotation:315;z-index:-251658239;mso-position-horizontal:center;mso-position-horizontal-relative:margin;mso-position-vertical:center;mso-position-vertical-relative:margin" o:allowincell="f" fillcolor="silver" stroked="f">
          <v:fill opacity=".5"/>
          <v:textpath style="font-family:&quot;Arial&quot;;font-size:1pt" string="NACR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9E26E" w14:textId="7C3A16D9" w:rsidR="00823C4E" w:rsidRDefault="00582623">
    <w:pPr>
      <w:pStyle w:val="Header"/>
    </w:pPr>
    <w:r>
      <w:rPr>
        <w:noProof/>
      </w:rPr>
      <w:pict w14:anchorId="597F1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24810" o:spid="_x0000_s2051" type="#_x0000_t136" style="position:absolute;margin-left:0;margin-top:0;width:454.5pt;height:181.8pt;rotation:315;z-index:-251658238;mso-position-horizontal:center;mso-position-horizontal-relative:margin;mso-position-vertical:center;mso-position-vertical-relative:margin" o:allowincell="f" fillcolor="silver" stroked="f">
          <v:fill opacity=".5"/>
          <v:textpath style="font-family:&quot;Arial&quot;;font-size:1pt" string="NACR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FBCC8" w14:textId="6EB86A53" w:rsidR="00823C4E" w:rsidRDefault="00582623">
    <w:pPr>
      <w:pStyle w:val="Header"/>
    </w:pPr>
    <w:r>
      <w:rPr>
        <w:noProof/>
      </w:rPr>
      <w:pict w14:anchorId="55992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24808" o:spid="_x0000_s2049" type="#_x0000_t136" style="position:absolute;margin-left:0;margin-top:0;width:454.5pt;height:181.8pt;rotation:315;z-index:-251658240;mso-position-horizontal:center;mso-position-horizontal-relative:margin;mso-position-vertical:center;mso-position-vertical-relative:margin" o:allowincell="f" fillcolor="silver" stroked="f">
          <v:fill opacity=".5"/>
          <v:textpath style="font-family:&quot;Arial&quot;;font-size:1pt" string="NACR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96C"/>
    <w:multiLevelType w:val="hybridMultilevel"/>
    <w:tmpl w:val="00003693"/>
    <w:lvl w:ilvl="0" w:tplc="0000669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7604"/>
    <w:multiLevelType w:val="hybridMultilevel"/>
    <w:tmpl w:val="00007268"/>
    <w:lvl w:ilvl="0" w:tplc="00006DB2">
      <w:start w:val="1"/>
      <w:numFmt w:val="decimal"/>
      <w:lvlText w:val="(%1)"/>
      <w:lvlJc w:val="left"/>
      <w:pPr>
        <w:tabs>
          <w:tab w:val="num" w:pos="1353"/>
        </w:tabs>
        <w:ind w:left="135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922F8"/>
    <w:multiLevelType w:val="hybridMultilevel"/>
    <w:tmpl w:val="941C7E8C"/>
    <w:lvl w:ilvl="0" w:tplc="76D67B18">
      <w:start w:val="13"/>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69E08D9"/>
    <w:multiLevelType w:val="hybridMultilevel"/>
    <w:tmpl w:val="1D8C05E6"/>
    <w:lvl w:ilvl="0" w:tplc="F20C731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BB6731"/>
    <w:multiLevelType w:val="hybridMultilevel"/>
    <w:tmpl w:val="1B54BF92"/>
    <w:lvl w:ilvl="0" w:tplc="F20C731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D4772E"/>
    <w:multiLevelType w:val="hybridMultilevel"/>
    <w:tmpl w:val="CD9094FA"/>
    <w:lvl w:ilvl="0" w:tplc="F20C731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273CA7"/>
    <w:multiLevelType w:val="hybridMultilevel"/>
    <w:tmpl w:val="D37A8710"/>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2156B19"/>
    <w:multiLevelType w:val="hybridMultilevel"/>
    <w:tmpl w:val="FEF6CF94"/>
    <w:lvl w:ilvl="0" w:tplc="95881D7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6393501"/>
    <w:multiLevelType w:val="hybridMultilevel"/>
    <w:tmpl w:val="6B0C318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AA02D23"/>
    <w:multiLevelType w:val="hybridMultilevel"/>
    <w:tmpl w:val="C6A2ED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AB135AE"/>
    <w:multiLevelType w:val="hybridMultilevel"/>
    <w:tmpl w:val="871CBE20"/>
    <w:lvl w:ilvl="0" w:tplc="FA620DF8">
      <w:start w:val="1"/>
      <w:numFmt w:val="decimal"/>
      <w:lvlText w:val="(%1)"/>
      <w:lvlJc w:val="left"/>
      <w:pPr>
        <w:ind w:left="720" w:hanging="360"/>
      </w:pPr>
      <w:rPr>
        <w:rFonts w:hint="default"/>
      </w:rPr>
    </w:lvl>
    <w:lvl w:ilvl="1" w:tplc="7146FD22">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E276E79"/>
    <w:multiLevelType w:val="hybridMultilevel"/>
    <w:tmpl w:val="DD14C430"/>
    <w:lvl w:ilvl="0" w:tplc="C710383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07A22E2"/>
    <w:multiLevelType w:val="hybridMultilevel"/>
    <w:tmpl w:val="E402A9CE"/>
    <w:lvl w:ilvl="0" w:tplc="EF14601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0A763E5"/>
    <w:multiLevelType w:val="hybridMultilevel"/>
    <w:tmpl w:val="C5E8D8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BD18F4"/>
    <w:multiLevelType w:val="hybridMultilevel"/>
    <w:tmpl w:val="D9D43C28"/>
    <w:lvl w:ilvl="0" w:tplc="76D67B18">
      <w:start w:val="13"/>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7C0224F"/>
    <w:multiLevelType w:val="hybridMultilevel"/>
    <w:tmpl w:val="C9C8973A"/>
    <w:lvl w:ilvl="0" w:tplc="76D67B18">
      <w:start w:val="13"/>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81A2087"/>
    <w:multiLevelType w:val="hybridMultilevel"/>
    <w:tmpl w:val="CA583890"/>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E9828F5"/>
    <w:multiLevelType w:val="hybridMultilevel"/>
    <w:tmpl w:val="510EE148"/>
    <w:lvl w:ilvl="0" w:tplc="FA620DF8">
      <w:start w:val="1"/>
      <w:numFmt w:val="decimal"/>
      <w:lvlText w:val="(%1)"/>
      <w:lvlJc w:val="left"/>
      <w:pPr>
        <w:ind w:left="720" w:hanging="360"/>
      </w:pPr>
      <w:rPr>
        <w:rFonts w:hint="default"/>
      </w:rPr>
    </w:lvl>
    <w:lvl w:ilvl="1" w:tplc="215ABFF0">
      <w:start w:val="8"/>
      <w:numFmt w:val="bullet"/>
      <w:lvlText w:val=""/>
      <w:lvlJc w:val="left"/>
      <w:pPr>
        <w:ind w:left="1440" w:hanging="360"/>
      </w:pPr>
      <w:rPr>
        <w:rFonts w:ascii="Symbol" w:eastAsiaTheme="minorEastAsia" w:hAnsi="Symbol" w:cs="Aria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F312815"/>
    <w:multiLevelType w:val="hybridMultilevel"/>
    <w:tmpl w:val="602E29DC"/>
    <w:lvl w:ilvl="0" w:tplc="6D8CEAD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2D72D60"/>
    <w:multiLevelType w:val="hybridMultilevel"/>
    <w:tmpl w:val="FBC4318A"/>
    <w:lvl w:ilvl="0" w:tplc="F20C731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15:restartNumberingAfterBreak="0">
    <w:nsid w:val="33DC364B"/>
    <w:multiLevelType w:val="hybridMultilevel"/>
    <w:tmpl w:val="431E27C8"/>
    <w:lvl w:ilvl="0" w:tplc="F20C731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4031D1F"/>
    <w:multiLevelType w:val="hybridMultilevel"/>
    <w:tmpl w:val="D7FC820C"/>
    <w:lvl w:ilvl="0" w:tplc="76D67B18">
      <w:start w:val="13"/>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84E495C"/>
    <w:multiLevelType w:val="hybridMultilevel"/>
    <w:tmpl w:val="2E609E08"/>
    <w:lvl w:ilvl="0" w:tplc="FA620DF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C195A31"/>
    <w:multiLevelType w:val="hybridMultilevel"/>
    <w:tmpl w:val="B170CD68"/>
    <w:lvl w:ilvl="0" w:tplc="F20C731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C204525"/>
    <w:multiLevelType w:val="hybridMultilevel"/>
    <w:tmpl w:val="C7AA4694"/>
    <w:lvl w:ilvl="0" w:tplc="F20C731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ED9485E"/>
    <w:multiLevelType w:val="hybridMultilevel"/>
    <w:tmpl w:val="20909E0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0973080"/>
    <w:multiLevelType w:val="hybridMultilevel"/>
    <w:tmpl w:val="AFE68916"/>
    <w:lvl w:ilvl="0" w:tplc="76D67B18">
      <w:start w:val="13"/>
      <w:numFmt w:val="bullet"/>
      <w:lvlText w:val="-"/>
      <w:lvlJc w:val="left"/>
      <w:pPr>
        <w:ind w:left="720" w:hanging="360"/>
      </w:pPr>
      <w:rPr>
        <w:rFonts w:ascii="Arial" w:eastAsiaTheme="minorHAns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1354D2C"/>
    <w:multiLevelType w:val="hybridMultilevel"/>
    <w:tmpl w:val="D17881E0"/>
    <w:lvl w:ilvl="0" w:tplc="F20C731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3833047"/>
    <w:multiLevelType w:val="hybridMultilevel"/>
    <w:tmpl w:val="A742018E"/>
    <w:lvl w:ilvl="0" w:tplc="8C92488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42F133C"/>
    <w:multiLevelType w:val="hybridMultilevel"/>
    <w:tmpl w:val="2ED28140"/>
    <w:lvl w:ilvl="0" w:tplc="F20C731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 w15:restartNumberingAfterBreak="0">
    <w:nsid w:val="44801F2D"/>
    <w:multiLevelType w:val="hybridMultilevel"/>
    <w:tmpl w:val="8C7CE950"/>
    <w:lvl w:ilvl="0" w:tplc="FA620DF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8122750"/>
    <w:multiLevelType w:val="hybridMultilevel"/>
    <w:tmpl w:val="BB1A55A6"/>
    <w:lvl w:ilvl="0" w:tplc="0409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082557A"/>
    <w:multiLevelType w:val="hybridMultilevel"/>
    <w:tmpl w:val="CA583890"/>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5B13E53"/>
    <w:multiLevelType w:val="hybridMultilevel"/>
    <w:tmpl w:val="CA583890"/>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71E5ABE"/>
    <w:multiLevelType w:val="hybridMultilevel"/>
    <w:tmpl w:val="E494B40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BB8773C"/>
    <w:multiLevelType w:val="hybridMultilevel"/>
    <w:tmpl w:val="38765910"/>
    <w:lvl w:ilvl="0" w:tplc="FA620DF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CE15E22"/>
    <w:multiLevelType w:val="hybridMultilevel"/>
    <w:tmpl w:val="050C0D1A"/>
    <w:lvl w:ilvl="0" w:tplc="FA620DF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12C26A5"/>
    <w:multiLevelType w:val="hybridMultilevel"/>
    <w:tmpl w:val="09881892"/>
    <w:lvl w:ilvl="0" w:tplc="041A0017">
      <w:start w:val="1"/>
      <w:numFmt w:val="lowerLetter"/>
      <w:lvlText w:val="%1)"/>
      <w:lvlJc w:val="left"/>
      <w:pPr>
        <w:ind w:left="720" w:hanging="360"/>
      </w:pPr>
    </w:lvl>
    <w:lvl w:ilvl="1" w:tplc="0360DED4">
      <w:start w:val="1"/>
      <w:numFmt w:val="lowerRoman"/>
      <w:lvlText w:val="%2."/>
      <w:lvlJc w:val="left"/>
      <w:pPr>
        <w:ind w:left="1545" w:hanging="46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1F257B0"/>
    <w:multiLevelType w:val="hybridMultilevel"/>
    <w:tmpl w:val="6062EF6E"/>
    <w:lvl w:ilvl="0" w:tplc="C9D0DC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21A4491"/>
    <w:multiLevelType w:val="hybridMultilevel"/>
    <w:tmpl w:val="EB62B300"/>
    <w:lvl w:ilvl="0" w:tplc="FA620DF8">
      <w:start w:val="1"/>
      <w:numFmt w:val="decimal"/>
      <w:lvlText w:val="(%1)"/>
      <w:lvlJc w:val="left"/>
      <w:pPr>
        <w:ind w:left="720" w:hanging="360"/>
      </w:pPr>
      <w:rPr>
        <w:rFonts w:hint="default"/>
      </w:rPr>
    </w:lvl>
    <w:lvl w:ilvl="1" w:tplc="A4B07176">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859765D"/>
    <w:multiLevelType w:val="hybridMultilevel"/>
    <w:tmpl w:val="34C85F1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D495F30"/>
    <w:multiLevelType w:val="hybridMultilevel"/>
    <w:tmpl w:val="12A0CB8C"/>
    <w:lvl w:ilvl="0" w:tplc="041A001B">
      <w:start w:val="1"/>
      <w:numFmt w:val="lowerRoman"/>
      <w:lvlText w:val="%1."/>
      <w:lvlJc w:val="righ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42" w15:restartNumberingAfterBreak="0">
    <w:nsid w:val="6D8422B3"/>
    <w:multiLevelType w:val="hybridMultilevel"/>
    <w:tmpl w:val="B480FF2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55B7D4F"/>
    <w:multiLevelType w:val="hybridMultilevel"/>
    <w:tmpl w:val="0D9C926A"/>
    <w:lvl w:ilvl="0" w:tplc="A1C48A3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5D0715C"/>
    <w:multiLevelType w:val="hybridMultilevel"/>
    <w:tmpl w:val="76F63BBA"/>
    <w:lvl w:ilvl="0" w:tplc="FA620DF8">
      <w:start w:val="1"/>
      <w:numFmt w:val="decimal"/>
      <w:lvlText w:val="(%1)"/>
      <w:lvlJc w:val="left"/>
      <w:pPr>
        <w:ind w:left="720" w:hanging="360"/>
      </w:pPr>
      <w:rPr>
        <w:rFonts w:hint="default"/>
      </w:rPr>
    </w:lvl>
    <w:lvl w:ilvl="1" w:tplc="C02E492E">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6980995"/>
    <w:multiLevelType w:val="hybridMultilevel"/>
    <w:tmpl w:val="755CE75C"/>
    <w:lvl w:ilvl="0" w:tplc="FA620DF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78D31A5"/>
    <w:multiLevelType w:val="hybridMultilevel"/>
    <w:tmpl w:val="013A85C0"/>
    <w:lvl w:ilvl="0" w:tplc="666E06B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A3B0D15"/>
    <w:multiLevelType w:val="hybridMultilevel"/>
    <w:tmpl w:val="E976E490"/>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AE02FD5"/>
    <w:multiLevelType w:val="hybridMultilevel"/>
    <w:tmpl w:val="D3026DC4"/>
    <w:lvl w:ilvl="0" w:tplc="76D67B18">
      <w:start w:val="13"/>
      <w:numFmt w:val="bullet"/>
      <w:lvlText w:val="-"/>
      <w:lvlJc w:val="left"/>
      <w:pPr>
        <w:ind w:left="1080" w:hanging="360"/>
      </w:pPr>
      <w:rPr>
        <w:rFonts w:ascii="Arial" w:eastAsiaTheme="minorHAns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9" w15:restartNumberingAfterBreak="0">
    <w:nsid w:val="7E0C729D"/>
    <w:multiLevelType w:val="hybridMultilevel"/>
    <w:tmpl w:val="2CD8BE7E"/>
    <w:lvl w:ilvl="0" w:tplc="FA620DF8">
      <w:start w:val="1"/>
      <w:numFmt w:val="decimal"/>
      <w:lvlText w:val="(%1)"/>
      <w:lvlJc w:val="left"/>
      <w:pPr>
        <w:ind w:left="720" w:hanging="360"/>
      </w:pPr>
      <w:rPr>
        <w:rFonts w:hint="default"/>
      </w:rPr>
    </w:lvl>
    <w:lvl w:ilvl="1" w:tplc="70C6E638">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31"/>
  </w:num>
  <w:num w:numId="4">
    <w:abstractNumId w:val="12"/>
  </w:num>
  <w:num w:numId="5">
    <w:abstractNumId w:val="43"/>
  </w:num>
  <w:num w:numId="6">
    <w:abstractNumId w:val="38"/>
  </w:num>
  <w:num w:numId="7">
    <w:abstractNumId w:val="7"/>
  </w:num>
  <w:num w:numId="8">
    <w:abstractNumId w:val="28"/>
  </w:num>
  <w:num w:numId="9">
    <w:abstractNumId w:val="11"/>
  </w:num>
  <w:num w:numId="10">
    <w:abstractNumId w:val="46"/>
  </w:num>
  <w:num w:numId="11">
    <w:abstractNumId w:val="45"/>
  </w:num>
  <w:num w:numId="12">
    <w:abstractNumId w:val="44"/>
  </w:num>
  <w:num w:numId="13">
    <w:abstractNumId w:val="22"/>
  </w:num>
  <w:num w:numId="14">
    <w:abstractNumId w:val="9"/>
  </w:num>
  <w:num w:numId="15">
    <w:abstractNumId w:val="10"/>
  </w:num>
  <w:num w:numId="16">
    <w:abstractNumId w:val="36"/>
  </w:num>
  <w:num w:numId="17">
    <w:abstractNumId w:val="49"/>
  </w:num>
  <w:num w:numId="18">
    <w:abstractNumId w:val="39"/>
  </w:num>
  <w:num w:numId="19">
    <w:abstractNumId w:val="35"/>
  </w:num>
  <w:num w:numId="20">
    <w:abstractNumId w:val="17"/>
  </w:num>
  <w:num w:numId="21">
    <w:abstractNumId w:val="34"/>
  </w:num>
  <w:num w:numId="22">
    <w:abstractNumId w:val="30"/>
  </w:num>
  <w:num w:numId="23">
    <w:abstractNumId w:val="18"/>
  </w:num>
  <w:num w:numId="24">
    <w:abstractNumId w:val="32"/>
  </w:num>
  <w:num w:numId="25">
    <w:abstractNumId w:val="47"/>
  </w:num>
  <w:num w:numId="26">
    <w:abstractNumId w:val="6"/>
  </w:num>
  <w:num w:numId="27">
    <w:abstractNumId w:val="13"/>
  </w:num>
  <w:num w:numId="28">
    <w:abstractNumId w:val="29"/>
  </w:num>
  <w:num w:numId="29">
    <w:abstractNumId w:val="8"/>
  </w:num>
  <w:num w:numId="30">
    <w:abstractNumId w:val="19"/>
  </w:num>
  <w:num w:numId="31">
    <w:abstractNumId w:val="48"/>
  </w:num>
  <w:num w:numId="32">
    <w:abstractNumId w:val="41"/>
  </w:num>
  <w:num w:numId="33">
    <w:abstractNumId w:val="23"/>
  </w:num>
  <w:num w:numId="34">
    <w:abstractNumId w:val="20"/>
  </w:num>
  <w:num w:numId="35">
    <w:abstractNumId w:val="27"/>
  </w:num>
  <w:num w:numId="36">
    <w:abstractNumId w:val="4"/>
  </w:num>
  <w:num w:numId="37">
    <w:abstractNumId w:val="24"/>
  </w:num>
  <w:num w:numId="38">
    <w:abstractNumId w:val="5"/>
  </w:num>
  <w:num w:numId="39">
    <w:abstractNumId w:val="33"/>
  </w:num>
  <w:num w:numId="40">
    <w:abstractNumId w:val="16"/>
  </w:num>
  <w:num w:numId="41">
    <w:abstractNumId w:val="3"/>
  </w:num>
  <w:num w:numId="42">
    <w:abstractNumId w:val="42"/>
  </w:num>
  <w:num w:numId="43">
    <w:abstractNumId w:val="40"/>
  </w:num>
  <w:num w:numId="44">
    <w:abstractNumId w:val="25"/>
  </w:num>
  <w:num w:numId="45">
    <w:abstractNumId w:val="37"/>
  </w:num>
  <w:num w:numId="46">
    <w:abstractNumId w:val="26"/>
  </w:num>
  <w:num w:numId="47">
    <w:abstractNumId w:val="14"/>
  </w:num>
  <w:num w:numId="48">
    <w:abstractNumId w:val="2"/>
  </w:num>
  <w:num w:numId="49">
    <w:abstractNumId w:val="15"/>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366"/>
    <w:rsid w:val="00000924"/>
    <w:rsid w:val="000026C6"/>
    <w:rsid w:val="000049A9"/>
    <w:rsid w:val="0000707D"/>
    <w:rsid w:val="00007682"/>
    <w:rsid w:val="00007E3E"/>
    <w:rsid w:val="000117EE"/>
    <w:rsid w:val="0002148F"/>
    <w:rsid w:val="00025B2B"/>
    <w:rsid w:val="00027DB7"/>
    <w:rsid w:val="0003063F"/>
    <w:rsid w:val="00030727"/>
    <w:rsid w:val="00031063"/>
    <w:rsid w:val="000334F1"/>
    <w:rsid w:val="000363E2"/>
    <w:rsid w:val="00040C84"/>
    <w:rsid w:val="00042F59"/>
    <w:rsid w:val="000438DE"/>
    <w:rsid w:val="00046C9B"/>
    <w:rsid w:val="00051FEA"/>
    <w:rsid w:val="00053CF8"/>
    <w:rsid w:val="00054300"/>
    <w:rsid w:val="00055AC1"/>
    <w:rsid w:val="0005738D"/>
    <w:rsid w:val="0006568B"/>
    <w:rsid w:val="00071F40"/>
    <w:rsid w:val="000756F9"/>
    <w:rsid w:val="00085253"/>
    <w:rsid w:val="00092CD2"/>
    <w:rsid w:val="00093AA0"/>
    <w:rsid w:val="000961BB"/>
    <w:rsid w:val="000971FE"/>
    <w:rsid w:val="000A0731"/>
    <w:rsid w:val="000A2979"/>
    <w:rsid w:val="000C29A0"/>
    <w:rsid w:val="000C4F39"/>
    <w:rsid w:val="000C6D7A"/>
    <w:rsid w:val="000D194C"/>
    <w:rsid w:val="000D3941"/>
    <w:rsid w:val="000D578C"/>
    <w:rsid w:val="000E3200"/>
    <w:rsid w:val="000E37D6"/>
    <w:rsid w:val="000E39AE"/>
    <w:rsid w:val="000E3FEE"/>
    <w:rsid w:val="000E4903"/>
    <w:rsid w:val="000E4BB8"/>
    <w:rsid w:val="000E5D7D"/>
    <w:rsid w:val="000F34B0"/>
    <w:rsid w:val="000F4642"/>
    <w:rsid w:val="000F5F99"/>
    <w:rsid w:val="0010085E"/>
    <w:rsid w:val="001011C2"/>
    <w:rsid w:val="00103426"/>
    <w:rsid w:val="00106B35"/>
    <w:rsid w:val="00111BCF"/>
    <w:rsid w:val="001123F7"/>
    <w:rsid w:val="0011268D"/>
    <w:rsid w:val="001168C3"/>
    <w:rsid w:val="001306AE"/>
    <w:rsid w:val="00133AE8"/>
    <w:rsid w:val="00134CD1"/>
    <w:rsid w:val="00135FC0"/>
    <w:rsid w:val="00145C10"/>
    <w:rsid w:val="001463B1"/>
    <w:rsid w:val="001477E9"/>
    <w:rsid w:val="00147A66"/>
    <w:rsid w:val="0015173D"/>
    <w:rsid w:val="00154612"/>
    <w:rsid w:val="00154FC6"/>
    <w:rsid w:val="00155336"/>
    <w:rsid w:val="0015640D"/>
    <w:rsid w:val="0016047E"/>
    <w:rsid w:val="001641C1"/>
    <w:rsid w:val="00172FA6"/>
    <w:rsid w:val="0018098B"/>
    <w:rsid w:val="00182BC1"/>
    <w:rsid w:val="001856F3"/>
    <w:rsid w:val="00186E7D"/>
    <w:rsid w:val="001925A3"/>
    <w:rsid w:val="001926F6"/>
    <w:rsid w:val="00192B36"/>
    <w:rsid w:val="00197C8D"/>
    <w:rsid w:val="001A49D0"/>
    <w:rsid w:val="001B0669"/>
    <w:rsid w:val="001C1D52"/>
    <w:rsid w:val="001C4D8B"/>
    <w:rsid w:val="001C59CD"/>
    <w:rsid w:val="001C5A13"/>
    <w:rsid w:val="001C661D"/>
    <w:rsid w:val="001D144A"/>
    <w:rsid w:val="001D51E2"/>
    <w:rsid w:val="001E02DB"/>
    <w:rsid w:val="001E0BDE"/>
    <w:rsid w:val="001E1AE7"/>
    <w:rsid w:val="001F0114"/>
    <w:rsid w:val="001F3FB9"/>
    <w:rsid w:val="001F662A"/>
    <w:rsid w:val="001F672F"/>
    <w:rsid w:val="002008C9"/>
    <w:rsid w:val="00202544"/>
    <w:rsid w:val="00203579"/>
    <w:rsid w:val="00205DCC"/>
    <w:rsid w:val="00210092"/>
    <w:rsid w:val="00210388"/>
    <w:rsid w:val="002113DB"/>
    <w:rsid w:val="00213139"/>
    <w:rsid w:val="00214A75"/>
    <w:rsid w:val="0021545F"/>
    <w:rsid w:val="00217444"/>
    <w:rsid w:val="00220D14"/>
    <w:rsid w:val="002243B3"/>
    <w:rsid w:val="002248DA"/>
    <w:rsid w:val="0023004B"/>
    <w:rsid w:val="00235EA9"/>
    <w:rsid w:val="00242405"/>
    <w:rsid w:val="00244C66"/>
    <w:rsid w:val="0025766E"/>
    <w:rsid w:val="00260D30"/>
    <w:rsid w:val="00260FAD"/>
    <w:rsid w:val="00262783"/>
    <w:rsid w:val="00264C3E"/>
    <w:rsid w:val="0026561A"/>
    <w:rsid w:val="00270673"/>
    <w:rsid w:val="00274698"/>
    <w:rsid w:val="002767F6"/>
    <w:rsid w:val="0027748B"/>
    <w:rsid w:val="00280C5E"/>
    <w:rsid w:val="00282419"/>
    <w:rsid w:val="00286ECF"/>
    <w:rsid w:val="00291BA9"/>
    <w:rsid w:val="002926C6"/>
    <w:rsid w:val="002947C8"/>
    <w:rsid w:val="002962F8"/>
    <w:rsid w:val="00296AC3"/>
    <w:rsid w:val="00297D8C"/>
    <w:rsid w:val="002A3AF7"/>
    <w:rsid w:val="002A4799"/>
    <w:rsid w:val="002A550D"/>
    <w:rsid w:val="002A67DF"/>
    <w:rsid w:val="002A6C88"/>
    <w:rsid w:val="002A706E"/>
    <w:rsid w:val="002B0912"/>
    <w:rsid w:val="002B2725"/>
    <w:rsid w:val="002B3098"/>
    <w:rsid w:val="002B36ED"/>
    <w:rsid w:val="002B379D"/>
    <w:rsid w:val="002B44EE"/>
    <w:rsid w:val="002C7B03"/>
    <w:rsid w:val="002D2486"/>
    <w:rsid w:val="002D294D"/>
    <w:rsid w:val="002D346A"/>
    <w:rsid w:val="002D40DB"/>
    <w:rsid w:val="002D5F18"/>
    <w:rsid w:val="002D6713"/>
    <w:rsid w:val="002E4592"/>
    <w:rsid w:val="002F70A1"/>
    <w:rsid w:val="003024FF"/>
    <w:rsid w:val="00303BC8"/>
    <w:rsid w:val="0030640D"/>
    <w:rsid w:val="003070C5"/>
    <w:rsid w:val="00310599"/>
    <w:rsid w:val="0031238F"/>
    <w:rsid w:val="00314FC9"/>
    <w:rsid w:val="00315E1A"/>
    <w:rsid w:val="00316D29"/>
    <w:rsid w:val="00323433"/>
    <w:rsid w:val="00324C2F"/>
    <w:rsid w:val="003265BB"/>
    <w:rsid w:val="00330418"/>
    <w:rsid w:val="00332692"/>
    <w:rsid w:val="00332CEF"/>
    <w:rsid w:val="00334933"/>
    <w:rsid w:val="00334B37"/>
    <w:rsid w:val="00336B30"/>
    <w:rsid w:val="00336D70"/>
    <w:rsid w:val="00341B35"/>
    <w:rsid w:val="003432EB"/>
    <w:rsid w:val="003436F3"/>
    <w:rsid w:val="00343BD0"/>
    <w:rsid w:val="00352328"/>
    <w:rsid w:val="00353D80"/>
    <w:rsid w:val="00353FAF"/>
    <w:rsid w:val="00355A46"/>
    <w:rsid w:val="0036675C"/>
    <w:rsid w:val="00372168"/>
    <w:rsid w:val="00373C0A"/>
    <w:rsid w:val="00382724"/>
    <w:rsid w:val="00383F98"/>
    <w:rsid w:val="00387B20"/>
    <w:rsid w:val="0039265B"/>
    <w:rsid w:val="00392A69"/>
    <w:rsid w:val="003936DC"/>
    <w:rsid w:val="00393C30"/>
    <w:rsid w:val="003A20A5"/>
    <w:rsid w:val="003A365E"/>
    <w:rsid w:val="003A5C77"/>
    <w:rsid w:val="003A6042"/>
    <w:rsid w:val="003B1674"/>
    <w:rsid w:val="003B1915"/>
    <w:rsid w:val="003B411B"/>
    <w:rsid w:val="003C1B70"/>
    <w:rsid w:val="003C5B76"/>
    <w:rsid w:val="003C6175"/>
    <w:rsid w:val="003D56E4"/>
    <w:rsid w:val="003D60D3"/>
    <w:rsid w:val="003D76C1"/>
    <w:rsid w:val="003E091D"/>
    <w:rsid w:val="003F243D"/>
    <w:rsid w:val="003F43AB"/>
    <w:rsid w:val="003F5A08"/>
    <w:rsid w:val="003F76AC"/>
    <w:rsid w:val="00400364"/>
    <w:rsid w:val="0040044A"/>
    <w:rsid w:val="0040274B"/>
    <w:rsid w:val="004075C3"/>
    <w:rsid w:val="004111A8"/>
    <w:rsid w:val="00415BE8"/>
    <w:rsid w:val="00423018"/>
    <w:rsid w:val="004236B7"/>
    <w:rsid w:val="00424F4A"/>
    <w:rsid w:val="0043699B"/>
    <w:rsid w:val="00440B68"/>
    <w:rsid w:val="00443729"/>
    <w:rsid w:val="00445930"/>
    <w:rsid w:val="00454313"/>
    <w:rsid w:val="00456785"/>
    <w:rsid w:val="004577E2"/>
    <w:rsid w:val="00461CBF"/>
    <w:rsid w:val="004626E5"/>
    <w:rsid w:val="00462998"/>
    <w:rsid w:val="004631C4"/>
    <w:rsid w:val="004640A3"/>
    <w:rsid w:val="00465E27"/>
    <w:rsid w:val="00470E16"/>
    <w:rsid w:val="00472BA3"/>
    <w:rsid w:val="00474CA0"/>
    <w:rsid w:val="0048360E"/>
    <w:rsid w:val="00486D16"/>
    <w:rsid w:val="00490441"/>
    <w:rsid w:val="00492CC9"/>
    <w:rsid w:val="0049504B"/>
    <w:rsid w:val="004A5E07"/>
    <w:rsid w:val="004A6A8A"/>
    <w:rsid w:val="004B1018"/>
    <w:rsid w:val="004B3102"/>
    <w:rsid w:val="004B6BC8"/>
    <w:rsid w:val="004B7243"/>
    <w:rsid w:val="004C049B"/>
    <w:rsid w:val="004C15E5"/>
    <w:rsid w:val="004C53D3"/>
    <w:rsid w:val="004C6DCD"/>
    <w:rsid w:val="004D02E1"/>
    <w:rsid w:val="004D10E5"/>
    <w:rsid w:val="004E0564"/>
    <w:rsid w:val="004E2266"/>
    <w:rsid w:val="004E345B"/>
    <w:rsid w:val="004E37F4"/>
    <w:rsid w:val="004F2C2C"/>
    <w:rsid w:val="004F3754"/>
    <w:rsid w:val="00500AF2"/>
    <w:rsid w:val="005028D1"/>
    <w:rsid w:val="005143C4"/>
    <w:rsid w:val="00516629"/>
    <w:rsid w:val="00527189"/>
    <w:rsid w:val="00531CE4"/>
    <w:rsid w:val="005404C4"/>
    <w:rsid w:val="00552B69"/>
    <w:rsid w:val="00552B94"/>
    <w:rsid w:val="005531DA"/>
    <w:rsid w:val="005546BB"/>
    <w:rsid w:val="005553FE"/>
    <w:rsid w:val="005578E8"/>
    <w:rsid w:val="00572836"/>
    <w:rsid w:val="00573B08"/>
    <w:rsid w:val="00574C51"/>
    <w:rsid w:val="00574FB1"/>
    <w:rsid w:val="00577305"/>
    <w:rsid w:val="005820FB"/>
    <w:rsid w:val="00582623"/>
    <w:rsid w:val="00585EDC"/>
    <w:rsid w:val="0058665F"/>
    <w:rsid w:val="0059100D"/>
    <w:rsid w:val="00591058"/>
    <w:rsid w:val="00593F13"/>
    <w:rsid w:val="005A31AE"/>
    <w:rsid w:val="005A35DC"/>
    <w:rsid w:val="005A652E"/>
    <w:rsid w:val="005A6DAC"/>
    <w:rsid w:val="005B20DE"/>
    <w:rsid w:val="005B45F4"/>
    <w:rsid w:val="005C06E2"/>
    <w:rsid w:val="005C3FDB"/>
    <w:rsid w:val="005C5542"/>
    <w:rsid w:val="005C6366"/>
    <w:rsid w:val="005D0852"/>
    <w:rsid w:val="005D0E05"/>
    <w:rsid w:val="005D1E08"/>
    <w:rsid w:val="005D1FC2"/>
    <w:rsid w:val="005D29A2"/>
    <w:rsid w:val="005D3375"/>
    <w:rsid w:val="005E0C50"/>
    <w:rsid w:val="005E5666"/>
    <w:rsid w:val="005E599A"/>
    <w:rsid w:val="005E6D44"/>
    <w:rsid w:val="005E7E2E"/>
    <w:rsid w:val="005F18BF"/>
    <w:rsid w:val="005F342B"/>
    <w:rsid w:val="00604E97"/>
    <w:rsid w:val="0062013B"/>
    <w:rsid w:val="0062374B"/>
    <w:rsid w:val="00623E46"/>
    <w:rsid w:val="00627EE0"/>
    <w:rsid w:val="00632144"/>
    <w:rsid w:val="00635A5B"/>
    <w:rsid w:val="00636A2C"/>
    <w:rsid w:val="00644AFD"/>
    <w:rsid w:val="0064679F"/>
    <w:rsid w:val="00653C40"/>
    <w:rsid w:val="00654279"/>
    <w:rsid w:val="006550C5"/>
    <w:rsid w:val="00655A26"/>
    <w:rsid w:val="00661F11"/>
    <w:rsid w:val="0066672B"/>
    <w:rsid w:val="00682455"/>
    <w:rsid w:val="00687FEC"/>
    <w:rsid w:val="00691098"/>
    <w:rsid w:val="00693BF9"/>
    <w:rsid w:val="00696D4F"/>
    <w:rsid w:val="0069782A"/>
    <w:rsid w:val="006A4A01"/>
    <w:rsid w:val="006B5B2D"/>
    <w:rsid w:val="006B5DF5"/>
    <w:rsid w:val="006C1431"/>
    <w:rsid w:val="006C5744"/>
    <w:rsid w:val="006C6610"/>
    <w:rsid w:val="006D03D7"/>
    <w:rsid w:val="006D3088"/>
    <w:rsid w:val="006D3E9F"/>
    <w:rsid w:val="006D5122"/>
    <w:rsid w:val="006D587A"/>
    <w:rsid w:val="006E715A"/>
    <w:rsid w:val="006E7434"/>
    <w:rsid w:val="006F0290"/>
    <w:rsid w:val="006F3673"/>
    <w:rsid w:val="007015BE"/>
    <w:rsid w:val="00702CBF"/>
    <w:rsid w:val="00710330"/>
    <w:rsid w:val="00711958"/>
    <w:rsid w:val="00725C2A"/>
    <w:rsid w:val="00737B12"/>
    <w:rsid w:val="0074262A"/>
    <w:rsid w:val="00744782"/>
    <w:rsid w:val="00745EDA"/>
    <w:rsid w:val="00746D09"/>
    <w:rsid w:val="00747708"/>
    <w:rsid w:val="00751187"/>
    <w:rsid w:val="00751944"/>
    <w:rsid w:val="0075212E"/>
    <w:rsid w:val="007527DA"/>
    <w:rsid w:val="00761D8F"/>
    <w:rsid w:val="007751D0"/>
    <w:rsid w:val="007752B2"/>
    <w:rsid w:val="007752FC"/>
    <w:rsid w:val="007838F7"/>
    <w:rsid w:val="0078497C"/>
    <w:rsid w:val="00785C04"/>
    <w:rsid w:val="0078694F"/>
    <w:rsid w:val="00786AB3"/>
    <w:rsid w:val="007870D5"/>
    <w:rsid w:val="00787327"/>
    <w:rsid w:val="007900BE"/>
    <w:rsid w:val="00797E5D"/>
    <w:rsid w:val="007A42B0"/>
    <w:rsid w:val="007A5941"/>
    <w:rsid w:val="007B3CFD"/>
    <w:rsid w:val="007B4C84"/>
    <w:rsid w:val="007B56AD"/>
    <w:rsid w:val="007B6487"/>
    <w:rsid w:val="007C10A3"/>
    <w:rsid w:val="007C2E3A"/>
    <w:rsid w:val="007C34E6"/>
    <w:rsid w:val="007C4F2F"/>
    <w:rsid w:val="007C70EF"/>
    <w:rsid w:val="007D086E"/>
    <w:rsid w:val="007D4484"/>
    <w:rsid w:val="007D50C3"/>
    <w:rsid w:val="007E1900"/>
    <w:rsid w:val="007E3B34"/>
    <w:rsid w:val="007F05CD"/>
    <w:rsid w:val="007F12EB"/>
    <w:rsid w:val="007F2DDA"/>
    <w:rsid w:val="007F2F32"/>
    <w:rsid w:val="007F69E0"/>
    <w:rsid w:val="007F716C"/>
    <w:rsid w:val="007F7C14"/>
    <w:rsid w:val="007F7C5F"/>
    <w:rsid w:val="0081156D"/>
    <w:rsid w:val="00814AB0"/>
    <w:rsid w:val="0081576D"/>
    <w:rsid w:val="00820807"/>
    <w:rsid w:val="008222D1"/>
    <w:rsid w:val="008231D6"/>
    <w:rsid w:val="00823C4E"/>
    <w:rsid w:val="00825F34"/>
    <w:rsid w:val="00826FA5"/>
    <w:rsid w:val="008345C6"/>
    <w:rsid w:val="008374AA"/>
    <w:rsid w:val="008402C1"/>
    <w:rsid w:val="0085446E"/>
    <w:rsid w:val="00854958"/>
    <w:rsid w:val="00856441"/>
    <w:rsid w:val="00861F64"/>
    <w:rsid w:val="00863AC1"/>
    <w:rsid w:val="0086439E"/>
    <w:rsid w:val="00870359"/>
    <w:rsid w:val="00872B62"/>
    <w:rsid w:val="0087414E"/>
    <w:rsid w:val="0087757E"/>
    <w:rsid w:val="00882809"/>
    <w:rsid w:val="00884D41"/>
    <w:rsid w:val="008858A6"/>
    <w:rsid w:val="00886CDC"/>
    <w:rsid w:val="00891686"/>
    <w:rsid w:val="00891FD7"/>
    <w:rsid w:val="00892BBB"/>
    <w:rsid w:val="00894F6B"/>
    <w:rsid w:val="00896A82"/>
    <w:rsid w:val="008A53AD"/>
    <w:rsid w:val="008A54DA"/>
    <w:rsid w:val="008B0EFC"/>
    <w:rsid w:val="008B16BC"/>
    <w:rsid w:val="008B2686"/>
    <w:rsid w:val="008C0DD5"/>
    <w:rsid w:val="008C57D0"/>
    <w:rsid w:val="008C5814"/>
    <w:rsid w:val="008C6D21"/>
    <w:rsid w:val="008D0134"/>
    <w:rsid w:val="008D23F8"/>
    <w:rsid w:val="008D2CB9"/>
    <w:rsid w:val="008D453C"/>
    <w:rsid w:val="008D7E3D"/>
    <w:rsid w:val="008E1128"/>
    <w:rsid w:val="008E11EF"/>
    <w:rsid w:val="008E419B"/>
    <w:rsid w:val="008E54F7"/>
    <w:rsid w:val="008F3750"/>
    <w:rsid w:val="008F48E0"/>
    <w:rsid w:val="00901576"/>
    <w:rsid w:val="009022AF"/>
    <w:rsid w:val="00903574"/>
    <w:rsid w:val="00905E8A"/>
    <w:rsid w:val="00907224"/>
    <w:rsid w:val="00910794"/>
    <w:rsid w:val="00912165"/>
    <w:rsid w:val="00912A54"/>
    <w:rsid w:val="00914C36"/>
    <w:rsid w:val="00922657"/>
    <w:rsid w:val="00927CD9"/>
    <w:rsid w:val="0093066F"/>
    <w:rsid w:val="0093161F"/>
    <w:rsid w:val="00932CE1"/>
    <w:rsid w:val="00943D9A"/>
    <w:rsid w:val="00951910"/>
    <w:rsid w:val="009548D5"/>
    <w:rsid w:val="00957614"/>
    <w:rsid w:val="00957CD6"/>
    <w:rsid w:val="009616EE"/>
    <w:rsid w:val="00962399"/>
    <w:rsid w:val="009673A5"/>
    <w:rsid w:val="00970E88"/>
    <w:rsid w:val="0097394D"/>
    <w:rsid w:val="00976992"/>
    <w:rsid w:val="009769CC"/>
    <w:rsid w:val="00984F24"/>
    <w:rsid w:val="00985EE7"/>
    <w:rsid w:val="009924C7"/>
    <w:rsid w:val="00994075"/>
    <w:rsid w:val="009941B1"/>
    <w:rsid w:val="00994B66"/>
    <w:rsid w:val="009A0711"/>
    <w:rsid w:val="009A4B2A"/>
    <w:rsid w:val="009A7CA0"/>
    <w:rsid w:val="009B0C75"/>
    <w:rsid w:val="009C686A"/>
    <w:rsid w:val="009D304C"/>
    <w:rsid w:val="009D58C7"/>
    <w:rsid w:val="009D793A"/>
    <w:rsid w:val="009D7C4E"/>
    <w:rsid w:val="009E3127"/>
    <w:rsid w:val="009F1647"/>
    <w:rsid w:val="009F21F0"/>
    <w:rsid w:val="009F7794"/>
    <w:rsid w:val="00A001D2"/>
    <w:rsid w:val="00A01855"/>
    <w:rsid w:val="00A11152"/>
    <w:rsid w:val="00A13D16"/>
    <w:rsid w:val="00A15DDF"/>
    <w:rsid w:val="00A16B57"/>
    <w:rsid w:val="00A17AC9"/>
    <w:rsid w:val="00A20093"/>
    <w:rsid w:val="00A21DF8"/>
    <w:rsid w:val="00A22B9C"/>
    <w:rsid w:val="00A22C2A"/>
    <w:rsid w:val="00A318C9"/>
    <w:rsid w:val="00A319A8"/>
    <w:rsid w:val="00A33BBA"/>
    <w:rsid w:val="00A351F4"/>
    <w:rsid w:val="00A35C18"/>
    <w:rsid w:val="00A3660A"/>
    <w:rsid w:val="00A36DC9"/>
    <w:rsid w:val="00A44B28"/>
    <w:rsid w:val="00A46AB8"/>
    <w:rsid w:val="00A51A6C"/>
    <w:rsid w:val="00A51E31"/>
    <w:rsid w:val="00A53EFF"/>
    <w:rsid w:val="00A55B26"/>
    <w:rsid w:val="00A65194"/>
    <w:rsid w:val="00A662A9"/>
    <w:rsid w:val="00A67515"/>
    <w:rsid w:val="00A72026"/>
    <w:rsid w:val="00A725B7"/>
    <w:rsid w:val="00A81E12"/>
    <w:rsid w:val="00A82D19"/>
    <w:rsid w:val="00A865D7"/>
    <w:rsid w:val="00A96777"/>
    <w:rsid w:val="00AA1D15"/>
    <w:rsid w:val="00AA21C5"/>
    <w:rsid w:val="00AA2772"/>
    <w:rsid w:val="00AA343B"/>
    <w:rsid w:val="00AB0CF2"/>
    <w:rsid w:val="00AB1436"/>
    <w:rsid w:val="00AB2DF7"/>
    <w:rsid w:val="00AB51C2"/>
    <w:rsid w:val="00AB5E1D"/>
    <w:rsid w:val="00AB6413"/>
    <w:rsid w:val="00AD438A"/>
    <w:rsid w:val="00AE0287"/>
    <w:rsid w:val="00AE2420"/>
    <w:rsid w:val="00AE66A0"/>
    <w:rsid w:val="00AF2EEE"/>
    <w:rsid w:val="00AF66BE"/>
    <w:rsid w:val="00B00AB9"/>
    <w:rsid w:val="00B029C5"/>
    <w:rsid w:val="00B031FB"/>
    <w:rsid w:val="00B0377A"/>
    <w:rsid w:val="00B07A4C"/>
    <w:rsid w:val="00B07C14"/>
    <w:rsid w:val="00B07D1E"/>
    <w:rsid w:val="00B11234"/>
    <w:rsid w:val="00B12188"/>
    <w:rsid w:val="00B152C8"/>
    <w:rsid w:val="00B200EF"/>
    <w:rsid w:val="00B20A54"/>
    <w:rsid w:val="00B21841"/>
    <w:rsid w:val="00B249A6"/>
    <w:rsid w:val="00B25B16"/>
    <w:rsid w:val="00B25F9A"/>
    <w:rsid w:val="00B26023"/>
    <w:rsid w:val="00B35B9A"/>
    <w:rsid w:val="00B35CC9"/>
    <w:rsid w:val="00B40146"/>
    <w:rsid w:val="00B44275"/>
    <w:rsid w:val="00B44445"/>
    <w:rsid w:val="00B46D8D"/>
    <w:rsid w:val="00B4740F"/>
    <w:rsid w:val="00B50889"/>
    <w:rsid w:val="00B531C3"/>
    <w:rsid w:val="00B535AA"/>
    <w:rsid w:val="00B53D37"/>
    <w:rsid w:val="00B563B2"/>
    <w:rsid w:val="00B67EEC"/>
    <w:rsid w:val="00B72E9E"/>
    <w:rsid w:val="00B77458"/>
    <w:rsid w:val="00B81893"/>
    <w:rsid w:val="00B82553"/>
    <w:rsid w:val="00B838AC"/>
    <w:rsid w:val="00B83A16"/>
    <w:rsid w:val="00B86E9B"/>
    <w:rsid w:val="00B87322"/>
    <w:rsid w:val="00B918FD"/>
    <w:rsid w:val="00B921DA"/>
    <w:rsid w:val="00B944F9"/>
    <w:rsid w:val="00B957CD"/>
    <w:rsid w:val="00B95996"/>
    <w:rsid w:val="00BA3AD0"/>
    <w:rsid w:val="00BA3B9F"/>
    <w:rsid w:val="00BA40E7"/>
    <w:rsid w:val="00BA47D5"/>
    <w:rsid w:val="00BA6D35"/>
    <w:rsid w:val="00BB3AF9"/>
    <w:rsid w:val="00BB5101"/>
    <w:rsid w:val="00BB6880"/>
    <w:rsid w:val="00BC07FE"/>
    <w:rsid w:val="00BD40DE"/>
    <w:rsid w:val="00BD7977"/>
    <w:rsid w:val="00BD7D4C"/>
    <w:rsid w:val="00BE154D"/>
    <w:rsid w:val="00BE36F8"/>
    <w:rsid w:val="00BE4A9F"/>
    <w:rsid w:val="00BF3DB3"/>
    <w:rsid w:val="00C06AA3"/>
    <w:rsid w:val="00C158D9"/>
    <w:rsid w:val="00C1689E"/>
    <w:rsid w:val="00C17284"/>
    <w:rsid w:val="00C17803"/>
    <w:rsid w:val="00C210BC"/>
    <w:rsid w:val="00C31E9C"/>
    <w:rsid w:val="00C4414B"/>
    <w:rsid w:val="00C45FD0"/>
    <w:rsid w:val="00C523DD"/>
    <w:rsid w:val="00C55FB8"/>
    <w:rsid w:val="00C569BD"/>
    <w:rsid w:val="00C61E42"/>
    <w:rsid w:val="00C64083"/>
    <w:rsid w:val="00C6511A"/>
    <w:rsid w:val="00C6624D"/>
    <w:rsid w:val="00C73294"/>
    <w:rsid w:val="00C7383B"/>
    <w:rsid w:val="00C82D78"/>
    <w:rsid w:val="00C848B6"/>
    <w:rsid w:val="00C91A0F"/>
    <w:rsid w:val="00C931BD"/>
    <w:rsid w:val="00CA0C76"/>
    <w:rsid w:val="00CA1437"/>
    <w:rsid w:val="00CA4342"/>
    <w:rsid w:val="00CA53B3"/>
    <w:rsid w:val="00CA5699"/>
    <w:rsid w:val="00CB258E"/>
    <w:rsid w:val="00CB7B0D"/>
    <w:rsid w:val="00CC13E3"/>
    <w:rsid w:val="00CC32D5"/>
    <w:rsid w:val="00CC68C4"/>
    <w:rsid w:val="00CC6D2D"/>
    <w:rsid w:val="00CD02CB"/>
    <w:rsid w:val="00CD0C6F"/>
    <w:rsid w:val="00CD6AB6"/>
    <w:rsid w:val="00CE0C6C"/>
    <w:rsid w:val="00CE3EC9"/>
    <w:rsid w:val="00CE4ABD"/>
    <w:rsid w:val="00CE6ACA"/>
    <w:rsid w:val="00CE794A"/>
    <w:rsid w:val="00CF1D48"/>
    <w:rsid w:val="00D03CF4"/>
    <w:rsid w:val="00D07ACB"/>
    <w:rsid w:val="00D10B63"/>
    <w:rsid w:val="00D14657"/>
    <w:rsid w:val="00D177E1"/>
    <w:rsid w:val="00D22BB5"/>
    <w:rsid w:val="00D252A8"/>
    <w:rsid w:val="00D4654A"/>
    <w:rsid w:val="00D471CD"/>
    <w:rsid w:val="00D67213"/>
    <w:rsid w:val="00D676C9"/>
    <w:rsid w:val="00D67790"/>
    <w:rsid w:val="00D765E3"/>
    <w:rsid w:val="00D832CE"/>
    <w:rsid w:val="00D836C5"/>
    <w:rsid w:val="00D9496F"/>
    <w:rsid w:val="00DA6D26"/>
    <w:rsid w:val="00DB0F61"/>
    <w:rsid w:val="00DB21F1"/>
    <w:rsid w:val="00DB53F5"/>
    <w:rsid w:val="00DB57FE"/>
    <w:rsid w:val="00DB7ECA"/>
    <w:rsid w:val="00DB7ED6"/>
    <w:rsid w:val="00DC53D8"/>
    <w:rsid w:val="00DC5A90"/>
    <w:rsid w:val="00DC6128"/>
    <w:rsid w:val="00DD1020"/>
    <w:rsid w:val="00DD35ED"/>
    <w:rsid w:val="00DD56C9"/>
    <w:rsid w:val="00DD5975"/>
    <w:rsid w:val="00DD760B"/>
    <w:rsid w:val="00DE0FF9"/>
    <w:rsid w:val="00DE1C70"/>
    <w:rsid w:val="00DE3104"/>
    <w:rsid w:val="00DE4F2A"/>
    <w:rsid w:val="00DE58FA"/>
    <w:rsid w:val="00DE7839"/>
    <w:rsid w:val="00DF46E0"/>
    <w:rsid w:val="00DF7CA0"/>
    <w:rsid w:val="00E01CF3"/>
    <w:rsid w:val="00E03D98"/>
    <w:rsid w:val="00E03F1E"/>
    <w:rsid w:val="00E074A7"/>
    <w:rsid w:val="00E1354A"/>
    <w:rsid w:val="00E146EB"/>
    <w:rsid w:val="00E1710B"/>
    <w:rsid w:val="00E32469"/>
    <w:rsid w:val="00E32E94"/>
    <w:rsid w:val="00E33824"/>
    <w:rsid w:val="00E33B02"/>
    <w:rsid w:val="00E37397"/>
    <w:rsid w:val="00E4054E"/>
    <w:rsid w:val="00E4081F"/>
    <w:rsid w:val="00E40DA8"/>
    <w:rsid w:val="00E44E87"/>
    <w:rsid w:val="00E46F0C"/>
    <w:rsid w:val="00E5646B"/>
    <w:rsid w:val="00E5703A"/>
    <w:rsid w:val="00E65117"/>
    <w:rsid w:val="00E7234F"/>
    <w:rsid w:val="00E72A11"/>
    <w:rsid w:val="00E73A6F"/>
    <w:rsid w:val="00E80433"/>
    <w:rsid w:val="00E8315E"/>
    <w:rsid w:val="00E87DCF"/>
    <w:rsid w:val="00E91422"/>
    <w:rsid w:val="00E93E60"/>
    <w:rsid w:val="00EA02D8"/>
    <w:rsid w:val="00EA0D18"/>
    <w:rsid w:val="00EA55D9"/>
    <w:rsid w:val="00EA63E9"/>
    <w:rsid w:val="00EB3044"/>
    <w:rsid w:val="00EB5F20"/>
    <w:rsid w:val="00EB7428"/>
    <w:rsid w:val="00EC05E5"/>
    <w:rsid w:val="00EC2108"/>
    <w:rsid w:val="00EC7F09"/>
    <w:rsid w:val="00ED0CB9"/>
    <w:rsid w:val="00ED1A00"/>
    <w:rsid w:val="00ED1F18"/>
    <w:rsid w:val="00ED1F96"/>
    <w:rsid w:val="00ED4DBC"/>
    <w:rsid w:val="00ED601A"/>
    <w:rsid w:val="00ED7DF7"/>
    <w:rsid w:val="00EE4273"/>
    <w:rsid w:val="00EE5273"/>
    <w:rsid w:val="00EE6614"/>
    <w:rsid w:val="00EE7538"/>
    <w:rsid w:val="00EF0046"/>
    <w:rsid w:val="00EF6A11"/>
    <w:rsid w:val="00EF7E12"/>
    <w:rsid w:val="00F009D1"/>
    <w:rsid w:val="00F03551"/>
    <w:rsid w:val="00F10123"/>
    <w:rsid w:val="00F1260B"/>
    <w:rsid w:val="00F133D7"/>
    <w:rsid w:val="00F13CCE"/>
    <w:rsid w:val="00F16ED6"/>
    <w:rsid w:val="00F34585"/>
    <w:rsid w:val="00F34E58"/>
    <w:rsid w:val="00F478E7"/>
    <w:rsid w:val="00F51165"/>
    <w:rsid w:val="00F52B2B"/>
    <w:rsid w:val="00F535F3"/>
    <w:rsid w:val="00F55F3A"/>
    <w:rsid w:val="00F56371"/>
    <w:rsid w:val="00F56979"/>
    <w:rsid w:val="00F56983"/>
    <w:rsid w:val="00F56C7E"/>
    <w:rsid w:val="00F57E2D"/>
    <w:rsid w:val="00F67A39"/>
    <w:rsid w:val="00F750BB"/>
    <w:rsid w:val="00F766E9"/>
    <w:rsid w:val="00F8164C"/>
    <w:rsid w:val="00F81AA5"/>
    <w:rsid w:val="00F84111"/>
    <w:rsid w:val="00F85442"/>
    <w:rsid w:val="00F85786"/>
    <w:rsid w:val="00F874FD"/>
    <w:rsid w:val="00F924D6"/>
    <w:rsid w:val="00F94991"/>
    <w:rsid w:val="00F94AF3"/>
    <w:rsid w:val="00F9581E"/>
    <w:rsid w:val="00F967E2"/>
    <w:rsid w:val="00F97865"/>
    <w:rsid w:val="00FB09EB"/>
    <w:rsid w:val="00FB1E81"/>
    <w:rsid w:val="00FC1FA8"/>
    <w:rsid w:val="00FC6BCE"/>
    <w:rsid w:val="00FC719A"/>
    <w:rsid w:val="00FD0706"/>
    <w:rsid w:val="00FD0B7A"/>
    <w:rsid w:val="00FD1247"/>
    <w:rsid w:val="00FD66B0"/>
    <w:rsid w:val="00FE56EA"/>
    <w:rsid w:val="00FF5394"/>
    <w:rsid w:val="00FF5BED"/>
    <w:rsid w:val="00FF768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E92A96"/>
  <w15:chartTrackingRefBased/>
  <w15:docId w15:val="{6F4839F4-F491-4E77-854B-DDE4812F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BF9"/>
    <w:pPr>
      <w:spacing w:after="200" w:line="276" w:lineRule="auto"/>
    </w:pPr>
  </w:style>
  <w:style w:type="paragraph" w:styleId="Heading1">
    <w:name w:val="heading 1"/>
    <w:basedOn w:val="Normal"/>
    <w:link w:val="Heading1Char"/>
    <w:uiPriority w:val="9"/>
    <w:qFormat/>
    <w:rsid w:val="005C63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Heading2">
    <w:name w:val="heading 2"/>
    <w:basedOn w:val="Normal"/>
    <w:next w:val="Normal"/>
    <w:link w:val="Heading2Char"/>
    <w:uiPriority w:val="9"/>
    <w:unhideWhenUsed/>
    <w:qFormat/>
    <w:rsid w:val="00DD56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04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366"/>
    <w:rPr>
      <w:rFonts w:ascii="Times New Roman" w:eastAsia="Times New Roman" w:hAnsi="Times New Roman" w:cs="Times New Roman"/>
      <w:b/>
      <w:bCs/>
      <w:kern w:val="36"/>
      <w:sz w:val="48"/>
      <w:szCs w:val="48"/>
      <w:lang w:eastAsia="hr-HR"/>
    </w:rPr>
  </w:style>
  <w:style w:type="paragraph" w:customStyle="1" w:styleId="t-9-8">
    <w:name w:val="t-9-8"/>
    <w:basedOn w:val="Normal"/>
    <w:rsid w:val="005C636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10-9-kurz-s">
    <w:name w:val="t-10-9-kurz-s"/>
    <w:basedOn w:val="Normal"/>
    <w:rsid w:val="005C636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5C636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CommentReference">
    <w:name w:val="annotation reference"/>
    <w:basedOn w:val="DefaultParagraphFont"/>
    <w:uiPriority w:val="99"/>
    <w:semiHidden/>
    <w:unhideWhenUsed/>
    <w:rsid w:val="005C6366"/>
    <w:rPr>
      <w:sz w:val="16"/>
      <w:szCs w:val="16"/>
    </w:rPr>
  </w:style>
  <w:style w:type="paragraph" w:styleId="CommentText">
    <w:name w:val="annotation text"/>
    <w:basedOn w:val="Normal"/>
    <w:link w:val="CommentTextChar"/>
    <w:uiPriority w:val="99"/>
    <w:unhideWhenUsed/>
    <w:rsid w:val="005C6366"/>
    <w:pPr>
      <w:spacing w:line="240" w:lineRule="auto"/>
    </w:pPr>
    <w:rPr>
      <w:sz w:val="20"/>
      <w:szCs w:val="20"/>
    </w:rPr>
  </w:style>
  <w:style w:type="character" w:customStyle="1" w:styleId="CommentTextChar">
    <w:name w:val="Comment Text Char"/>
    <w:basedOn w:val="DefaultParagraphFont"/>
    <w:link w:val="CommentText"/>
    <w:uiPriority w:val="99"/>
    <w:rsid w:val="005C6366"/>
    <w:rPr>
      <w:sz w:val="20"/>
      <w:szCs w:val="20"/>
    </w:rPr>
  </w:style>
  <w:style w:type="paragraph" w:customStyle="1" w:styleId="t-10-9-kurz-s-ispod">
    <w:name w:val="t-10-9-kurz-s-ispod"/>
    <w:basedOn w:val="Normal"/>
    <w:rsid w:val="005C636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0-9-sred">
    <w:name w:val="t-10-9-sred"/>
    <w:basedOn w:val="Normal"/>
    <w:rsid w:val="005C636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1-9-sred">
    <w:name w:val="t-11-9-sred"/>
    <w:basedOn w:val="Normal"/>
    <w:rsid w:val="005C636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5C63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36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03CF4"/>
    <w:rPr>
      <w:b/>
      <w:bCs/>
    </w:rPr>
  </w:style>
  <w:style w:type="character" w:customStyle="1" w:styleId="CommentSubjectChar">
    <w:name w:val="Comment Subject Char"/>
    <w:basedOn w:val="CommentTextChar"/>
    <w:link w:val="CommentSubject"/>
    <w:uiPriority w:val="99"/>
    <w:semiHidden/>
    <w:rsid w:val="00D03CF4"/>
    <w:rPr>
      <w:b/>
      <w:bCs/>
      <w:sz w:val="20"/>
      <w:szCs w:val="20"/>
    </w:rPr>
  </w:style>
  <w:style w:type="paragraph" w:styleId="ListParagraph">
    <w:name w:val="List Paragraph"/>
    <w:basedOn w:val="Normal"/>
    <w:uiPriority w:val="34"/>
    <w:qFormat/>
    <w:rsid w:val="00CA5699"/>
    <w:pPr>
      <w:spacing w:after="160" w:line="256" w:lineRule="auto"/>
      <w:ind w:left="720"/>
      <w:contextualSpacing/>
    </w:pPr>
    <w:rPr>
      <w:rFonts w:ascii="Calibri" w:eastAsia="Calibri" w:hAnsi="Calibri" w:cs="Times New Roman"/>
    </w:rPr>
  </w:style>
  <w:style w:type="paragraph" w:styleId="Revision">
    <w:name w:val="Revision"/>
    <w:hidden/>
    <w:uiPriority w:val="99"/>
    <w:semiHidden/>
    <w:rsid w:val="00CA5699"/>
    <w:pPr>
      <w:spacing w:after="0" w:line="240" w:lineRule="auto"/>
    </w:pPr>
  </w:style>
  <w:style w:type="character" w:styleId="Hyperlink">
    <w:name w:val="Hyperlink"/>
    <w:basedOn w:val="DefaultParagraphFont"/>
    <w:uiPriority w:val="99"/>
    <w:unhideWhenUsed/>
    <w:rsid w:val="004631C4"/>
    <w:rPr>
      <w:color w:val="0563C1" w:themeColor="hyperlink"/>
      <w:u w:val="single"/>
    </w:rPr>
  </w:style>
  <w:style w:type="paragraph" w:styleId="NoSpacing">
    <w:name w:val="No Spacing"/>
    <w:uiPriority w:val="1"/>
    <w:qFormat/>
    <w:rsid w:val="004B1018"/>
    <w:pPr>
      <w:spacing w:after="0" w:line="240" w:lineRule="auto"/>
    </w:pPr>
  </w:style>
  <w:style w:type="paragraph" w:styleId="Header">
    <w:name w:val="header"/>
    <w:basedOn w:val="Normal"/>
    <w:link w:val="HeaderChar"/>
    <w:uiPriority w:val="99"/>
    <w:unhideWhenUsed/>
    <w:rsid w:val="00F967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67E2"/>
  </w:style>
  <w:style w:type="paragraph" w:styleId="Footer">
    <w:name w:val="footer"/>
    <w:basedOn w:val="Normal"/>
    <w:link w:val="FooterChar"/>
    <w:uiPriority w:val="99"/>
    <w:unhideWhenUsed/>
    <w:rsid w:val="00F967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67E2"/>
  </w:style>
  <w:style w:type="character" w:customStyle="1" w:styleId="Heading2Char">
    <w:name w:val="Heading 2 Char"/>
    <w:basedOn w:val="DefaultParagraphFont"/>
    <w:link w:val="Heading2"/>
    <w:uiPriority w:val="9"/>
    <w:rsid w:val="00DD56C9"/>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5212E"/>
    <w:pPr>
      <w:spacing w:before="100" w:beforeAutospacing="1" w:after="100" w:afterAutospacing="1" w:line="240" w:lineRule="auto"/>
    </w:pPr>
    <w:rPr>
      <w:rFonts w:ascii="Times New Roman" w:eastAsiaTheme="minorEastAsia" w:hAnsi="Times New Roman" w:cs="Times New Roman"/>
      <w:sz w:val="24"/>
      <w:szCs w:val="24"/>
      <w:lang w:eastAsia="hr-HR"/>
    </w:rPr>
  </w:style>
  <w:style w:type="character" w:customStyle="1" w:styleId="Heading3Char">
    <w:name w:val="Heading 3 Char"/>
    <w:basedOn w:val="DefaultParagraphFont"/>
    <w:link w:val="Heading3"/>
    <w:uiPriority w:val="9"/>
    <w:rsid w:val="004C049B"/>
    <w:rPr>
      <w:rFonts w:asciiTheme="majorHAnsi" w:eastAsiaTheme="majorEastAsia" w:hAnsiTheme="majorHAnsi" w:cstheme="majorBidi"/>
      <w:color w:val="1F4D78" w:themeColor="accent1" w:themeShade="7F"/>
      <w:sz w:val="24"/>
      <w:szCs w:val="24"/>
    </w:rPr>
  </w:style>
  <w:style w:type="paragraph" w:customStyle="1" w:styleId="t-9-8-bez-uvl">
    <w:name w:val="t-9-8-bez-uvl"/>
    <w:basedOn w:val="Normal"/>
    <w:rsid w:val="00B25F9A"/>
    <w:pPr>
      <w:spacing w:before="100" w:beforeAutospacing="1" w:after="225" w:line="240" w:lineRule="auto"/>
    </w:pPr>
    <w:rPr>
      <w:rFonts w:ascii="Times New Roman" w:eastAsia="Times New Roman" w:hAnsi="Times New Roman" w:cs="Times New Roman"/>
      <w:sz w:val="24"/>
      <w:szCs w:val="24"/>
      <w:lang w:eastAsia="hr-HR"/>
    </w:rPr>
  </w:style>
  <w:style w:type="paragraph" w:styleId="Title">
    <w:name w:val="Title"/>
    <w:basedOn w:val="Normal"/>
    <w:next w:val="Normal"/>
    <w:link w:val="TitleChar"/>
    <w:uiPriority w:val="10"/>
    <w:qFormat/>
    <w:rsid w:val="000E32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320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76993">
      <w:bodyDiv w:val="1"/>
      <w:marLeft w:val="0"/>
      <w:marRight w:val="0"/>
      <w:marTop w:val="0"/>
      <w:marBottom w:val="0"/>
      <w:divBdr>
        <w:top w:val="none" w:sz="0" w:space="0" w:color="auto"/>
        <w:left w:val="none" w:sz="0" w:space="0" w:color="auto"/>
        <w:bottom w:val="none" w:sz="0" w:space="0" w:color="auto"/>
        <w:right w:val="none" w:sz="0" w:space="0" w:color="auto"/>
      </w:divBdr>
      <w:divsChild>
        <w:div w:id="1013723720">
          <w:marLeft w:val="0"/>
          <w:marRight w:val="0"/>
          <w:marTop w:val="0"/>
          <w:marBottom w:val="0"/>
          <w:divBdr>
            <w:top w:val="none" w:sz="0" w:space="0" w:color="auto"/>
            <w:left w:val="none" w:sz="0" w:space="0" w:color="auto"/>
            <w:bottom w:val="none" w:sz="0" w:space="0" w:color="auto"/>
            <w:right w:val="none" w:sz="0" w:space="0" w:color="auto"/>
          </w:divBdr>
          <w:divsChild>
            <w:div w:id="1041513678">
              <w:marLeft w:val="0"/>
              <w:marRight w:val="0"/>
              <w:marTop w:val="0"/>
              <w:marBottom w:val="0"/>
              <w:divBdr>
                <w:top w:val="none" w:sz="0" w:space="0" w:color="auto"/>
                <w:left w:val="none" w:sz="0" w:space="0" w:color="auto"/>
                <w:bottom w:val="none" w:sz="0" w:space="0" w:color="auto"/>
                <w:right w:val="none" w:sz="0" w:space="0" w:color="auto"/>
              </w:divBdr>
              <w:divsChild>
                <w:div w:id="787549360">
                  <w:marLeft w:val="0"/>
                  <w:marRight w:val="0"/>
                  <w:marTop w:val="0"/>
                  <w:marBottom w:val="0"/>
                  <w:divBdr>
                    <w:top w:val="none" w:sz="0" w:space="0" w:color="auto"/>
                    <w:left w:val="none" w:sz="0" w:space="0" w:color="auto"/>
                    <w:bottom w:val="none" w:sz="0" w:space="0" w:color="auto"/>
                    <w:right w:val="none" w:sz="0" w:space="0" w:color="auto"/>
                  </w:divBdr>
                  <w:divsChild>
                    <w:div w:id="1798638540">
                      <w:marLeft w:val="0"/>
                      <w:marRight w:val="0"/>
                      <w:marTop w:val="0"/>
                      <w:marBottom w:val="0"/>
                      <w:divBdr>
                        <w:top w:val="single" w:sz="6" w:space="0" w:color="E4E4E6"/>
                        <w:left w:val="none" w:sz="0" w:space="0" w:color="auto"/>
                        <w:bottom w:val="none" w:sz="0" w:space="0" w:color="auto"/>
                        <w:right w:val="none" w:sz="0" w:space="0" w:color="auto"/>
                      </w:divBdr>
                      <w:divsChild>
                        <w:div w:id="98919230">
                          <w:marLeft w:val="0"/>
                          <w:marRight w:val="0"/>
                          <w:marTop w:val="0"/>
                          <w:marBottom w:val="0"/>
                          <w:divBdr>
                            <w:top w:val="single" w:sz="6" w:space="0" w:color="E4E4E6"/>
                            <w:left w:val="none" w:sz="0" w:space="0" w:color="auto"/>
                            <w:bottom w:val="none" w:sz="0" w:space="0" w:color="auto"/>
                            <w:right w:val="none" w:sz="0" w:space="0" w:color="auto"/>
                          </w:divBdr>
                          <w:divsChild>
                            <w:div w:id="830678235">
                              <w:marLeft w:val="0"/>
                              <w:marRight w:val="1500"/>
                              <w:marTop w:val="100"/>
                              <w:marBottom w:val="100"/>
                              <w:divBdr>
                                <w:top w:val="none" w:sz="0" w:space="0" w:color="auto"/>
                                <w:left w:val="none" w:sz="0" w:space="0" w:color="auto"/>
                                <w:bottom w:val="none" w:sz="0" w:space="0" w:color="auto"/>
                                <w:right w:val="none" w:sz="0" w:space="0" w:color="auto"/>
                              </w:divBdr>
                              <w:divsChild>
                                <w:div w:id="1899170681">
                                  <w:marLeft w:val="0"/>
                                  <w:marRight w:val="0"/>
                                  <w:marTop w:val="300"/>
                                  <w:marBottom w:val="450"/>
                                  <w:divBdr>
                                    <w:top w:val="none" w:sz="0" w:space="0" w:color="auto"/>
                                    <w:left w:val="none" w:sz="0" w:space="0" w:color="auto"/>
                                    <w:bottom w:val="none" w:sz="0" w:space="0" w:color="auto"/>
                                    <w:right w:val="none" w:sz="0" w:space="0" w:color="auto"/>
                                  </w:divBdr>
                                  <w:divsChild>
                                    <w:div w:id="1590115322">
                                      <w:marLeft w:val="0"/>
                                      <w:marRight w:val="0"/>
                                      <w:marTop w:val="0"/>
                                      <w:marBottom w:val="0"/>
                                      <w:divBdr>
                                        <w:top w:val="none" w:sz="0" w:space="0" w:color="auto"/>
                                        <w:left w:val="none" w:sz="0" w:space="0" w:color="auto"/>
                                        <w:bottom w:val="none" w:sz="0" w:space="0" w:color="auto"/>
                                        <w:right w:val="none" w:sz="0" w:space="0" w:color="auto"/>
                                      </w:divBdr>
                                      <w:divsChild>
                                        <w:div w:id="1897282273">
                                          <w:marLeft w:val="0"/>
                                          <w:marRight w:val="0"/>
                                          <w:marTop w:val="0"/>
                                          <w:marBottom w:val="0"/>
                                          <w:divBdr>
                                            <w:top w:val="none" w:sz="0" w:space="0" w:color="auto"/>
                                            <w:left w:val="none" w:sz="0" w:space="0" w:color="auto"/>
                                            <w:bottom w:val="none" w:sz="0" w:space="0" w:color="auto"/>
                                            <w:right w:val="none" w:sz="0" w:space="0" w:color="auto"/>
                                          </w:divBdr>
                                          <w:divsChild>
                                            <w:div w:id="1860047232">
                                              <w:marLeft w:val="0"/>
                                              <w:marRight w:val="0"/>
                                              <w:marTop w:val="0"/>
                                              <w:marBottom w:val="0"/>
                                              <w:divBdr>
                                                <w:top w:val="none" w:sz="0" w:space="0" w:color="auto"/>
                                                <w:left w:val="none" w:sz="0" w:space="0" w:color="auto"/>
                                                <w:bottom w:val="none" w:sz="0" w:space="0" w:color="auto"/>
                                                <w:right w:val="none" w:sz="0" w:space="0" w:color="auto"/>
                                              </w:divBdr>
                                              <w:divsChild>
                                                <w:div w:id="3605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818224">
      <w:bodyDiv w:val="1"/>
      <w:marLeft w:val="0"/>
      <w:marRight w:val="0"/>
      <w:marTop w:val="0"/>
      <w:marBottom w:val="0"/>
      <w:divBdr>
        <w:top w:val="none" w:sz="0" w:space="0" w:color="auto"/>
        <w:left w:val="none" w:sz="0" w:space="0" w:color="auto"/>
        <w:bottom w:val="none" w:sz="0" w:space="0" w:color="auto"/>
        <w:right w:val="none" w:sz="0" w:space="0" w:color="auto"/>
      </w:divBdr>
    </w:div>
    <w:div w:id="367099687">
      <w:bodyDiv w:val="1"/>
      <w:marLeft w:val="0"/>
      <w:marRight w:val="0"/>
      <w:marTop w:val="0"/>
      <w:marBottom w:val="0"/>
      <w:divBdr>
        <w:top w:val="none" w:sz="0" w:space="0" w:color="auto"/>
        <w:left w:val="none" w:sz="0" w:space="0" w:color="auto"/>
        <w:bottom w:val="none" w:sz="0" w:space="0" w:color="auto"/>
        <w:right w:val="none" w:sz="0" w:space="0" w:color="auto"/>
      </w:divBdr>
      <w:divsChild>
        <w:div w:id="1088892978">
          <w:marLeft w:val="0"/>
          <w:marRight w:val="0"/>
          <w:marTop w:val="0"/>
          <w:marBottom w:val="0"/>
          <w:divBdr>
            <w:top w:val="none" w:sz="0" w:space="0" w:color="auto"/>
            <w:left w:val="none" w:sz="0" w:space="0" w:color="auto"/>
            <w:bottom w:val="none" w:sz="0" w:space="0" w:color="auto"/>
            <w:right w:val="none" w:sz="0" w:space="0" w:color="auto"/>
          </w:divBdr>
          <w:divsChild>
            <w:div w:id="1207572186">
              <w:marLeft w:val="0"/>
              <w:marRight w:val="0"/>
              <w:marTop w:val="0"/>
              <w:marBottom w:val="0"/>
              <w:divBdr>
                <w:top w:val="none" w:sz="0" w:space="0" w:color="auto"/>
                <w:left w:val="none" w:sz="0" w:space="0" w:color="auto"/>
                <w:bottom w:val="none" w:sz="0" w:space="0" w:color="auto"/>
                <w:right w:val="none" w:sz="0" w:space="0" w:color="auto"/>
              </w:divBdr>
              <w:divsChild>
                <w:div w:id="1001546664">
                  <w:marLeft w:val="0"/>
                  <w:marRight w:val="0"/>
                  <w:marTop w:val="0"/>
                  <w:marBottom w:val="0"/>
                  <w:divBdr>
                    <w:top w:val="none" w:sz="0" w:space="0" w:color="auto"/>
                    <w:left w:val="none" w:sz="0" w:space="0" w:color="auto"/>
                    <w:bottom w:val="none" w:sz="0" w:space="0" w:color="auto"/>
                    <w:right w:val="none" w:sz="0" w:space="0" w:color="auto"/>
                  </w:divBdr>
                  <w:divsChild>
                    <w:div w:id="1392003085">
                      <w:marLeft w:val="0"/>
                      <w:marRight w:val="0"/>
                      <w:marTop w:val="0"/>
                      <w:marBottom w:val="0"/>
                      <w:divBdr>
                        <w:top w:val="single" w:sz="6" w:space="0" w:color="E4E4E6"/>
                        <w:left w:val="none" w:sz="0" w:space="0" w:color="auto"/>
                        <w:bottom w:val="none" w:sz="0" w:space="0" w:color="auto"/>
                        <w:right w:val="none" w:sz="0" w:space="0" w:color="auto"/>
                      </w:divBdr>
                      <w:divsChild>
                        <w:div w:id="1891765895">
                          <w:marLeft w:val="0"/>
                          <w:marRight w:val="0"/>
                          <w:marTop w:val="0"/>
                          <w:marBottom w:val="0"/>
                          <w:divBdr>
                            <w:top w:val="single" w:sz="6" w:space="0" w:color="E4E4E6"/>
                            <w:left w:val="none" w:sz="0" w:space="0" w:color="auto"/>
                            <w:bottom w:val="none" w:sz="0" w:space="0" w:color="auto"/>
                            <w:right w:val="none" w:sz="0" w:space="0" w:color="auto"/>
                          </w:divBdr>
                          <w:divsChild>
                            <w:div w:id="612319947">
                              <w:marLeft w:val="0"/>
                              <w:marRight w:val="1500"/>
                              <w:marTop w:val="100"/>
                              <w:marBottom w:val="100"/>
                              <w:divBdr>
                                <w:top w:val="none" w:sz="0" w:space="0" w:color="auto"/>
                                <w:left w:val="none" w:sz="0" w:space="0" w:color="auto"/>
                                <w:bottom w:val="none" w:sz="0" w:space="0" w:color="auto"/>
                                <w:right w:val="none" w:sz="0" w:space="0" w:color="auto"/>
                              </w:divBdr>
                              <w:divsChild>
                                <w:div w:id="2115637864">
                                  <w:marLeft w:val="0"/>
                                  <w:marRight w:val="0"/>
                                  <w:marTop w:val="300"/>
                                  <w:marBottom w:val="450"/>
                                  <w:divBdr>
                                    <w:top w:val="none" w:sz="0" w:space="0" w:color="auto"/>
                                    <w:left w:val="none" w:sz="0" w:space="0" w:color="auto"/>
                                    <w:bottom w:val="none" w:sz="0" w:space="0" w:color="auto"/>
                                    <w:right w:val="none" w:sz="0" w:space="0" w:color="auto"/>
                                  </w:divBdr>
                                  <w:divsChild>
                                    <w:div w:id="334037322">
                                      <w:marLeft w:val="0"/>
                                      <w:marRight w:val="0"/>
                                      <w:marTop w:val="0"/>
                                      <w:marBottom w:val="0"/>
                                      <w:divBdr>
                                        <w:top w:val="none" w:sz="0" w:space="0" w:color="auto"/>
                                        <w:left w:val="none" w:sz="0" w:space="0" w:color="auto"/>
                                        <w:bottom w:val="none" w:sz="0" w:space="0" w:color="auto"/>
                                        <w:right w:val="none" w:sz="0" w:space="0" w:color="auto"/>
                                      </w:divBdr>
                                      <w:divsChild>
                                        <w:div w:id="732823626">
                                          <w:marLeft w:val="0"/>
                                          <w:marRight w:val="0"/>
                                          <w:marTop w:val="0"/>
                                          <w:marBottom w:val="0"/>
                                          <w:divBdr>
                                            <w:top w:val="none" w:sz="0" w:space="0" w:color="auto"/>
                                            <w:left w:val="none" w:sz="0" w:space="0" w:color="auto"/>
                                            <w:bottom w:val="none" w:sz="0" w:space="0" w:color="auto"/>
                                            <w:right w:val="none" w:sz="0" w:space="0" w:color="auto"/>
                                          </w:divBdr>
                                          <w:divsChild>
                                            <w:div w:id="126356135">
                                              <w:marLeft w:val="0"/>
                                              <w:marRight w:val="0"/>
                                              <w:marTop w:val="0"/>
                                              <w:marBottom w:val="0"/>
                                              <w:divBdr>
                                                <w:top w:val="none" w:sz="0" w:space="0" w:color="auto"/>
                                                <w:left w:val="none" w:sz="0" w:space="0" w:color="auto"/>
                                                <w:bottom w:val="none" w:sz="0" w:space="0" w:color="auto"/>
                                                <w:right w:val="none" w:sz="0" w:space="0" w:color="auto"/>
                                              </w:divBdr>
                                              <w:divsChild>
                                                <w:div w:id="13637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492491">
      <w:bodyDiv w:val="1"/>
      <w:marLeft w:val="0"/>
      <w:marRight w:val="0"/>
      <w:marTop w:val="0"/>
      <w:marBottom w:val="0"/>
      <w:divBdr>
        <w:top w:val="none" w:sz="0" w:space="0" w:color="auto"/>
        <w:left w:val="none" w:sz="0" w:space="0" w:color="auto"/>
        <w:bottom w:val="none" w:sz="0" w:space="0" w:color="auto"/>
        <w:right w:val="none" w:sz="0" w:space="0" w:color="auto"/>
      </w:divBdr>
      <w:divsChild>
        <w:div w:id="1176765357">
          <w:marLeft w:val="0"/>
          <w:marRight w:val="0"/>
          <w:marTop w:val="0"/>
          <w:marBottom w:val="0"/>
          <w:divBdr>
            <w:top w:val="none" w:sz="0" w:space="0" w:color="auto"/>
            <w:left w:val="none" w:sz="0" w:space="0" w:color="auto"/>
            <w:bottom w:val="none" w:sz="0" w:space="0" w:color="auto"/>
            <w:right w:val="none" w:sz="0" w:space="0" w:color="auto"/>
          </w:divBdr>
          <w:divsChild>
            <w:div w:id="1485732647">
              <w:marLeft w:val="0"/>
              <w:marRight w:val="0"/>
              <w:marTop w:val="0"/>
              <w:marBottom w:val="0"/>
              <w:divBdr>
                <w:top w:val="none" w:sz="0" w:space="0" w:color="auto"/>
                <w:left w:val="none" w:sz="0" w:space="0" w:color="auto"/>
                <w:bottom w:val="none" w:sz="0" w:space="0" w:color="auto"/>
                <w:right w:val="none" w:sz="0" w:space="0" w:color="auto"/>
              </w:divBdr>
              <w:divsChild>
                <w:div w:id="1344433739">
                  <w:marLeft w:val="0"/>
                  <w:marRight w:val="0"/>
                  <w:marTop w:val="0"/>
                  <w:marBottom w:val="0"/>
                  <w:divBdr>
                    <w:top w:val="none" w:sz="0" w:space="0" w:color="auto"/>
                    <w:left w:val="none" w:sz="0" w:space="0" w:color="auto"/>
                    <w:bottom w:val="none" w:sz="0" w:space="0" w:color="auto"/>
                    <w:right w:val="none" w:sz="0" w:space="0" w:color="auto"/>
                  </w:divBdr>
                  <w:divsChild>
                    <w:div w:id="1005666320">
                      <w:marLeft w:val="0"/>
                      <w:marRight w:val="0"/>
                      <w:marTop w:val="0"/>
                      <w:marBottom w:val="0"/>
                      <w:divBdr>
                        <w:top w:val="single" w:sz="6" w:space="0" w:color="E4E4E6"/>
                        <w:left w:val="none" w:sz="0" w:space="0" w:color="auto"/>
                        <w:bottom w:val="none" w:sz="0" w:space="0" w:color="auto"/>
                        <w:right w:val="none" w:sz="0" w:space="0" w:color="auto"/>
                      </w:divBdr>
                      <w:divsChild>
                        <w:div w:id="2077899855">
                          <w:marLeft w:val="0"/>
                          <w:marRight w:val="0"/>
                          <w:marTop w:val="0"/>
                          <w:marBottom w:val="0"/>
                          <w:divBdr>
                            <w:top w:val="single" w:sz="6" w:space="0" w:color="E4E4E6"/>
                            <w:left w:val="none" w:sz="0" w:space="0" w:color="auto"/>
                            <w:bottom w:val="none" w:sz="0" w:space="0" w:color="auto"/>
                            <w:right w:val="none" w:sz="0" w:space="0" w:color="auto"/>
                          </w:divBdr>
                          <w:divsChild>
                            <w:div w:id="1194613993">
                              <w:marLeft w:val="0"/>
                              <w:marRight w:val="1500"/>
                              <w:marTop w:val="100"/>
                              <w:marBottom w:val="100"/>
                              <w:divBdr>
                                <w:top w:val="none" w:sz="0" w:space="0" w:color="auto"/>
                                <w:left w:val="none" w:sz="0" w:space="0" w:color="auto"/>
                                <w:bottom w:val="none" w:sz="0" w:space="0" w:color="auto"/>
                                <w:right w:val="none" w:sz="0" w:space="0" w:color="auto"/>
                              </w:divBdr>
                              <w:divsChild>
                                <w:div w:id="1077628675">
                                  <w:marLeft w:val="0"/>
                                  <w:marRight w:val="0"/>
                                  <w:marTop w:val="300"/>
                                  <w:marBottom w:val="450"/>
                                  <w:divBdr>
                                    <w:top w:val="none" w:sz="0" w:space="0" w:color="auto"/>
                                    <w:left w:val="none" w:sz="0" w:space="0" w:color="auto"/>
                                    <w:bottom w:val="none" w:sz="0" w:space="0" w:color="auto"/>
                                    <w:right w:val="none" w:sz="0" w:space="0" w:color="auto"/>
                                  </w:divBdr>
                                  <w:divsChild>
                                    <w:div w:id="1603419672">
                                      <w:marLeft w:val="0"/>
                                      <w:marRight w:val="0"/>
                                      <w:marTop w:val="0"/>
                                      <w:marBottom w:val="0"/>
                                      <w:divBdr>
                                        <w:top w:val="none" w:sz="0" w:space="0" w:color="auto"/>
                                        <w:left w:val="none" w:sz="0" w:space="0" w:color="auto"/>
                                        <w:bottom w:val="none" w:sz="0" w:space="0" w:color="auto"/>
                                        <w:right w:val="none" w:sz="0" w:space="0" w:color="auto"/>
                                      </w:divBdr>
                                      <w:divsChild>
                                        <w:div w:id="1658074452">
                                          <w:marLeft w:val="0"/>
                                          <w:marRight w:val="0"/>
                                          <w:marTop w:val="0"/>
                                          <w:marBottom w:val="0"/>
                                          <w:divBdr>
                                            <w:top w:val="none" w:sz="0" w:space="0" w:color="auto"/>
                                            <w:left w:val="none" w:sz="0" w:space="0" w:color="auto"/>
                                            <w:bottom w:val="none" w:sz="0" w:space="0" w:color="auto"/>
                                            <w:right w:val="none" w:sz="0" w:space="0" w:color="auto"/>
                                          </w:divBdr>
                                          <w:divsChild>
                                            <w:div w:id="1611082521">
                                              <w:marLeft w:val="0"/>
                                              <w:marRight w:val="0"/>
                                              <w:marTop w:val="0"/>
                                              <w:marBottom w:val="0"/>
                                              <w:divBdr>
                                                <w:top w:val="none" w:sz="0" w:space="0" w:color="auto"/>
                                                <w:left w:val="none" w:sz="0" w:space="0" w:color="auto"/>
                                                <w:bottom w:val="none" w:sz="0" w:space="0" w:color="auto"/>
                                                <w:right w:val="none" w:sz="0" w:space="0" w:color="auto"/>
                                              </w:divBdr>
                                              <w:divsChild>
                                                <w:div w:id="6134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6268389">
      <w:bodyDiv w:val="1"/>
      <w:marLeft w:val="0"/>
      <w:marRight w:val="0"/>
      <w:marTop w:val="0"/>
      <w:marBottom w:val="0"/>
      <w:divBdr>
        <w:top w:val="none" w:sz="0" w:space="0" w:color="auto"/>
        <w:left w:val="none" w:sz="0" w:space="0" w:color="auto"/>
        <w:bottom w:val="none" w:sz="0" w:space="0" w:color="auto"/>
        <w:right w:val="none" w:sz="0" w:space="0" w:color="auto"/>
      </w:divBdr>
      <w:divsChild>
        <w:div w:id="1981955557">
          <w:marLeft w:val="0"/>
          <w:marRight w:val="0"/>
          <w:marTop w:val="0"/>
          <w:marBottom w:val="0"/>
          <w:divBdr>
            <w:top w:val="none" w:sz="0" w:space="0" w:color="auto"/>
            <w:left w:val="none" w:sz="0" w:space="0" w:color="auto"/>
            <w:bottom w:val="none" w:sz="0" w:space="0" w:color="auto"/>
            <w:right w:val="none" w:sz="0" w:space="0" w:color="auto"/>
          </w:divBdr>
          <w:divsChild>
            <w:div w:id="1561595071">
              <w:marLeft w:val="0"/>
              <w:marRight w:val="0"/>
              <w:marTop w:val="0"/>
              <w:marBottom w:val="0"/>
              <w:divBdr>
                <w:top w:val="none" w:sz="0" w:space="0" w:color="auto"/>
                <w:left w:val="none" w:sz="0" w:space="0" w:color="auto"/>
                <w:bottom w:val="none" w:sz="0" w:space="0" w:color="auto"/>
                <w:right w:val="none" w:sz="0" w:space="0" w:color="auto"/>
              </w:divBdr>
              <w:divsChild>
                <w:div w:id="966082807">
                  <w:marLeft w:val="0"/>
                  <w:marRight w:val="0"/>
                  <w:marTop w:val="0"/>
                  <w:marBottom w:val="0"/>
                  <w:divBdr>
                    <w:top w:val="none" w:sz="0" w:space="0" w:color="auto"/>
                    <w:left w:val="none" w:sz="0" w:space="0" w:color="auto"/>
                    <w:bottom w:val="none" w:sz="0" w:space="0" w:color="auto"/>
                    <w:right w:val="none" w:sz="0" w:space="0" w:color="auto"/>
                  </w:divBdr>
                  <w:divsChild>
                    <w:div w:id="1015182805">
                      <w:marLeft w:val="0"/>
                      <w:marRight w:val="0"/>
                      <w:marTop w:val="450"/>
                      <w:marBottom w:val="225"/>
                      <w:divBdr>
                        <w:top w:val="none" w:sz="0" w:space="0" w:color="auto"/>
                        <w:left w:val="none" w:sz="0" w:space="0" w:color="auto"/>
                        <w:bottom w:val="none" w:sz="0" w:space="0" w:color="auto"/>
                        <w:right w:val="none" w:sz="0" w:space="0" w:color="auto"/>
                      </w:divBdr>
                    </w:div>
                    <w:div w:id="273177971">
                      <w:marLeft w:val="0"/>
                      <w:marRight w:val="0"/>
                      <w:marTop w:val="0"/>
                      <w:marBottom w:val="0"/>
                      <w:divBdr>
                        <w:top w:val="single" w:sz="6" w:space="0" w:color="E4E4E6"/>
                        <w:left w:val="none" w:sz="0" w:space="0" w:color="auto"/>
                        <w:bottom w:val="none" w:sz="0" w:space="0" w:color="auto"/>
                        <w:right w:val="none" w:sz="0" w:space="0" w:color="auto"/>
                      </w:divBdr>
                      <w:divsChild>
                        <w:div w:id="1695182422">
                          <w:marLeft w:val="0"/>
                          <w:marRight w:val="0"/>
                          <w:marTop w:val="0"/>
                          <w:marBottom w:val="0"/>
                          <w:divBdr>
                            <w:top w:val="single" w:sz="6" w:space="0" w:color="E4E4E6"/>
                            <w:left w:val="none" w:sz="0" w:space="0" w:color="auto"/>
                            <w:bottom w:val="none" w:sz="0" w:space="0" w:color="auto"/>
                            <w:right w:val="none" w:sz="0" w:space="0" w:color="auto"/>
                          </w:divBdr>
                          <w:divsChild>
                            <w:div w:id="1234243057">
                              <w:marLeft w:val="0"/>
                              <w:marRight w:val="1500"/>
                              <w:marTop w:val="100"/>
                              <w:marBottom w:val="100"/>
                              <w:divBdr>
                                <w:top w:val="none" w:sz="0" w:space="0" w:color="auto"/>
                                <w:left w:val="none" w:sz="0" w:space="0" w:color="auto"/>
                                <w:bottom w:val="none" w:sz="0" w:space="0" w:color="auto"/>
                                <w:right w:val="none" w:sz="0" w:space="0" w:color="auto"/>
                              </w:divBdr>
                              <w:divsChild>
                                <w:div w:id="1731927734">
                                  <w:marLeft w:val="0"/>
                                  <w:marRight w:val="0"/>
                                  <w:marTop w:val="300"/>
                                  <w:marBottom w:val="450"/>
                                  <w:divBdr>
                                    <w:top w:val="none" w:sz="0" w:space="0" w:color="auto"/>
                                    <w:left w:val="none" w:sz="0" w:space="0" w:color="auto"/>
                                    <w:bottom w:val="none" w:sz="0" w:space="0" w:color="auto"/>
                                    <w:right w:val="none" w:sz="0" w:space="0" w:color="auto"/>
                                  </w:divBdr>
                                  <w:divsChild>
                                    <w:div w:id="1011180000">
                                      <w:marLeft w:val="0"/>
                                      <w:marRight w:val="0"/>
                                      <w:marTop w:val="0"/>
                                      <w:marBottom w:val="0"/>
                                      <w:divBdr>
                                        <w:top w:val="none" w:sz="0" w:space="0" w:color="auto"/>
                                        <w:left w:val="none" w:sz="0" w:space="0" w:color="auto"/>
                                        <w:bottom w:val="none" w:sz="0" w:space="0" w:color="auto"/>
                                        <w:right w:val="none" w:sz="0" w:space="0" w:color="auto"/>
                                      </w:divBdr>
                                      <w:divsChild>
                                        <w:div w:id="1205018481">
                                          <w:marLeft w:val="0"/>
                                          <w:marRight w:val="0"/>
                                          <w:marTop w:val="0"/>
                                          <w:marBottom w:val="0"/>
                                          <w:divBdr>
                                            <w:top w:val="none" w:sz="0" w:space="0" w:color="auto"/>
                                            <w:left w:val="none" w:sz="0" w:space="0" w:color="auto"/>
                                            <w:bottom w:val="none" w:sz="0" w:space="0" w:color="auto"/>
                                            <w:right w:val="none" w:sz="0" w:space="0" w:color="auto"/>
                                          </w:divBdr>
                                          <w:divsChild>
                                            <w:div w:id="153571522">
                                              <w:marLeft w:val="0"/>
                                              <w:marRight w:val="0"/>
                                              <w:marTop w:val="0"/>
                                              <w:marBottom w:val="0"/>
                                              <w:divBdr>
                                                <w:top w:val="none" w:sz="0" w:space="0" w:color="auto"/>
                                                <w:left w:val="none" w:sz="0" w:space="0" w:color="auto"/>
                                                <w:bottom w:val="none" w:sz="0" w:space="0" w:color="auto"/>
                                                <w:right w:val="none" w:sz="0" w:space="0" w:color="auto"/>
                                              </w:divBdr>
                                              <w:divsChild>
                                                <w:div w:id="50393201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653518">
      <w:bodyDiv w:val="1"/>
      <w:marLeft w:val="0"/>
      <w:marRight w:val="0"/>
      <w:marTop w:val="0"/>
      <w:marBottom w:val="0"/>
      <w:divBdr>
        <w:top w:val="none" w:sz="0" w:space="0" w:color="auto"/>
        <w:left w:val="none" w:sz="0" w:space="0" w:color="auto"/>
        <w:bottom w:val="none" w:sz="0" w:space="0" w:color="auto"/>
        <w:right w:val="none" w:sz="0" w:space="0" w:color="auto"/>
      </w:divBdr>
      <w:divsChild>
        <w:div w:id="1828129553">
          <w:marLeft w:val="0"/>
          <w:marRight w:val="0"/>
          <w:marTop w:val="0"/>
          <w:marBottom w:val="0"/>
          <w:divBdr>
            <w:top w:val="none" w:sz="0" w:space="0" w:color="auto"/>
            <w:left w:val="none" w:sz="0" w:space="0" w:color="auto"/>
            <w:bottom w:val="none" w:sz="0" w:space="0" w:color="auto"/>
            <w:right w:val="none" w:sz="0" w:space="0" w:color="auto"/>
          </w:divBdr>
          <w:divsChild>
            <w:div w:id="730739158">
              <w:marLeft w:val="0"/>
              <w:marRight w:val="0"/>
              <w:marTop w:val="0"/>
              <w:marBottom w:val="0"/>
              <w:divBdr>
                <w:top w:val="none" w:sz="0" w:space="0" w:color="auto"/>
                <w:left w:val="none" w:sz="0" w:space="0" w:color="auto"/>
                <w:bottom w:val="none" w:sz="0" w:space="0" w:color="auto"/>
                <w:right w:val="none" w:sz="0" w:space="0" w:color="auto"/>
              </w:divBdr>
              <w:divsChild>
                <w:div w:id="367728276">
                  <w:marLeft w:val="0"/>
                  <w:marRight w:val="0"/>
                  <w:marTop w:val="0"/>
                  <w:marBottom w:val="0"/>
                  <w:divBdr>
                    <w:top w:val="none" w:sz="0" w:space="0" w:color="auto"/>
                    <w:left w:val="none" w:sz="0" w:space="0" w:color="auto"/>
                    <w:bottom w:val="none" w:sz="0" w:space="0" w:color="auto"/>
                    <w:right w:val="none" w:sz="0" w:space="0" w:color="auto"/>
                  </w:divBdr>
                  <w:divsChild>
                    <w:div w:id="281961206">
                      <w:marLeft w:val="0"/>
                      <w:marRight w:val="0"/>
                      <w:marTop w:val="0"/>
                      <w:marBottom w:val="0"/>
                      <w:divBdr>
                        <w:top w:val="single" w:sz="6" w:space="0" w:color="E4E4E6"/>
                        <w:left w:val="none" w:sz="0" w:space="0" w:color="auto"/>
                        <w:bottom w:val="none" w:sz="0" w:space="0" w:color="auto"/>
                        <w:right w:val="none" w:sz="0" w:space="0" w:color="auto"/>
                      </w:divBdr>
                      <w:divsChild>
                        <w:div w:id="67851240">
                          <w:marLeft w:val="0"/>
                          <w:marRight w:val="0"/>
                          <w:marTop w:val="0"/>
                          <w:marBottom w:val="0"/>
                          <w:divBdr>
                            <w:top w:val="single" w:sz="6" w:space="0" w:color="E4E4E6"/>
                            <w:left w:val="none" w:sz="0" w:space="0" w:color="auto"/>
                            <w:bottom w:val="none" w:sz="0" w:space="0" w:color="auto"/>
                            <w:right w:val="none" w:sz="0" w:space="0" w:color="auto"/>
                          </w:divBdr>
                          <w:divsChild>
                            <w:div w:id="1520116875">
                              <w:marLeft w:val="0"/>
                              <w:marRight w:val="1500"/>
                              <w:marTop w:val="100"/>
                              <w:marBottom w:val="100"/>
                              <w:divBdr>
                                <w:top w:val="none" w:sz="0" w:space="0" w:color="auto"/>
                                <w:left w:val="none" w:sz="0" w:space="0" w:color="auto"/>
                                <w:bottom w:val="none" w:sz="0" w:space="0" w:color="auto"/>
                                <w:right w:val="none" w:sz="0" w:space="0" w:color="auto"/>
                              </w:divBdr>
                              <w:divsChild>
                                <w:div w:id="2035883986">
                                  <w:marLeft w:val="0"/>
                                  <w:marRight w:val="0"/>
                                  <w:marTop w:val="300"/>
                                  <w:marBottom w:val="450"/>
                                  <w:divBdr>
                                    <w:top w:val="none" w:sz="0" w:space="0" w:color="auto"/>
                                    <w:left w:val="none" w:sz="0" w:space="0" w:color="auto"/>
                                    <w:bottom w:val="none" w:sz="0" w:space="0" w:color="auto"/>
                                    <w:right w:val="none" w:sz="0" w:space="0" w:color="auto"/>
                                  </w:divBdr>
                                  <w:divsChild>
                                    <w:div w:id="877856318">
                                      <w:marLeft w:val="0"/>
                                      <w:marRight w:val="0"/>
                                      <w:marTop w:val="0"/>
                                      <w:marBottom w:val="0"/>
                                      <w:divBdr>
                                        <w:top w:val="none" w:sz="0" w:space="0" w:color="auto"/>
                                        <w:left w:val="none" w:sz="0" w:space="0" w:color="auto"/>
                                        <w:bottom w:val="none" w:sz="0" w:space="0" w:color="auto"/>
                                        <w:right w:val="none" w:sz="0" w:space="0" w:color="auto"/>
                                      </w:divBdr>
                                      <w:divsChild>
                                        <w:div w:id="669797239">
                                          <w:marLeft w:val="0"/>
                                          <w:marRight w:val="0"/>
                                          <w:marTop w:val="0"/>
                                          <w:marBottom w:val="0"/>
                                          <w:divBdr>
                                            <w:top w:val="none" w:sz="0" w:space="0" w:color="auto"/>
                                            <w:left w:val="none" w:sz="0" w:space="0" w:color="auto"/>
                                            <w:bottom w:val="none" w:sz="0" w:space="0" w:color="auto"/>
                                            <w:right w:val="none" w:sz="0" w:space="0" w:color="auto"/>
                                          </w:divBdr>
                                          <w:divsChild>
                                            <w:div w:id="1092509016">
                                              <w:marLeft w:val="0"/>
                                              <w:marRight w:val="0"/>
                                              <w:marTop w:val="0"/>
                                              <w:marBottom w:val="0"/>
                                              <w:divBdr>
                                                <w:top w:val="none" w:sz="0" w:space="0" w:color="auto"/>
                                                <w:left w:val="none" w:sz="0" w:space="0" w:color="auto"/>
                                                <w:bottom w:val="none" w:sz="0" w:space="0" w:color="auto"/>
                                                <w:right w:val="none" w:sz="0" w:space="0" w:color="auto"/>
                                              </w:divBdr>
                                              <w:divsChild>
                                                <w:div w:id="3094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698490">
      <w:bodyDiv w:val="1"/>
      <w:marLeft w:val="0"/>
      <w:marRight w:val="0"/>
      <w:marTop w:val="0"/>
      <w:marBottom w:val="0"/>
      <w:divBdr>
        <w:top w:val="none" w:sz="0" w:space="0" w:color="auto"/>
        <w:left w:val="none" w:sz="0" w:space="0" w:color="auto"/>
        <w:bottom w:val="none" w:sz="0" w:space="0" w:color="auto"/>
        <w:right w:val="none" w:sz="0" w:space="0" w:color="auto"/>
      </w:divBdr>
      <w:divsChild>
        <w:div w:id="640501953">
          <w:marLeft w:val="0"/>
          <w:marRight w:val="0"/>
          <w:marTop w:val="0"/>
          <w:marBottom w:val="0"/>
          <w:divBdr>
            <w:top w:val="none" w:sz="0" w:space="0" w:color="auto"/>
            <w:left w:val="none" w:sz="0" w:space="0" w:color="auto"/>
            <w:bottom w:val="none" w:sz="0" w:space="0" w:color="auto"/>
            <w:right w:val="none" w:sz="0" w:space="0" w:color="auto"/>
          </w:divBdr>
          <w:divsChild>
            <w:div w:id="724643384">
              <w:marLeft w:val="0"/>
              <w:marRight w:val="0"/>
              <w:marTop w:val="0"/>
              <w:marBottom w:val="0"/>
              <w:divBdr>
                <w:top w:val="none" w:sz="0" w:space="0" w:color="auto"/>
                <w:left w:val="none" w:sz="0" w:space="0" w:color="auto"/>
                <w:bottom w:val="none" w:sz="0" w:space="0" w:color="auto"/>
                <w:right w:val="none" w:sz="0" w:space="0" w:color="auto"/>
              </w:divBdr>
              <w:divsChild>
                <w:div w:id="1251693882">
                  <w:marLeft w:val="0"/>
                  <w:marRight w:val="0"/>
                  <w:marTop w:val="0"/>
                  <w:marBottom w:val="0"/>
                  <w:divBdr>
                    <w:top w:val="none" w:sz="0" w:space="0" w:color="auto"/>
                    <w:left w:val="none" w:sz="0" w:space="0" w:color="auto"/>
                    <w:bottom w:val="none" w:sz="0" w:space="0" w:color="auto"/>
                    <w:right w:val="none" w:sz="0" w:space="0" w:color="auto"/>
                  </w:divBdr>
                  <w:divsChild>
                    <w:div w:id="755440580">
                      <w:marLeft w:val="0"/>
                      <w:marRight w:val="0"/>
                      <w:marTop w:val="0"/>
                      <w:marBottom w:val="0"/>
                      <w:divBdr>
                        <w:top w:val="single" w:sz="6" w:space="0" w:color="E4E4E6"/>
                        <w:left w:val="none" w:sz="0" w:space="0" w:color="auto"/>
                        <w:bottom w:val="none" w:sz="0" w:space="0" w:color="auto"/>
                        <w:right w:val="none" w:sz="0" w:space="0" w:color="auto"/>
                      </w:divBdr>
                      <w:divsChild>
                        <w:div w:id="726681379">
                          <w:marLeft w:val="0"/>
                          <w:marRight w:val="0"/>
                          <w:marTop w:val="0"/>
                          <w:marBottom w:val="0"/>
                          <w:divBdr>
                            <w:top w:val="single" w:sz="6" w:space="0" w:color="E4E4E6"/>
                            <w:left w:val="none" w:sz="0" w:space="0" w:color="auto"/>
                            <w:bottom w:val="none" w:sz="0" w:space="0" w:color="auto"/>
                            <w:right w:val="none" w:sz="0" w:space="0" w:color="auto"/>
                          </w:divBdr>
                          <w:divsChild>
                            <w:div w:id="1769891535">
                              <w:marLeft w:val="0"/>
                              <w:marRight w:val="1500"/>
                              <w:marTop w:val="100"/>
                              <w:marBottom w:val="100"/>
                              <w:divBdr>
                                <w:top w:val="none" w:sz="0" w:space="0" w:color="auto"/>
                                <w:left w:val="none" w:sz="0" w:space="0" w:color="auto"/>
                                <w:bottom w:val="none" w:sz="0" w:space="0" w:color="auto"/>
                                <w:right w:val="none" w:sz="0" w:space="0" w:color="auto"/>
                              </w:divBdr>
                              <w:divsChild>
                                <w:div w:id="789055258">
                                  <w:marLeft w:val="0"/>
                                  <w:marRight w:val="0"/>
                                  <w:marTop w:val="300"/>
                                  <w:marBottom w:val="450"/>
                                  <w:divBdr>
                                    <w:top w:val="none" w:sz="0" w:space="0" w:color="auto"/>
                                    <w:left w:val="none" w:sz="0" w:space="0" w:color="auto"/>
                                    <w:bottom w:val="none" w:sz="0" w:space="0" w:color="auto"/>
                                    <w:right w:val="none" w:sz="0" w:space="0" w:color="auto"/>
                                  </w:divBdr>
                                  <w:divsChild>
                                    <w:div w:id="576480391">
                                      <w:marLeft w:val="0"/>
                                      <w:marRight w:val="0"/>
                                      <w:marTop w:val="0"/>
                                      <w:marBottom w:val="0"/>
                                      <w:divBdr>
                                        <w:top w:val="none" w:sz="0" w:space="0" w:color="auto"/>
                                        <w:left w:val="none" w:sz="0" w:space="0" w:color="auto"/>
                                        <w:bottom w:val="none" w:sz="0" w:space="0" w:color="auto"/>
                                        <w:right w:val="none" w:sz="0" w:space="0" w:color="auto"/>
                                      </w:divBdr>
                                      <w:divsChild>
                                        <w:div w:id="941569996">
                                          <w:marLeft w:val="0"/>
                                          <w:marRight w:val="0"/>
                                          <w:marTop w:val="0"/>
                                          <w:marBottom w:val="0"/>
                                          <w:divBdr>
                                            <w:top w:val="none" w:sz="0" w:space="0" w:color="auto"/>
                                            <w:left w:val="none" w:sz="0" w:space="0" w:color="auto"/>
                                            <w:bottom w:val="none" w:sz="0" w:space="0" w:color="auto"/>
                                            <w:right w:val="none" w:sz="0" w:space="0" w:color="auto"/>
                                          </w:divBdr>
                                          <w:divsChild>
                                            <w:div w:id="55247890">
                                              <w:marLeft w:val="0"/>
                                              <w:marRight w:val="0"/>
                                              <w:marTop w:val="0"/>
                                              <w:marBottom w:val="0"/>
                                              <w:divBdr>
                                                <w:top w:val="none" w:sz="0" w:space="0" w:color="auto"/>
                                                <w:left w:val="none" w:sz="0" w:space="0" w:color="auto"/>
                                                <w:bottom w:val="none" w:sz="0" w:space="0" w:color="auto"/>
                                                <w:right w:val="none" w:sz="0" w:space="0" w:color="auto"/>
                                              </w:divBdr>
                                              <w:divsChild>
                                                <w:div w:id="18324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5220611">
      <w:bodyDiv w:val="1"/>
      <w:marLeft w:val="0"/>
      <w:marRight w:val="0"/>
      <w:marTop w:val="0"/>
      <w:marBottom w:val="0"/>
      <w:divBdr>
        <w:top w:val="none" w:sz="0" w:space="0" w:color="auto"/>
        <w:left w:val="none" w:sz="0" w:space="0" w:color="auto"/>
        <w:bottom w:val="none" w:sz="0" w:space="0" w:color="auto"/>
        <w:right w:val="none" w:sz="0" w:space="0" w:color="auto"/>
      </w:divBdr>
      <w:divsChild>
        <w:div w:id="453331991">
          <w:marLeft w:val="0"/>
          <w:marRight w:val="0"/>
          <w:marTop w:val="0"/>
          <w:marBottom w:val="0"/>
          <w:divBdr>
            <w:top w:val="none" w:sz="0" w:space="0" w:color="auto"/>
            <w:left w:val="none" w:sz="0" w:space="0" w:color="auto"/>
            <w:bottom w:val="none" w:sz="0" w:space="0" w:color="auto"/>
            <w:right w:val="none" w:sz="0" w:space="0" w:color="auto"/>
          </w:divBdr>
          <w:divsChild>
            <w:div w:id="1866556677">
              <w:marLeft w:val="0"/>
              <w:marRight w:val="0"/>
              <w:marTop w:val="0"/>
              <w:marBottom w:val="0"/>
              <w:divBdr>
                <w:top w:val="none" w:sz="0" w:space="0" w:color="auto"/>
                <w:left w:val="none" w:sz="0" w:space="0" w:color="auto"/>
                <w:bottom w:val="none" w:sz="0" w:space="0" w:color="auto"/>
                <w:right w:val="none" w:sz="0" w:space="0" w:color="auto"/>
              </w:divBdr>
              <w:divsChild>
                <w:div w:id="54549777">
                  <w:marLeft w:val="0"/>
                  <w:marRight w:val="0"/>
                  <w:marTop w:val="0"/>
                  <w:marBottom w:val="0"/>
                  <w:divBdr>
                    <w:top w:val="none" w:sz="0" w:space="0" w:color="auto"/>
                    <w:left w:val="none" w:sz="0" w:space="0" w:color="auto"/>
                    <w:bottom w:val="none" w:sz="0" w:space="0" w:color="auto"/>
                    <w:right w:val="none" w:sz="0" w:space="0" w:color="auto"/>
                  </w:divBdr>
                  <w:divsChild>
                    <w:div w:id="1437603024">
                      <w:marLeft w:val="0"/>
                      <w:marRight w:val="0"/>
                      <w:marTop w:val="0"/>
                      <w:marBottom w:val="0"/>
                      <w:divBdr>
                        <w:top w:val="single" w:sz="6" w:space="0" w:color="E4E4E6"/>
                        <w:left w:val="none" w:sz="0" w:space="0" w:color="auto"/>
                        <w:bottom w:val="none" w:sz="0" w:space="0" w:color="auto"/>
                        <w:right w:val="none" w:sz="0" w:space="0" w:color="auto"/>
                      </w:divBdr>
                      <w:divsChild>
                        <w:div w:id="1987389435">
                          <w:marLeft w:val="0"/>
                          <w:marRight w:val="0"/>
                          <w:marTop w:val="0"/>
                          <w:marBottom w:val="0"/>
                          <w:divBdr>
                            <w:top w:val="single" w:sz="6" w:space="0" w:color="E4E4E6"/>
                            <w:left w:val="none" w:sz="0" w:space="0" w:color="auto"/>
                            <w:bottom w:val="none" w:sz="0" w:space="0" w:color="auto"/>
                            <w:right w:val="none" w:sz="0" w:space="0" w:color="auto"/>
                          </w:divBdr>
                          <w:divsChild>
                            <w:div w:id="726150233">
                              <w:marLeft w:val="0"/>
                              <w:marRight w:val="1500"/>
                              <w:marTop w:val="100"/>
                              <w:marBottom w:val="100"/>
                              <w:divBdr>
                                <w:top w:val="none" w:sz="0" w:space="0" w:color="auto"/>
                                <w:left w:val="none" w:sz="0" w:space="0" w:color="auto"/>
                                <w:bottom w:val="none" w:sz="0" w:space="0" w:color="auto"/>
                                <w:right w:val="none" w:sz="0" w:space="0" w:color="auto"/>
                              </w:divBdr>
                              <w:divsChild>
                                <w:div w:id="1855338444">
                                  <w:marLeft w:val="0"/>
                                  <w:marRight w:val="0"/>
                                  <w:marTop w:val="300"/>
                                  <w:marBottom w:val="450"/>
                                  <w:divBdr>
                                    <w:top w:val="none" w:sz="0" w:space="0" w:color="auto"/>
                                    <w:left w:val="none" w:sz="0" w:space="0" w:color="auto"/>
                                    <w:bottom w:val="none" w:sz="0" w:space="0" w:color="auto"/>
                                    <w:right w:val="none" w:sz="0" w:space="0" w:color="auto"/>
                                  </w:divBdr>
                                  <w:divsChild>
                                    <w:div w:id="946037733">
                                      <w:marLeft w:val="0"/>
                                      <w:marRight w:val="0"/>
                                      <w:marTop w:val="0"/>
                                      <w:marBottom w:val="0"/>
                                      <w:divBdr>
                                        <w:top w:val="none" w:sz="0" w:space="0" w:color="auto"/>
                                        <w:left w:val="none" w:sz="0" w:space="0" w:color="auto"/>
                                        <w:bottom w:val="none" w:sz="0" w:space="0" w:color="auto"/>
                                        <w:right w:val="none" w:sz="0" w:space="0" w:color="auto"/>
                                      </w:divBdr>
                                      <w:divsChild>
                                        <w:div w:id="1812551094">
                                          <w:marLeft w:val="0"/>
                                          <w:marRight w:val="0"/>
                                          <w:marTop w:val="0"/>
                                          <w:marBottom w:val="0"/>
                                          <w:divBdr>
                                            <w:top w:val="none" w:sz="0" w:space="0" w:color="auto"/>
                                            <w:left w:val="none" w:sz="0" w:space="0" w:color="auto"/>
                                            <w:bottom w:val="none" w:sz="0" w:space="0" w:color="auto"/>
                                            <w:right w:val="none" w:sz="0" w:space="0" w:color="auto"/>
                                          </w:divBdr>
                                          <w:divsChild>
                                            <w:div w:id="392628224">
                                              <w:marLeft w:val="0"/>
                                              <w:marRight w:val="0"/>
                                              <w:marTop w:val="0"/>
                                              <w:marBottom w:val="0"/>
                                              <w:divBdr>
                                                <w:top w:val="none" w:sz="0" w:space="0" w:color="auto"/>
                                                <w:left w:val="none" w:sz="0" w:space="0" w:color="auto"/>
                                                <w:bottom w:val="none" w:sz="0" w:space="0" w:color="auto"/>
                                                <w:right w:val="none" w:sz="0" w:space="0" w:color="auto"/>
                                              </w:divBdr>
                                              <w:divsChild>
                                                <w:div w:id="8272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3942538">
      <w:bodyDiv w:val="1"/>
      <w:marLeft w:val="0"/>
      <w:marRight w:val="0"/>
      <w:marTop w:val="0"/>
      <w:marBottom w:val="0"/>
      <w:divBdr>
        <w:top w:val="none" w:sz="0" w:space="0" w:color="auto"/>
        <w:left w:val="none" w:sz="0" w:space="0" w:color="auto"/>
        <w:bottom w:val="none" w:sz="0" w:space="0" w:color="auto"/>
        <w:right w:val="none" w:sz="0" w:space="0" w:color="auto"/>
      </w:divBdr>
      <w:divsChild>
        <w:div w:id="106966765">
          <w:marLeft w:val="0"/>
          <w:marRight w:val="0"/>
          <w:marTop w:val="0"/>
          <w:marBottom w:val="0"/>
          <w:divBdr>
            <w:top w:val="none" w:sz="0" w:space="0" w:color="auto"/>
            <w:left w:val="none" w:sz="0" w:space="0" w:color="auto"/>
            <w:bottom w:val="none" w:sz="0" w:space="0" w:color="auto"/>
            <w:right w:val="none" w:sz="0" w:space="0" w:color="auto"/>
          </w:divBdr>
          <w:divsChild>
            <w:div w:id="2047292463">
              <w:marLeft w:val="0"/>
              <w:marRight w:val="0"/>
              <w:marTop w:val="0"/>
              <w:marBottom w:val="0"/>
              <w:divBdr>
                <w:top w:val="none" w:sz="0" w:space="0" w:color="auto"/>
                <w:left w:val="none" w:sz="0" w:space="0" w:color="auto"/>
                <w:bottom w:val="none" w:sz="0" w:space="0" w:color="auto"/>
                <w:right w:val="none" w:sz="0" w:space="0" w:color="auto"/>
              </w:divBdr>
              <w:divsChild>
                <w:div w:id="1294483757">
                  <w:marLeft w:val="0"/>
                  <w:marRight w:val="0"/>
                  <w:marTop w:val="0"/>
                  <w:marBottom w:val="0"/>
                  <w:divBdr>
                    <w:top w:val="none" w:sz="0" w:space="0" w:color="auto"/>
                    <w:left w:val="none" w:sz="0" w:space="0" w:color="auto"/>
                    <w:bottom w:val="none" w:sz="0" w:space="0" w:color="auto"/>
                    <w:right w:val="none" w:sz="0" w:space="0" w:color="auto"/>
                  </w:divBdr>
                  <w:divsChild>
                    <w:div w:id="459229344">
                      <w:marLeft w:val="0"/>
                      <w:marRight w:val="0"/>
                      <w:marTop w:val="0"/>
                      <w:marBottom w:val="0"/>
                      <w:divBdr>
                        <w:top w:val="single" w:sz="6" w:space="0" w:color="E4E4E6"/>
                        <w:left w:val="none" w:sz="0" w:space="0" w:color="auto"/>
                        <w:bottom w:val="none" w:sz="0" w:space="0" w:color="auto"/>
                        <w:right w:val="none" w:sz="0" w:space="0" w:color="auto"/>
                      </w:divBdr>
                      <w:divsChild>
                        <w:div w:id="59065539">
                          <w:marLeft w:val="0"/>
                          <w:marRight w:val="0"/>
                          <w:marTop w:val="0"/>
                          <w:marBottom w:val="0"/>
                          <w:divBdr>
                            <w:top w:val="single" w:sz="6" w:space="0" w:color="E4E4E6"/>
                            <w:left w:val="none" w:sz="0" w:space="0" w:color="auto"/>
                            <w:bottom w:val="none" w:sz="0" w:space="0" w:color="auto"/>
                            <w:right w:val="none" w:sz="0" w:space="0" w:color="auto"/>
                          </w:divBdr>
                          <w:divsChild>
                            <w:div w:id="1001590592">
                              <w:marLeft w:val="0"/>
                              <w:marRight w:val="1500"/>
                              <w:marTop w:val="100"/>
                              <w:marBottom w:val="100"/>
                              <w:divBdr>
                                <w:top w:val="none" w:sz="0" w:space="0" w:color="auto"/>
                                <w:left w:val="none" w:sz="0" w:space="0" w:color="auto"/>
                                <w:bottom w:val="none" w:sz="0" w:space="0" w:color="auto"/>
                                <w:right w:val="none" w:sz="0" w:space="0" w:color="auto"/>
                              </w:divBdr>
                              <w:divsChild>
                                <w:div w:id="671420996">
                                  <w:marLeft w:val="0"/>
                                  <w:marRight w:val="0"/>
                                  <w:marTop w:val="300"/>
                                  <w:marBottom w:val="450"/>
                                  <w:divBdr>
                                    <w:top w:val="none" w:sz="0" w:space="0" w:color="auto"/>
                                    <w:left w:val="none" w:sz="0" w:space="0" w:color="auto"/>
                                    <w:bottom w:val="none" w:sz="0" w:space="0" w:color="auto"/>
                                    <w:right w:val="none" w:sz="0" w:space="0" w:color="auto"/>
                                  </w:divBdr>
                                  <w:divsChild>
                                    <w:div w:id="692071071">
                                      <w:marLeft w:val="0"/>
                                      <w:marRight w:val="0"/>
                                      <w:marTop w:val="0"/>
                                      <w:marBottom w:val="0"/>
                                      <w:divBdr>
                                        <w:top w:val="none" w:sz="0" w:space="0" w:color="auto"/>
                                        <w:left w:val="none" w:sz="0" w:space="0" w:color="auto"/>
                                        <w:bottom w:val="none" w:sz="0" w:space="0" w:color="auto"/>
                                        <w:right w:val="none" w:sz="0" w:space="0" w:color="auto"/>
                                      </w:divBdr>
                                      <w:divsChild>
                                        <w:div w:id="1135178487">
                                          <w:marLeft w:val="0"/>
                                          <w:marRight w:val="0"/>
                                          <w:marTop w:val="0"/>
                                          <w:marBottom w:val="0"/>
                                          <w:divBdr>
                                            <w:top w:val="none" w:sz="0" w:space="0" w:color="auto"/>
                                            <w:left w:val="none" w:sz="0" w:space="0" w:color="auto"/>
                                            <w:bottom w:val="none" w:sz="0" w:space="0" w:color="auto"/>
                                            <w:right w:val="none" w:sz="0" w:space="0" w:color="auto"/>
                                          </w:divBdr>
                                          <w:divsChild>
                                            <w:div w:id="964581741">
                                              <w:marLeft w:val="0"/>
                                              <w:marRight w:val="0"/>
                                              <w:marTop w:val="0"/>
                                              <w:marBottom w:val="0"/>
                                              <w:divBdr>
                                                <w:top w:val="none" w:sz="0" w:space="0" w:color="auto"/>
                                                <w:left w:val="none" w:sz="0" w:space="0" w:color="auto"/>
                                                <w:bottom w:val="none" w:sz="0" w:space="0" w:color="auto"/>
                                                <w:right w:val="none" w:sz="0" w:space="0" w:color="auto"/>
                                              </w:divBdr>
                                              <w:divsChild>
                                                <w:div w:id="3846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657013">
      <w:bodyDiv w:val="1"/>
      <w:marLeft w:val="0"/>
      <w:marRight w:val="0"/>
      <w:marTop w:val="0"/>
      <w:marBottom w:val="0"/>
      <w:divBdr>
        <w:top w:val="none" w:sz="0" w:space="0" w:color="auto"/>
        <w:left w:val="none" w:sz="0" w:space="0" w:color="auto"/>
        <w:bottom w:val="none" w:sz="0" w:space="0" w:color="auto"/>
        <w:right w:val="none" w:sz="0" w:space="0" w:color="auto"/>
      </w:divBdr>
      <w:divsChild>
        <w:div w:id="1866825625">
          <w:marLeft w:val="0"/>
          <w:marRight w:val="0"/>
          <w:marTop w:val="0"/>
          <w:marBottom w:val="0"/>
          <w:divBdr>
            <w:top w:val="none" w:sz="0" w:space="0" w:color="auto"/>
            <w:left w:val="none" w:sz="0" w:space="0" w:color="auto"/>
            <w:bottom w:val="none" w:sz="0" w:space="0" w:color="auto"/>
            <w:right w:val="none" w:sz="0" w:space="0" w:color="auto"/>
          </w:divBdr>
          <w:divsChild>
            <w:div w:id="732435887">
              <w:marLeft w:val="0"/>
              <w:marRight w:val="0"/>
              <w:marTop w:val="0"/>
              <w:marBottom w:val="0"/>
              <w:divBdr>
                <w:top w:val="none" w:sz="0" w:space="0" w:color="auto"/>
                <w:left w:val="none" w:sz="0" w:space="0" w:color="auto"/>
                <w:bottom w:val="none" w:sz="0" w:space="0" w:color="auto"/>
                <w:right w:val="none" w:sz="0" w:space="0" w:color="auto"/>
              </w:divBdr>
              <w:divsChild>
                <w:div w:id="224145139">
                  <w:marLeft w:val="0"/>
                  <w:marRight w:val="0"/>
                  <w:marTop w:val="0"/>
                  <w:marBottom w:val="0"/>
                  <w:divBdr>
                    <w:top w:val="none" w:sz="0" w:space="0" w:color="auto"/>
                    <w:left w:val="none" w:sz="0" w:space="0" w:color="auto"/>
                    <w:bottom w:val="none" w:sz="0" w:space="0" w:color="auto"/>
                    <w:right w:val="none" w:sz="0" w:space="0" w:color="auto"/>
                  </w:divBdr>
                  <w:divsChild>
                    <w:div w:id="1640456783">
                      <w:marLeft w:val="0"/>
                      <w:marRight w:val="0"/>
                      <w:marTop w:val="0"/>
                      <w:marBottom w:val="0"/>
                      <w:divBdr>
                        <w:top w:val="single" w:sz="6" w:space="0" w:color="E4E4E6"/>
                        <w:left w:val="none" w:sz="0" w:space="0" w:color="auto"/>
                        <w:bottom w:val="none" w:sz="0" w:space="0" w:color="auto"/>
                        <w:right w:val="none" w:sz="0" w:space="0" w:color="auto"/>
                      </w:divBdr>
                      <w:divsChild>
                        <w:div w:id="1403412426">
                          <w:marLeft w:val="0"/>
                          <w:marRight w:val="0"/>
                          <w:marTop w:val="0"/>
                          <w:marBottom w:val="0"/>
                          <w:divBdr>
                            <w:top w:val="single" w:sz="6" w:space="0" w:color="E4E4E6"/>
                            <w:left w:val="none" w:sz="0" w:space="0" w:color="auto"/>
                            <w:bottom w:val="none" w:sz="0" w:space="0" w:color="auto"/>
                            <w:right w:val="none" w:sz="0" w:space="0" w:color="auto"/>
                          </w:divBdr>
                          <w:divsChild>
                            <w:div w:id="1385906780">
                              <w:marLeft w:val="0"/>
                              <w:marRight w:val="1500"/>
                              <w:marTop w:val="100"/>
                              <w:marBottom w:val="100"/>
                              <w:divBdr>
                                <w:top w:val="none" w:sz="0" w:space="0" w:color="auto"/>
                                <w:left w:val="none" w:sz="0" w:space="0" w:color="auto"/>
                                <w:bottom w:val="none" w:sz="0" w:space="0" w:color="auto"/>
                                <w:right w:val="none" w:sz="0" w:space="0" w:color="auto"/>
                              </w:divBdr>
                              <w:divsChild>
                                <w:div w:id="533201212">
                                  <w:marLeft w:val="0"/>
                                  <w:marRight w:val="0"/>
                                  <w:marTop w:val="300"/>
                                  <w:marBottom w:val="450"/>
                                  <w:divBdr>
                                    <w:top w:val="none" w:sz="0" w:space="0" w:color="auto"/>
                                    <w:left w:val="none" w:sz="0" w:space="0" w:color="auto"/>
                                    <w:bottom w:val="none" w:sz="0" w:space="0" w:color="auto"/>
                                    <w:right w:val="none" w:sz="0" w:space="0" w:color="auto"/>
                                  </w:divBdr>
                                  <w:divsChild>
                                    <w:div w:id="1877691201">
                                      <w:marLeft w:val="0"/>
                                      <w:marRight w:val="0"/>
                                      <w:marTop w:val="0"/>
                                      <w:marBottom w:val="0"/>
                                      <w:divBdr>
                                        <w:top w:val="none" w:sz="0" w:space="0" w:color="auto"/>
                                        <w:left w:val="none" w:sz="0" w:space="0" w:color="auto"/>
                                        <w:bottom w:val="none" w:sz="0" w:space="0" w:color="auto"/>
                                        <w:right w:val="none" w:sz="0" w:space="0" w:color="auto"/>
                                      </w:divBdr>
                                      <w:divsChild>
                                        <w:div w:id="961033286">
                                          <w:marLeft w:val="0"/>
                                          <w:marRight w:val="0"/>
                                          <w:marTop w:val="0"/>
                                          <w:marBottom w:val="0"/>
                                          <w:divBdr>
                                            <w:top w:val="none" w:sz="0" w:space="0" w:color="auto"/>
                                            <w:left w:val="none" w:sz="0" w:space="0" w:color="auto"/>
                                            <w:bottom w:val="none" w:sz="0" w:space="0" w:color="auto"/>
                                            <w:right w:val="none" w:sz="0" w:space="0" w:color="auto"/>
                                          </w:divBdr>
                                          <w:divsChild>
                                            <w:div w:id="1670057713">
                                              <w:marLeft w:val="0"/>
                                              <w:marRight w:val="0"/>
                                              <w:marTop w:val="0"/>
                                              <w:marBottom w:val="0"/>
                                              <w:divBdr>
                                                <w:top w:val="none" w:sz="0" w:space="0" w:color="auto"/>
                                                <w:left w:val="none" w:sz="0" w:space="0" w:color="auto"/>
                                                <w:bottom w:val="none" w:sz="0" w:space="0" w:color="auto"/>
                                                <w:right w:val="none" w:sz="0" w:space="0" w:color="auto"/>
                                              </w:divBdr>
                                              <w:divsChild>
                                                <w:div w:id="6550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203868">
      <w:bodyDiv w:val="1"/>
      <w:marLeft w:val="0"/>
      <w:marRight w:val="0"/>
      <w:marTop w:val="0"/>
      <w:marBottom w:val="0"/>
      <w:divBdr>
        <w:top w:val="none" w:sz="0" w:space="0" w:color="auto"/>
        <w:left w:val="none" w:sz="0" w:space="0" w:color="auto"/>
        <w:bottom w:val="none" w:sz="0" w:space="0" w:color="auto"/>
        <w:right w:val="none" w:sz="0" w:space="0" w:color="auto"/>
      </w:divBdr>
      <w:divsChild>
        <w:div w:id="533616381">
          <w:marLeft w:val="0"/>
          <w:marRight w:val="0"/>
          <w:marTop w:val="0"/>
          <w:marBottom w:val="0"/>
          <w:divBdr>
            <w:top w:val="none" w:sz="0" w:space="0" w:color="auto"/>
            <w:left w:val="none" w:sz="0" w:space="0" w:color="auto"/>
            <w:bottom w:val="none" w:sz="0" w:space="0" w:color="auto"/>
            <w:right w:val="none" w:sz="0" w:space="0" w:color="auto"/>
          </w:divBdr>
          <w:divsChild>
            <w:div w:id="623773534">
              <w:marLeft w:val="0"/>
              <w:marRight w:val="0"/>
              <w:marTop w:val="0"/>
              <w:marBottom w:val="0"/>
              <w:divBdr>
                <w:top w:val="none" w:sz="0" w:space="0" w:color="auto"/>
                <w:left w:val="none" w:sz="0" w:space="0" w:color="auto"/>
                <w:bottom w:val="none" w:sz="0" w:space="0" w:color="auto"/>
                <w:right w:val="none" w:sz="0" w:space="0" w:color="auto"/>
              </w:divBdr>
              <w:divsChild>
                <w:div w:id="1633944594">
                  <w:marLeft w:val="0"/>
                  <w:marRight w:val="0"/>
                  <w:marTop w:val="0"/>
                  <w:marBottom w:val="0"/>
                  <w:divBdr>
                    <w:top w:val="none" w:sz="0" w:space="0" w:color="auto"/>
                    <w:left w:val="none" w:sz="0" w:space="0" w:color="auto"/>
                    <w:bottom w:val="none" w:sz="0" w:space="0" w:color="auto"/>
                    <w:right w:val="none" w:sz="0" w:space="0" w:color="auto"/>
                  </w:divBdr>
                  <w:divsChild>
                    <w:div w:id="291060075">
                      <w:marLeft w:val="0"/>
                      <w:marRight w:val="0"/>
                      <w:marTop w:val="0"/>
                      <w:marBottom w:val="0"/>
                      <w:divBdr>
                        <w:top w:val="single" w:sz="6" w:space="0" w:color="E4E4E6"/>
                        <w:left w:val="none" w:sz="0" w:space="0" w:color="auto"/>
                        <w:bottom w:val="none" w:sz="0" w:space="0" w:color="auto"/>
                        <w:right w:val="none" w:sz="0" w:space="0" w:color="auto"/>
                      </w:divBdr>
                      <w:divsChild>
                        <w:div w:id="910699320">
                          <w:marLeft w:val="0"/>
                          <w:marRight w:val="0"/>
                          <w:marTop w:val="0"/>
                          <w:marBottom w:val="0"/>
                          <w:divBdr>
                            <w:top w:val="single" w:sz="6" w:space="0" w:color="E4E4E6"/>
                            <w:left w:val="none" w:sz="0" w:space="0" w:color="auto"/>
                            <w:bottom w:val="none" w:sz="0" w:space="0" w:color="auto"/>
                            <w:right w:val="none" w:sz="0" w:space="0" w:color="auto"/>
                          </w:divBdr>
                          <w:divsChild>
                            <w:div w:id="1798453824">
                              <w:marLeft w:val="0"/>
                              <w:marRight w:val="1500"/>
                              <w:marTop w:val="100"/>
                              <w:marBottom w:val="100"/>
                              <w:divBdr>
                                <w:top w:val="none" w:sz="0" w:space="0" w:color="auto"/>
                                <w:left w:val="none" w:sz="0" w:space="0" w:color="auto"/>
                                <w:bottom w:val="none" w:sz="0" w:space="0" w:color="auto"/>
                                <w:right w:val="none" w:sz="0" w:space="0" w:color="auto"/>
                              </w:divBdr>
                              <w:divsChild>
                                <w:div w:id="589003747">
                                  <w:marLeft w:val="0"/>
                                  <w:marRight w:val="0"/>
                                  <w:marTop w:val="300"/>
                                  <w:marBottom w:val="450"/>
                                  <w:divBdr>
                                    <w:top w:val="none" w:sz="0" w:space="0" w:color="auto"/>
                                    <w:left w:val="none" w:sz="0" w:space="0" w:color="auto"/>
                                    <w:bottom w:val="none" w:sz="0" w:space="0" w:color="auto"/>
                                    <w:right w:val="none" w:sz="0" w:space="0" w:color="auto"/>
                                  </w:divBdr>
                                  <w:divsChild>
                                    <w:div w:id="1958877110">
                                      <w:marLeft w:val="0"/>
                                      <w:marRight w:val="0"/>
                                      <w:marTop w:val="0"/>
                                      <w:marBottom w:val="0"/>
                                      <w:divBdr>
                                        <w:top w:val="none" w:sz="0" w:space="0" w:color="auto"/>
                                        <w:left w:val="none" w:sz="0" w:space="0" w:color="auto"/>
                                        <w:bottom w:val="none" w:sz="0" w:space="0" w:color="auto"/>
                                        <w:right w:val="none" w:sz="0" w:space="0" w:color="auto"/>
                                      </w:divBdr>
                                      <w:divsChild>
                                        <w:div w:id="1474981322">
                                          <w:marLeft w:val="0"/>
                                          <w:marRight w:val="0"/>
                                          <w:marTop w:val="0"/>
                                          <w:marBottom w:val="0"/>
                                          <w:divBdr>
                                            <w:top w:val="none" w:sz="0" w:space="0" w:color="auto"/>
                                            <w:left w:val="none" w:sz="0" w:space="0" w:color="auto"/>
                                            <w:bottom w:val="none" w:sz="0" w:space="0" w:color="auto"/>
                                            <w:right w:val="none" w:sz="0" w:space="0" w:color="auto"/>
                                          </w:divBdr>
                                          <w:divsChild>
                                            <w:div w:id="19356480">
                                              <w:marLeft w:val="0"/>
                                              <w:marRight w:val="0"/>
                                              <w:marTop w:val="0"/>
                                              <w:marBottom w:val="0"/>
                                              <w:divBdr>
                                                <w:top w:val="none" w:sz="0" w:space="0" w:color="auto"/>
                                                <w:left w:val="none" w:sz="0" w:space="0" w:color="auto"/>
                                                <w:bottom w:val="none" w:sz="0" w:space="0" w:color="auto"/>
                                                <w:right w:val="none" w:sz="0" w:space="0" w:color="auto"/>
                                              </w:divBdr>
                                              <w:divsChild>
                                                <w:div w:id="9644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136874">
      <w:bodyDiv w:val="1"/>
      <w:marLeft w:val="0"/>
      <w:marRight w:val="0"/>
      <w:marTop w:val="0"/>
      <w:marBottom w:val="0"/>
      <w:divBdr>
        <w:top w:val="none" w:sz="0" w:space="0" w:color="auto"/>
        <w:left w:val="none" w:sz="0" w:space="0" w:color="auto"/>
        <w:bottom w:val="none" w:sz="0" w:space="0" w:color="auto"/>
        <w:right w:val="none" w:sz="0" w:space="0" w:color="auto"/>
      </w:divBdr>
      <w:divsChild>
        <w:div w:id="970555209">
          <w:marLeft w:val="0"/>
          <w:marRight w:val="0"/>
          <w:marTop w:val="0"/>
          <w:marBottom w:val="0"/>
          <w:divBdr>
            <w:top w:val="none" w:sz="0" w:space="0" w:color="auto"/>
            <w:left w:val="none" w:sz="0" w:space="0" w:color="auto"/>
            <w:bottom w:val="none" w:sz="0" w:space="0" w:color="auto"/>
            <w:right w:val="none" w:sz="0" w:space="0" w:color="auto"/>
          </w:divBdr>
          <w:divsChild>
            <w:div w:id="1541474062">
              <w:marLeft w:val="0"/>
              <w:marRight w:val="0"/>
              <w:marTop w:val="0"/>
              <w:marBottom w:val="0"/>
              <w:divBdr>
                <w:top w:val="none" w:sz="0" w:space="0" w:color="auto"/>
                <w:left w:val="none" w:sz="0" w:space="0" w:color="auto"/>
                <w:bottom w:val="none" w:sz="0" w:space="0" w:color="auto"/>
                <w:right w:val="none" w:sz="0" w:space="0" w:color="auto"/>
              </w:divBdr>
              <w:divsChild>
                <w:div w:id="1404332612">
                  <w:marLeft w:val="0"/>
                  <w:marRight w:val="0"/>
                  <w:marTop w:val="0"/>
                  <w:marBottom w:val="0"/>
                  <w:divBdr>
                    <w:top w:val="none" w:sz="0" w:space="0" w:color="auto"/>
                    <w:left w:val="none" w:sz="0" w:space="0" w:color="auto"/>
                    <w:bottom w:val="none" w:sz="0" w:space="0" w:color="auto"/>
                    <w:right w:val="none" w:sz="0" w:space="0" w:color="auto"/>
                  </w:divBdr>
                  <w:divsChild>
                    <w:div w:id="346323201">
                      <w:marLeft w:val="0"/>
                      <w:marRight w:val="0"/>
                      <w:marTop w:val="0"/>
                      <w:marBottom w:val="0"/>
                      <w:divBdr>
                        <w:top w:val="single" w:sz="6" w:space="0" w:color="E4E4E6"/>
                        <w:left w:val="none" w:sz="0" w:space="0" w:color="auto"/>
                        <w:bottom w:val="none" w:sz="0" w:space="0" w:color="auto"/>
                        <w:right w:val="none" w:sz="0" w:space="0" w:color="auto"/>
                      </w:divBdr>
                      <w:divsChild>
                        <w:div w:id="1106924857">
                          <w:marLeft w:val="0"/>
                          <w:marRight w:val="0"/>
                          <w:marTop w:val="0"/>
                          <w:marBottom w:val="0"/>
                          <w:divBdr>
                            <w:top w:val="single" w:sz="6" w:space="0" w:color="E4E4E6"/>
                            <w:left w:val="none" w:sz="0" w:space="0" w:color="auto"/>
                            <w:bottom w:val="none" w:sz="0" w:space="0" w:color="auto"/>
                            <w:right w:val="none" w:sz="0" w:space="0" w:color="auto"/>
                          </w:divBdr>
                          <w:divsChild>
                            <w:div w:id="986713477">
                              <w:marLeft w:val="0"/>
                              <w:marRight w:val="1500"/>
                              <w:marTop w:val="100"/>
                              <w:marBottom w:val="100"/>
                              <w:divBdr>
                                <w:top w:val="none" w:sz="0" w:space="0" w:color="auto"/>
                                <w:left w:val="none" w:sz="0" w:space="0" w:color="auto"/>
                                <w:bottom w:val="none" w:sz="0" w:space="0" w:color="auto"/>
                                <w:right w:val="none" w:sz="0" w:space="0" w:color="auto"/>
                              </w:divBdr>
                              <w:divsChild>
                                <w:div w:id="1885633900">
                                  <w:marLeft w:val="0"/>
                                  <w:marRight w:val="0"/>
                                  <w:marTop w:val="300"/>
                                  <w:marBottom w:val="450"/>
                                  <w:divBdr>
                                    <w:top w:val="none" w:sz="0" w:space="0" w:color="auto"/>
                                    <w:left w:val="none" w:sz="0" w:space="0" w:color="auto"/>
                                    <w:bottom w:val="none" w:sz="0" w:space="0" w:color="auto"/>
                                    <w:right w:val="none" w:sz="0" w:space="0" w:color="auto"/>
                                  </w:divBdr>
                                  <w:divsChild>
                                    <w:div w:id="183062063">
                                      <w:marLeft w:val="0"/>
                                      <w:marRight w:val="0"/>
                                      <w:marTop w:val="0"/>
                                      <w:marBottom w:val="0"/>
                                      <w:divBdr>
                                        <w:top w:val="none" w:sz="0" w:space="0" w:color="auto"/>
                                        <w:left w:val="none" w:sz="0" w:space="0" w:color="auto"/>
                                        <w:bottom w:val="none" w:sz="0" w:space="0" w:color="auto"/>
                                        <w:right w:val="none" w:sz="0" w:space="0" w:color="auto"/>
                                      </w:divBdr>
                                      <w:divsChild>
                                        <w:div w:id="387341008">
                                          <w:marLeft w:val="0"/>
                                          <w:marRight w:val="0"/>
                                          <w:marTop w:val="0"/>
                                          <w:marBottom w:val="0"/>
                                          <w:divBdr>
                                            <w:top w:val="none" w:sz="0" w:space="0" w:color="auto"/>
                                            <w:left w:val="none" w:sz="0" w:space="0" w:color="auto"/>
                                            <w:bottom w:val="none" w:sz="0" w:space="0" w:color="auto"/>
                                            <w:right w:val="none" w:sz="0" w:space="0" w:color="auto"/>
                                          </w:divBdr>
                                          <w:divsChild>
                                            <w:div w:id="851648301">
                                              <w:marLeft w:val="0"/>
                                              <w:marRight w:val="0"/>
                                              <w:marTop w:val="0"/>
                                              <w:marBottom w:val="0"/>
                                              <w:divBdr>
                                                <w:top w:val="none" w:sz="0" w:space="0" w:color="auto"/>
                                                <w:left w:val="none" w:sz="0" w:space="0" w:color="auto"/>
                                                <w:bottom w:val="none" w:sz="0" w:space="0" w:color="auto"/>
                                                <w:right w:val="none" w:sz="0" w:space="0" w:color="auto"/>
                                              </w:divBdr>
                                              <w:divsChild>
                                                <w:div w:id="13631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7570381">
      <w:bodyDiv w:val="1"/>
      <w:marLeft w:val="0"/>
      <w:marRight w:val="0"/>
      <w:marTop w:val="0"/>
      <w:marBottom w:val="0"/>
      <w:divBdr>
        <w:top w:val="none" w:sz="0" w:space="0" w:color="auto"/>
        <w:left w:val="none" w:sz="0" w:space="0" w:color="auto"/>
        <w:bottom w:val="none" w:sz="0" w:space="0" w:color="auto"/>
        <w:right w:val="none" w:sz="0" w:space="0" w:color="auto"/>
      </w:divBdr>
      <w:divsChild>
        <w:div w:id="1618215838">
          <w:marLeft w:val="0"/>
          <w:marRight w:val="0"/>
          <w:marTop w:val="0"/>
          <w:marBottom w:val="0"/>
          <w:divBdr>
            <w:top w:val="none" w:sz="0" w:space="0" w:color="auto"/>
            <w:left w:val="none" w:sz="0" w:space="0" w:color="auto"/>
            <w:bottom w:val="none" w:sz="0" w:space="0" w:color="auto"/>
            <w:right w:val="none" w:sz="0" w:space="0" w:color="auto"/>
          </w:divBdr>
          <w:divsChild>
            <w:div w:id="977494766">
              <w:marLeft w:val="0"/>
              <w:marRight w:val="0"/>
              <w:marTop w:val="0"/>
              <w:marBottom w:val="0"/>
              <w:divBdr>
                <w:top w:val="none" w:sz="0" w:space="0" w:color="auto"/>
                <w:left w:val="none" w:sz="0" w:space="0" w:color="auto"/>
                <w:bottom w:val="none" w:sz="0" w:space="0" w:color="auto"/>
                <w:right w:val="none" w:sz="0" w:space="0" w:color="auto"/>
              </w:divBdr>
              <w:divsChild>
                <w:div w:id="685449039">
                  <w:marLeft w:val="0"/>
                  <w:marRight w:val="0"/>
                  <w:marTop w:val="0"/>
                  <w:marBottom w:val="0"/>
                  <w:divBdr>
                    <w:top w:val="none" w:sz="0" w:space="0" w:color="auto"/>
                    <w:left w:val="none" w:sz="0" w:space="0" w:color="auto"/>
                    <w:bottom w:val="none" w:sz="0" w:space="0" w:color="auto"/>
                    <w:right w:val="none" w:sz="0" w:space="0" w:color="auto"/>
                  </w:divBdr>
                  <w:divsChild>
                    <w:div w:id="600187163">
                      <w:marLeft w:val="0"/>
                      <w:marRight w:val="0"/>
                      <w:marTop w:val="0"/>
                      <w:marBottom w:val="0"/>
                      <w:divBdr>
                        <w:top w:val="single" w:sz="6" w:space="0" w:color="E4E4E6"/>
                        <w:left w:val="none" w:sz="0" w:space="0" w:color="auto"/>
                        <w:bottom w:val="none" w:sz="0" w:space="0" w:color="auto"/>
                        <w:right w:val="none" w:sz="0" w:space="0" w:color="auto"/>
                      </w:divBdr>
                      <w:divsChild>
                        <w:div w:id="962619700">
                          <w:marLeft w:val="0"/>
                          <w:marRight w:val="0"/>
                          <w:marTop w:val="0"/>
                          <w:marBottom w:val="0"/>
                          <w:divBdr>
                            <w:top w:val="single" w:sz="6" w:space="0" w:color="E4E4E6"/>
                            <w:left w:val="none" w:sz="0" w:space="0" w:color="auto"/>
                            <w:bottom w:val="none" w:sz="0" w:space="0" w:color="auto"/>
                            <w:right w:val="none" w:sz="0" w:space="0" w:color="auto"/>
                          </w:divBdr>
                          <w:divsChild>
                            <w:div w:id="1871797209">
                              <w:marLeft w:val="0"/>
                              <w:marRight w:val="1500"/>
                              <w:marTop w:val="100"/>
                              <w:marBottom w:val="100"/>
                              <w:divBdr>
                                <w:top w:val="none" w:sz="0" w:space="0" w:color="auto"/>
                                <w:left w:val="none" w:sz="0" w:space="0" w:color="auto"/>
                                <w:bottom w:val="none" w:sz="0" w:space="0" w:color="auto"/>
                                <w:right w:val="none" w:sz="0" w:space="0" w:color="auto"/>
                              </w:divBdr>
                              <w:divsChild>
                                <w:div w:id="342972445">
                                  <w:marLeft w:val="0"/>
                                  <w:marRight w:val="0"/>
                                  <w:marTop w:val="300"/>
                                  <w:marBottom w:val="450"/>
                                  <w:divBdr>
                                    <w:top w:val="none" w:sz="0" w:space="0" w:color="auto"/>
                                    <w:left w:val="none" w:sz="0" w:space="0" w:color="auto"/>
                                    <w:bottom w:val="none" w:sz="0" w:space="0" w:color="auto"/>
                                    <w:right w:val="none" w:sz="0" w:space="0" w:color="auto"/>
                                  </w:divBdr>
                                  <w:divsChild>
                                    <w:div w:id="1939484389">
                                      <w:marLeft w:val="0"/>
                                      <w:marRight w:val="0"/>
                                      <w:marTop w:val="0"/>
                                      <w:marBottom w:val="0"/>
                                      <w:divBdr>
                                        <w:top w:val="none" w:sz="0" w:space="0" w:color="auto"/>
                                        <w:left w:val="none" w:sz="0" w:space="0" w:color="auto"/>
                                        <w:bottom w:val="none" w:sz="0" w:space="0" w:color="auto"/>
                                        <w:right w:val="none" w:sz="0" w:space="0" w:color="auto"/>
                                      </w:divBdr>
                                      <w:divsChild>
                                        <w:div w:id="2080979518">
                                          <w:marLeft w:val="0"/>
                                          <w:marRight w:val="0"/>
                                          <w:marTop w:val="0"/>
                                          <w:marBottom w:val="0"/>
                                          <w:divBdr>
                                            <w:top w:val="none" w:sz="0" w:space="0" w:color="auto"/>
                                            <w:left w:val="none" w:sz="0" w:space="0" w:color="auto"/>
                                            <w:bottom w:val="none" w:sz="0" w:space="0" w:color="auto"/>
                                            <w:right w:val="none" w:sz="0" w:space="0" w:color="auto"/>
                                          </w:divBdr>
                                          <w:divsChild>
                                            <w:div w:id="6518262">
                                              <w:marLeft w:val="0"/>
                                              <w:marRight w:val="0"/>
                                              <w:marTop w:val="0"/>
                                              <w:marBottom w:val="0"/>
                                              <w:divBdr>
                                                <w:top w:val="none" w:sz="0" w:space="0" w:color="auto"/>
                                                <w:left w:val="none" w:sz="0" w:space="0" w:color="auto"/>
                                                <w:bottom w:val="none" w:sz="0" w:space="0" w:color="auto"/>
                                                <w:right w:val="none" w:sz="0" w:space="0" w:color="auto"/>
                                              </w:divBdr>
                                              <w:divsChild>
                                                <w:div w:id="14421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6499298">
      <w:bodyDiv w:val="1"/>
      <w:marLeft w:val="0"/>
      <w:marRight w:val="0"/>
      <w:marTop w:val="0"/>
      <w:marBottom w:val="0"/>
      <w:divBdr>
        <w:top w:val="none" w:sz="0" w:space="0" w:color="auto"/>
        <w:left w:val="none" w:sz="0" w:space="0" w:color="auto"/>
        <w:bottom w:val="none" w:sz="0" w:space="0" w:color="auto"/>
        <w:right w:val="none" w:sz="0" w:space="0" w:color="auto"/>
      </w:divBdr>
      <w:divsChild>
        <w:div w:id="104885000">
          <w:marLeft w:val="0"/>
          <w:marRight w:val="0"/>
          <w:marTop w:val="0"/>
          <w:marBottom w:val="0"/>
          <w:divBdr>
            <w:top w:val="none" w:sz="0" w:space="0" w:color="auto"/>
            <w:left w:val="none" w:sz="0" w:space="0" w:color="auto"/>
            <w:bottom w:val="none" w:sz="0" w:space="0" w:color="auto"/>
            <w:right w:val="none" w:sz="0" w:space="0" w:color="auto"/>
          </w:divBdr>
          <w:divsChild>
            <w:div w:id="1084183258">
              <w:marLeft w:val="0"/>
              <w:marRight w:val="0"/>
              <w:marTop w:val="0"/>
              <w:marBottom w:val="0"/>
              <w:divBdr>
                <w:top w:val="none" w:sz="0" w:space="0" w:color="auto"/>
                <w:left w:val="none" w:sz="0" w:space="0" w:color="auto"/>
                <w:bottom w:val="none" w:sz="0" w:space="0" w:color="auto"/>
                <w:right w:val="none" w:sz="0" w:space="0" w:color="auto"/>
              </w:divBdr>
              <w:divsChild>
                <w:div w:id="898789515">
                  <w:marLeft w:val="0"/>
                  <w:marRight w:val="0"/>
                  <w:marTop w:val="0"/>
                  <w:marBottom w:val="0"/>
                  <w:divBdr>
                    <w:top w:val="none" w:sz="0" w:space="0" w:color="auto"/>
                    <w:left w:val="none" w:sz="0" w:space="0" w:color="auto"/>
                    <w:bottom w:val="none" w:sz="0" w:space="0" w:color="auto"/>
                    <w:right w:val="none" w:sz="0" w:space="0" w:color="auto"/>
                  </w:divBdr>
                  <w:divsChild>
                    <w:div w:id="1529834068">
                      <w:marLeft w:val="0"/>
                      <w:marRight w:val="0"/>
                      <w:marTop w:val="0"/>
                      <w:marBottom w:val="0"/>
                      <w:divBdr>
                        <w:top w:val="single" w:sz="6" w:space="0" w:color="E4E4E6"/>
                        <w:left w:val="none" w:sz="0" w:space="0" w:color="auto"/>
                        <w:bottom w:val="none" w:sz="0" w:space="0" w:color="auto"/>
                        <w:right w:val="none" w:sz="0" w:space="0" w:color="auto"/>
                      </w:divBdr>
                      <w:divsChild>
                        <w:div w:id="408237953">
                          <w:marLeft w:val="0"/>
                          <w:marRight w:val="0"/>
                          <w:marTop w:val="0"/>
                          <w:marBottom w:val="0"/>
                          <w:divBdr>
                            <w:top w:val="single" w:sz="6" w:space="0" w:color="E4E4E6"/>
                            <w:left w:val="none" w:sz="0" w:space="0" w:color="auto"/>
                            <w:bottom w:val="none" w:sz="0" w:space="0" w:color="auto"/>
                            <w:right w:val="none" w:sz="0" w:space="0" w:color="auto"/>
                          </w:divBdr>
                          <w:divsChild>
                            <w:div w:id="1795319939">
                              <w:marLeft w:val="0"/>
                              <w:marRight w:val="1500"/>
                              <w:marTop w:val="100"/>
                              <w:marBottom w:val="100"/>
                              <w:divBdr>
                                <w:top w:val="none" w:sz="0" w:space="0" w:color="auto"/>
                                <w:left w:val="none" w:sz="0" w:space="0" w:color="auto"/>
                                <w:bottom w:val="none" w:sz="0" w:space="0" w:color="auto"/>
                                <w:right w:val="none" w:sz="0" w:space="0" w:color="auto"/>
                              </w:divBdr>
                              <w:divsChild>
                                <w:div w:id="913466841">
                                  <w:marLeft w:val="0"/>
                                  <w:marRight w:val="0"/>
                                  <w:marTop w:val="300"/>
                                  <w:marBottom w:val="450"/>
                                  <w:divBdr>
                                    <w:top w:val="none" w:sz="0" w:space="0" w:color="auto"/>
                                    <w:left w:val="none" w:sz="0" w:space="0" w:color="auto"/>
                                    <w:bottom w:val="none" w:sz="0" w:space="0" w:color="auto"/>
                                    <w:right w:val="none" w:sz="0" w:space="0" w:color="auto"/>
                                  </w:divBdr>
                                  <w:divsChild>
                                    <w:div w:id="297884927">
                                      <w:marLeft w:val="0"/>
                                      <w:marRight w:val="0"/>
                                      <w:marTop w:val="0"/>
                                      <w:marBottom w:val="0"/>
                                      <w:divBdr>
                                        <w:top w:val="none" w:sz="0" w:space="0" w:color="auto"/>
                                        <w:left w:val="none" w:sz="0" w:space="0" w:color="auto"/>
                                        <w:bottom w:val="none" w:sz="0" w:space="0" w:color="auto"/>
                                        <w:right w:val="none" w:sz="0" w:space="0" w:color="auto"/>
                                      </w:divBdr>
                                      <w:divsChild>
                                        <w:div w:id="483814661">
                                          <w:marLeft w:val="0"/>
                                          <w:marRight w:val="0"/>
                                          <w:marTop w:val="0"/>
                                          <w:marBottom w:val="0"/>
                                          <w:divBdr>
                                            <w:top w:val="none" w:sz="0" w:space="0" w:color="auto"/>
                                            <w:left w:val="none" w:sz="0" w:space="0" w:color="auto"/>
                                            <w:bottom w:val="none" w:sz="0" w:space="0" w:color="auto"/>
                                            <w:right w:val="none" w:sz="0" w:space="0" w:color="auto"/>
                                          </w:divBdr>
                                          <w:divsChild>
                                            <w:div w:id="362442026">
                                              <w:marLeft w:val="0"/>
                                              <w:marRight w:val="0"/>
                                              <w:marTop w:val="0"/>
                                              <w:marBottom w:val="0"/>
                                              <w:divBdr>
                                                <w:top w:val="none" w:sz="0" w:space="0" w:color="auto"/>
                                                <w:left w:val="none" w:sz="0" w:space="0" w:color="auto"/>
                                                <w:bottom w:val="none" w:sz="0" w:space="0" w:color="auto"/>
                                                <w:right w:val="none" w:sz="0" w:space="0" w:color="auto"/>
                                              </w:divBdr>
                                              <w:divsChild>
                                                <w:div w:id="11194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2762885">
      <w:bodyDiv w:val="1"/>
      <w:marLeft w:val="0"/>
      <w:marRight w:val="0"/>
      <w:marTop w:val="0"/>
      <w:marBottom w:val="0"/>
      <w:divBdr>
        <w:top w:val="none" w:sz="0" w:space="0" w:color="auto"/>
        <w:left w:val="none" w:sz="0" w:space="0" w:color="auto"/>
        <w:bottom w:val="none" w:sz="0" w:space="0" w:color="auto"/>
        <w:right w:val="none" w:sz="0" w:space="0" w:color="auto"/>
      </w:divBdr>
      <w:divsChild>
        <w:div w:id="1067260772">
          <w:marLeft w:val="0"/>
          <w:marRight w:val="0"/>
          <w:marTop w:val="0"/>
          <w:marBottom w:val="0"/>
          <w:divBdr>
            <w:top w:val="none" w:sz="0" w:space="0" w:color="auto"/>
            <w:left w:val="none" w:sz="0" w:space="0" w:color="auto"/>
            <w:bottom w:val="none" w:sz="0" w:space="0" w:color="auto"/>
            <w:right w:val="none" w:sz="0" w:space="0" w:color="auto"/>
          </w:divBdr>
          <w:divsChild>
            <w:div w:id="1426926577">
              <w:marLeft w:val="0"/>
              <w:marRight w:val="0"/>
              <w:marTop w:val="0"/>
              <w:marBottom w:val="0"/>
              <w:divBdr>
                <w:top w:val="none" w:sz="0" w:space="0" w:color="auto"/>
                <w:left w:val="none" w:sz="0" w:space="0" w:color="auto"/>
                <w:bottom w:val="none" w:sz="0" w:space="0" w:color="auto"/>
                <w:right w:val="none" w:sz="0" w:space="0" w:color="auto"/>
              </w:divBdr>
              <w:divsChild>
                <w:div w:id="862479873">
                  <w:marLeft w:val="0"/>
                  <w:marRight w:val="0"/>
                  <w:marTop w:val="0"/>
                  <w:marBottom w:val="0"/>
                  <w:divBdr>
                    <w:top w:val="none" w:sz="0" w:space="0" w:color="auto"/>
                    <w:left w:val="none" w:sz="0" w:space="0" w:color="auto"/>
                    <w:bottom w:val="none" w:sz="0" w:space="0" w:color="auto"/>
                    <w:right w:val="none" w:sz="0" w:space="0" w:color="auto"/>
                  </w:divBdr>
                  <w:divsChild>
                    <w:div w:id="1614483999">
                      <w:marLeft w:val="0"/>
                      <w:marRight w:val="0"/>
                      <w:marTop w:val="0"/>
                      <w:marBottom w:val="0"/>
                      <w:divBdr>
                        <w:top w:val="single" w:sz="6" w:space="0" w:color="E4E4E6"/>
                        <w:left w:val="none" w:sz="0" w:space="0" w:color="auto"/>
                        <w:bottom w:val="none" w:sz="0" w:space="0" w:color="auto"/>
                        <w:right w:val="none" w:sz="0" w:space="0" w:color="auto"/>
                      </w:divBdr>
                      <w:divsChild>
                        <w:div w:id="615870981">
                          <w:marLeft w:val="0"/>
                          <w:marRight w:val="0"/>
                          <w:marTop w:val="0"/>
                          <w:marBottom w:val="0"/>
                          <w:divBdr>
                            <w:top w:val="single" w:sz="6" w:space="0" w:color="E4E4E6"/>
                            <w:left w:val="none" w:sz="0" w:space="0" w:color="auto"/>
                            <w:bottom w:val="none" w:sz="0" w:space="0" w:color="auto"/>
                            <w:right w:val="none" w:sz="0" w:space="0" w:color="auto"/>
                          </w:divBdr>
                          <w:divsChild>
                            <w:div w:id="868101014">
                              <w:marLeft w:val="0"/>
                              <w:marRight w:val="1500"/>
                              <w:marTop w:val="100"/>
                              <w:marBottom w:val="100"/>
                              <w:divBdr>
                                <w:top w:val="none" w:sz="0" w:space="0" w:color="auto"/>
                                <w:left w:val="none" w:sz="0" w:space="0" w:color="auto"/>
                                <w:bottom w:val="none" w:sz="0" w:space="0" w:color="auto"/>
                                <w:right w:val="none" w:sz="0" w:space="0" w:color="auto"/>
                              </w:divBdr>
                              <w:divsChild>
                                <w:div w:id="1656300111">
                                  <w:marLeft w:val="0"/>
                                  <w:marRight w:val="0"/>
                                  <w:marTop w:val="300"/>
                                  <w:marBottom w:val="450"/>
                                  <w:divBdr>
                                    <w:top w:val="none" w:sz="0" w:space="0" w:color="auto"/>
                                    <w:left w:val="none" w:sz="0" w:space="0" w:color="auto"/>
                                    <w:bottom w:val="none" w:sz="0" w:space="0" w:color="auto"/>
                                    <w:right w:val="none" w:sz="0" w:space="0" w:color="auto"/>
                                  </w:divBdr>
                                  <w:divsChild>
                                    <w:div w:id="2029214869">
                                      <w:marLeft w:val="0"/>
                                      <w:marRight w:val="0"/>
                                      <w:marTop w:val="0"/>
                                      <w:marBottom w:val="0"/>
                                      <w:divBdr>
                                        <w:top w:val="none" w:sz="0" w:space="0" w:color="auto"/>
                                        <w:left w:val="none" w:sz="0" w:space="0" w:color="auto"/>
                                        <w:bottom w:val="none" w:sz="0" w:space="0" w:color="auto"/>
                                        <w:right w:val="none" w:sz="0" w:space="0" w:color="auto"/>
                                      </w:divBdr>
                                      <w:divsChild>
                                        <w:div w:id="2109812996">
                                          <w:marLeft w:val="0"/>
                                          <w:marRight w:val="0"/>
                                          <w:marTop w:val="0"/>
                                          <w:marBottom w:val="0"/>
                                          <w:divBdr>
                                            <w:top w:val="none" w:sz="0" w:space="0" w:color="auto"/>
                                            <w:left w:val="none" w:sz="0" w:space="0" w:color="auto"/>
                                            <w:bottom w:val="none" w:sz="0" w:space="0" w:color="auto"/>
                                            <w:right w:val="none" w:sz="0" w:space="0" w:color="auto"/>
                                          </w:divBdr>
                                          <w:divsChild>
                                            <w:div w:id="1493719877">
                                              <w:marLeft w:val="0"/>
                                              <w:marRight w:val="0"/>
                                              <w:marTop w:val="0"/>
                                              <w:marBottom w:val="0"/>
                                              <w:divBdr>
                                                <w:top w:val="none" w:sz="0" w:space="0" w:color="auto"/>
                                                <w:left w:val="none" w:sz="0" w:space="0" w:color="auto"/>
                                                <w:bottom w:val="none" w:sz="0" w:space="0" w:color="auto"/>
                                                <w:right w:val="none" w:sz="0" w:space="0" w:color="auto"/>
                                              </w:divBdr>
                                              <w:divsChild>
                                                <w:div w:id="572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343787">
      <w:bodyDiv w:val="1"/>
      <w:marLeft w:val="0"/>
      <w:marRight w:val="0"/>
      <w:marTop w:val="0"/>
      <w:marBottom w:val="0"/>
      <w:divBdr>
        <w:top w:val="none" w:sz="0" w:space="0" w:color="auto"/>
        <w:left w:val="none" w:sz="0" w:space="0" w:color="auto"/>
        <w:bottom w:val="none" w:sz="0" w:space="0" w:color="auto"/>
        <w:right w:val="none" w:sz="0" w:space="0" w:color="auto"/>
      </w:divBdr>
      <w:divsChild>
        <w:div w:id="893007755">
          <w:marLeft w:val="0"/>
          <w:marRight w:val="0"/>
          <w:marTop w:val="0"/>
          <w:marBottom w:val="0"/>
          <w:divBdr>
            <w:top w:val="none" w:sz="0" w:space="0" w:color="auto"/>
            <w:left w:val="none" w:sz="0" w:space="0" w:color="auto"/>
            <w:bottom w:val="none" w:sz="0" w:space="0" w:color="auto"/>
            <w:right w:val="none" w:sz="0" w:space="0" w:color="auto"/>
          </w:divBdr>
          <w:divsChild>
            <w:div w:id="248734798">
              <w:marLeft w:val="0"/>
              <w:marRight w:val="0"/>
              <w:marTop w:val="0"/>
              <w:marBottom w:val="0"/>
              <w:divBdr>
                <w:top w:val="none" w:sz="0" w:space="0" w:color="auto"/>
                <w:left w:val="none" w:sz="0" w:space="0" w:color="auto"/>
                <w:bottom w:val="none" w:sz="0" w:space="0" w:color="auto"/>
                <w:right w:val="none" w:sz="0" w:space="0" w:color="auto"/>
              </w:divBdr>
              <w:divsChild>
                <w:div w:id="281495280">
                  <w:marLeft w:val="0"/>
                  <w:marRight w:val="0"/>
                  <w:marTop w:val="0"/>
                  <w:marBottom w:val="0"/>
                  <w:divBdr>
                    <w:top w:val="none" w:sz="0" w:space="0" w:color="auto"/>
                    <w:left w:val="none" w:sz="0" w:space="0" w:color="auto"/>
                    <w:bottom w:val="none" w:sz="0" w:space="0" w:color="auto"/>
                    <w:right w:val="none" w:sz="0" w:space="0" w:color="auto"/>
                  </w:divBdr>
                  <w:divsChild>
                    <w:div w:id="1529219223">
                      <w:marLeft w:val="0"/>
                      <w:marRight w:val="0"/>
                      <w:marTop w:val="0"/>
                      <w:marBottom w:val="0"/>
                      <w:divBdr>
                        <w:top w:val="single" w:sz="6" w:space="0" w:color="E4E4E6"/>
                        <w:left w:val="none" w:sz="0" w:space="0" w:color="auto"/>
                        <w:bottom w:val="none" w:sz="0" w:space="0" w:color="auto"/>
                        <w:right w:val="none" w:sz="0" w:space="0" w:color="auto"/>
                      </w:divBdr>
                      <w:divsChild>
                        <w:div w:id="71582293">
                          <w:marLeft w:val="0"/>
                          <w:marRight w:val="0"/>
                          <w:marTop w:val="0"/>
                          <w:marBottom w:val="0"/>
                          <w:divBdr>
                            <w:top w:val="single" w:sz="6" w:space="0" w:color="E4E4E6"/>
                            <w:left w:val="none" w:sz="0" w:space="0" w:color="auto"/>
                            <w:bottom w:val="none" w:sz="0" w:space="0" w:color="auto"/>
                            <w:right w:val="none" w:sz="0" w:space="0" w:color="auto"/>
                          </w:divBdr>
                          <w:divsChild>
                            <w:div w:id="1494830589">
                              <w:marLeft w:val="0"/>
                              <w:marRight w:val="1500"/>
                              <w:marTop w:val="100"/>
                              <w:marBottom w:val="100"/>
                              <w:divBdr>
                                <w:top w:val="none" w:sz="0" w:space="0" w:color="auto"/>
                                <w:left w:val="none" w:sz="0" w:space="0" w:color="auto"/>
                                <w:bottom w:val="none" w:sz="0" w:space="0" w:color="auto"/>
                                <w:right w:val="none" w:sz="0" w:space="0" w:color="auto"/>
                              </w:divBdr>
                              <w:divsChild>
                                <w:div w:id="354963544">
                                  <w:marLeft w:val="0"/>
                                  <w:marRight w:val="0"/>
                                  <w:marTop w:val="300"/>
                                  <w:marBottom w:val="450"/>
                                  <w:divBdr>
                                    <w:top w:val="none" w:sz="0" w:space="0" w:color="auto"/>
                                    <w:left w:val="none" w:sz="0" w:space="0" w:color="auto"/>
                                    <w:bottom w:val="none" w:sz="0" w:space="0" w:color="auto"/>
                                    <w:right w:val="none" w:sz="0" w:space="0" w:color="auto"/>
                                  </w:divBdr>
                                  <w:divsChild>
                                    <w:div w:id="1798640762">
                                      <w:marLeft w:val="0"/>
                                      <w:marRight w:val="0"/>
                                      <w:marTop w:val="0"/>
                                      <w:marBottom w:val="0"/>
                                      <w:divBdr>
                                        <w:top w:val="none" w:sz="0" w:space="0" w:color="auto"/>
                                        <w:left w:val="none" w:sz="0" w:space="0" w:color="auto"/>
                                        <w:bottom w:val="none" w:sz="0" w:space="0" w:color="auto"/>
                                        <w:right w:val="none" w:sz="0" w:space="0" w:color="auto"/>
                                      </w:divBdr>
                                      <w:divsChild>
                                        <w:div w:id="1976061583">
                                          <w:marLeft w:val="0"/>
                                          <w:marRight w:val="0"/>
                                          <w:marTop w:val="0"/>
                                          <w:marBottom w:val="0"/>
                                          <w:divBdr>
                                            <w:top w:val="none" w:sz="0" w:space="0" w:color="auto"/>
                                            <w:left w:val="none" w:sz="0" w:space="0" w:color="auto"/>
                                            <w:bottom w:val="none" w:sz="0" w:space="0" w:color="auto"/>
                                            <w:right w:val="none" w:sz="0" w:space="0" w:color="auto"/>
                                          </w:divBdr>
                                          <w:divsChild>
                                            <w:div w:id="1468359146">
                                              <w:marLeft w:val="0"/>
                                              <w:marRight w:val="0"/>
                                              <w:marTop w:val="0"/>
                                              <w:marBottom w:val="0"/>
                                              <w:divBdr>
                                                <w:top w:val="none" w:sz="0" w:space="0" w:color="auto"/>
                                                <w:left w:val="none" w:sz="0" w:space="0" w:color="auto"/>
                                                <w:bottom w:val="none" w:sz="0" w:space="0" w:color="auto"/>
                                                <w:right w:val="none" w:sz="0" w:space="0" w:color="auto"/>
                                              </w:divBdr>
                                              <w:divsChild>
                                                <w:div w:id="5969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5229013">
      <w:bodyDiv w:val="1"/>
      <w:marLeft w:val="0"/>
      <w:marRight w:val="0"/>
      <w:marTop w:val="0"/>
      <w:marBottom w:val="0"/>
      <w:divBdr>
        <w:top w:val="none" w:sz="0" w:space="0" w:color="auto"/>
        <w:left w:val="none" w:sz="0" w:space="0" w:color="auto"/>
        <w:bottom w:val="none" w:sz="0" w:space="0" w:color="auto"/>
        <w:right w:val="none" w:sz="0" w:space="0" w:color="auto"/>
      </w:divBdr>
      <w:divsChild>
        <w:div w:id="382871821">
          <w:marLeft w:val="0"/>
          <w:marRight w:val="0"/>
          <w:marTop w:val="0"/>
          <w:marBottom w:val="0"/>
          <w:divBdr>
            <w:top w:val="none" w:sz="0" w:space="0" w:color="auto"/>
            <w:left w:val="none" w:sz="0" w:space="0" w:color="auto"/>
            <w:bottom w:val="none" w:sz="0" w:space="0" w:color="auto"/>
            <w:right w:val="none" w:sz="0" w:space="0" w:color="auto"/>
          </w:divBdr>
          <w:divsChild>
            <w:div w:id="509611039">
              <w:marLeft w:val="0"/>
              <w:marRight w:val="0"/>
              <w:marTop w:val="0"/>
              <w:marBottom w:val="0"/>
              <w:divBdr>
                <w:top w:val="none" w:sz="0" w:space="0" w:color="auto"/>
                <w:left w:val="none" w:sz="0" w:space="0" w:color="auto"/>
                <w:bottom w:val="none" w:sz="0" w:space="0" w:color="auto"/>
                <w:right w:val="none" w:sz="0" w:space="0" w:color="auto"/>
              </w:divBdr>
              <w:divsChild>
                <w:div w:id="888303501">
                  <w:marLeft w:val="0"/>
                  <w:marRight w:val="0"/>
                  <w:marTop w:val="0"/>
                  <w:marBottom w:val="0"/>
                  <w:divBdr>
                    <w:top w:val="none" w:sz="0" w:space="0" w:color="auto"/>
                    <w:left w:val="none" w:sz="0" w:space="0" w:color="auto"/>
                    <w:bottom w:val="none" w:sz="0" w:space="0" w:color="auto"/>
                    <w:right w:val="none" w:sz="0" w:space="0" w:color="auto"/>
                  </w:divBdr>
                  <w:divsChild>
                    <w:div w:id="2078355851">
                      <w:marLeft w:val="0"/>
                      <w:marRight w:val="0"/>
                      <w:marTop w:val="0"/>
                      <w:marBottom w:val="0"/>
                      <w:divBdr>
                        <w:top w:val="single" w:sz="6" w:space="0" w:color="E4E4E6"/>
                        <w:left w:val="none" w:sz="0" w:space="0" w:color="auto"/>
                        <w:bottom w:val="none" w:sz="0" w:space="0" w:color="auto"/>
                        <w:right w:val="none" w:sz="0" w:space="0" w:color="auto"/>
                      </w:divBdr>
                      <w:divsChild>
                        <w:div w:id="1432509620">
                          <w:marLeft w:val="0"/>
                          <w:marRight w:val="0"/>
                          <w:marTop w:val="0"/>
                          <w:marBottom w:val="0"/>
                          <w:divBdr>
                            <w:top w:val="single" w:sz="6" w:space="0" w:color="E4E4E6"/>
                            <w:left w:val="none" w:sz="0" w:space="0" w:color="auto"/>
                            <w:bottom w:val="none" w:sz="0" w:space="0" w:color="auto"/>
                            <w:right w:val="none" w:sz="0" w:space="0" w:color="auto"/>
                          </w:divBdr>
                          <w:divsChild>
                            <w:div w:id="478617007">
                              <w:marLeft w:val="0"/>
                              <w:marRight w:val="1500"/>
                              <w:marTop w:val="100"/>
                              <w:marBottom w:val="100"/>
                              <w:divBdr>
                                <w:top w:val="none" w:sz="0" w:space="0" w:color="auto"/>
                                <w:left w:val="none" w:sz="0" w:space="0" w:color="auto"/>
                                <w:bottom w:val="none" w:sz="0" w:space="0" w:color="auto"/>
                                <w:right w:val="none" w:sz="0" w:space="0" w:color="auto"/>
                              </w:divBdr>
                              <w:divsChild>
                                <w:div w:id="1713534378">
                                  <w:marLeft w:val="0"/>
                                  <w:marRight w:val="0"/>
                                  <w:marTop w:val="300"/>
                                  <w:marBottom w:val="450"/>
                                  <w:divBdr>
                                    <w:top w:val="none" w:sz="0" w:space="0" w:color="auto"/>
                                    <w:left w:val="none" w:sz="0" w:space="0" w:color="auto"/>
                                    <w:bottom w:val="none" w:sz="0" w:space="0" w:color="auto"/>
                                    <w:right w:val="none" w:sz="0" w:space="0" w:color="auto"/>
                                  </w:divBdr>
                                  <w:divsChild>
                                    <w:div w:id="714234609">
                                      <w:marLeft w:val="0"/>
                                      <w:marRight w:val="0"/>
                                      <w:marTop w:val="0"/>
                                      <w:marBottom w:val="0"/>
                                      <w:divBdr>
                                        <w:top w:val="none" w:sz="0" w:space="0" w:color="auto"/>
                                        <w:left w:val="none" w:sz="0" w:space="0" w:color="auto"/>
                                        <w:bottom w:val="none" w:sz="0" w:space="0" w:color="auto"/>
                                        <w:right w:val="none" w:sz="0" w:space="0" w:color="auto"/>
                                      </w:divBdr>
                                      <w:divsChild>
                                        <w:div w:id="788082689">
                                          <w:marLeft w:val="0"/>
                                          <w:marRight w:val="0"/>
                                          <w:marTop w:val="0"/>
                                          <w:marBottom w:val="0"/>
                                          <w:divBdr>
                                            <w:top w:val="none" w:sz="0" w:space="0" w:color="auto"/>
                                            <w:left w:val="none" w:sz="0" w:space="0" w:color="auto"/>
                                            <w:bottom w:val="none" w:sz="0" w:space="0" w:color="auto"/>
                                            <w:right w:val="none" w:sz="0" w:space="0" w:color="auto"/>
                                          </w:divBdr>
                                          <w:divsChild>
                                            <w:div w:id="1001080241">
                                              <w:marLeft w:val="0"/>
                                              <w:marRight w:val="0"/>
                                              <w:marTop w:val="0"/>
                                              <w:marBottom w:val="0"/>
                                              <w:divBdr>
                                                <w:top w:val="none" w:sz="0" w:space="0" w:color="auto"/>
                                                <w:left w:val="none" w:sz="0" w:space="0" w:color="auto"/>
                                                <w:bottom w:val="none" w:sz="0" w:space="0" w:color="auto"/>
                                                <w:right w:val="none" w:sz="0" w:space="0" w:color="auto"/>
                                              </w:divBdr>
                                              <w:divsChild>
                                                <w:div w:id="12708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rKolegija xmlns="d8745bc5-821e-4205-946a-621c2da728c8">18.41</BrKolegija>
    <VrstaPredmeta xmlns="d8745bc5-821e-4205-946a-621c2da728c8">Zakonski i podzakonski akti</VrstaPredmeta>
    <TipPredmeta xmlns="d8745bc5-821e-4205-946a-621c2da728c8">Neupravni</TipPredmeta>
    <Prezentira xmlns="d8745bc5-821e-4205-946a-621c2da728c8">
      <UserInfo>
        <DisplayName>i:0#.w|hanfa\doreskovic</DisplayName>
        <AccountId>106</AccountId>
        <AccountType/>
      </UserInfo>
    </Prezentira>
    <VrstaDokumenta xmlns="d8745bc5-821e-4205-946a-621c2da728c8">Pravilnik nacrt (za javnu raspravu)</VrstaDokumenta>
    <KategorijaPoslovanja xmlns="d8745bc5-821e-4205-946a-621c2da728c8">
      <Value>Tržište kapitala</Value>
    </KategorijaPoslovanja>
    <Dileme xmlns="d8745bc5-821e-4205-946a-621c2da728c8" xsi:nil="true"/>
    <PrijedlogPostupanja xmlns="d8745bc5-821e-4205-946a-621c2da728c8" xsi:nil="true"/>
    <Izradio xmlns="d8745bc5-821e-4205-946a-621c2da728c8">
      <UserInfo>
        <DisplayName>i:0#.w|hanfa\doreskovic</DisplayName>
        <AccountId>106</AccountId>
        <AccountType/>
      </UserInfo>
      <UserInfo>
        <DisplayName>i:0#.w|hanfa\mjozic</DisplayName>
        <AccountId>114</AccountId>
        <AccountType/>
      </UserInfo>
      <UserInfo>
        <DisplayName>i:0#.w|hanfa\mpetrec</DisplayName>
        <AccountId>113</AccountId>
        <AccountType/>
      </UserInfo>
    </Izradio>
    <Sazetak xmlns="d8745bc5-821e-4205-946a-621c2da728c8">Sukladno novom ZTK, izrađen je nacrt Pravilnika o adekvatnosti kapitala investcijskih društava za javnu raspravu. </Sazetak>
    <NamjenaDokumenta xmlns="d8745bc5-821e-4205-946a-621c2da728c8">
      <Value>Interno</Value>
      <Value>Kolegij</Value>
    </NamjenaDokumenta>
    <Godina xmlns="d8745bc5-821e-4205-946a-621c2da728c8">2018</Godina>
    <NaslovTocke xmlns="0fbae70c-7fc6-4d0d-8e97-47fcce2a79a6">Pravilnik o upravljanju rizicima, adekvatnosti kapitala i likvidnosti investicijskih društava</NaslovTocke>
    <Izreka xmlns="268be249-404c-4372-b990-f1811c3374d7" xsi:nil="true"/>
    <StatusDokumenta xmlns="d8745bc5-821e-4205-946a-621c2da728c8">Autorizirano</StatusDokumenta>
    <Za_x0020_arhivu xmlns="268be249-404c-4372-b990-f1811c3374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5C7CB115440942A6753CC789A8DB1D" ma:contentTypeVersion="27" ma:contentTypeDescription="Create a new document." ma:contentTypeScope="" ma:versionID="0e6188fe17bfab47fca192caed898390">
  <xsd:schema xmlns:xsd="http://www.w3.org/2001/XMLSchema" xmlns:xs="http://www.w3.org/2001/XMLSchema" xmlns:p="http://schemas.microsoft.com/office/2006/metadata/properties" xmlns:ns2="0fbae70c-7fc6-4d0d-8e97-47fcce2a79a6" xmlns:ns3="d8745bc5-821e-4205-946a-621c2da728c8" xmlns:ns4="268be249-404c-4372-b990-f1811c3374d7" targetNamespace="http://schemas.microsoft.com/office/2006/metadata/properties" ma:root="true" ma:fieldsID="e10ca064c84da39a15e36f55efab3486" ns2:_="" ns3:_="" ns4:_="">
    <xsd:import namespace="0fbae70c-7fc6-4d0d-8e97-47fcce2a79a6"/>
    <xsd:import namespace="d8745bc5-821e-4205-946a-621c2da728c8"/>
    <xsd:import namespace="268be249-404c-4372-b990-f1811c3374d7"/>
    <xsd:element name="properties">
      <xsd:complexType>
        <xsd:sequence>
          <xsd:element name="documentManagement">
            <xsd:complexType>
              <xsd:all>
                <xsd:element ref="ns2:NaslovTocke" minOccurs="0"/>
                <xsd:element ref="ns3:NamjenaDokumenta" minOccurs="0"/>
                <xsd:element ref="ns3:VrstaDokumenta"/>
                <xsd:element ref="ns3:StatusDokumenta"/>
                <xsd:element ref="ns3:VrstaPredmeta"/>
                <xsd:element ref="ns3:TipPredmeta"/>
                <xsd:element ref="ns3:KategorijaPoslovanja" minOccurs="0"/>
                <xsd:element ref="ns3:Godina"/>
                <xsd:element ref="ns3:BrKolegija"/>
                <xsd:element ref="ns3:Izradio" minOccurs="0"/>
                <xsd:element ref="ns3:Prezentira" minOccurs="0"/>
                <xsd:element ref="ns3:Sazetak" minOccurs="0"/>
                <xsd:element ref="ns3:PrijedlogPostupanja" minOccurs="0"/>
                <xsd:element ref="ns3:Dileme" minOccurs="0"/>
                <xsd:element ref="ns4:Izreka" minOccurs="0"/>
                <xsd:element ref="ns4:Za_x0020_arhiv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ae70c-7fc6-4d0d-8e97-47fcce2a79a6" elementFormDefault="qualified">
    <xsd:import namespace="http://schemas.microsoft.com/office/2006/documentManagement/types"/>
    <xsd:import namespace="http://schemas.microsoft.com/office/infopath/2007/PartnerControls"/>
    <xsd:element name="NaslovTocke" ma:index="1" nillable="true" ma:displayName="NaslovTocke" ma:internalName="NaslovTock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745bc5-821e-4205-946a-621c2da728c8" elementFormDefault="qualified">
    <xsd:import namespace="http://schemas.microsoft.com/office/2006/documentManagement/types"/>
    <xsd:import namespace="http://schemas.microsoft.com/office/infopath/2007/PartnerControls"/>
    <xsd:element name="NamjenaDokumenta" ma:index="2" nillable="true" ma:displayName="NamjenaDokumenta" ma:default="Interno" ma:description="Predviđena namjena dokumenta i/ili njegova objava" ma:internalName="NamjenaDokumenta" ma:requiredMultiChoice="true">
      <xsd:complexType>
        <xsd:complexContent>
          <xsd:extension base="dms:MultiChoice">
            <xsd:sequence>
              <xsd:element name="Value" maxOccurs="unbounded" minOccurs="0" nillable="true">
                <xsd:simpleType>
                  <xsd:restriction base="dms:Choice">
                    <xsd:enumeration value="Interno"/>
                    <xsd:enumeration value="Kolegij"/>
                    <xsd:enumeration value="Sjednica"/>
                    <xsd:enumeration value="Objava na HANFA.hr"/>
                    <xsd:enumeration value="Objava u NN"/>
                    <xsd:enumeration value="Objava sa sjednica"/>
                  </xsd:restriction>
                </xsd:simpleType>
              </xsd:element>
            </xsd:sequence>
          </xsd:extension>
        </xsd:complexContent>
      </xsd:complexType>
    </xsd:element>
    <xsd:element name="VrstaDokumenta" ma:index="3" ma:displayName="VrstaDokumenta" ma:default="-" ma:description="Precizna vrsta dokumenta" ma:format="Dropdown" ma:indexed="true" ma:internalName="VrstaDokumenta">
      <xsd:simpleType>
        <xsd:restriction base="dms:Choice">
          <xsd:enumeration value="Rješenje"/>
          <xsd:enumeration value="Mišljenje"/>
          <xsd:enumeration value="Odluka"/>
          <xsd:enumeration value="Zaključak"/>
          <xsd:enumeration value="Pravilnik"/>
          <xsd:enumeration value="Pravilnik nacrt (za javnu raspravu)"/>
          <xsd:enumeration value="Tehnička uputa"/>
          <xsd:enumeration value="Kaznena prijava"/>
          <xsd:enumeration value="Optužni prijedlog"/>
          <xsd:enumeration value="Obavijest o nadzoru/ Zahtjev za pokretanje postupka nadzora"/>
          <xsd:enumeration value="Postupovnik (na razini Agencije)"/>
          <xsd:enumeration value="Postupovnik (sektorski)"/>
          <xsd:enumeration value="Zapisnik o nadzoru"/>
          <xsd:enumeration value="Zapisnik o ispitima za zastupnike i posrednike"/>
          <xsd:enumeration value="Metodologija"/>
          <xsd:enumeration value="Izvješće"/>
          <xsd:enumeration value="Analiza"/>
          <xsd:enumeration value="Informacija"/>
          <xsd:enumeration value="Prezentacija"/>
          <xsd:enumeration value="Dopis"/>
          <xsd:enumeration value="Prijedlog nabave (opreme/ usluga)"/>
          <xsd:enumeration value="Prijedlog zapošljavanja"/>
          <xsd:enumeration value="Odgovor na tužbu"/>
          <xsd:enumeration value="Očitovanje na tužbu"/>
          <xsd:enumeration value="-"/>
        </xsd:restriction>
      </xsd:simpleType>
    </xsd:element>
    <xsd:element name="StatusDokumenta" ma:index="4" ma:displayName="StatusDokumenta" ma:default="-" ma:description="Status dokumenta unutar organizacijske jedinice" ma:format="Dropdown" ma:indexed="true" ma:internalName="StatusDokumenta">
      <xsd:simpleType>
        <xsd:restriction base="dms:Choice">
          <xsd:enumeration value="-"/>
          <xsd:enumeration value="U izradi"/>
          <xsd:enumeration value="Za autorizaciju"/>
          <xsd:enumeration value="Za doraditi"/>
          <xsd:enumeration value="Predautorizirano"/>
          <xsd:enumeration value="Autorizirano"/>
          <xsd:enumeration value="Finalno"/>
        </xsd:restriction>
      </xsd:simpleType>
    </xsd:element>
    <xsd:element name="VrstaPredmeta" ma:index="5" ma:displayName="VrstaPredmeta" ma:default="-" ma:description="Vrsta predmeta kojoj dokument pripada" ma:format="Dropdown" ma:internalName="VrstaPredmeta">
      <xsd:simpleType>
        <xsd:restriction base="dms:Choice">
          <xsd:enumeration value="Administrativni, kadrovski poslovi i dokumentacija Hanfe"/>
          <xsd:enumeration value="Ispit"/>
          <xsd:enumeration value="Licenciranje"/>
          <xsd:enumeration value="Mišljenja"/>
          <xsd:enumeration value="Neposredni nadzor"/>
          <xsd:enumeration value="Posredni nadzor"/>
          <xsd:enumeration value="Predstavke"/>
          <xsd:enumeration value="Sudski postupci"/>
          <xsd:enumeration value="Suradnja"/>
          <xsd:enumeration value="Zakonski i podzakonski akti"/>
          <xsd:enumeration value="-"/>
        </xsd:restriction>
      </xsd:simpleType>
    </xsd:element>
    <xsd:element name="TipPredmeta" ma:index="6" ma:displayName="TipPredmeta" ma:default="-" ma:description="Tip predmeta kojem dokument pripada" ma:format="Dropdown" ma:internalName="TipPredmeta">
      <xsd:simpleType>
        <xsd:restriction base="dms:Choice">
          <xsd:enumeration value="Upravni"/>
          <xsd:enumeration value="Neupravni"/>
          <xsd:enumeration value="-"/>
        </xsd:restriction>
      </xsd:simpleType>
    </xsd:element>
    <xsd:element name="KategorijaPoslovanja" ma:index="7" nillable="true" ma:displayName="KategorijaPoslovanja" ma:default="-" ma:description="Kategorija poslovanja" ma:internalName="KategorijaPoslovanja" ma:requiredMultiChoice="true">
      <xsd:complexType>
        <xsd:complexContent>
          <xsd:extension base="dms:MultiChoice">
            <xsd:sequence>
              <xsd:element name="Value" maxOccurs="unbounded" minOccurs="0" nillable="true">
                <xsd:simpleType>
                  <xsd:restriction base="dms:Choice">
                    <xsd:enumeration value="Fondovi"/>
                    <xsd:enumeration value="Osiguranja"/>
                    <xsd:enumeration value="Tržište kapitala"/>
                    <xsd:enumeration value="Leasing"/>
                    <xsd:enumeration value="Faktoring"/>
                    <xsd:enumeration value="HANFA interno"/>
                    <xsd:enumeration value="Ostalo"/>
                    <xsd:enumeration value="-"/>
                  </xsd:restriction>
                </xsd:simpleType>
              </xsd:element>
            </xsd:sequence>
          </xsd:extension>
        </xsd:complexContent>
      </xsd:complexType>
    </xsd:element>
    <xsd:element name="Godina" ma:index="8" ma:displayName="Godina" ma:default="-" ma:description="" ma:format="Dropdown" ma:internalName="Godina">
      <xsd:simpleType>
        <xsd:restriction base="dms:Choice">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
        </xsd:restriction>
      </xsd:simpleType>
    </xsd:element>
    <xsd:element name="BrKolegija" ma:index="9" ma:displayName="BrKolegija" ma:decimals="2" ma:default="14" ma:description="Broj kolegija u YY.NN formatu (npr. 14.01)" ma:indexed="true" ma:internalName="BrKolegija" ma:percentage="FALSE">
      <xsd:simpleType>
        <xsd:restriction base="dms:Number">
          <xsd:maxInclusive value="20"/>
          <xsd:minInclusive value="10"/>
        </xsd:restriction>
      </xsd:simpleType>
    </xsd:element>
    <xsd:element name="Izradio" ma:index="10" nillable="true" ma:displayName="Izradio" ma:description="Popis osoba koje su izradile dokument" ma:list="UserInfo" ma:SharePointGroup="0" ma:internalName="Izradi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ezentira" ma:index="11" nillable="true" ma:displayName="Prezentira" ma:description="Popis osoba koje prezentiraju dokument" ma:list="UserInfo" ma:SharePointGroup="0" ma:internalName="Prezenti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azetak" ma:index="12" nillable="true" ma:displayName="Sazetak" ma:description="Sažetak dokumenta" ma:internalName="Sazetak">
      <xsd:simpleType>
        <xsd:restriction base="dms:Note">
          <xsd:maxLength value="255"/>
        </xsd:restriction>
      </xsd:simpleType>
    </xsd:element>
    <xsd:element name="PrijedlogPostupanja" ma:index="13" nillable="true" ma:displayName="PrijedlogPostupanja" ma:description="Prijedlog postupanja" ma:internalName="PrijedlogPostupanja">
      <xsd:simpleType>
        <xsd:restriction base="dms:Note">
          <xsd:maxLength value="255"/>
        </xsd:restriction>
      </xsd:simpleType>
    </xsd:element>
    <xsd:element name="Dileme" ma:index="14" nillable="true" ma:displayName="Dileme" ma:description="Dileme" ma:internalName="Dilem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be249-404c-4372-b990-f1811c3374d7" elementFormDefault="qualified">
    <xsd:import namespace="http://schemas.microsoft.com/office/2006/documentManagement/types"/>
    <xsd:import namespace="http://schemas.microsoft.com/office/infopath/2007/PartnerControls"/>
    <xsd:element name="Izreka" ma:index="20" nillable="true" ma:displayName="Izreka" ma:hidden="true" ma:internalName="Izreka" ma:readOnly="false">
      <xsd:simpleType>
        <xsd:restriction base="dms:Note"/>
      </xsd:simpleType>
    </xsd:element>
    <xsd:element name="Za_x0020_arhivu" ma:index="23" nillable="true" ma:displayName="Za arhivu" ma:internalName="Za_x0020_arhivu">
      <xsd:simpleType>
        <xsd:restriction base="dms:Choice">
          <xsd:enumeration value=""/>
          <xsd:enumeration value="DA"/>
          <xsd:enumeration value="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6CDBB-D5D9-4506-B8DC-1C3CF63534AD}">
  <ds:schemaRefs>
    <ds:schemaRef ds:uri="http://schemas.microsoft.com/office/2006/metadata/properties"/>
    <ds:schemaRef ds:uri="http://schemas.microsoft.com/office/infopath/2007/PartnerControls"/>
    <ds:schemaRef ds:uri="d8745bc5-821e-4205-946a-621c2da728c8"/>
    <ds:schemaRef ds:uri="0fbae70c-7fc6-4d0d-8e97-47fcce2a79a6"/>
    <ds:schemaRef ds:uri="268be249-404c-4372-b990-f1811c3374d7"/>
  </ds:schemaRefs>
</ds:datastoreItem>
</file>

<file path=customXml/itemProps2.xml><?xml version="1.0" encoding="utf-8"?>
<ds:datastoreItem xmlns:ds="http://schemas.openxmlformats.org/officeDocument/2006/customXml" ds:itemID="{293A2945-F20D-4D56-ADF8-CCBED64A6A68}">
  <ds:schemaRefs>
    <ds:schemaRef ds:uri="http://schemas.microsoft.com/sharepoint/v3/contenttype/forms"/>
  </ds:schemaRefs>
</ds:datastoreItem>
</file>

<file path=customXml/itemProps3.xml><?xml version="1.0" encoding="utf-8"?>
<ds:datastoreItem xmlns:ds="http://schemas.openxmlformats.org/officeDocument/2006/customXml" ds:itemID="{1FAD1E2B-B103-4109-B610-3A81B874C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ae70c-7fc6-4d0d-8e97-47fcce2a79a6"/>
    <ds:schemaRef ds:uri="d8745bc5-821e-4205-946a-621c2da728c8"/>
    <ds:schemaRef ds:uri="268be249-404c-4372-b990-f1811c337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3C4B0A-9E03-4768-804E-5698C757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51</Pages>
  <Words>12118</Words>
  <Characters>69077</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HANFA</Company>
  <LinksUpToDate>false</LinksUpToDate>
  <CharactersWithSpaces>81033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Opačić</dc:creator>
  <cp:keywords/>
  <dc:description/>
  <cp:lastModifiedBy>Ksenija Veseli</cp:lastModifiedBy>
  <cp:revision>78</cp:revision>
  <cp:lastPrinted>2017-02-03T09:08:00Z</cp:lastPrinted>
  <dcterms:created xsi:type="dcterms:W3CDTF">2018-10-25T12:36:00Z</dcterms:created>
  <dcterms:modified xsi:type="dcterms:W3CDTF">2018-10-25T13:40:00Z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0x010100AD5C7CB115440942A6753CC789A8DB1D</vt:lpwstr>
  </property>
  <property fmtid="{D5CDD505-2E9C-101B-9397-08002B2CF9AE}" pid="3" name="Order">
    <vt:r8>4023900</vt:r8>
  </property>
  <property fmtid="{D5CDD505-2E9C-101B-9397-08002B2CF9AE}" pid="4" name="xd_ProgID">
    <vt:lpwstr/>
  </property>
  <property fmtid="{D5CDD505-2E9C-101B-9397-08002B2CF9AE}" pid="5" name="StatusDokumenta">
    <vt:lpwstr>Autorizirano</vt:lpwstr>
  </property>
  <property fmtid="{D5CDD505-2E9C-101B-9397-08002B2CF9AE}" pid="6" name="TemplateUrl">
    <vt:lpwstr/>
  </property>
  <property fmtid="{D5CDD505-2E9C-101B-9397-08002B2CF9AE}" pid="7" name="_CopySource">
    <vt:lpwstr>https://hanfanet/s/id/D/ZTK 2017/Pravilnik rizici 2018/SID 02 Pravilnik o upravljanju rizicima i adekvatnosti kapitala.docx</vt:lpwstr>
  </property>
  <property fmtid="{D5CDD505-2E9C-101B-9397-08002B2CF9AE}" pid="8" name="WorkflowChangePath">
    <vt:lpwstr>7fe39371-efad-41e4-b898-1a42103feebd,5;7fe39371-efad-41e4-b898-1a42103feebd,5;7fe39371-efad-41e4-b898-1a42103feebd,5;7fe39371-efad-41e4-b898-1a42103feebd,5;7fe39371-efad-41e4-b898-1a42103feebd,5;</vt:lpwstr>
  </property>
</Properties>
</file>